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6F9" w:rsidRDefault="001A66F9" w:rsidP="001A66F9">
      <w:pPr>
        <w:rPr>
          <w:rFonts w:eastAsia="Calibri"/>
          <w:b/>
          <w:sz w:val="36"/>
          <w:szCs w:val="36"/>
        </w:rPr>
      </w:pPr>
      <w:bookmarkStart w:id="0" w:name="_Toc40777137"/>
      <w:bookmarkStart w:id="1" w:name="_Toc40777227"/>
      <w:bookmarkStart w:id="2" w:name="_Toc40870051"/>
      <w:r w:rsidRPr="00073B4B">
        <w:rPr>
          <w:i/>
          <w:color w:val="FF0000"/>
        </w:rPr>
        <w:t>An addendum to this minute has been included at the end of the document.</w:t>
      </w:r>
    </w:p>
    <w:p w:rsidR="00B60939" w:rsidRDefault="00507770" w:rsidP="00E261AB">
      <w:pPr>
        <w:pStyle w:val="1-MainHeading"/>
      </w:pPr>
      <w:r>
        <w:t>5.07</w:t>
      </w:r>
      <w:r w:rsidR="00163F66" w:rsidRPr="00FB7A6E">
        <w:tab/>
      </w:r>
      <w:r w:rsidR="00D07D7A" w:rsidRPr="00FB7A6E">
        <w:t>MOMETASONE FUROATE</w:t>
      </w:r>
      <w:r>
        <w:t xml:space="preserve"> WITH</w:t>
      </w:r>
      <w:r w:rsidR="00D07D7A" w:rsidRPr="00FB7A6E">
        <w:t xml:space="preserve"> INDAC</w:t>
      </w:r>
      <w:r w:rsidR="00E7506F">
        <w:t>A</w:t>
      </w:r>
      <w:r w:rsidR="00D07D7A" w:rsidRPr="00FB7A6E">
        <w:t>TEROL and GLYCOPYRRONIUM</w:t>
      </w:r>
      <w:r w:rsidR="00163F66" w:rsidRPr="00FB7A6E">
        <w:t>,</w:t>
      </w:r>
      <w:r w:rsidR="00163F66" w:rsidRPr="00FB7A6E">
        <w:br/>
      </w:r>
      <w:r w:rsidR="000B7DAC" w:rsidRPr="00FB7A6E">
        <w:t>Capsule containing powder for oral inhalation mometasone furoa</w:t>
      </w:r>
      <w:r w:rsidR="006F7F13">
        <w:t>te 80 micrograms with indaca</w:t>
      </w:r>
      <w:r w:rsidR="000B7DAC" w:rsidRPr="00FB7A6E">
        <w:t xml:space="preserve">terol 150 micrograms (as acetate) </w:t>
      </w:r>
      <w:r w:rsidR="002C18A8">
        <w:t>with</w:t>
      </w:r>
      <w:r w:rsidR="000B7DAC" w:rsidRPr="00FB7A6E">
        <w:t xml:space="preserve"> glycopyrronium 50 micrograms (as bromide) (</w:t>
      </w:r>
      <w:r w:rsidR="00352DEF" w:rsidRPr="00FB7A6E">
        <w:t>for use in Breezhaler</w:t>
      </w:r>
      <w:r w:rsidR="006230C9" w:rsidRPr="00FB7A6E">
        <w:t>®</w:t>
      </w:r>
      <w:r w:rsidR="00352DEF" w:rsidRPr="00FB7A6E">
        <w:t>),</w:t>
      </w:r>
      <w:r w:rsidR="00163F66" w:rsidRPr="00FB7A6E">
        <w:br/>
      </w:r>
      <w:r w:rsidR="00352DEF" w:rsidRPr="00FB7A6E">
        <w:t>Capsule containing powder for oral inhalation mometasone fur</w:t>
      </w:r>
      <w:r w:rsidR="006F7F13">
        <w:t>oate 160 micrograms with indaca</w:t>
      </w:r>
      <w:r w:rsidR="00352DEF" w:rsidRPr="00FB7A6E">
        <w:t xml:space="preserve">terol 150 micrograms (as acetate) </w:t>
      </w:r>
      <w:r w:rsidR="002C18A8">
        <w:t>with</w:t>
      </w:r>
      <w:r w:rsidR="00352DEF" w:rsidRPr="00FB7A6E">
        <w:t xml:space="preserve"> glycopyrronium 50 micrograms (as bromide) (for use in Breezhaler</w:t>
      </w:r>
      <w:r w:rsidR="006230C9" w:rsidRPr="00FB7A6E">
        <w:t>®</w:t>
      </w:r>
      <w:r w:rsidR="00352DEF" w:rsidRPr="00FB7A6E">
        <w:t>)</w:t>
      </w:r>
      <w:r w:rsidR="00E261AB" w:rsidRPr="00FB7A6E">
        <w:t>,</w:t>
      </w:r>
      <w:r w:rsidR="00E261AB" w:rsidRPr="00FB7A6E">
        <w:br/>
        <w:t>Enerzair</w:t>
      </w:r>
      <w:r w:rsidR="00B60939" w:rsidRPr="00FB7A6E">
        <w:rPr>
          <w:vertAlign w:val="superscript"/>
        </w:rPr>
        <w:t>®</w:t>
      </w:r>
      <w:r w:rsidR="00E261AB" w:rsidRPr="00FB7A6E">
        <w:t xml:space="preserve"> Breezhaler</w:t>
      </w:r>
      <w:r w:rsidR="00E261AB" w:rsidRPr="00FB7A6E">
        <w:rPr>
          <w:vertAlign w:val="superscript"/>
        </w:rPr>
        <w:t>®</w:t>
      </w:r>
      <w:r w:rsidR="004A6040" w:rsidRPr="00FB7A6E">
        <w:t>,</w:t>
      </w:r>
      <w:r w:rsidR="004A6040" w:rsidRPr="00FB7A6E">
        <w:br/>
      </w:r>
      <w:r w:rsidR="00576DA9" w:rsidRPr="00576DA9">
        <w:t>Novartis Pharmaceuticals Australia Pty Limited</w:t>
      </w:r>
      <w:r w:rsidR="00B60939" w:rsidRPr="00FB7A6E">
        <w:t>.</w:t>
      </w:r>
      <w:bookmarkEnd w:id="0"/>
      <w:bookmarkEnd w:id="1"/>
      <w:bookmarkEnd w:id="2"/>
    </w:p>
    <w:p w:rsidR="00B50DB8" w:rsidRPr="00FB7A6E" w:rsidRDefault="00B50DB8" w:rsidP="004A6040">
      <w:pPr>
        <w:pStyle w:val="2-SectionHeading"/>
      </w:pPr>
      <w:bookmarkStart w:id="3" w:name="_Toc40870053"/>
      <w:r w:rsidRPr="00FB7A6E">
        <w:t xml:space="preserve">Purpose of </w:t>
      </w:r>
      <w:r w:rsidR="00CD7193" w:rsidRPr="00FB7A6E">
        <w:t>s</w:t>
      </w:r>
      <w:r w:rsidR="00BB3A45" w:rsidRPr="00FB7A6E">
        <w:t>ubmission</w:t>
      </w:r>
      <w:bookmarkEnd w:id="3"/>
    </w:p>
    <w:p w:rsidR="00225FF2" w:rsidRPr="00FB7A6E" w:rsidRDefault="00DD254D" w:rsidP="00A273E9">
      <w:pPr>
        <w:pStyle w:val="3-BodyText"/>
      </w:pPr>
      <w:bookmarkStart w:id="4" w:name="_Toc341702043"/>
      <w:bookmarkStart w:id="5" w:name="_Toc380742621"/>
      <w:bookmarkStart w:id="6" w:name="_Toc380746188"/>
      <w:bookmarkStart w:id="7" w:name="_Toc380746314"/>
      <w:bookmarkStart w:id="8" w:name="_Toc380746595"/>
      <w:r w:rsidRPr="00FB7A6E">
        <w:t>The submission requested an Authority Required (Streamlined) listing of Enerzair® Breezhaler®</w:t>
      </w:r>
      <w:r w:rsidR="004431CF" w:rsidRPr="00FB7A6E">
        <w:t>,</w:t>
      </w:r>
      <w:r w:rsidRPr="00FB7A6E">
        <w:t xml:space="preserve"> fixed dose combination (FDC) of mometasone furoate (MF), an inhaled corticosteroid </w:t>
      </w:r>
      <w:r w:rsidR="000A5E91">
        <w:t>QA</w:t>
      </w:r>
      <w:r w:rsidRPr="00FB7A6E">
        <w:t>(ICS) with indacaterol acetate (IND), a long-acting beta2 agonist (LABA) and glycopyrronium (GLY), a long acting muscarinic antagonist (LAMA) for maintenance therapy of severe asthma.</w:t>
      </w:r>
    </w:p>
    <w:p w:rsidR="00225FF2" w:rsidRPr="00A44467" w:rsidRDefault="00DD254D" w:rsidP="007F6392">
      <w:pPr>
        <w:pStyle w:val="3-BodyText"/>
      </w:pPr>
      <w:r w:rsidRPr="00A44467">
        <w:t xml:space="preserve">The </w:t>
      </w:r>
      <w:r w:rsidR="007B4294" w:rsidRPr="00A44467">
        <w:t xml:space="preserve">proposed listing is for </w:t>
      </w:r>
      <w:r w:rsidRPr="00A44467">
        <w:t xml:space="preserve">two strengths of capsules containing powder for oral inhalation with </w:t>
      </w:r>
      <w:r w:rsidR="007B4294" w:rsidRPr="00A44467">
        <w:t xml:space="preserve">different </w:t>
      </w:r>
      <w:r w:rsidRPr="00A44467">
        <w:t>doses of MF</w:t>
      </w:r>
      <w:r w:rsidR="00225FF2" w:rsidRPr="00A44467">
        <w:t>: medium dose</w:t>
      </w:r>
      <w:r w:rsidRPr="00A44467">
        <w:t xml:space="preserve"> MF/IND/GLY 80/150/50 and </w:t>
      </w:r>
      <w:r w:rsidR="00225FF2" w:rsidRPr="00A44467">
        <w:t>high</w:t>
      </w:r>
      <w:r w:rsidR="00A44467" w:rsidRPr="00A44467">
        <w:t xml:space="preserve"> </w:t>
      </w:r>
      <w:r w:rsidR="00225FF2" w:rsidRPr="00A44467">
        <w:t xml:space="preserve">dose </w:t>
      </w:r>
      <w:r w:rsidRPr="00A44467">
        <w:t xml:space="preserve">MF/IND/GLY 160/150/50. Patients must load a capsule into the </w:t>
      </w:r>
      <w:r w:rsidR="00C00589" w:rsidRPr="00A44467">
        <w:t xml:space="preserve">Breezhaler® device, a </w:t>
      </w:r>
      <w:r w:rsidRPr="00A44467">
        <w:t>single dose dry powder inhaler (DPI)</w:t>
      </w:r>
      <w:r w:rsidR="00C00589" w:rsidRPr="00A44467">
        <w:t xml:space="preserve">, </w:t>
      </w:r>
      <w:r w:rsidRPr="00A44467">
        <w:t>prior to each use.</w:t>
      </w:r>
      <w:r w:rsidR="008668C2">
        <w:t xml:space="preserve"> </w:t>
      </w:r>
      <w:r w:rsidR="00F265CF">
        <w:rPr>
          <w:iCs/>
        </w:rPr>
        <w:t>In the PBAC Public Summary Document (PSD)</w:t>
      </w:r>
      <w:r w:rsidR="006C5118">
        <w:rPr>
          <w:iCs/>
        </w:rPr>
        <w:t>,</w:t>
      </w:r>
      <w:r w:rsidR="00EB1615" w:rsidRPr="00EB1615">
        <w:rPr>
          <w:iCs/>
        </w:rPr>
        <w:t xml:space="preserve"> </w:t>
      </w:r>
      <w:r w:rsidR="00A44467" w:rsidRPr="00EB1615">
        <w:t>‘</w:t>
      </w:r>
      <w:r w:rsidR="00225FF2" w:rsidRPr="00EB1615">
        <w:t>medium</w:t>
      </w:r>
      <w:r w:rsidR="00A44467" w:rsidRPr="00EB1615">
        <w:t>’</w:t>
      </w:r>
      <w:r w:rsidR="00225FF2" w:rsidRPr="00EB1615">
        <w:t xml:space="preserve"> dose ICS refers to 800 mcg of budesonide</w:t>
      </w:r>
      <w:r w:rsidR="007B4294" w:rsidRPr="00EB1615">
        <w:t xml:space="preserve"> per day</w:t>
      </w:r>
      <w:r w:rsidR="00225FF2" w:rsidRPr="00EB1615">
        <w:t xml:space="preserve"> or equivalent and </w:t>
      </w:r>
      <w:r w:rsidR="00A44467" w:rsidRPr="00EB1615">
        <w:t>‘</w:t>
      </w:r>
      <w:r w:rsidR="00225FF2" w:rsidRPr="00EB1615">
        <w:t>high</w:t>
      </w:r>
      <w:r w:rsidR="00A44467" w:rsidRPr="00EB1615">
        <w:t>’</w:t>
      </w:r>
      <w:r w:rsidR="00225FF2" w:rsidRPr="00EB1615">
        <w:t xml:space="preserve"> dose ICS refers to 1600 mcg of budesonide </w:t>
      </w:r>
      <w:r w:rsidR="007B4294" w:rsidRPr="00EB1615">
        <w:t xml:space="preserve">per day </w:t>
      </w:r>
      <w:r w:rsidR="00225FF2" w:rsidRPr="00EB1615">
        <w:t xml:space="preserve">or equivalent, </w:t>
      </w:r>
      <w:r w:rsidR="007B4294" w:rsidRPr="00EB1615">
        <w:t>in line</w:t>
      </w:r>
      <w:r w:rsidR="00225FF2" w:rsidRPr="00EB1615">
        <w:t xml:space="preserve"> with Australian </w:t>
      </w:r>
      <w:r w:rsidR="007F6392" w:rsidRPr="00EB1615">
        <w:t xml:space="preserve">and international </w:t>
      </w:r>
      <w:r w:rsidR="00225FF2" w:rsidRPr="00EB1615">
        <w:t>guidelines.</w:t>
      </w:r>
    </w:p>
    <w:p w:rsidR="00DD254D" w:rsidRPr="00A07146" w:rsidRDefault="00DD254D" w:rsidP="00280183">
      <w:pPr>
        <w:pStyle w:val="3-BodyText"/>
      </w:pPr>
      <w:r w:rsidRPr="00A07146">
        <w:t xml:space="preserve">If recommended, Enerzair® Breezhaler® (MF/IND/GLY) will be the first triple </w:t>
      </w:r>
      <w:r w:rsidR="00280183" w:rsidRPr="00A07146">
        <w:t xml:space="preserve">therapy </w:t>
      </w:r>
      <w:r w:rsidRPr="00A07146">
        <w:t>ICS/LABA/LAMA FDC available on the PBS for treatment of severe asthma, and one of the first inhalers listed for asthma that requires capsules to be loaded by the patient prior to use.</w:t>
      </w:r>
      <w:r w:rsidR="008668C2">
        <w:t xml:space="preserve"> </w:t>
      </w:r>
      <w:r w:rsidRPr="00A07146">
        <w:t>None of the individual components of MF/IND/GLY are listed on the PBS for asthma, but none are new drugs to the PBAC.</w:t>
      </w:r>
      <w:r w:rsidR="008668C2">
        <w:t xml:space="preserve"> </w:t>
      </w:r>
      <w:r w:rsidR="00B64069" w:rsidRPr="00A07146">
        <w:t>T</w:t>
      </w:r>
      <w:r w:rsidR="004431CF" w:rsidRPr="00A07146">
        <w:t xml:space="preserve">riple therapy is </w:t>
      </w:r>
      <w:r w:rsidR="00B64069" w:rsidRPr="00A07146">
        <w:t xml:space="preserve">PBS listed for severe asthma, but patients must use multiple inhalers, e.g. </w:t>
      </w:r>
      <w:r w:rsidR="004431CF" w:rsidRPr="00A07146">
        <w:t>ICS/LABA</w:t>
      </w:r>
      <w:r w:rsidR="00B64069" w:rsidRPr="00A07146">
        <w:t xml:space="preserve"> FDC</w:t>
      </w:r>
      <w:r w:rsidR="004431CF" w:rsidRPr="00A07146">
        <w:t xml:space="preserve"> + tiotropium (TIO)</w:t>
      </w:r>
      <w:r w:rsidR="00B64069" w:rsidRPr="00A07146">
        <w:t>.</w:t>
      </w:r>
    </w:p>
    <w:p w:rsidR="00DD254D" w:rsidRPr="00FB7A6E" w:rsidRDefault="00DD254D" w:rsidP="00F132AF">
      <w:pPr>
        <w:pStyle w:val="3-BodyText"/>
      </w:pPr>
      <w:r w:rsidRPr="00FB7A6E">
        <w:lastRenderedPageBreak/>
        <w:t xml:space="preserve">The basis of the requested listing was a cost-minimisation analysis to </w:t>
      </w:r>
      <w:r w:rsidR="00225FF2" w:rsidRPr="00FB7A6E">
        <w:t>high</w:t>
      </w:r>
      <w:r w:rsidR="007B0FA0" w:rsidRPr="00FB7A6E">
        <w:t xml:space="preserve"> dose </w:t>
      </w:r>
      <w:r w:rsidRPr="00FB7A6E">
        <w:t xml:space="preserve">fluticasone propionate </w:t>
      </w:r>
      <w:r w:rsidR="00E34326" w:rsidRPr="00FB7A6E">
        <w:t xml:space="preserve">with </w:t>
      </w:r>
      <w:r w:rsidRPr="00FB7A6E">
        <w:t>salmeterol (</w:t>
      </w:r>
      <w:r w:rsidR="00E34326" w:rsidRPr="00FB7A6E">
        <w:t>FP/</w:t>
      </w:r>
      <w:r w:rsidRPr="00FB7A6E">
        <w:t>SAL) FDC Seretide® Accuhaler® plus tiotropium (TIO) Spiriva® Respimat®</w:t>
      </w:r>
      <w:r w:rsidR="00F132AF" w:rsidRPr="00FB7A6E">
        <w:t>, which included a ‘small’ price advantage for MF/IND/GLY</w:t>
      </w:r>
      <w:r w:rsidR="008668C2">
        <w:t xml:space="preserve">. </w:t>
      </w:r>
      <w:r w:rsidR="007B0FA0" w:rsidRPr="00D67089">
        <w:rPr>
          <w:iCs/>
        </w:rPr>
        <w:t xml:space="preserve">The </w:t>
      </w:r>
      <w:r w:rsidR="006A7F9F" w:rsidRPr="00DB6C89">
        <w:rPr>
          <w:iCs/>
        </w:rPr>
        <w:t>e</w:t>
      </w:r>
      <w:r w:rsidR="006C5118" w:rsidRPr="00DB6C89">
        <w:rPr>
          <w:iCs/>
        </w:rPr>
        <w:t>valuation</w:t>
      </w:r>
      <w:r w:rsidR="006C5118" w:rsidRPr="00D67089">
        <w:rPr>
          <w:iCs/>
        </w:rPr>
        <w:t xml:space="preserve"> </w:t>
      </w:r>
      <w:r w:rsidR="007B0FA0" w:rsidRPr="00D67089">
        <w:rPr>
          <w:iCs/>
        </w:rPr>
        <w:t xml:space="preserve">also presents </w:t>
      </w:r>
      <w:r w:rsidR="007B0FA0" w:rsidRPr="00D67089">
        <w:t>a</w:t>
      </w:r>
      <w:r w:rsidRPr="00D67089">
        <w:t xml:space="preserve"> cost-minimisation analysis versus other relevant </w:t>
      </w:r>
      <w:r w:rsidR="00E859EE" w:rsidRPr="00D67089">
        <w:t xml:space="preserve">combinations of products (e.g. </w:t>
      </w:r>
      <w:r w:rsidRPr="00D67089">
        <w:t xml:space="preserve">ICS/LABA </w:t>
      </w:r>
      <w:r w:rsidR="00E859EE" w:rsidRPr="00D67089">
        <w:t xml:space="preserve">FDC </w:t>
      </w:r>
      <w:r w:rsidRPr="00D67089">
        <w:t>plus LAMA</w:t>
      </w:r>
      <w:r w:rsidR="00E859EE" w:rsidRPr="00D67089">
        <w:t>)</w:t>
      </w:r>
      <w:r w:rsidRPr="00D67089">
        <w:t>.</w:t>
      </w:r>
    </w:p>
    <w:p w:rsidR="00DD254D" w:rsidRPr="00FB7A6E" w:rsidRDefault="00DD254D" w:rsidP="00DD254D">
      <w:pPr>
        <w:pStyle w:val="TableFigureHeading"/>
      </w:pPr>
      <w:r w:rsidRPr="00FB7A6E">
        <w:rPr>
          <w:rStyle w:val="CommentReference"/>
          <w:b/>
          <w:szCs w:val="24"/>
        </w:rPr>
        <w:t>Table 1: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8168"/>
      </w:tblGrid>
      <w:tr w:rsidR="00DD254D" w:rsidRPr="00FB7A6E" w:rsidTr="00B061AA">
        <w:tc>
          <w:tcPr>
            <w:tcW w:w="988" w:type="dxa"/>
            <w:vAlign w:val="center"/>
          </w:tcPr>
          <w:p w:rsidR="00DD254D" w:rsidRPr="00FB7A6E" w:rsidRDefault="00DD254D" w:rsidP="00515192">
            <w:pPr>
              <w:pStyle w:val="In-tableHeading"/>
              <w:keepNext w:val="0"/>
              <w:rPr>
                <w:lang w:val="en-AU"/>
              </w:rPr>
            </w:pPr>
            <w:r w:rsidRPr="00FB7A6E">
              <w:rPr>
                <w:lang w:val="en-AU"/>
              </w:rPr>
              <w:t>Component</w:t>
            </w:r>
          </w:p>
        </w:tc>
        <w:tc>
          <w:tcPr>
            <w:tcW w:w="8168" w:type="dxa"/>
            <w:vAlign w:val="center"/>
          </w:tcPr>
          <w:p w:rsidR="00DD254D" w:rsidRPr="00FB7A6E" w:rsidRDefault="00DD254D" w:rsidP="00515192">
            <w:pPr>
              <w:pStyle w:val="In-tableHeading"/>
              <w:keepNext w:val="0"/>
              <w:rPr>
                <w:lang w:val="en-AU"/>
              </w:rPr>
            </w:pPr>
            <w:r w:rsidRPr="00FB7A6E">
              <w:rPr>
                <w:lang w:val="en-AU"/>
              </w:rPr>
              <w:t>Description</w:t>
            </w:r>
          </w:p>
        </w:tc>
      </w:tr>
      <w:tr w:rsidR="00DD254D" w:rsidRPr="00FB7A6E" w:rsidTr="00B061AA">
        <w:tc>
          <w:tcPr>
            <w:tcW w:w="988" w:type="dxa"/>
            <w:vAlign w:val="center"/>
          </w:tcPr>
          <w:p w:rsidR="00DD254D" w:rsidRPr="00FB7A6E" w:rsidRDefault="00DD254D" w:rsidP="00515192">
            <w:pPr>
              <w:pStyle w:val="TableText0"/>
              <w:keepNext w:val="0"/>
            </w:pPr>
            <w:r w:rsidRPr="00FB7A6E">
              <w:t>Population</w:t>
            </w:r>
          </w:p>
        </w:tc>
        <w:tc>
          <w:tcPr>
            <w:tcW w:w="8168" w:type="dxa"/>
            <w:vAlign w:val="center"/>
          </w:tcPr>
          <w:p w:rsidR="00DD254D" w:rsidRPr="00FB7A6E" w:rsidRDefault="00DD254D" w:rsidP="00515192">
            <w:pPr>
              <w:pStyle w:val="TableText0"/>
              <w:keepNext w:val="0"/>
            </w:pPr>
            <w:r w:rsidRPr="00FB7A6E">
              <w:t>Asthma patients who are currently uncontrolled on ICS/LABA treatments</w:t>
            </w:r>
          </w:p>
        </w:tc>
      </w:tr>
      <w:tr w:rsidR="00DD254D" w:rsidRPr="00FB7A6E" w:rsidTr="00B061AA">
        <w:tc>
          <w:tcPr>
            <w:tcW w:w="988" w:type="dxa"/>
            <w:vAlign w:val="center"/>
          </w:tcPr>
          <w:p w:rsidR="00DD254D" w:rsidRPr="00FB7A6E" w:rsidRDefault="00DD254D" w:rsidP="00515192">
            <w:pPr>
              <w:pStyle w:val="TableText0"/>
              <w:keepNext w:val="0"/>
            </w:pPr>
            <w:r w:rsidRPr="00FB7A6E">
              <w:t>Intervention</w:t>
            </w:r>
          </w:p>
        </w:tc>
        <w:tc>
          <w:tcPr>
            <w:tcW w:w="8168" w:type="dxa"/>
            <w:vAlign w:val="center"/>
          </w:tcPr>
          <w:p w:rsidR="00DD254D" w:rsidRPr="00FB7A6E" w:rsidRDefault="00DD254D" w:rsidP="00515192">
            <w:pPr>
              <w:pStyle w:val="TableText0"/>
              <w:keepNext w:val="0"/>
            </w:pPr>
            <w:r w:rsidRPr="00FB7A6E">
              <w:t>Enerzair® Breezhaler®, a once-daily dry powder inhaler (capsules) containing mometasone (MF), indacaterol (IND) and glycopyrronium (GLY), available in two strengths:150/50/80 mcg per actuation (“medium”) or 150/50/160 mcg per actuation (“high”).</w:t>
            </w:r>
          </w:p>
        </w:tc>
      </w:tr>
      <w:tr w:rsidR="00DD254D" w:rsidRPr="00FB7A6E" w:rsidTr="00B061AA">
        <w:tc>
          <w:tcPr>
            <w:tcW w:w="988" w:type="dxa"/>
            <w:vAlign w:val="center"/>
          </w:tcPr>
          <w:p w:rsidR="00DD254D" w:rsidRPr="00FB7A6E" w:rsidRDefault="00DD254D" w:rsidP="00515192">
            <w:pPr>
              <w:pStyle w:val="TableText0"/>
              <w:keepNext w:val="0"/>
            </w:pPr>
            <w:r w:rsidRPr="00FB7A6E">
              <w:t>Comparator</w:t>
            </w:r>
          </w:p>
        </w:tc>
        <w:tc>
          <w:tcPr>
            <w:tcW w:w="8168" w:type="dxa"/>
            <w:vAlign w:val="center"/>
          </w:tcPr>
          <w:p w:rsidR="00DD254D" w:rsidRPr="00FB7A6E" w:rsidRDefault="00DD254D" w:rsidP="00515192">
            <w:pPr>
              <w:pStyle w:val="TableText0"/>
              <w:keepNext w:val="0"/>
            </w:pPr>
            <w:r w:rsidRPr="00FB7A6E">
              <w:t>The submission stated that medium and high dose MF/IND/GLY FDC will substitute for high dose ICS/LABA FDCs (DPI formulations only) plus LAMA on the PBS</w:t>
            </w:r>
            <w:r w:rsidR="00C57474" w:rsidRPr="00FB7A6E">
              <w:t>, including:</w:t>
            </w:r>
          </w:p>
          <w:p w:rsidR="00C57474" w:rsidRPr="00FB7A6E" w:rsidRDefault="00DD254D" w:rsidP="006831B2">
            <w:pPr>
              <w:pStyle w:val="TableText0"/>
              <w:keepNext w:val="0"/>
              <w:numPr>
                <w:ilvl w:val="0"/>
                <w:numId w:val="8"/>
              </w:numPr>
              <w:ind w:left="399" w:hanging="256"/>
            </w:pPr>
            <w:r w:rsidRPr="00FB7A6E">
              <w:t>FP</w:t>
            </w:r>
            <w:r w:rsidR="00E859EE" w:rsidRPr="00FB7A6E">
              <w:t>/</w:t>
            </w:r>
            <w:r w:rsidRPr="00FB7A6E">
              <w:t>SAL</w:t>
            </w:r>
            <w:r w:rsidR="00A44467">
              <w:t xml:space="preserve"> 500/50 mcg one actuation twice daily</w:t>
            </w:r>
            <w:r w:rsidRPr="00FB7A6E">
              <w:t xml:space="preserve"> </w:t>
            </w:r>
            <w:r w:rsidR="00C57474" w:rsidRPr="00FB7A6E">
              <w:t>(</w:t>
            </w:r>
            <w:r w:rsidRPr="00FB7A6E">
              <w:t>Seretide® Accuhaler®</w:t>
            </w:r>
            <w:r w:rsidR="00C57474" w:rsidRPr="00FB7A6E">
              <w:t>)</w:t>
            </w:r>
            <w:r w:rsidRPr="00FB7A6E">
              <w:t xml:space="preserve"> plus </w:t>
            </w:r>
            <w:r w:rsidR="00C57474" w:rsidRPr="00FB7A6E">
              <w:t xml:space="preserve">TIO </w:t>
            </w:r>
            <w:r w:rsidR="00A44467">
              <w:t xml:space="preserve">2.5 mcg two inhalations once daily </w:t>
            </w:r>
            <w:r w:rsidR="00C57474" w:rsidRPr="00FB7A6E">
              <w:t>(</w:t>
            </w:r>
            <w:r w:rsidRPr="00FB7A6E">
              <w:t>Spiriva® Respimat®</w:t>
            </w:r>
            <w:r w:rsidR="00C57474" w:rsidRPr="00FB7A6E">
              <w:t>)</w:t>
            </w:r>
            <w:r w:rsidRPr="00FB7A6E">
              <w:t>.</w:t>
            </w:r>
          </w:p>
          <w:p w:rsidR="00C57474" w:rsidRPr="00FB7A6E" w:rsidRDefault="00C57474" w:rsidP="00515192">
            <w:pPr>
              <w:pStyle w:val="TableText0"/>
              <w:keepNext w:val="0"/>
            </w:pPr>
          </w:p>
          <w:p w:rsidR="00DD254D" w:rsidRPr="00FB7A6E" w:rsidRDefault="00DD254D" w:rsidP="00515192">
            <w:pPr>
              <w:pStyle w:val="TableText0"/>
              <w:keepNext w:val="0"/>
            </w:pPr>
            <w:r w:rsidRPr="00FB7A6E">
              <w:t>Clinical evidence presented informs the following comparisons:</w:t>
            </w:r>
          </w:p>
          <w:p w:rsidR="00DD254D" w:rsidRPr="00FB7A6E" w:rsidRDefault="00DD254D" w:rsidP="006831B2">
            <w:pPr>
              <w:pStyle w:val="TableText0"/>
              <w:keepNext w:val="0"/>
              <w:numPr>
                <w:ilvl w:val="0"/>
                <w:numId w:val="9"/>
              </w:numPr>
              <w:ind w:left="257" w:hanging="179"/>
            </w:pPr>
            <w:r w:rsidRPr="00FB7A6E">
              <w:t xml:space="preserve">MF/IND/GLY 80/150/50 mcg </w:t>
            </w:r>
            <w:r w:rsidR="00C57474" w:rsidRPr="00FB7A6E">
              <w:t xml:space="preserve">one actuation once </w:t>
            </w:r>
            <w:r w:rsidRPr="00FB7A6E">
              <w:t xml:space="preserve">daily versus FP/SAL 500/50 mcg </w:t>
            </w:r>
            <w:r w:rsidR="00C57474" w:rsidRPr="00FB7A6E">
              <w:t xml:space="preserve">one actuation </w:t>
            </w:r>
            <w:r w:rsidRPr="00FB7A6E">
              <w:t xml:space="preserve">twice daily + TIO 2.5 mcg </w:t>
            </w:r>
            <w:r w:rsidR="00C57474" w:rsidRPr="00FB7A6E">
              <w:t xml:space="preserve">two actuations </w:t>
            </w:r>
            <w:r w:rsidRPr="00FB7A6E">
              <w:t>once daily</w:t>
            </w:r>
          </w:p>
          <w:p w:rsidR="00DD254D" w:rsidRPr="00FB7A6E" w:rsidRDefault="00DD254D" w:rsidP="006831B2">
            <w:pPr>
              <w:pStyle w:val="TableText0"/>
              <w:keepNext w:val="0"/>
              <w:numPr>
                <w:ilvl w:val="0"/>
                <w:numId w:val="9"/>
              </w:numPr>
              <w:ind w:left="257" w:hanging="179"/>
            </w:pPr>
            <w:r w:rsidRPr="00FB7A6E">
              <w:t xml:space="preserve">MF/IND/GLY 160/150/50 mcg </w:t>
            </w:r>
            <w:r w:rsidR="00C57474" w:rsidRPr="00FB7A6E">
              <w:t xml:space="preserve">one actuation once </w:t>
            </w:r>
            <w:r w:rsidRPr="00FB7A6E">
              <w:t xml:space="preserve">daily versus FP/SAL 500/50 mcg </w:t>
            </w:r>
            <w:r w:rsidR="00C57474" w:rsidRPr="00FB7A6E">
              <w:t xml:space="preserve">one actuation </w:t>
            </w:r>
            <w:r w:rsidRPr="00FB7A6E">
              <w:t xml:space="preserve">twice daily + TIO 2.5 mcg </w:t>
            </w:r>
            <w:r w:rsidR="00C57474" w:rsidRPr="00FB7A6E">
              <w:t>two</w:t>
            </w:r>
            <w:r w:rsidRPr="00FB7A6E">
              <w:t xml:space="preserve"> actuations once daily</w:t>
            </w:r>
          </w:p>
        </w:tc>
      </w:tr>
      <w:tr w:rsidR="00DD254D" w:rsidRPr="00FB7A6E" w:rsidTr="00B061AA">
        <w:tc>
          <w:tcPr>
            <w:tcW w:w="988" w:type="dxa"/>
            <w:vAlign w:val="center"/>
          </w:tcPr>
          <w:p w:rsidR="00DD254D" w:rsidRPr="00FB7A6E" w:rsidRDefault="00DD254D" w:rsidP="00515192">
            <w:pPr>
              <w:pStyle w:val="TableText0"/>
              <w:keepNext w:val="0"/>
            </w:pPr>
            <w:r w:rsidRPr="00FB7A6E">
              <w:t>Outcomes</w:t>
            </w:r>
          </w:p>
        </w:tc>
        <w:tc>
          <w:tcPr>
            <w:tcW w:w="8168" w:type="dxa"/>
            <w:vAlign w:val="center"/>
          </w:tcPr>
          <w:p w:rsidR="00DD254D" w:rsidRPr="00FB7A6E" w:rsidRDefault="00DD254D" w:rsidP="00515192">
            <w:pPr>
              <w:pStyle w:val="TableText0"/>
              <w:keepNext w:val="0"/>
            </w:pPr>
            <w:r w:rsidRPr="00FB7A6E">
              <w:t>AQLQ; FEV1; FVC; FEF</w:t>
            </w:r>
            <w:r w:rsidRPr="00FB7A6E">
              <w:rPr>
                <w:vertAlign w:val="subscript"/>
              </w:rPr>
              <w:t>25-75</w:t>
            </w:r>
            <w:r w:rsidRPr="00FB7A6E">
              <w:t>; ACQ-7; exacerbations; rescue medication use; PEF; symptoms; health status</w:t>
            </w:r>
          </w:p>
        </w:tc>
      </w:tr>
      <w:tr w:rsidR="00DD254D" w:rsidRPr="00FB7A6E" w:rsidTr="00B061AA">
        <w:tc>
          <w:tcPr>
            <w:tcW w:w="988" w:type="dxa"/>
            <w:vAlign w:val="center"/>
          </w:tcPr>
          <w:p w:rsidR="00DD254D" w:rsidRPr="00FB7A6E" w:rsidRDefault="00DD254D" w:rsidP="00515192">
            <w:pPr>
              <w:pStyle w:val="TableText0"/>
              <w:keepNext w:val="0"/>
            </w:pPr>
            <w:r w:rsidRPr="00FB7A6E">
              <w:t>Clinical claim</w:t>
            </w:r>
          </w:p>
        </w:tc>
        <w:tc>
          <w:tcPr>
            <w:tcW w:w="8168" w:type="dxa"/>
            <w:vAlign w:val="center"/>
          </w:tcPr>
          <w:p w:rsidR="00DD254D" w:rsidRPr="00FB7A6E" w:rsidRDefault="00DD254D" w:rsidP="00515192">
            <w:pPr>
              <w:pStyle w:val="TableText0"/>
              <w:keepNext w:val="0"/>
            </w:pPr>
            <w:r w:rsidRPr="00FB7A6E">
              <w:t>MF/IND/GLY is non-inferior to salmeterol/fluticasone plus tiotropium in the treatment of patients with asthma who remain uncontrolled on LABA/ICS</w:t>
            </w:r>
          </w:p>
        </w:tc>
      </w:tr>
    </w:tbl>
    <w:p w:rsidR="00DD254D" w:rsidRPr="00FB7A6E" w:rsidRDefault="00DD254D" w:rsidP="00DD254D">
      <w:pPr>
        <w:pStyle w:val="TableFigureFooter"/>
      </w:pPr>
      <w:r w:rsidRPr="00FB7A6E">
        <w:t>Abbreviations: ACQ-7=Asthma Control Questionnaire; AQLQ=Asthma Quality of Life Questionnaire; DPI=dry powder inhaler; FDC=fixed dose combination; FEF</w:t>
      </w:r>
      <w:r w:rsidRPr="00FB7A6E">
        <w:rPr>
          <w:vertAlign w:val="subscript"/>
        </w:rPr>
        <w:t>25-75</w:t>
      </w:r>
      <w:r w:rsidRPr="00FB7A6E">
        <w:t>=forced expiratory flow; FEV1=forced expiratory volume in one second; FP=fluticasone propionate; FVC=forced vital capacity; GLY=glycopyrronium; ICS=inhaled corticosteroid; IND=indacaterol; LABA=long</w:t>
      </w:r>
      <w:r w:rsidR="009326C0" w:rsidRPr="00FB7A6E">
        <w:t>-</w:t>
      </w:r>
      <w:r w:rsidRPr="00FB7A6E">
        <w:t>acting beta2-adrenergic agonist; LAMA=long</w:t>
      </w:r>
      <w:r w:rsidR="009326C0" w:rsidRPr="00FB7A6E">
        <w:t>-</w:t>
      </w:r>
      <w:r w:rsidRPr="00FB7A6E">
        <w:t xml:space="preserve">acting muscarinic </w:t>
      </w:r>
      <w:r w:rsidR="009326C0" w:rsidRPr="00FB7A6E">
        <w:t xml:space="preserve">receptor </w:t>
      </w:r>
      <w:r w:rsidRPr="00FB7A6E">
        <w:t>antagonist; MF=mometasone furoate; PEF=peak expiratory flow; SAL=salmeterol; TIO=tiotropium;</w:t>
      </w:r>
    </w:p>
    <w:p w:rsidR="00DD254D" w:rsidRPr="00FB7A6E" w:rsidRDefault="00DD254D" w:rsidP="00DD254D">
      <w:pPr>
        <w:pStyle w:val="TableFigureFooter"/>
      </w:pPr>
      <w:r w:rsidRPr="00FB7A6E">
        <w:t>Source: Table 1.1, p20 of the submission.</w:t>
      </w:r>
    </w:p>
    <w:p w:rsidR="00DD254D" w:rsidRPr="00FB7A6E" w:rsidRDefault="00DD254D" w:rsidP="00DD254D">
      <w:pPr>
        <w:pStyle w:val="2-SectionHeading"/>
      </w:pPr>
      <w:bookmarkStart w:id="9" w:name="_Toc40870054"/>
      <w:r w:rsidRPr="00FB7A6E">
        <w:t>Background</w:t>
      </w:r>
      <w:bookmarkEnd w:id="9"/>
    </w:p>
    <w:p w:rsidR="00DD254D" w:rsidRPr="00FB7A6E" w:rsidRDefault="00DD254D" w:rsidP="00DD254D">
      <w:pPr>
        <w:pStyle w:val="4-SubsectionHeading"/>
      </w:pPr>
      <w:bookmarkStart w:id="10" w:name="_Toc22897638"/>
      <w:bookmarkStart w:id="11" w:name="_Toc40870055"/>
      <w:r w:rsidRPr="00FB7A6E">
        <w:t>Registration status</w:t>
      </w:r>
      <w:bookmarkEnd w:id="10"/>
      <w:bookmarkEnd w:id="11"/>
    </w:p>
    <w:p w:rsidR="009823C2" w:rsidRDefault="009823C2" w:rsidP="0075711B">
      <w:pPr>
        <w:pStyle w:val="3-BodyText"/>
      </w:pPr>
      <w:r>
        <w:t xml:space="preserve">TGA status at time of PBAC consideration: Not registered. </w:t>
      </w:r>
    </w:p>
    <w:p w:rsidR="00360911" w:rsidRPr="00307F68" w:rsidRDefault="00DD254D" w:rsidP="0075711B">
      <w:pPr>
        <w:pStyle w:val="3-BodyText"/>
      </w:pPr>
      <w:r w:rsidRPr="00307F68">
        <w:t xml:space="preserve">The submission was made under </w:t>
      </w:r>
      <w:r w:rsidR="008668C2">
        <w:t xml:space="preserve">the TGA/PBAC Parallel Process. </w:t>
      </w:r>
      <w:r w:rsidRPr="00307F68">
        <w:t>At the time of the evaluation</w:t>
      </w:r>
      <w:r w:rsidR="00353583" w:rsidRPr="00307F68">
        <w:t>,</w:t>
      </w:r>
      <w:r w:rsidRPr="00307F68">
        <w:t xml:space="preserve"> the TGA Clinical Evaluation Report</w:t>
      </w:r>
      <w:r w:rsidR="00951F01" w:rsidRPr="00307F68">
        <w:t xml:space="preserve"> (CER)</w:t>
      </w:r>
      <w:r w:rsidRPr="00307F68">
        <w:t xml:space="preserve"> </w:t>
      </w:r>
      <w:r w:rsidR="007566ED" w:rsidRPr="00307F68">
        <w:t xml:space="preserve">(round 1) </w:t>
      </w:r>
      <w:r w:rsidRPr="00307F68">
        <w:t>was available</w:t>
      </w:r>
      <w:r w:rsidR="00B772D8" w:rsidRPr="00307F68">
        <w:t xml:space="preserve">. </w:t>
      </w:r>
      <w:r w:rsidR="0075711B" w:rsidRPr="00307F68">
        <w:t xml:space="preserve">The TGA </w:t>
      </w:r>
      <w:r w:rsidR="00951F01" w:rsidRPr="00307F68">
        <w:t>CER</w:t>
      </w:r>
      <w:r w:rsidR="0075711B" w:rsidRPr="00307F68">
        <w:t xml:space="preserve"> (round 2) was received on 2 June 2020. </w:t>
      </w:r>
    </w:p>
    <w:p w:rsidR="00DD254D" w:rsidRPr="00FB7A6E" w:rsidRDefault="00DD254D" w:rsidP="00DD254D">
      <w:pPr>
        <w:pStyle w:val="3-BodyText"/>
      </w:pPr>
      <w:r w:rsidRPr="00FB7A6E">
        <w:t xml:space="preserve">The proposed TGA indication for MF/IND/GLY is: </w:t>
      </w:r>
    </w:p>
    <w:p w:rsidR="00DD254D" w:rsidRPr="00FB7A6E" w:rsidRDefault="00E64C40" w:rsidP="00DD254D">
      <w:pPr>
        <w:pStyle w:val="3-BodyText"/>
        <w:numPr>
          <w:ilvl w:val="0"/>
          <w:numId w:val="0"/>
        </w:numPr>
        <w:ind w:left="720"/>
      </w:pPr>
      <w:r>
        <w:t>‘</w:t>
      </w:r>
      <w:r w:rsidR="00DD254D" w:rsidRPr="00FB7A6E">
        <w:t>as a once-daily maintenance treatment of asthma, and to reduce asthma exacerbations, in adults not adequately controlled with a maintenance combination of a long-acting beta2-agonist and an inhaled corticosteroid.</w:t>
      </w:r>
      <w:r>
        <w:t>’</w:t>
      </w:r>
    </w:p>
    <w:p w:rsidR="007566ED" w:rsidRPr="00A07146" w:rsidRDefault="00DD254D" w:rsidP="00656DD0">
      <w:pPr>
        <w:pStyle w:val="3-BodyText"/>
      </w:pPr>
      <w:r w:rsidRPr="00A07146">
        <w:t xml:space="preserve">The pivotal </w:t>
      </w:r>
      <w:r w:rsidR="007566ED" w:rsidRPr="00A07146">
        <w:t xml:space="preserve">clinical evidence </w:t>
      </w:r>
      <w:r w:rsidRPr="00A07146">
        <w:t xml:space="preserve">in the TGA </w:t>
      </w:r>
      <w:r w:rsidR="00951F01">
        <w:t>CER</w:t>
      </w:r>
      <w:r w:rsidR="003B65F9" w:rsidRPr="00A07146">
        <w:t xml:space="preserve"> </w:t>
      </w:r>
      <w:r w:rsidR="0028050B" w:rsidRPr="00A07146">
        <w:t>round 1</w:t>
      </w:r>
      <w:r w:rsidRPr="00A07146">
        <w:t xml:space="preserve"> was the Iridium trial</w:t>
      </w:r>
      <w:r w:rsidR="003B65F9" w:rsidRPr="00A07146">
        <w:t xml:space="preserve"> (Clinical Study Report I, 26 week results only)</w:t>
      </w:r>
      <w:r w:rsidRPr="00A07146">
        <w:t xml:space="preserve">, comparing medium and high dose MF/IND/GLY to medium and high dose </w:t>
      </w:r>
      <w:r w:rsidR="002E53A0" w:rsidRPr="00A07146">
        <w:t>MF/IND</w:t>
      </w:r>
      <w:r w:rsidR="008668C2">
        <w:t xml:space="preserve">. </w:t>
      </w:r>
      <w:r w:rsidR="007566ED" w:rsidRPr="00A07146">
        <w:t xml:space="preserve">When the TGA dossier was submitted, results at 52 weeks (Iridium Clinical Study Report II) and results </w:t>
      </w:r>
      <w:r w:rsidR="00656DD0" w:rsidRPr="00A07146">
        <w:t>of the</w:t>
      </w:r>
      <w:r w:rsidR="007566ED" w:rsidRPr="00A07146">
        <w:t xml:space="preserve"> Argon trial, comparing medium and high dose MF/INF/GLY to high dose FP/SAL+TIO, were unavailable.</w:t>
      </w:r>
      <w:r w:rsidR="009831DB">
        <w:t xml:space="preserve"> </w:t>
      </w:r>
    </w:p>
    <w:p w:rsidR="006E52E4" w:rsidRPr="006E52E4" w:rsidRDefault="008333E4" w:rsidP="009831DB">
      <w:pPr>
        <w:pStyle w:val="3-BodyText"/>
        <w:rPr>
          <w:iCs/>
        </w:rPr>
      </w:pPr>
      <w:r w:rsidRPr="00A07146">
        <w:lastRenderedPageBreak/>
        <w:t>Based on 26</w:t>
      </w:r>
      <w:r w:rsidR="007A2C95" w:rsidRPr="00A07146">
        <w:t>-</w:t>
      </w:r>
      <w:r w:rsidRPr="00A07146">
        <w:t xml:space="preserve">week results in Iridium, the TGA evaluator </w:t>
      </w:r>
      <w:r w:rsidR="007566ED" w:rsidRPr="00A07146">
        <w:t xml:space="preserve">concluded </w:t>
      </w:r>
      <w:r w:rsidRPr="00A07146">
        <w:t xml:space="preserve">that </w:t>
      </w:r>
      <w:r w:rsidR="003B65F9" w:rsidRPr="00A07146">
        <w:t xml:space="preserve">‘the evidence to support the additional benefit of GLY on top of MF/IND … in patients whose </w:t>
      </w:r>
      <w:r w:rsidR="000D1954" w:rsidRPr="00A07146">
        <w:t>asthma was poorly controlled with medium and high dose LABA/ICS was not adequate with only modest improvements in trough FEV1 and no significant reduction in asthma exacerbations’.</w:t>
      </w:r>
      <w:r w:rsidR="008668C2">
        <w:t xml:space="preserve"> </w:t>
      </w:r>
      <w:r w:rsidRPr="00A07146">
        <w:t xml:space="preserve">Given this, </w:t>
      </w:r>
      <w:r w:rsidR="00A66997" w:rsidRPr="00A07146">
        <w:t xml:space="preserve">the TGA evaluator recommended </w:t>
      </w:r>
      <w:r w:rsidR="000D1954" w:rsidRPr="00A07146">
        <w:t>approval for marketing authorisation cannot be granted but the final decision could be taken after review of i) 52 week efficacy results in Iridium, and ii) results from the Argon trial</w:t>
      </w:r>
      <w:r w:rsidR="00DD254D" w:rsidRPr="00A07146">
        <w:t>.</w:t>
      </w:r>
      <w:r w:rsidR="00B772D8">
        <w:t xml:space="preserve"> </w:t>
      </w:r>
      <w:r w:rsidR="00DB0741" w:rsidRPr="00DB6C89">
        <w:t xml:space="preserve">The ESC noted that these data were provided in the TGA </w:t>
      </w:r>
      <w:r w:rsidR="00951F01" w:rsidRPr="00DB6C89">
        <w:t>CER</w:t>
      </w:r>
      <w:r w:rsidR="00DB0741" w:rsidRPr="00DB6C89">
        <w:t xml:space="preserve"> (round 2)</w:t>
      </w:r>
      <w:r w:rsidR="006E52E4">
        <w:t>.</w:t>
      </w:r>
    </w:p>
    <w:p w:rsidR="00DB0741" w:rsidRPr="006E52E4" w:rsidRDefault="006E52E4" w:rsidP="009831DB">
      <w:pPr>
        <w:pStyle w:val="3-BodyText"/>
        <w:rPr>
          <w:iCs/>
        </w:rPr>
      </w:pPr>
      <w:r w:rsidRPr="006E52E4">
        <w:rPr>
          <w:iCs/>
        </w:rPr>
        <w:t>The Pre-Sub-Committee Response (PSCR) stated that the MF/IND/GLY application had progressed through the registration process and a positive round 2 evaluation was issued by the TGA. The ESC noted that after reviewing the additional data provided in the TGA CER (round 2), the TGA evaluator (pp 100-101) recommended MF/IND/GLY be approved for the indi</w:t>
      </w:r>
      <w:r>
        <w:rPr>
          <w:iCs/>
        </w:rPr>
        <w:t>cation proposed in paragraph 2.3</w:t>
      </w:r>
      <w:r w:rsidRPr="006E52E4">
        <w:rPr>
          <w:iCs/>
        </w:rPr>
        <w:t>.</w:t>
      </w:r>
      <w:r w:rsidR="00DB0741" w:rsidRPr="006E52E4">
        <w:t xml:space="preserve"> </w:t>
      </w:r>
    </w:p>
    <w:p w:rsidR="00915086" w:rsidRPr="00360911" w:rsidRDefault="00915086" w:rsidP="00C7089B">
      <w:pPr>
        <w:pStyle w:val="3-BodyText"/>
      </w:pPr>
      <w:r w:rsidRPr="00360911">
        <w:t xml:space="preserve">The </w:t>
      </w:r>
      <w:r>
        <w:t>p</w:t>
      </w:r>
      <w:r w:rsidR="00162158">
        <w:t>re-PBAC response</w:t>
      </w:r>
      <w:r>
        <w:t xml:space="preserve"> </w:t>
      </w:r>
      <w:r w:rsidRPr="00360911">
        <w:t>included a TGA delegate file note (dated 18 June 2020)</w:t>
      </w:r>
      <w:r w:rsidR="00C7089B">
        <w:t xml:space="preserve">. The </w:t>
      </w:r>
      <w:r w:rsidR="00162158">
        <w:t xml:space="preserve">pre-PBAC response indicated that </w:t>
      </w:r>
      <w:r>
        <w:t>the conditions of TGA registration would include</w:t>
      </w:r>
      <w:r w:rsidRPr="00360911">
        <w:t xml:space="preserve"> changes to labelling and product information (PI),</w:t>
      </w:r>
      <w:r w:rsidR="00625FD9">
        <w:t xml:space="preserve"> such that the delivered dose would be</w:t>
      </w:r>
      <w:r w:rsidRPr="00360911">
        <w:t xml:space="preserve"> displayed rather than the metered dose</w:t>
      </w:r>
      <w:r>
        <w:t>, as follows</w:t>
      </w:r>
      <w:r w:rsidRPr="00360911">
        <w:t>:</w:t>
      </w:r>
    </w:p>
    <w:tbl>
      <w:tblPr>
        <w:tblStyle w:val="TableGrid"/>
        <w:tblW w:w="0" w:type="auto"/>
        <w:tblInd w:w="720" w:type="dxa"/>
        <w:tblLook w:val="04A0" w:firstRow="1" w:lastRow="0" w:firstColumn="1" w:lastColumn="0" w:noHBand="0" w:noVBand="1"/>
        <w:tblCaption w:val="Updated dosing information"/>
      </w:tblPr>
      <w:tblGrid>
        <w:gridCol w:w="4148"/>
        <w:gridCol w:w="4149"/>
      </w:tblGrid>
      <w:tr w:rsidR="00915086" w:rsidTr="00F352F3">
        <w:trPr>
          <w:tblHeader/>
        </w:trPr>
        <w:tc>
          <w:tcPr>
            <w:tcW w:w="4148" w:type="dxa"/>
          </w:tcPr>
          <w:p w:rsidR="00915086" w:rsidRPr="00A66643" w:rsidRDefault="00915086" w:rsidP="00F23B80">
            <w:pPr>
              <w:pStyle w:val="TableText0"/>
              <w:rPr>
                <w:b/>
              </w:rPr>
            </w:pPr>
            <w:r w:rsidRPr="00A66643">
              <w:rPr>
                <w:b/>
              </w:rPr>
              <w:t>Current labelled dose (MF/IND/GLY mcg)</w:t>
            </w:r>
          </w:p>
        </w:tc>
        <w:tc>
          <w:tcPr>
            <w:tcW w:w="4149" w:type="dxa"/>
          </w:tcPr>
          <w:p w:rsidR="00915086" w:rsidRPr="00A66643" w:rsidRDefault="00915086" w:rsidP="00F23B80">
            <w:pPr>
              <w:pStyle w:val="TableText0"/>
              <w:rPr>
                <w:b/>
              </w:rPr>
            </w:pPr>
            <w:r w:rsidRPr="00A66643">
              <w:rPr>
                <w:b/>
              </w:rPr>
              <w:t>Updated labelled dose</w:t>
            </w:r>
            <w:r>
              <w:rPr>
                <w:b/>
              </w:rPr>
              <w:t xml:space="preserve"> </w:t>
            </w:r>
            <w:r w:rsidRPr="00A66643">
              <w:rPr>
                <w:b/>
              </w:rPr>
              <w:t>(MF/IND/GLY mcg)</w:t>
            </w:r>
          </w:p>
        </w:tc>
      </w:tr>
      <w:tr w:rsidR="00915086" w:rsidTr="00C7089B">
        <w:tc>
          <w:tcPr>
            <w:tcW w:w="4148" w:type="dxa"/>
          </w:tcPr>
          <w:p w:rsidR="00915086" w:rsidRDefault="00915086" w:rsidP="00F23B80">
            <w:pPr>
              <w:pStyle w:val="TableText0"/>
            </w:pPr>
            <w:r w:rsidRPr="00A66643">
              <w:t>80/150/50</w:t>
            </w:r>
          </w:p>
        </w:tc>
        <w:tc>
          <w:tcPr>
            <w:tcW w:w="4149" w:type="dxa"/>
          </w:tcPr>
          <w:p w:rsidR="00915086" w:rsidRDefault="00915086" w:rsidP="00F23B80">
            <w:pPr>
              <w:pStyle w:val="TableText0"/>
            </w:pPr>
            <w:r>
              <w:t>68/114/46</w:t>
            </w:r>
          </w:p>
        </w:tc>
      </w:tr>
      <w:tr w:rsidR="00915086" w:rsidTr="00C7089B">
        <w:tc>
          <w:tcPr>
            <w:tcW w:w="4148" w:type="dxa"/>
          </w:tcPr>
          <w:p w:rsidR="00915086" w:rsidRDefault="00915086" w:rsidP="00F23B80">
            <w:pPr>
              <w:pStyle w:val="TableText0"/>
            </w:pPr>
            <w:r w:rsidRPr="00A66643">
              <w:t>160/150/50</w:t>
            </w:r>
          </w:p>
        </w:tc>
        <w:tc>
          <w:tcPr>
            <w:tcW w:w="4149" w:type="dxa"/>
          </w:tcPr>
          <w:p w:rsidR="00915086" w:rsidRDefault="00915086" w:rsidP="00F23B80">
            <w:pPr>
              <w:pStyle w:val="TableText0"/>
            </w:pPr>
            <w:r>
              <w:t>136/114/46</w:t>
            </w:r>
          </w:p>
        </w:tc>
      </w:tr>
    </w:tbl>
    <w:p w:rsidR="00C7089B" w:rsidRDefault="00C7089B" w:rsidP="0021570E">
      <w:pPr>
        <w:pStyle w:val="3-BodyText"/>
        <w:numPr>
          <w:ilvl w:val="0"/>
          <w:numId w:val="0"/>
        </w:numPr>
      </w:pPr>
    </w:p>
    <w:p w:rsidR="00915086" w:rsidRPr="00C7089B" w:rsidRDefault="00C7089B" w:rsidP="00C7089B">
      <w:pPr>
        <w:pStyle w:val="3-BodyText"/>
      </w:pPr>
      <w:r>
        <w:t xml:space="preserve">The </w:t>
      </w:r>
      <w:r w:rsidR="004448CC">
        <w:t xml:space="preserve">PBAC noted the </w:t>
      </w:r>
      <w:r w:rsidR="00DF6B19">
        <w:t xml:space="preserve">TGA delegate file note </w:t>
      </w:r>
      <w:r>
        <w:t>stated the submitted data indicated a positive benefit-risk profile for the high dose MF/IND/GLY for the pro</w:t>
      </w:r>
      <w:r w:rsidR="004448CC">
        <w:t>posed indication</w:t>
      </w:r>
      <w:r>
        <w:t>, but d</w:t>
      </w:r>
      <w:r w:rsidR="004448CC">
        <w:t>id not support the proposed use</w:t>
      </w:r>
      <w:r>
        <w:t xml:space="preserve"> of the medium dose MF/IND/GLY. </w:t>
      </w:r>
      <w:r w:rsidRPr="00C7089B">
        <w:t xml:space="preserve">The TGA </w:t>
      </w:r>
      <w:r>
        <w:t>advised</w:t>
      </w:r>
      <w:r w:rsidRPr="00C7089B">
        <w:t xml:space="preserve"> that the application would be considered at the August 2020 Advisory Committee on Medicines (ACM) meeting.</w:t>
      </w:r>
      <w:r>
        <w:t xml:space="preserve"> </w:t>
      </w:r>
    </w:p>
    <w:p w:rsidR="00DD254D" w:rsidRPr="00FB7A6E" w:rsidRDefault="00DD254D" w:rsidP="00AA21B5">
      <w:pPr>
        <w:pStyle w:val="4-SubsectionHeading"/>
      </w:pPr>
      <w:bookmarkStart w:id="12" w:name="_Toc22897639"/>
      <w:bookmarkStart w:id="13" w:name="_Toc40870056"/>
      <w:r w:rsidRPr="00FB7A6E">
        <w:t>Previous PBAC consideration</w:t>
      </w:r>
      <w:bookmarkEnd w:id="12"/>
      <w:bookmarkEnd w:id="13"/>
    </w:p>
    <w:p w:rsidR="00DD254D" w:rsidRPr="00DB6C89" w:rsidRDefault="00DD254D" w:rsidP="00DD254D">
      <w:pPr>
        <w:pStyle w:val="3-BodyText"/>
      </w:pPr>
      <w:r w:rsidRPr="00FB7A6E">
        <w:t>This is the first P</w:t>
      </w:r>
      <w:r w:rsidR="008668C2">
        <w:t xml:space="preserve">BAC submission for MF/IND/GLY. </w:t>
      </w:r>
      <w:r w:rsidR="000A60AB" w:rsidRPr="00FB7A6E">
        <w:t xml:space="preserve">None of the components </w:t>
      </w:r>
      <w:r w:rsidRPr="00FB7A6E">
        <w:t>are currently available on the PBS for asthma, either individual</w:t>
      </w:r>
      <w:r w:rsidR="008668C2">
        <w:t xml:space="preserve">ly or in combination products. </w:t>
      </w:r>
      <w:r w:rsidRPr="00FB7A6E">
        <w:t>The PBAC however, recommended MF delivered via</w:t>
      </w:r>
      <w:r w:rsidR="000A60AB" w:rsidRPr="00FB7A6E">
        <w:t xml:space="preserve"> a</w:t>
      </w:r>
      <w:r w:rsidRPr="00FB7A6E">
        <w:t xml:space="preserve"> </w:t>
      </w:r>
      <w:r w:rsidR="000A60AB" w:rsidRPr="00FB7A6E">
        <w:t>multi</w:t>
      </w:r>
      <w:r w:rsidR="00CB616D" w:rsidRPr="00FB7A6E">
        <w:t xml:space="preserve">dose </w:t>
      </w:r>
      <w:r w:rsidRPr="00FB7A6E">
        <w:t>DPI (Asmanex® Twisthaler®) for asthma in June 2002 (and July 2011) but the pro</w:t>
      </w:r>
      <w:r w:rsidR="008668C2">
        <w:t xml:space="preserve">duct was never listed. </w:t>
      </w:r>
      <w:r w:rsidRPr="00FB7A6E">
        <w:t>The PBAC considered:</w:t>
      </w:r>
    </w:p>
    <w:p w:rsidR="00DD254D" w:rsidRPr="00FB7A6E" w:rsidRDefault="00DD254D" w:rsidP="006831B2">
      <w:pPr>
        <w:pStyle w:val="3-BodyText"/>
        <w:numPr>
          <w:ilvl w:val="0"/>
          <w:numId w:val="5"/>
        </w:numPr>
      </w:pPr>
      <w:r w:rsidRPr="00FB7A6E">
        <w:t xml:space="preserve">MF 400 </w:t>
      </w:r>
      <w:r w:rsidRPr="00FB7A6E">
        <w:rPr>
          <w:rFonts w:cstheme="minorHAnsi"/>
        </w:rPr>
        <w:t>mc</w:t>
      </w:r>
      <w:r w:rsidRPr="00FB7A6E">
        <w:t xml:space="preserve">g once daily (or 200 </w:t>
      </w:r>
      <w:r w:rsidRPr="00FB7A6E">
        <w:rPr>
          <w:rFonts w:cstheme="minorHAnsi"/>
        </w:rPr>
        <w:t>mc</w:t>
      </w:r>
      <w:r w:rsidRPr="00FB7A6E">
        <w:t xml:space="preserve">g twice daily) </w:t>
      </w:r>
      <w:r w:rsidR="001D4EE4" w:rsidRPr="00FB7A6E">
        <w:t xml:space="preserve">is </w:t>
      </w:r>
      <w:r w:rsidRPr="00FB7A6E">
        <w:t xml:space="preserve">equi-effective to FP 250 </w:t>
      </w:r>
      <w:r w:rsidRPr="00FB7A6E">
        <w:rPr>
          <w:rFonts w:cstheme="minorHAnsi"/>
        </w:rPr>
        <w:t>mc</w:t>
      </w:r>
      <w:r w:rsidRPr="00FB7A6E">
        <w:t>g twice daily.</w:t>
      </w:r>
    </w:p>
    <w:p w:rsidR="00DD254D" w:rsidRPr="00FB7A6E" w:rsidRDefault="00DD254D" w:rsidP="006831B2">
      <w:pPr>
        <w:pStyle w:val="3-BodyText"/>
        <w:numPr>
          <w:ilvl w:val="0"/>
          <w:numId w:val="5"/>
        </w:numPr>
      </w:pPr>
      <w:r w:rsidRPr="00FB7A6E">
        <w:t xml:space="preserve">MF 400 </w:t>
      </w:r>
      <w:r w:rsidRPr="00FB7A6E">
        <w:rPr>
          <w:rFonts w:cstheme="minorHAnsi"/>
        </w:rPr>
        <w:t>mc</w:t>
      </w:r>
      <w:r w:rsidRPr="00FB7A6E">
        <w:t xml:space="preserve">g twice daily </w:t>
      </w:r>
      <w:r w:rsidR="001D4EE4" w:rsidRPr="00FB7A6E">
        <w:t xml:space="preserve">is </w:t>
      </w:r>
      <w:r w:rsidRPr="00FB7A6E">
        <w:t xml:space="preserve">equi-effective to FP 500 </w:t>
      </w:r>
      <w:r w:rsidRPr="00FB7A6E">
        <w:rPr>
          <w:rFonts w:cstheme="minorHAnsi"/>
        </w:rPr>
        <w:t>mc</w:t>
      </w:r>
      <w:r w:rsidRPr="00FB7A6E">
        <w:t>g twice daily.</w:t>
      </w:r>
    </w:p>
    <w:p w:rsidR="001D4EE4" w:rsidRPr="00A07146" w:rsidRDefault="001D4EE4" w:rsidP="00322542">
      <w:pPr>
        <w:pStyle w:val="3-BodyText"/>
      </w:pPr>
      <w:r w:rsidRPr="00A07146">
        <w:t xml:space="preserve">The PBAC Guidelines (v5) state it is preferable that the </w:t>
      </w:r>
      <w:r w:rsidR="00453CF1">
        <w:t xml:space="preserve">individual </w:t>
      </w:r>
      <w:r w:rsidRPr="00A07146">
        <w:t xml:space="preserve">components of FDCs are listed on the PBS, however this is less relevant for FDC inhalers for asthma given restrictions do not require patients to be stabilised </w:t>
      </w:r>
      <w:r w:rsidR="008A5055">
        <w:t>on the components prior to use.</w:t>
      </w:r>
      <w:r w:rsidRPr="00A07146">
        <w:t xml:space="preserve"> In the context of ICS/LABA FDCs, </w:t>
      </w:r>
      <w:r w:rsidR="004448CC">
        <w:t xml:space="preserve">in March 2014 </w:t>
      </w:r>
      <w:r w:rsidRPr="00A07146">
        <w:t xml:space="preserve">the PBAC considered </w:t>
      </w:r>
      <w:r w:rsidR="00322542" w:rsidRPr="00A07146">
        <w:t>‘</w:t>
      </w:r>
      <w:r w:rsidRPr="00A07146">
        <w:t xml:space="preserve">in view of significant clinical experience … and the availability of advice on switching from existing products… concerns regarding the availability of the FDC in the absence of the </w:t>
      </w:r>
      <w:r w:rsidRPr="00A07146">
        <w:lastRenderedPageBreak/>
        <w:t>components were addressed</w:t>
      </w:r>
      <w:r w:rsidR="00322542" w:rsidRPr="00A07146">
        <w:t>’</w:t>
      </w:r>
      <w:r w:rsidRPr="00A07146">
        <w:t xml:space="preserve"> (paragraph 6.23, fluticasone </w:t>
      </w:r>
      <w:r w:rsidR="008322EB" w:rsidRPr="00A07146">
        <w:t xml:space="preserve">furoate </w:t>
      </w:r>
      <w:r w:rsidR="009B2C42">
        <w:t xml:space="preserve">(FF) </w:t>
      </w:r>
      <w:r w:rsidRPr="00A07146">
        <w:t>with vilanterol</w:t>
      </w:r>
      <w:r w:rsidR="00363F3A" w:rsidRPr="00A07146">
        <w:t xml:space="preserve"> </w:t>
      </w:r>
      <w:r w:rsidR="009B2C42">
        <w:t xml:space="preserve">(VI) </w:t>
      </w:r>
      <w:r w:rsidR="00363F3A" w:rsidRPr="00A07146">
        <w:t>FDC,</w:t>
      </w:r>
      <w:r w:rsidRPr="00A07146">
        <w:t xml:space="preserve"> PSD March 201</w:t>
      </w:r>
      <w:r w:rsidR="002130B6" w:rsidRPr="00A07146">
        <w:t>4</w:t>
      </w:r>
      <w:r w:rsidRPr="00A07146">
        <w:t xml:space="preserve"> PBAC meeting).</w:t>
      </w:r>
    </w:p>
    <w:p w:rsidR="00DD254D" w:rsidRDefault="00E915D1" w:rsidP="001D4EE4">
      <w:pPr>
        <w:pStyle w:val="3-BodyText"/>
      </w:pPr>
      <w:r>
        <w:t>In a separate submission to the July 2020 PBAC meeting, t</w:t>
      </w:r>
      <w:r w:rsidR="00DD254D" w:rsidRPr="00FB7A6E">
        <w:t xml:space="preserve">he sponsor </w:t>
      </w:r>
      <w:r w:rsidR="000279A2">
        <w:t>requested</w:t>
      </w:r>
      <w:r w:rsidR="00DD254D" w:rsidRPr="00FB7A6E">
        <w:t xml:space="preserve"> PBS listing </w:t>
      </w:r>
      <w:r w:rsidR="00CB616D" w:rsidRPr="00FB7A6E">
        <w:t>for</w:t>
      </w:r>
      <w:r w:rsidR="00DD254D" w:rsidRPr="00FB7A6E">
        <w:t xml:space="preserve"> Atectura® </w:t>
      </w:r>
      <w:r w:rsidR="00CB616D" w:rsidRPr="00FB7A6E">
        <w:t xml:space="preserve">Breezhaler® </w:t>
      </w:r>
      <w:r w:rsidR="00DD254D" w:rsidRPr="00FB7A6E">
        <w:t>dry powder capsules for inhalation</w:t>
      </w:r>
      <w:r w:rsidR="004B67B3" w:rsidRPr="00FB7A6E">
        <w:t xml:space="preserve"> containing MF/IND</w:t>
      </w:r>
      <w:r w:rsidR="00DD254D" w:rsidRPr="00FB7A6E">
        <w:t xml:space="preserve"> </w:t>
      </w:r>
      <w:r w:rsidR="00CB616D" w:rsidRPr="00FB7A6E">
        <w:t xml:space="preserve">at the July 2020 meeting for asthma, which </w:t>
      </w:r>
      <w:r w:rsidR="00DD254D" w:rsidRPr="00FB7A6E">
        <w:t>contain the same</w:t>
      </w:r>
      <w:r w:rsidR="001D4EE4" w:rsidRPr="00FB7A6E">
        <w:t xml:space="preserve"> ICS and LABA</w:t>
      </w:r>
      <w:r w:rsidR="00DD254D" w:rsidRPr="00FB7A6E">
        <w:t xml:space="preserve"> components as Enerzair®</w:t>
      </w:r>
      <w:r w:rsidR="001D4EE4" w:rsidRPr="00FB7A6E">
        <w:t xml:space="preserve"> </w:t>
      </w:r>
      <w:r w:rsidR="00CB616D" w:rsidRPr="00FB7A6E">
        <w:t xml:space="preserve">Breezhaler® dry powder capsules </w:t>
      </w:r>
      <w:r w:rsidR="00DD254D" w:rsidRPr="00FB7A6E">
        <w:t xml:space="preserve">delivered </w:t>
      </w:r>
      <w:r w:rsidR="00CB616D" w:rsidRPr="00FB7A6E">
        <w:t xml:space="preserve">using the same </w:t>
      </w:r>
      <w:r w:rsidR="00DD254D" w:rsidRPr="00FB7A6E">
        <w:t>device.</w:t>
      </w:r>
      <w:r w:rsidR="008668C2">
        <w:t xml:space="preserve"> </w:t>
      </w:r>
      <w:r w:rsidR="00CB616D" w:rsidRPr="00FB7A6E">
        <w:t>In that submission, t</w:t>
      </w:r>
      <w:r w:rsidR="00F631B0" w:rsidRPr="00FB7A6E">
        <w:t xml:space="preserve">he </w:t>
      </w:r>
      <w:r w:rsidR="00CB616D" w:rsidRPr="00FB7A6E">
        <w:t xml:space="preserve">sponsor </w:t>
      </w:r>
      <w:r w:rsidR="000279A2">
        <w:t>requested</w:t>
      </w:r>
      <w:r w:rsidR="00CB616D" w:rsidRPr="00FB7A6E">
        <w:t xml:space="preserve"> low, medium and high dose MF/IND based on cost-minimisation to corresponding low, medium and high dose FP/SAL</w:t>
      </w:r>
      <w:r w:rsidR="00F631B0" w:rsidRPr="00FB7A6E">
        <w:t>.</w:t>
      </w:r>
    </w:p>
    <w:p w:rsidR="00366211" w:rsidRPr="00366211" w:rsidRDefault="00366211" w:rsidP="00366211">
      <w:pPr>
        <w:pStyle w:val="3-BodyText"/>
        <w:numPr>
          <w:ilvl w:val="0"/>
          <w:numId w:val="0"/>
        </w:numPr>
        <w:ind w:left="720"/>
        <w:rPr>
          <w:i/>
        </w:rPr>
      </w:pPr>
      <w:r w:rsidRPr="00366211">
        <w:rPr>
          <w:i/>
        </w:rPr>
        <w:t>For more detail on PBAC’s view, see section 7 PBAC outcome.</w:t>
      </w:r>
    </w:p>
    <w:p w:rsidR="00DD254D" w:rsidRDefault="00DD254D" w:rsidP="00DD254D">
      <w:pPr>
        <w:pStyle w:val="2-SectionHeading"/>
      </w:pPr>
      <w:bookmarkStart w:id="14" w:name="_Toc40870057"/>
      <w:r w:rsidRPr="00FB7A6E">
        <w:t>Requested listing</w:t>
      </w:r>
      <w:bookmarkEnd w:id="14"/>
    </w:p>
    <w:p w:rsidR="00DD254D" w:rsidRDefault="001D37A0" w:rsidP="00DD254D">
      <w:pPr>
        <w:pStyle w:val="3-BodyText"/>
      </w:pPr>
      <w:r w:rsidRPr="00DB4F68">
        <w:t xml:space="preserve">Suggestions and additions proposed by the Secretariat are added in italics and suggested deletions are crossed out with strikethrough. </w:t>
      </w:r>
    </w:p>
    <w:p w:rsidR="00903593" w:rsidRDefault="00903593">
      <w: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851"/>
        <w:gridCol w:w="709"/>
        <w:gridCol w:w="850"/>
        <w:gridCol w:w="567"/>
        <w:gridCol w:w="992"/>
        <w:gridCol w:w="1560"/>
      </w:tblGrid>
      <w:tr w:rsidR="000159F0" w:rsidRPr="006504EF" w:rsidTr="004874DB">
        <w:trPr>
          <w:cantSplit/>
          <w:trHeight w:val="471"/>
        </w:trPr>
        <w:tc>
          <w:tcPr>
            <w:tcW w:w="3397" w:type="dxa"/>
          </w:tcPr>
          <w:p w:rsidR="000159F0" w:rsidRPr="006504EF" w:rsidRDefault="000159F0" w:rsidP="009A4524">
            <w:pPr>
              <w:keepNext/>
              <w:ind w:left="108"/>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lastRenderedPageBreak/>
              <w:t>Name, Restriction,</w:t>
            </w:r>
          </w:p>
          <w:p w:rsidR="000159F0" w:rsidRPr="006504EF" w:rsidRDefault="000159F0" w:rsidP="009A4524">
            <w:pPr>
              <w:keepNext/>
              <w:ind w:left="108"/>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t>Manner of administration and form</w:t>
            </w:r>
          </w:p>
        </w:tc>
        <w:tc>
          <w:tcPr>
            <w:tcW w:w="851" w:type="dxa"/>
          </w:tcPr>
          <w:p w:rsidR="000159F0" w:rsidRPr="006504EF" w:rsidRDefault="000159F0" w:rsidP="008D35DA">
            <w:pPr>
              <w:keepNext/>
              <w:ind w:left="-108"/>
              <w:jc w:val="center"/>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t>PBS item code</w:t>
            </w:r>
          </w:p>
        </w:tc>
        <w:tc>
          <w:tcPr>
            <w:tcW w:w="709" w:type="dxa"/>
          </w:tcPr>
          <w:p w:rsidR="000159F0" w:rsidRPr="006504EF" w:rsidRDefault="000159F0" w:rsidP="008D35DA">
            <w:pPr>
              <w:keepNext/>
              <w:ind w:left="-108"/>
              <w:jc w:val="center"/>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t>Max. qty packs</w:t>
            </w:r>
          </w:p>
        </w:tc>
        <w:tc>
          <w:tcPr>
            <w:tcW w:w="850" w:type="dxa"/>
          </w:tcPr>
          <w:p w:rsidR="000159F0" w:rsidRPr="006504EF" w:rsidRDefault="000159F0" w:rsidP="008D35DA">
            <w:pPr>
              <w:keepNext/>
              <w:ind w:left="-108"/>
              <w:jc w:val="center"/>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t>Max. qty units</w:t>
            </w:r>
          </w:p>
        </w:tc>
        <w:tc>
          <w:tcPr>
            <w:tcW w:w="567" w:type="dxa"/>
          </w:tcPr>
          <w:p w:rsidR="000159F0" w:rsidRPr="006504EF" w:rsidRDefault="000159F0" w:rsidP="008D35DA">
            <w:pPr>
              <w:keepNext/>
              <w:ind w:left="-108"/>
              <w:jc w:val="center"/>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t>№.of</w:t>
            </w:r>
          </w:p>
          <w:p w:rsidR="000159F0" w:rsidRPr="006504EF" w:rsidRDefault="000159F0" w:rsidP="008D35DA">
            <w:pPr>
              <w:keepNext/>
              <w:ind w:left="-108"/>
              <w:jc w:val="center"/>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t>Rpts</w:t>
            </w:r>
          </w:p>
        </w:tc>
        <w:tc>
          <w:tcPr>
            <w:tcW w:w="992" w:type="dxa"/>
          </w:tcPr>
          <w:p w:rsidR="000159F0" w:rsidRPr="006504EF" w:rsidRDefault="000159F0" w:rsidP="008D35DA">
            <w:pPr>
              <w:keepNext/>
              <w:jc w:val="left"/>
              <w:rPr>
                <w:rFonts w:ascii="Arial Narrow" w:eastAsia="Calibri" w:hAnsi="Arial Narrow"/>
                <w:b/>
                <w:color w:val="000000"/>
                <w:sz w:val="18"/>
                <w:szCs w:val="18"/>
                <w:lang w:eastAsia="en-US"/>
              </w:rPr>
            </w:pPr>
            <w:r>
              <w:rPr>
                <w:rFonts w:ascii="Arial Narrow" w:eastAsia="Calibri" w:hAnsi="Arial Narrow"/>
                <w:b/>
                <w:color w:val="000000"/>
                <w:sz w:val="18"/>
                <w:szCs w:val="18"/>
                <w:lang w:eastAsia="en-US"/>
              </w:rPr>
              <w:t>Dispensed Price for Max. Qty</w:t>
            </w:r>
          </w:p>
        </w:tc>
        <w:tc>
          <w:tcPr>
            <w:tcW w:w="1560" w:type="dxa"/>
          </w:tcPr>
          <w:p w:rsidR="000159F0" w:rsidRPr="006504EF" w:rsidRDefault="004874DB" w:rsidP="008D35DA">
            <w:pPr>
              <w:keepNext/>
              <w:jc w:val="left"/>
              <w:rPr>
                <w:rFonts w:ascii="Arial Narrow" w:eastAsia="Calibri" w:hAnsi="Arial Narrow"/>
                <w:b/>
                <w:color w:val="000000"/>
                <w:sz w:val="18"/>
                <w:szCs w:val="18"/>
                <w:lang w:val="fr-FR" w:eastAsia="en-US"/>
              </w:rPr>
            </w:pPr>
            <w:r>
              <w:rPr>
                <w:rFonts w:ascii="Arial Narrow" w:eastAsia="Calibri" w:hAnsi="Arial Narrow"/>
                <w:b/>
                <w:color w:val="000000"/>
                <w:sz w:val="18"/>
                <w:szCs w:val="18"/>
                <w:lang w:eastAsia="en-US"/>
              </w:rPr>
              <w:t>Available brands</w:t>
            </w:r>
          </w:p>
        </w:tc>
      </w:tr>
      <w:tr w:rsidR="004874DB" w:rsidRPr="006504EF" w:rsidTr="004874DB">
        <w:trPr>
          <w:cantSplit/>
          <w:trHeight w:val="761"/>
        </w:trPr>
        <w:tc>
          <w:tcPr>
            <w:tcW w:w="3397" w:type="dxa"/>
          </w:tcPr>
          <w:p w:rsidR="004874DB" w:rsidRPr="006504EF" w:rsidRDefault="004874DB" w:rsidP="000159F0">
            <w:pPr>
              <w:keepNext/>
              <w:ind w:left="108"/>
              <w:jc w:val="left"/>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 xml:space="preserve">INDACATEROL  + GLYCOPYRRONIUM  + MOMETASONE </w:t>
            </w:r>
          </w:p>
          <w:p w:rsidR="004874DB" w:rsidRPr="006504EF" w:rsidRDefault="004874DB" w:rsidP="000159F0">
            <w:pPr>
              <w:keepNext/>
              <w:ind w:left="108"/>
              <w:rPr>
                <w:rFonts w:ascii="Arial Narrow" w:eastAsia="Calibri" w:hAnsi="Arial Narrow"/>
                <w:color w:val="000000"/>
                <w:sz w:val="18"/>
                <w:szCs w:val="18"/>
                <w:lang w:eastAsia="en-US"/>
              </w:rPr>
            </w:pPr>
          </w:p>
          <w:p w:rsidR="004874DB" w:rsidRPr="006504EF" w:rsidRDefault="004874DB" w:rsidP="000159F0">
            <w:pPr>
              <w:keepNext/>
              <w:ind w:left="108"/>
              <w:jc w:val="left"/>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 xml:space="preserve">indacaterol </w:t>
            </w:r>
            <w:r w:rsidRPr="00BB6690">
              <w:rPr>
                <w:rFonts w:ascii="Arial Narrow" w:eastAsia="Calibri" w:hAnsi="Arial Narrow"/>
                <w:strike/>
                <w:color w:val="000000"/>
                <w:sz w:val="18"/>
                <w:szCs w:val="18"/>
                <w:lang w:eastAsia="en-US"/>
              </w:rPr>
              <w:t>150</w:t>
            </w:r>
            <w:r w:rsidRPr="006504EF">
              <w:rPr>
                <w:rFonts w:ascii="Arial Narrow" w:eastAsia="Calibri" w:hAnsi="Arial Narrow"/>
                <w:color w:val="000000"/>
                <w:sz w:val="18"/>
                <w:szCs w:val="18"/>
                <w:lang w:eastAsia="en-US"/>
              </w:rPr>
              <w:t xml:space="preserve"> </w:t>
            </w:r>
            <w:r>
              <w:rPr>
                <w:rFonts w:ascii="Arial Narrow" w:eastAsia="Calibri" w:hAnsi="Arial Narrow"/>
                <w:color w:val="000000"/>
                <w:sz w:val="18"/>
                <w:szCs w:val="18"/>
                <w:lang w:eastAsia="en-US"/>
              </w:rPr>
              <w:t xml:space="preserve">114 </w:t>
            </w:r>
            <w:r w:rsidRPr="006504EF">
              <w:rPr>
                <w:rFonts w:ascii="Arial Narrow" w:eastAsia="Calibri" w:hAnsi="Arial Narrow"/>
                <w:color w:val="000000"/>
                <w:sz w:val="18"/>
                <w:szCs w:val="18"/>
                <w:lang w:eastAsia="en-US"/>
              </w:rPr>
              <w:t xml:space="preserve">microgram + glycopyrronium </w:t>
            </w:r>
            <w:r w:rsidRPr="00BB6690">
              <w:rPr>
                <w:rFonts w:ascii="Arial Narrow" w:eastAsia="Calibri" w:hAnsi="Arial Narrow"/>
                <w:strike/>
                <w:color w:val="000000"/>
                <w:sz w:val="18"/>
                <w:szCs w:val="18"/>
                <w:lang w:eastAsia="en-US"/>
              </w:rPr>
              <w:t>50</w:t>
            </w:r>
            <w:r w:rsidRPr="006504EF">
              <w:rPr>
                <w:rFonts w:ascii="Arial Narrow" w:eastAsia="Calibri" w:hAnsi="Arial Narrow"/>
                <w:color w:val="000000"/>
                <w:sz w:val="18"/>
                <w:szCs w:val="18"/>
                <w:lang w:eastAsia="en-US"/>
              </w:rPr>
              <w:t xml:space="preserve"> </w:t>
            </w:r>
            <w:r>
              <w:rPr>
                <w:rFonts w:ascii="Arial Narrow" w:eastAsia="Calibri" w:hAnsi="Arial Narrow"/>
                <w:color w:val="000000"/>
                <w:sz w:val="18"/>
                <w:szCs w:val="18"/>
                <w:lang w:eastAsia="en-US"/>
              </w:rPr>
              <w:t xml:space="preserve">46 </w:t>
            </w:r>
            <w:r w:rsidRPr="006504EF">
              <w:rPr>
                <w:rFonts w:ascii="Arial Narrow" w:eastAsia="Calibri" w:hAnsi="Arial Narrow"/>
                <w:color w:val="000000"/>
                <w:sz w:val="18"/>
                <w:szCs w:val="18"/>
                <w:lang w:eastAsia="en-US"/>
              </w:rPr>
              <w:t xml:space="preserve">microgram + mometasone furoate </w:t>
            </w:r>
            <w:r w:rsidRPr="00BB6690">
              <w:rPr>
                <w:rFonts w:ascii="Arial Narrow" w:eastAsia="Calibri" w:hAnsi="Arial Narrow"/>
                <w:strike/>
                <w:color w:val="000000"/>
                <w:sz w:val="18"/>
                <w:szCs w:val="18"/>
                <w:lang w:eastAsia="en-US"/>
              </w:rPr>
              <w:t>80</w:t>
            </w:r>
            <w:r w:rsidRPr="006504EF">
              <w:rPr>
                <w:rFonts w:ascii="Arial Narrow" w:eastAsia="Calibri" w:hAnsi="Arial Narrow"/>
                <w:color w:val="000000"/>
                <w:sz w:val="18"/>
                <w:szCs w:val="18"/>
                <w:lang w:eastAsia="en-US"/>
              </w:rPr>
              <w:t xml:space="preserve"> </w:t>
            </w:r>
            <w:r>
              <w:rPr>
                <w:rFonts w:ascii="Arial Narrow" w:eastAsia="Calibri" w:hAnsi="Arial Narrow"/>
                <w:color w:val="000000"/>
                <w:sz w:val="18"/>
                <w:szCs w:val="18"/>
                <w:lang w:eastAsia="en-US"/>
              </w:rPr>
              <w:t xml:space="preserve">68 </w:t>
            </w:r>
            <w:r w:rsidRPr="006504EF">
              <w:rPr>
                <w:rFonts w:ascii="Arial Narrow" w:eastAsia="Calibri" w:hAnsi="Arial Narrow"/>
                <w:color w:val="000000"/>
                <w:sz w:val="18"/>
                <w:szCs w:val="18"/>
                <w:lang w:eastAsia="en-US"/>
              </w:rPr>
              <w:t>microgram, powder for inhalation, 30 capsules</w:t>
            </w:r>
          </w:p>
        </w:tc>
        <w:tc>
          <w:tcPr>
            <w:tcW w:w="851" w:type="dxa"/>
          </w:tcPr>
          <w:p w:rsidR="004874DB" w:rsidRPr="006504EF" w:rsidRDefault="004874DB" w:rsidP="000159F0">
            <w:pPr>
              <w:keepNext/>
              <w:ind w:left="-108"/>
              <w:jc w:val="center"/>
              <w:rPr>
                <w:rFonts w:ascii="Arial Narrow" w:eastAsia="Calibri" w:hAnsi="Arial Narrow"/>
                <w:color w:val="000000"/>
                <w:sz w:val="18"/>
                <w:szCs w:val="18"/>
                <w:lang w:eastAsia="en-US"/>
              </w:rPr>
            </w:pPr>
          </w:p>
          <w:p w:rsidR="004874DB" w:rsidRPr="006504EF" w:rsidRDefault="004874DB" w:rsidP="000159F0">
            <w:pPr>
              <w:keepNext/>
              <w:ind w:left="-108"/>
              <w:jc w:val="center"/>
              <w:rPr>
                <w:rFonts w:ascii="Arial Narrow" w:eastAsia="Calibri" w:hAnsi="Arial Narrow"/>
                <w:color w:val="000000"/>
                <w:sz w:val="18"/>
                <w:szCs w:val="18"/>
                <w:lang w:eastAsia="en-US"/>
              </w:rPr>
            </w:pPr>
          </w:p>
          <w:p w:rsidR="004874DB" w:rsidRPr="006504EF" w:rsidRDefault="004874DB" w:rsidP="000159F0">
            <w:pPr>
              <w:keepNext/>
              <w:ind w:left="-108"/>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NEW</w:t>
            </w:r>
          </w:p>
        </w:tc>
        <w:tc>
          <w:tcPr>
            <w:tcW w:w="709" w:type="dxa"/>
          </w:tcPr>
          <w:p w:rsidR="004874DB" w:rsidRPr="006504EF" w:rsidRDefault="004874DB" w:rsidP="000159F0">
            <w:pPr>
              <w:keepNext/>
              <w:jc w:val="center"/>
              <w:rPr>
                <w:rFonts w:ascii="Arial Narrow" w:eastAsia="Calibri" w:hAnsi="Arial Narrow"/>
                <w:color w:val="000000"/>
                <w:sz w:val="18"/>
                <w:szCs w:val="18"/>
                <w:lang w:eastAsia="en-US"/>
              </w:rPr>
            </w:pPr>
          </w:p>
          <w:p w:rsidR="004874DB" w:rsidRPr="006504EF" w:rsidRDefault="004874DB" w:rsidP="000159F0">
            <w:pPr>
              <w:keepNext/>
              <w:ind w:left="-108"/>
              <w:jc w:val="center"/>
              <w:rPr>
                <w:rFonts w:ascii="Arial Narrow" w:eastAsia="Calibri" w:hAnsi="Arial Narrow"/>
                <w:color w:val="000000"/>
                <w:sz w:val="18"/>
                <w:szCs w:val="18"/>
                <w:lang w:eastAsia="en-US"/>
              </w:rPr>
            </w:pPr>
          </w:p>
          <w:p w:rsidR="004874DB" w:rsidRPr="006504EF" w:rsidRDefault="004874DB" w:rsidP="000159F0">
            <w:pPr>
              <w:keepNext/>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1</w:t>
            </w:r>
          </w:p>
        </w:tc>
        <w:tc>
          <w:tcPr>
            <w:tcW w:w="850" w:type="dxa"/>
          </w:tcPr>
          <w:p w:rsidR="004874DB" w:rsidRPr="006504EF" w:rsidRDefault="004874DB" w:rsidP="000159F0">
            <w:pPr>
              <w:keepNext/>
              <w:ind w:left="-108"/>
              <w:jc w:val="center"/>
              <w:rPr>
                <w:rFonts w:ascii="Arial Narrow" w:eastAsia="Calibri" w:hAnsi="Arial Narrow"/>
                <w:color w:val="000000"/>
                <w:sz w:val="18"/>
                <w:szCs w:val="18"/>
                <w:lang w:eastAsia="en-US"/>
              </w:rPr>
            </w:pPr>
          </w:p>
          <w:p w:rsidR="004874DB" w:rsidRPr="006504EF" w:rsidRDefault="004874DB" w:rsidP="000159F0">
            <w:pPr>
              <w:keepNext/>
              <w:jc w:val="left"/>
              <w:rPr>
                <w:rFonts w:ascii="Arial Narrow" w:eastAsia="Calibri" w:hAnsi="Arial Narrow"/>
                <w:color w:val="000000"/>
                <w:sz w:val="18"/>
                <w:szCs w:val="18"/>
                <w:lang w:eastAsia="en-US"/>
              </w:rPr>
            </w:pPr>
          </w:p>
          <w:p w:rsidR="004874DB" w:rsidRPr="006504EF" w:rsidRDefault="004874DB" w:rsidP="000159F0">
            <w:pPr>
              <w:keepNext/>
              <w:ind w:left="-108"/>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30</w:t>
            </w:r>
          </w:p>
        </w:tc>
        <w:tc>
          <w:tcPr>
            <w:tcW w:w="567" w:type="dxa"/>
          </w:tcPr>
          <w:p w:rsidR="004874DB" w:rsidRPr="006504EF" w:rsidRDefault="004874DB" w:rsidP="000159F0">
            <w:pPr>
              <w:keepNext/>
              <w:ind w:left="-108"/>
              <w:jc w:val="center"/>
              <w:rPr>
                <w:rFonts w:ascii="Arial Narrow" w:eastAsia="Calibri" w:hAnsi="Arial Narrow"/>
                <w:color w:val="000000"/>
                <w:sz w:val="18"/>
                <w:szCs w:val="18"/>
                <w:lang w:eastAsia="en-US"/>
              </w:rPr>
            </w:pPr>
          </w:p>
          <w:p w:rsidR="004874DB" w:rsidRPr="006504EF" w:rsidRDefault="004874DB" w:rsidP="000159F0">
            <w:pPr>
              <w:keepNext/>
              <w:ind w:left="-108"/>
              <w:jc w:val="center"/>
              <w:rPr>
                <w:rFonts w:ascii="Arial Narrow" w:eastAsia="Calibri" w:hAnsi="Arial Narrow"/>
                <w:color w:val="000000"/>
                <w:sz w:val="18"/>
                <w:szCs w:val="18"/>
                <w:lang w:eastAsia="en-US"/>
              </w:rPr>
            </w:pPr>
          </w:p>
          <w:p w:rsidR="004874DB" w:rsidRPr="006504EF" w:rsidRDefault="004874DB" w:rsidP="000159F0">
            <w:pPr>
              <w:keepNext/>
              <w:ind w:left="-108"/>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5</w:t>
            </w:r>
          </w:p>
          <w:p w:rsidR="004874DB" w:rsidRPr="006504EF" w:rsidRDefault="004874DB" w:rsidP="000159F0">
            <w:pPr>
              <w:keepNext/>
              <w:jc w:val="left"/>
              <w:rPr>
                <w:rFonts w:ascii="Arial Narrow" w:eastAsia="Calibri" w:hAnsi="Arial Narrow"/>
                <w:color w:val="000000"/>
                <w:sz w:val="18"/>
                <w:szCs w:val="18"/>
                <w:lang w:eastAsia="en-US"/>
              </w:rPr>
            </w:pPr>
          </w:p>
        </w:tc>
        <w:tc>
          <w:tcPr>
            <w:tcW w:w="992" w:type="dxa"/>
            <w:vAlign w:val="center"/>
          </w:tcPr>
          <w:p w:rsidR="004874DB" w:rsidRPr="006504EF" w:rsidRDefault="004874DB" w:rsidP="000159F0">
            <w:pPr>
              <w:keepNext/>
              <w:rPr>
                <w:rFonts w:ascii="Arial Narrow" w:eastAsia="Calibri" w:hAnsi="Arial Narrow"/>
                <w:color w:val="000000"/>
                <w:sz w:val="18"/>
                <w:szCs w:val="18"/>
                <w:lang w:eastAsia="en-US"/>
              </w:rPr>
            </w:pPr>
            <w:r w:rsidRPr="00FB7A6E">
              <w:rPr>
                <w:rFonts w:ascii="Arial Narrow" w:hAnsi="Arial Narrow"/>
                <w:sz w:val="20"/>
              </w:rPr>
              <w:t>$97.50</w:t>
            </w:r>
          </w:p>
        </w:tc>
        <w:tc>
          <w:tcPr>
            <w:tcW w:w="1560" w:type="dxa"/>
          </w:tcPr>
          <w:p w:rsidR="004874DB" w:rsidRPr="006504EF" w:rsidRDefault="004874DB" w:rsidP="000159F0">
            <w:pPr>
              <w:keepNext/>
              <w:rPr>
                <w:rFonts w:ascii="Arial Narrow" w:eastAsia="Calibri" w:hAnsi="Arial Narrow"/>
                <w:color w:val="000000"/>
                <w:sz w:val="18"/>
                <w:szCs w:val="18"/>
                <w:lang w:eastAsia="en-US"/>
              </w:rPr>
            </w:pPr>
          </w:p>
          <w:p w:rsidR="004874DB" w:rsidRPr="006504EF" w:rsidRDefault="004874DB" w:rsidP="000159F0">
            <w:pPr>
              <w:keepNext/>
              <w:rPr>
                <w:rFonts w:ascii="Arial Narrow" w:eastAsia="Calibri" w:hAnsi="Arial Narrow"/>
                <w:color w:val="000000"/>
                <w:sz w:val="18"/>
                <w:szCs w:val="18"/>
                <w:lang w:eastAsia="en-US"/>
              </w:rPr>
            </w:pPr>
          </w:p>
          <w:p w:rsidR="004874DB" w:rsidRDefault="004874DB" w:rsidP="000159F0">
            <w:pPr>
              <w:keepNext/>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 xml:space="preserve">Enerzair Breezhaler </w:t>
            </w:r>
            <w:r>
              <w:rPr>
                <w:rFonts w:ascii="Arial Narrow" w:eastAsia="Calibri" w:hAnsi="Arial Narrow"/>
                <w:color w:val="000000"/>
                <w:sz w:val="18"/>
                <w:szCs w:val="18"/>
                <w:lang w:eastAsia="en-US"/>
              </w:rPr>
              <w:t>114/46/68</w:t>
            </w:r>
          </w:p>
          <w:p w:rsidR="004874DB" w:rsidRPr="00BB6690" w:rsidRDefault="004874DB" w:rsidP="000159F0">
            <w:pPr>
              <w:keepNext/>
              <w:rPr>
                <w:rFonts w:ascii="Arial Narrow" w:eastAsia="Calibri" w:hAnsi="Arial Narrow"/>
                <w:strike/>
                <w:color w:val="000000"/>
                <w:sz w:val="18"/>
                <w:szCs w:val="18"/>
                <w:lang w:eastAsia="en-US"/>
              </w:rPr>
            </w:pPr>
            <w:r w:rsidRPr="00BB6690">
              <w:rPr>
                <w:rFonts w:ascii="Arial Narrow" w:eastAsia="Calibri" w:hAnsi="Arial Narrow"/>
                <w:strike/>
                <w:color w:val="000000"/>
                <w:sz w:val="18"/>
                <w:szCs w:val="18"/>
                <w:lang w:eastAsia="en-US"/>
              </w:rPr>
              <w:t>150/50/80</w:t>
            </w:r>
          </w:p>
          <w:p w:rsidR="004874DB" w:rsidRPr="006504EF" w:rsidRDefault="004874DB" w:rsidP="000159F0">
            <w:pPr>
              <w:keepNext/>
              <w:jc w:val="left"/>
              <w:rPr>
                <w:rFonts w:ascii="Arial Narrow" w:eastAsia="Calibri" w:hAnsi="Arial Narrow"/>
                <w:color w:val="000000"/>
                <w:sz w:val="18"/>
                <w:szCs w:val="18"/>
                <w:lang w:eastAsia="en-US"/>
              </w:rPr>
            </w:pPr>
          </w:p>
        </w:tc>
      </w:tr>
      <w:tr w:rsidR="004874DB" w:rsidRPr="006504EF" w:rsidTr="004874DB">
        <w:trPr>
          <w:cantSplit/>
          <w:trHeight w:val="347"/>
        </w:trPr>
        <w:tc>
          <w:tcPr>
            <w:tcW w:w="3397" w:type="dxa"/>
          </w:tcPr>
          <w:p w:rsidR="004874DB" w:rsidRPr="006504EF" w:rsidRDefault="004874DB" w:rsidP="000159F0">
            <w:pPr>
              <w:keepNext/>
              <w:ind w:left="108"/>
              <w:jc w:val="left"/>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 xml:space="preserve">indacaterol </w:t>
            </w:r>
            <w:r w:rsidRPr="00BB6690">
              <w:rPr>
                <w:rFonts w:ascii="Arial Narrow" w:eastAsia="Calibri" w:hAnsi="Arial Narrow"/>
                <w:strike/>
                <w:color w:val="000000"/>
                <w:sz w:val="18"/>
                <w:szCs w:val="18"/>
                <w:lang w:eastAsia="en-US"/>
              </w:rPr>
              <w:t>150</w:t>
            </w:r>
            <w:r>
              <w:rPr>
                <w:rFonts w:ascii="Arial Narrow" w:eastAsia="Calibri" w:hAnsi="Arial Narrow"/>
                <w:color w:val="000000"/>
                <w:sz w:val="18"/>
                <w:szCs w:val="18"/>
                <w:lang w:eastAsia="en-US"/>
              </w:rPr>
              <w:t xml:space="preserve"> 114</w:t>
            </w:r>
            <w:r w:rsidRPr="003F284A">
              <w:rPr>
                <w:rFonts w:ascii="Arial Narrow" w:eastAsia="Calibri" w:hAnsi="Arial Narrow"/>
                <w:color w:val="000000"/>
                <w:sz w:val="18"/>
                <w:szCs w:val="18"/>
                <w:lang w:eastAsia="en-US"/>
              </w:rPr>
              <w:t xml:space="preserve"> </w:t>
            </w:r>
            <w:r w:rsidRPr="006504EF">
              <w:rPr>
                <w:rFonts w:ascii="Arial Narrow" w:eastAsia="Calibri" w:hAnsi="Arial Narrow"/>
                <w:color w:val="000000"/>
                <w:sz w:val="18"/>
                <w:szCs w:val="18"/>
                <w:lang w:eastAsia="en-US"/>
              </w:rPr>
              <w:t xml:space="preserve"> microgram + glycopyrronium </w:t>
            </w:r>
            <w:r w:rsidRPr="00BB6690">
              <w:rPr>
                <w:rFonts w:ascii="Arial Narrow" w:eastAsia="Calibri" w:hAnsi="Arial Narrow"/>
                <w:strike/>
                <w:color w:val="000000"/>
                <w:sz w:val="18"/>
                <w:szCs w:val="18"/>
                <w:lang w:eastAsia="en-US"/>
              </w:rPr>
              <w:t>50</w:t>
            </w:r>
            <w:r w:rsidRPr="006504EF">
              <w:rPr>
                <w:rFonts w:ascii="Arial Narrow" w:eastAsia="Calibri" w:hAnsi="Arial Narrow"/>
                <w:color w:val="000000"/>
                <w:sz w:val="18"/>
                <w:szCs w:val="18"/>
                <w:lang w:eastAsia="en-US"/>
              </w:rPr>
              <w:t xml:space="preserve"> </w:t>
            </w:r>
            <w:r>
              <w:rPr>
                <w:rFonts w:ascii="Arial Narrow" w:eastAsia="Calibri" w:hAnsi="Arial Narrow"/>
                <w:color w:val="000000"/>
                <w:sz w:val="18"/>
                <w:szCs w:val="18"/>
                <w:lang w:eastAsia="en-US"/>
              </w:rPr>
              <w:t xml:space="preserve">46 </w:t>
            </w:r>
            <w:r w:rsidRPr="006504EF">
              <w:rPr>
                <w:rFonts w:ascii="Arial Narrow" w:eastAsia="Calibri" w:hAnsi="Arial Narrow"/>
                <w:color w:val="000000"/>
                <w:sz w:val="18"/>
                <w:szCs w:val="18"/>
                <w:lang w:eastAsia="en-US"/>
              </w:rPr>
              <w:t xml:space="preserve">microgram + mometasone furoate </w:t>
            </w:r>
            <w:r w:rsidRPr="00BB6690">
              <w:rPr>
                <w:rFonts w:ascii="Arial Narrow" w:eastAsia="Calibri" w:hAnsi="Arial Narrow"/>
                <w:strike/>
                <w:color w:val="000000"/>
                <w:sz w:val="18"/>
                <w:szCs w:val="18"/>
                <w:lang w:eastAsia="en-US"/>
              </w:rPr>
              <w:t>160</w:t>
            </w:r>
            <w:r w:rsidRPr="006504EF">
              <w:rPr>
                <w:rFonts w:ascii="Arial Narrow" w:eastAsia="Calibri" w:hAnsi="Arial Narrow"/>
                <w:color w:val="000000"/>
                <w:sz w:val="18"/>
                <w:szCs w:val="18"/>
                <w:lang w:eastAsia="en-US"/>
              </w:rPr>
              <w:t xml:space="preserve"> </w:t>
            </w:r>
            <w:r>
              <w:rPr>
                <w:rFonts w:ascii="Arial Narrow" w:eastAsia="Calibri" w:hAnsi="Arial Narrow"/>
                <w:color w:val="000000"/>
                <w:sz w:val="18"/>
                <w:szCs w:val="18"/>
                <w:lang w:eastAsia="en-US"/>
              </w:rPr>
              <w:t xml:space="preserve">136 </w:t>
            </w:r>
            <w:r w:rsidRPr="006504EF">
              <w:rPr>
                <w:rFonts w:ascii="Arial Narrow" w:eastAsia="Calibri" w:hAnsi="Arial Narrow"/>
                <w:color w:val="000000"/>
                <w:sz w:val="18"/>
                <w:szCs w:val="18"/>
                <w:lang w:eastAsia="en-US"/>
              </w:rPr>
              <w:t>microgram, powder for inhalation, 30 capsules</w:t>
            </w:r>
          </w:p>
        </w:tc>
        <w:tc>
          <w:tcPr>
            <w:tcW w:w="851" w:type="dxa"/>
          </w:tcPr>
          <w:p w:rsidR="004874DB" w:rsidRPr="006504EF" w:rsidRDefault="004874DB" w:rsidP="000159F0">
            <w:pPr>
              <w:keepNext/>
              <w:ind w:left="-108"/>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NEW</w:t>
            </w:r>
          </w:p>
        </w:tc>
        <w:tc>
          <w:tcPr>
            <w:tcW w:w="709" w:type="dxa"/>
          </w:tcPr>
          <w:p w:rsidR="004874DB" w:rsidRPr="006504EF" w:rsidRDefault="004874DB" w:rsidP="000159F0">
            <w:pPr>
              <w:keepNext/>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1</w:t>
            </w:r>
          </w:p>
        </w:tc>
        <w:tc>
          <w:tcPr>
            <w:tcW w:w="850" w:type="dxa"/>
          </w:tcPr>
          <w:p w:rsidR="004874DB" w:rsidRPr="006504EF" w:rsidRDefault="004874DB" w:rsidP="000159F0">
            <w:pPr>
              <w:keepNext/>
              <w:ind w:left="-108"/>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30</w:t>
            </w:r>
          </w:p>
        </w:tc>
        <w:tc>
          <w:tcPr>
            <w:tcW w:w="567" w:type="dxa"/>
          </w:tcPr>
          <w:p w:rsidR="004874DB" w:rsidRPr="006504EF" w:rsidRDefault="004874DB" w:rsidP="000159F0">
            <w:pPr>
              <w:keepNext/>
              <w:ind w:left="-108"/>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5</w:t>
            </w:r>
          </w:p>
        </w:tc>
        <w:tc>
          <w:tcPr>
            <w:tcW w:w="992" w:type="dxa"/>
            <w:vAlign w:val="center"/>
          </w:tcPr>
          <w:p w:rsidR="004874DB" w:rsidRPr="006504EF" w:rsidRDefault="004874DB" w:rsidP="000159F0">
            <w:pPr>
              <w:keepNext/>
              <w:rPr>
                <w:rFonts w:ascii="Arial Narrow" w:eastAsia="Calibri" w:hAnsi="Arial Narrow"/>
                <w:color w:val="000000"/>
                <w:sz w:val="18"/>
                <w:szCs w:val="18"/>
                <w:lang w:eastAsia="en-US"/>
              </w:rPr>
            </w:pPr>
            <w:r w:rsidRPr="00FB7A6E">
              <w:rPr>
                <w:rFonts w:ascii="Arial Narrow" w:hAnsi="Arial Narrow"/>
                <w:sz w:val="20"/>
              </w:rPr>
              <w:t>$97.50</w:t>
            </w:r>
          </w:p>
        </w:tc>
        <w:tc>
          <w:tcPr>
            <w:tcW w:w="1560" w:type="dxa"/>
          </w:tcPr>
          <w:p w:rsidR="004874DB" w:rsidRDefault="004874DB" w:rsidP="000159F0">
            <w:pPr>
              <w:keepNext/>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 xml:space="preserve">Enerzair Breezhaler </w:t>
            </w:r>
            <w:r>
              <w:rPr>
                <w:rFonts w:ascii="Arial Narrow" w:eastAsia="Calibri" w:hAnsi="Arial Narrow"/>
                <w:color w:val="000000"/>
                <w:sz w:val="18"/>
                <w:szCs w:val="18"/>
                <w:lang w:eastAsia="en-US"/>
              </w:rPr>
              <w:t>114/68/136</w:t>
            </w:r>
          </w:p>
          <w:p w:rsidR="004874DB" w:rsidRPr="00BB6690" w:rsidRDefault="004874DB" w:rsidP="000159F0">
            <w:pPr>
              <w:keepNext/>
              <w:rPr>
                <w:rFonts w:ascii="Arial Narrow" w:eastAsia="Calibri" w:hAnsi="Arial Narrow"/>
                <w:strike/>
                <w:color w:val="000000"/>
                <w:sz w:val="18"/>
                <w:szCs w:val="18"/>
                <w:lang w:eastAsia="en-US"/>
              </w:rPr>
            </w:pPr>
            <w:r w:rsidRPr="00BB6690">
              <w:rPr>
                <w:rFonts w:ascii="Arial Narrow" w:eastAsia="Calibri" w:hAnsi="Arial Narrow"/>
                <w:strike/>
                <w:color w:val="000000"/>
                <w:sz w:val="18"/>
                <w:szCs w:val="18"/>
                <w:lang w:eastAsia="en-US"/>
              </w:rPr>
              <w:t>150/50/160</w:t>
            </w:r>
          </w:p>
          <w:p w:rsidR="004874DB" w:rsidRPr="006504EF" w:rsidRDefault="004874DB" w:rsidP="000159F0">
            <w:pPr>
              <w:keepNext/>
              <w:jc w:val="left"/>
              <w:rPr>
                <w:rFonts w:ascii="Arial Narrow" w:eastAsia="Calibri" w:hAnsi="Arial Narrow"/>
                <w:color w:val="000000"/>
                <w:sz w:val="18"/>
                <w:szCs w:val="18"/>
                <w:lang w:eastAsia="en-US"/>
              </w:rPr>
            </w:pPr>
          </w:p>
        </w:tc>
      </w:tr>
    </w:tbl>
    <w:p w:rsidR="008D35DA" w:rsidRPr="006504EF" w:rsidRDefault="009A4524" w:rsidP="005C360B">
      <w:pPr>
        <w:tabs>
          <w:tab w:val="left" w:pos="4570"/>
        </w:tabs>
        <w:spacing w:line="259" w:lineRule="auto"/>
        <w:jc w:val="left"/>
        <w:rPr>
          <w:rFonts w:ascii="Arial Narrow" w:eastAsia="Calibri" w:hAnsi="Arial Narrow" w:cs="Times New Roman"/>
          <w:b/>
          <w:color w:val="000000"/>
          <w:sz w:val="18"/>
          <w:szCs w:val="18"/>
          <w:lang w:eastAsia="en-US"/>
        </w:rPr>
      </w:pPr>
      <w:r>
        <w:rPr>
          <w:rFonts w:ascii="Arial Narrow" w:eastAsia="Calibri" w:hAnsi="Arial Narrow" w:cs="Times New Roman"/>
          <w:b/>
          <w:color w:val="000000"/>
          <w:sz w:val="18"/>
          <w:szCs w:val="18"/>
          <w:lang w:eastAsia="en-US"/>
        </w:rPr>
        <w:tab/>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7"/>
      </w:tblGrid>
      <w:tr w:rsidR="004874DB" w:rsidRPr="006504EF" w:rsidTr="004874DB">
        <w:trPr>
          <w:trHeight w:val="192"/>
        </w:trPr>
        <w:tc>
          <w:tcPr>
            <w:tcW w:w="5000" w:type="pct"/>
            <w:tcBorders>
              <w:top w:val="single" w:sz="4" w:space="0" w:color="auto"/>
              <w:left w:val="single" w:sz="4" w:space="0" w:color="auto"/>
              <w:bottom w:val="single" w:sz="4" w:space="0" w:color="auto"/>
              <w:right w:val="single" w:sz="4" w:space="0" w:color="auto"/>
            </w:tcBorders>
          </w:tcPr>
          <w:p w:rsidR="004874DB" w:rsidRPr="006504EF" w:rsidRDefault="004874DB" w:rsidP="008D35DA">
            <w:pPr>
              <w:rPr>
                <w:rFonts w:ascii="Arial Narrow" w:eastAsia="Calibri" w:hAnsi="Arial Narrow"/>
                <w:color w:val="000000"/>
                <w:sz w:val="18"/>
                <w:szCs w:val="18"/>
                <w:lang w:eastAsia="en-US"/>
              </w:rPr>
            </w:pPr>
            <w:r w:rsidRPr="006504EF">
              <w:rPr>
                <w:rFonts w:ascii="Arial Narrow" w:eastAsia="Calibri" w:hAnsi="Arial Narrow"/>
                <w:b/>
                <w:color w:val="000000"/>
                <w:sz w:val="18"/>
                <w:szCs w:val="18"/>
                <w:lang w:eastAsia="en-US"/>
              </w:rPr>
              <w:t xml:space="preserve">Category / Program:   </w:t>
            </w:r>
            <w:r w:rsidRPr="006504EF">
              <w:rPr>
                <w:rFonts w:ascii="Arial Narrow" w:eastAsia="Calibri" w:hAnsi="Arial Narrow"/>
                <w:color w:val="000000"/>
                <w:sz w:val="18"/>
                <w:szCs w:val="18"/>
                <w:lang w:eastAsia="en-US"/>
              </w:rPr>
              <w:t>GENERAL – General Schedule (Code GE)</w:t>
            </w:r>
          </w:p>
        </w:tc>
      </w:tr>
      <w:tr w:rsidR="004874DB" w:rsidRPr="006504EF" w:rsidTr="004874DB">
        <w:trPr>
          <w:trHeight w:val="224"/>
        </w:trPr>
        <w:tc>
          <w:tcPr>
            <w:tcW w:w="5000" w:type="pct"/>
            <w:tcBorders>
              <w:top w:val="single" w:sz="4" w:space="0" w:color="auto"/>
              <w:left w:val="single" w:sz="4" w:space="0" w:color="auto"/>
              <w:bottom w:val="single" w:sz="4" w:space="0" w:color="auto"/>
              <w:right w:val="single" w:sz="4" w:space="0" w:color="auto"/>
            </w:tcBorders>
          </w:tcPr>
          <w:p w:rsidR="004874DB" w:rsidRPr="006504EF" w:rsidRDefault="004874DB" w:rsidP="004874DB">
            <w:pPr>
              <w:rPr>
                <w:rFonts w:ascii="Arial Narrow" w:eastAsia="Calibri" w:hAnsi="Arial Narrow"/>
                <w:color w:val="000000"/>
                <w:sz w:val="18"/>
                <w:szCs w:val="18"/>
                <w:lang w:eastAsia="en-US"/>
              </w:rPr>
            </w:pPr>
            <w:r w:rsidRPr="006504EF">
              <w:rPr>
                <w:rFonts w:ascii="Arial Narrow" w:eastAsia="Calibri" w:hAnsi="Arial Narrow"/>
                <w:b/>
                <w:color w:val="000000"/>
                <w:sz w:val="18"/>
                <w:szCs w:val="18"/>
                <w:lang w:eastAsia="en-US"/>
              </w:rPr>
              <w:t xml:space="preserve">Prescriber type:  </w:t>
            </w:r>
            <w:r w:rsidRPr="006504EF">
              <w:rPr>
                <w:rFonts w:ascii="Arial Narrow" w:eastAsia="Calibri" w:hAnsi="Arial Narrow"/>
                <w:color w:val="000000"/>
                <w:sz w:val="18"/>
                <w:szCs w:val="18"/>
                <w:lang w:eastAsia="en-US"/>
              </w:rPr>
              <w:fldChar w:fldCharType="begin">
                <w:ffData>
                  <w:name w:val=""/>
                  <w:enabled/>
                  <w:calcOnExit w:val="0"/>
                  <w:checkBox>
                    <w:sizeAuto/>
                    <w:default w:val="1"/>
                  </w:checkBox>
                </w:ffData>
              </w:fldChar>
            </w:r>
            <w:r w:rsidRPr="006504EF">
              <w:rPr>
                <w:rFonts w:ascii="Arial Narrow" w:eastAsia="Calibri" w:hAnsi="Arial Narrow"/>
                <w:color w:val="000000"/>
                <w:sz w:val="18"/>
                <w:szCs w:val="18"/>
                <w:lang w:eastAsia="en-US"/>
              </w:rPr>
              <w:instrText xml:space="preserve"> FORMCHECKBOX </w:instrText>
            </w:r>
            <w:r w:rsidR="00903593">
              <w:rPr>
                <w:rFonts w:ascii="Arial Narrow" w:eastAsia="Calibri" w:hAnsi="Arial Narrow"/>
                <w:color w:val="000000"/>
                <w:sz w:val="18"/>
                <w:szCs w:val="18"/>
                <w:lang w:eastAsia="en-US"/>
              </w:rPr>
            </w:r>
            <w:r w:rsidR="00903593">
              <w:rPr>
                <w:rFonts w:ascii="Arial Narrow" w:eastAsia="Calibri" w:hAnsi="Arial Narrow"/>
                <w:color w:val="000000"/>
                <w:sz w:val="18"/>
                <w:szCs w:val="18"/>
                <w:lang w:eastAsia="en-US"/>
              </w:rPr>
              <w:fldChar w:fldCharType="separate"/>
            </w:r>
            <w:r w:rsidRPr="006504EF">
              <w:rPr>
                <w:rFonts w:ascii="Arial Narrow" w:eastAsia="Calibri" w:hAnsi="Arial Narrow"/>
                <w:color w:val="000000"/>
                <w:sz w:val="18"/>
                <w:szCs w:val="18"/>
                <w:lang w:eastAsia="en-US"/>
              </w:rPr>
              <w:fldChar w:fldCharType="end"/>
            </w:r>
            <w:r w:rsidRPr="006504EF">
              <w:rPr>
                <w:rFonts w:ascii="Arial Narrow" w:eastAsia="Calibri" w:hAnsi="Arial Narrow"/>
                <w:color w:val="000000"/>
                <w:sz w:val="18"/>
                <w:szCs w:val="18"/>
                <w:lang w:eastAsia="en-US"/>
              </w:rPr>
              <w:t xml:space="preserve">Medical Practitioners  </w:t>
            </w:r>
            <w:r w:rsidRPr="006504EF">
              <w:rPr>
                <w:rFonts w:ascii="Arial Narrow" w:eastAsia="Calibri" w:hAnsi="Arial Narrow"/>
                <w:i/>
                <w:color w:val="000000"/>
                <w:sz w:val="18"/>
                <w:szCs w:val="18"/>
                <w:lang w:eastAsia="en-US"/>
              </w:rPr>
              <w:fldChar w:fldCharType="begin">
                <w:ffData>
                  <w:name w:val="Check3"/>
                  <w:enabled/>
                  <w:calcOnExit w:val="0"/>
                  <w:checkBox>
                    <w:sizeAuto/>
                    <w:default w:val="1"/>
                  </w:checkBox>
                </w:ffData>
              </w:fldChar>
            </w:r>
            <w:r w:rsidRPr="006504EF">
              <w:rPr>
                <w:rFonts w:ascii="Arial Narrow" w:eastAsia="Calibri" w:hAnsi="Arial Narrow"/>
                <w:i/>
                <w:color w:val="000000"/>
                <w:sz w:val="18"/>
                <w:szCs w:val="18"/>
                <w:lang w:eastAsia="en-US"/>
              </w:rPr>
              <w:instrText xml:space="preserve"> FORMCHECKBOX </w:instrText>
            </w:r>
            <w:r w:rsidR="00903593">
              <w:rPr>
                <w:rFonts w:ascii="Arial Narrow" w:eastAsia="Calibri" w:hAnsi="Arial Narrow"/>
                <w:i/>
                <w:color w:val="000000"/>
                <w:sz w:val="18"/>
                <w:szCs w:val="18"/>
                <w:lang w:eastAsia="en-US"/>
              </w:rPr>
            </w:r>
            <w:r w:rsidR="00903593">
              <w:rPr>
                <w:rFonts w:ascii="Arial Narrow" w:eastAsia="Calibri" w:hAnsi="Arial Narrow"/>
                <w:i/>
                <w:color w:val="000000"/>
                <w:sz w:val="18"/>
                <w:szCs w:val="18"/>
                <w:lang w:eastAsia="en-US"/>
              </w:rPr>
              <w:fldChar w:fldCharType="separate"/>
            </w:r>
            <w:r w:rsidRPr="006504EF">
              <w:rPr>
                <w:rFonts w:ascii="Arial Narrow" w:eastAsia="Calibri" w:hAnsi="Arial Narrow"/>
                <w:i/>
                <w:color w:val="000000"/>
                <w:sz w:val="18"/>
                <w:szCs w:val="18"/>
                <w:lang w:eastAsia="en-US"/>
              </w:rPr>
              <w:fldChar w:fldCharType="end"/>
            </w:r>
            <w:r w:rsidRPr="006504EF">
              <w:rPr>
                <w:rFonts w:ascii="Arial Narrow" w:eastAsia="Calibri" w:hAnsi="Arial Narrow"/>
                <w:i/>
                <w:color w:val="000000"/>
                <w:sz w:val="18"/>
                <w:szCs w:val="18"/>
                <w:lang w:eastAsia="en-US"/>
              </w:rPr>
              <w:t>Nurse practitioners</w:t>
            </w:r>
            <w:r w:rsidRPr="006504EF">
              <w:rPr>
                <w:rFonts w:ascii="Arial Narrow" w:eastAsia="Calibri" w:hAnsi="Arial Narrow"/>
                <w:color w:val="000000"/>
                <w:sz w:val="18"/>
                <w:szCs w:val="18"/>
                <w:lang w:eastAsia="en-US"/>
              </w:rPr>
              <w:t xml:space="preserve">  </w:t>
            </w:r>
          </w:p>
        </w:tc>
      </w:tr>
      <w:tr w:rsidR="004874DB" w:rsidRPr="006504EF" w:rsidTr="004874DB">
        <w:tc>
          <w:tcPr>
            <w:tcW w:w="5000" w:type="pct"/>
            <w:tcBorders>
              <w:top w:val="single" w:sz="4" w:space="0" w:color="auto"/>
              <w:left w:val="single" w:sz="4" w:space="0" w:color="auto"/>
              <w:bottom w:val="single" w:sz="4" w:space="0" w:color="auto"/>
              <w:right w:val="single" w:sz="4" w:space="0" w:color="auto"/>
            </w:tcBorders>
          </w:tcPr>
          <w:p w:rsidR="004874DB" w:rsidRPr="006504EF" w:rsidRDefault="004874DB" w:rsidP="004874DB">
            <w:pPr>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t xml:space="preserve">Restriction </w:t>
            </w:r>
            <w:r>
              <w:rPr>
                <w:rFonts w:ascii="Arial Narrow" w:eastAsia="Calibri" w:hAnsi="Arial Narrow"/>
                <w:b/>
                <w:color w:val="000000"/>
                <w:sz w:val="18"/>
                <w:szCs w:val="18"/>
                <w:lang w:eastAsia="en-US"/>
              </w:rPr>
              <w:t xml:space="preserve">type </w:t>
            </w:r>
            <w:r w:rsidRPr="006504EF">
              <w:rPr>
                <w:rFonts w:ascii="Arial Narrow" w:eastAsia="Calibri" w:hAnsi="Arial Narrow"/>
                <w:b/>
                <w:color w:val="000000"/>
                <w:sz w:val="18"/>
                <w:szCs w:val="18"/>
                <w:lang w:eastAsia="en-US"/>
              </w:rPr>
              <w:t xml:space="preserve">/ Method: </w:t>
            </w:r>
            <w:r w:rsidRPr="006504EF">
              <w:rPr>
                <w:rFonts w:ascii="Arial Narrow" w:eastAsia="Calibri" w:hAnsi="Arial Narrow"/>
                <w:color w:val="000000"/>
                <w:sz w:val="18"/>
                <w:szCs w:val="18"/>
                <w:lang w:eastAsia="en-US"/>
              </w:rPr>
              <w:fldChar w:fldCharType="begin">
                <w:ffData>
                  <w:name w:val=""/>
                  <w:enabled/>
                  <w:calcOnExit w:val="0"/>
                  <w:checkBox>
                    <w:sizeAuto/>
                    <w:default w:val="1"/>
                  </w:checkBox>
                </w:ffData>
              </w:fldChar>
            </w:r>
            <w:r w:rsidRPr="006504EF">
              <w:rPr>
                <w:rFonts w:ascii="Arial Narrow" w:eastAsia="Calibri" w:hAnsi="Arial Narrow"/>
                <w:color w:val="000000"/>
                <w:sz w:val="18"/>
                <w:szCs w:val="18"/>
                <w:lang w:eastAsia="en-US"/>
              </w:rPr>
              <w:instrText xml:space="preserve"> FORMCHECKBOX </w:instrText>
            </w:r>
            <w:r w:rsidR="00903593">
              <w:rPr>
                <w:rFonts w:ascii="Arial Narrow" w:eastAsia="Calibri" w:hAnsi="Arial Narrow"/>
                <w:color w:val="000000"/>
                <w:sz w:val="18"/>
                <w:szCs w:val="18"/>
                <w:lang w:eastAsia="en-US"/>
              </w:rPr>
            </w:r>
            <w:r w:rsidR="00903593">
              <w:rPr>
                <w:rFonts w:ascii="Arial Narrow" w:eastAsia="Calibri" w:hAnsi="Arial Narrow"/>
                <w:color w:val="000000"/>
                <w:sz w:val="18"/>
                <w:szCs w:val="18"/>
                <w:lang w:eastAsia="en-US"/>
              </w:rPr>
              <w:fldChar w:fldCharType="separate"/>
            </w:r>
            <w:r w:rsidRPr="006504EF">
              <w:rPr>
                <w:rFonts w:ascii="Arial Narrow" w:eastAsia="Calibri" w:hAnsi="Arial Narrow"/>
                <w:color w:val="000000"/>
                <w:sz w:val="18"/>
                <w:szCs w:val="18"/>
                <w:lang w:eastAsia="en-US"/>
              </w:rPr>
              <w:fldChar w:fldCharType="end"/>
            </w:r>
            <w:r w:rsidRPr="006504EF">
              <w:rPr>
                <w:rFonts w:ascii="Arial Narrow" w:eastAsia="Calibri" w:hAnsi="Arial Narrow"/>
                <w:color w:val="000000"/>
                <w:sz w:val="18"/>
                <w:szCs w:val="18"/>
                <w:lang w:eastAsia="en-US"/>
              </w:rPr>
              <w:t xml:space="preserve"> Authority Required – Streamlined </w:t>
            </w:r>
            <w:r w:rsidRPr="006504EF">
              <w:rPr>
                <w:rFonts w:ascii="Arial Narrow" w:eastAsia="Calibri" w:hAnsi="Arial Narrow"/>
                <w:i/>
                <w:color w:val="000000"/>
                <w:sz w:val="18"/>
                <w:szCs w:val="18"/>
                <w:lang w:eastAsia="en-US"/>
              </w:rPr>
              <w:t>(new code)</w:t>
            </w:r>
          </w:p>
        </w:tc>
      </w:tr>
      <w:tr w:rsidR="004874DB" w:rsidRPr="006504EF" w:rsidTr="004874DB">
        <w:tc>
          <w:tcPr>
            <w:tcW w:w="5000" w:type="pct"/>
            <w:tcBorders>
              <w:left w:val="single" w:sz="4" w:space="0" w:color="auto"/>
            </w:tcBorders>
            <w:vAlign w:val="center"/>
          </w:tcPr>
          <w:p w:rsidR="004874DB" w:rsidRPr="006504EF" w:rsidRDefault="004874DB" w:rsidP="008D35DA">
            <w:pPr>
              <w:jc w:val="left"/>
              <w:rPr>
                <w:rFonts w:ascii="Arial Narrow" w:hAnsi="Arial Narrow" w:cs="Times New Roman"/>
                <w:bCs/>
                <w:color w:val="000000"/>
                <w:sz w:val="18"/>
                <w:szCs w:val="18"/>
              </w:rPr>
            </w:pPr>
            <w:r w:rsidRPr="006504EF">
              <w:rPr>
                <w:rFonts w:ascii="Arial Narrow" w:hAnsi="Arial Narrow" w:cs="Times New Roman"/>
                <w:b/>
                <w:bCs/>
                <w:color w:val="000000"/>
                <w:sz w:val="18"/>
                <w:szCs w:val="18"/>
              </w:rPr>
              <w:t xml:space="preserve">Episodicity: </w:t>
            </w:r>
            <w:r w:rsidRPr="006504EF">
              <w:rPr>
                <w:rFonts w:ascii="Arial Narrow" w:hAnsi="Arial Narrow" w:cs="Times New Roman"/>
                <w:bCs/>
                <w:strike/>
                <w:color w:val="000000"/>
                <w:sz w:val="18"/>
                <w:szCs w:val="18"/>
              </w:rPr>
              <w:t xml:space="preserve">Daily </w:t>
            </w:r>
            <w:r w:rsidRPr="006504EF">
              <w:rPr>
                <w:rFonts w:ascii="Arial Narrow" w:hAnsi="Arial Narrow" w:cs="Times New Roman"/>
                <w:bCs/>
                <w:i/>
                <w:color w:val="000000"/>
                <w:sz w:val="18"/>
                <w:szCs w:val="18"/>
              </w:rPr>
              <w:t>[blank]</w:t>
            </w:r>
          </w:p>
        </w:tc>
      </w:tr>
      <w:tr w:rsidR="004874DB" w:rsidRPr="006504EF" w:rsidTr="004874DB">
        <w:tc>
          <w:tcPr>
            <w:tcW w:w="5000" w:type="pct"/>
            <w:tcBorders>
              <w:left w:val="single" w:sz="4" w:space="0" w:color="auto"/>
            </w:tcBorders>
            <w:vAlign w:val="center"/>
          </w:tcPr>
          <w:p w:rsidR="004874DB" w:rsidRPr="006504EF" w:rsidRDefault="004874DB" w:rsidP="008D35DA">
            <w:pPr>
              <w:jc w:val="left"/>
              <w:rPr>
                <w:rFonts w:ascii="Arial Narrow" w:hAnsi="Arial Narrow" w:cs="Times New Roman"/>
                <w:b/>
                <w:bCs/>
                <w:color w:val="000000"/>
                <w:sz w:val="18"/>
                <w:szCs w:val="18"/>
              </w:rPr>
            </w:pPr>
            <w:r w:rsidRPr="006504EF">
              <w:rPr>
                <w:rFonts w:ascii="Arial Narrow" w:hAnsi="Arial Narrow" w:cs="Times New Roman"/>
                <w:b/>
                <w:bCs/>
                <w:color w:val="000000"/>
                <w:sz w:val="18"/>
                <w:szCs w:val="18"/>
              </w:rPr>
              <w:t xml:space="preserve">Severity: </w:t>
            </w:r>
            <w:r w:rsidRPr="006504EF">
              <w:rPr>
                <w:rFonts w:ascii="Arial Narrow" w:hAnsi="Arial Narrow" w:cs="Times New Roman"/>
                <w:bCs/>
                <w:color w:val="000000"/>
                <w:sz w:val="18"/>
                <w:szCs w:val="18"/>
              </w:rPr>
              <w:t>Severe</w:t>
            </w:r>
          </w:p>
        </w:tc>
      </w:tr>
      <w:tr w:rsidR="004874DB" w:rsidRPr="006504EF" w:rsidTr="004874DB">
        <w:trPr>
          <w:trHeight w:val="178"/>
        </w:trPr>
        <w:tc>
          <w:tcPr>
            <w:tcW w:w="5000" w:type="pct"/>
            <w:tcBorders>
              <w:left w:val="single" w:sz="4" w:space="0" w:color="auto"/>
            </w:tcBorders>
            <w:vAlign w:val="center"/>
          </w:tcPr>
          <w:p w:rsidR="004874DB" w:rsidRPr="006504EF" w:rsidRDefault="004874DB" w:rsidP="008D35DA">
            <w:pPr>
              <w:jc w:val="left"/>
              <w:rPr>
                <w:rFonts w:ascii="Arial Narrow" w:hAnsi="Arial Narrow" w:cs="Times New Roman"/>
                <w:b/>
                <w:bCs/>
                <w:color w:val="000000"/>
                <w:sz w:val="18"/>
                <w:szCs w:val="18"/>
              </w:rPr>
            </w:pPr>
            <w:r w:rsidRPr="006504EF">
              <w:rPr>
                <w:rFonts w:ascii="Arial Narrow" w:hAnsi="Arial Narrow" w:cs="Times New Roman"/>
                <w:b/>
                <w:bCs/>
                <w:color w:val="000000"/>
                <w:sz w:val="18"/>
                <w:szCs w:val="18"/>
              </w:rPr>
              <w:t xml:space="preserve">Condition: </w:t>
            </w:r>
            <w:r w:rsidRPr="006504EF">
              <w:rPr>
                <w:rFonts w:ascii="Arial Narrow" w:hAnsi="Arial Narrow" w:cs="Times New Roman"/>
                <w:bCs/>
                <w:color w:val="000000"/>
                <w:sz w:val="18"/>
                <w:szCs w:val="18"/>
              </w:rPr>
              <w:t>asthma</w:t>
            </w:r>
          </w:p>
        </w:tc>
      </w:tr>
      <w:tr w:rsidR="004874DB" w:rsidRPr="006504EF" w:rsidTr="004874DB">
        <w:tc>
          <w:tcPr>
            <w:tcW w:w="5000" w:type="pct"/>
            <w:vAlign w:val="center"/>
            <w:hideMark/>
          </w:tcPr>
          <w:p w:rsidR="004874DB" w:rsidRPr="006504EF" w:rsidRDefault="004874DB" w:rsidP="008D35DA">
            <w:pPr>
              <w:jc w:val="left"/>
              <w:rPr>
                <w:rFonts w:ascii="Arial Narrow" w:hAnsi="Arial Narrow" w:cs="Times New Roman"/>
                <w:color w:val="000000"/>
                <w:sz w:val="18"/>
                <w:szCs w:val="18"/>
              </w:rPr>
            </w:pPr>
            <w:r w:rsidRPr="006504EF">
              <w:rPr>
                <w:rFonts w:ascii="Arial Narrow" w:hAnsi="Arial Narrow" w:cs="Times New Roman"/>
                <w:b/>
                <w:bCs/>
                <w:color w:val="000000"/>
                <w:sz w:val="18"/>
                <w:szCs w:val="18"/>
              </w:rPr>
              <w:t>Indication:</w:t>
            </w:r>
            <w:r w:rsidRPr="006504EF">
              <w:rPr>
                <w:rFonts w:ascii="Arial Narrow" w:hAnsi="Arial Narrow" w:cs="Times New Roman"/>
                <w:color w:val="000000"/>
                <w:sz w:val="18"/>
                <w:szCs w:val="18"/>
              </w:rPr>
              <w:t xml:space="preserve"> Severe asthma</w:t>
            </w:r>
          </w:p>
        </w:tc>
      </w:tr>
      <w:tr w:rsidR="004874DB" w:rsidRPr="006504EF" w:rsidTr="004874DB">
        <w:tc>
          <w:tcPr>
            <w:tcW w:w="5000" w:type="pct"/>
            <w:vAlign w:val="center"/>
            <w:hideMark/>
          </w:tcPr>
          <w:p w:rsidR="004874DB" w:rsidRPr="006504EF" w:rsidRDefault="004874DB" w:rsidP="008D35DA">
            <w:pPr>
              <w:jc w:val="left"/>
              <w:rPr>
                <w:rFonts w:ascii="Arial Narrow" w:hAnsi="Arial Narrow" w:cs="Times New Roman"/>
                <w:b/>
                <w:bCs/>
                <w:color w:val="000000"/>
                <w:sz w:val="18"/>
                <w:szCs w:val="18"/>
              </w:rPr>
            </w:pPr>
            <w:r w:rsidRPr="006504EF">
              <w:rPr>
                <w:rFonts w:ascii="Arial Narrow" w:hAnsi="Arial Narrow" w:cs="Times New Roman"/>
                <w:b/>
                <w:bCs/>
                <w:color w:val="000000"/>
                <w:sz w:val="18"/>
                <w:szCs w:val="18"/>
              </w:rPr>
              <w:t xml:space="preserve">Clinical criteria: </w:t>
            </w:r>
          </w:p>
        </w:tc>
      </w:tr>
      <w:tr w:rsidR="004874DB" w:rsidRPr="006504EF" w:rsidTr="004874DB">
        <w:tc>
          <w:tcPr>
            <w:tcW w:w="5000" w:type="pct"/>
            <w:vAlign w:val="center"/>
          </w:tcPr>
          <w:p w:rsidR="004874DB" w:rsidRPr="006504EF" w:rsidRDefault="004874DB" w:rsidP="008D35DA">
            <w:pPr>
              <w:jc w:val="left"/>
              <w:rPr>
                <w:rFonts w:ascii="Arial Narrow" w:hAnsi="Arial Narrow" w:cs="Times New Roman"/>
                <w:bCs/>
                <w:color w:val="000000"/>
                <w:sz w:val="18"/>
                <w:szCs w:val="18"/>
              </w:rPr>
            </w:pPr>
            <w:r w:rsidRPr="006504EF">
              <w:rPr>
                <w:rFonts w:ascii="Arial Narrow" w:hAnsi="Arial Narrow" w:cs="Times New Roman"/>
                <w:bCs/>
                <w:color w:val="000000"/>
                <w:sz w:val="18"/>
                <w:szCs w:val="18"/>
              </w:rPr>
              <w:t>Patient must have experienced at least one severe exacerbation, which has required documented use of systemic corticosteroids, in the previous 12 months while receiving optimised asthma therapy, despite formal assessment of and adherence to correct inhaler technique, which has been documented</w:t>
            </w:r>
          </w:p>
        </w:tc>
      </w:tr>
      <w:tr w:rsidR="004874DB" w:rsidRPr="006504EF" w:rsidTr="004874DB">
        <w:tc>
          <w:tcPr>
            <w:tcW w:w="5000" w:type="pct"/>
            <w:vAlign w:val="center"/>
            <w:hideMark/>
          </w:tcPr>
          <w:p w:rsidR="004874DB" w:rsidRPr="006504EF" w:rsidRDefault="004874DB" w:rsidP="008D35DA">
            <w:pPr>
              <w:jc w:val="left"/>
              <w:rPr>
                <w:rFonts w:ascii="Arial Narrow" w:hAnsi="Arial Narrow" w:cs="Times New Roman"/>
                <w:color w:val="000000"/>
                <w:sz w:val="18"/>
                <w:szCs w:val="18"/>
              </w:rPr>
            </w:pPr>
            <w:r w:rsidRPr="006504EF">
              <w:rPr>
                <w:rFonts w:ascii="Arial Narrow" w:hAnsi="Arial Narrow" w:cs="Times New Roman"/>
                <w:b/>
                <w:bCs/>
                <w:color w:val="000000"/>
                <w:sz w:val="18"/>
                <w:szCs w:val="18"/>
              </w:rPr>
              <w:t>Population criteria:</w:t>
            </w:r>
          </w:p>
        </w:tc>
      </w:tr>
      <w:tr w:rsidR="004874DB" w:rsidRPr="006504EF" w:rsidTr="004874DB">
        <w:tc>
          <w:tcPr>
            <w:tcW w:w="5000" w:type="pct"/>
            <w:vAlign w:val="center"/>
            <w:hideMark/>
          </w:tcPr>
          <w:p w:rsidR="004874DB" w:rsidRPr="006504EF" w:rsidRDefault="004874DB" w:rsidP="008D35DA">
            <w:pPr>
              <w:jc w:val="left"/>
              <w:rPr>
                <w:rFonts w:ascii="Arial Narrow" w:hAnsi="Arial Narrow" w:cs="Times New Roman"/>
                <w:color w:val="000000"/>
                <w:sz w:val="18"/>
                <w:szCs w:val="18"/>
              </w:rPr>
            </w:pPr>
            <w:r w:rsidRPr="006504EF">
              <w:rPr>
                <w:rFonts w:ascii="Arial Narrow" w:hAnsi="Arial Narrow" w:cs="Times New Roman"/>
                <w:color w:val="000000"/>
                <w:sz w:val="18"/>
                <w:szCs w:val="18"/>
              </w:rPr>
              <w:t>Patient must be aged 18 years or over</w:t>
            </w:r>
          </w:p>
        </w:tc>
      </w:tr>
      <w:tr w:rsidR="004874DB" w:rsidRPr="006504EF" w:rsidTr="004874DB">
        <w:tc>
          <w:tcPr>
            <w:tcW w:w="5000" w:type="pct"/>
            <w:vAlign w:val="center"/>
            <w:hideMark/>
          </w:tcPr>
          <w:p w:rsidR="004874DB" w:rsidRPr="006504EF" w:rsidRDefault="004874DB" w:rsidP="008D35DA">
            <w:pPr>
              <w:jc w:val="left"/>
              <w:rPr>
                <w:rFonts w:ascii="Arial Narrow" w:hAnsi="Arial Narrow" w:cs="Times New Roman"/>
                <w:color w:val="000000"/>
                <w:sz w:val="18"/>
                <w:szCs w:val="18"/>
              </w:rPr>
            </w:pPr>
            <w:r w:rsidRPr="006504EF">
              <w:rPr>
                <w:rFonts w:ascii="Arial Narrow" w:hAnsi="Arial Narrow" w:cs="Times New Roman"/>
                <w:b/>
                <w:bCs/>
                <w:color w:val="000000"/>
                <w:sz w:val="18"/>
                <w:szCs w:val="18"/>
              </w:rPr>
              <w:t xml:space="preserve">Prescribing Instructions: </w:t>
            </w:r>
            <w:r w:rsidRPr="006504EF">
              <w:rPr>
                <w:rFonts w:ascii="Arial Narrow" w:hAnsi="Arial Narrow" w:cs="Times New Roman"/>
                <w:bCs/>
                <w:color w:val="000000"/>
                <w:sz w:val="18"/>
                <w:szCs w:val="18"/>
              </w:rPr>
              <w:t>Optimised asthma therapy includes adherence to the maintenance combination of an inhaled corticosteroid (at least 800 micrograms budesonide per day or equivalent) and a long acting beta-2 agonist.</w:t>
            </w:r>
          </w:p>
        </w:tc>
      </w:tr>
      <w:tr w:rsidR="004874DB" w:rsidRPr="006504EF" w:rsidTr="004874DB">
        <w:tc>
          <w:tcPr>
            <w:tcW w:w="5000" w:type="pct"/>
            <w:vAlign w:val="center"/>
          </w:tcPr>
          <w:p w:rsidR="004874DB" w:rsidRPr="006504EF" w:rsidRDefault="004874DB" w:rsidP="008D35DA">
            <w:pPr>
              <w:jc w:val="left"/>
              <w:rPr>
                <w:rFonts w:ascii="Arial Narrow" w:hAnsi="Arial Narrow" w:cs="Times New Roman"/>
                <w:b/>
                <w:bCs/>
                <w:color w:val="000000"/>
                <w:sz w:val="18"/>
                <w:szCs w:val="18"/>
              </w:rPr>
            </w:pPr>
            <w:r w:rsidRPr="006504EF">
              <w:rPr>
                <w:rFonts w:ascii="Arial Narrow" w:hAnsi="Arial Narrow" w:cs="Times New Roman"/>
                <w:b/>
                <w:bCs/>
                <w:color w:val="000000"/>
                <w:sz w:val="18"/>
                <w:szCs w:val="18"/>
              </w:rPr>
              <w:t xml:space="preserve">Administrative Advice: </w:t>
            </w:r>
            <w:r w:rsidRPr="006504EF">
              <w:rPr>
                <w:rFonts w:ascii="Arial Narrow" w:hAnsi="Arial Narrow" w:cs="Times New Roman"/>
                <w:bCs/>
                <w:i/>
                <w:color w:val="000000"/>
                <w:sz w:val="18"/>
                <w:szCs w:val="18"/>
              </w:rPr>
              <w:t xml:space="preserve">Formal assessment and correction of inhaler technique should be performed in accordance with the National Asthma Council (NAC) Information Paper for Health Professionals on Inhaler Technique (available at </w:t>
            </w:r>
            <w:r w:rsidRPr="006504EF">
              <w:rPr>
                <w:rFonts w:ascii="Arial Narrow" w:hAnsi="Arial Narrow" w:cs="Times New Roman"/>
                <w:bCs/>
                <w:i/>
                <w:strike/>
                <w:color w:val="000000"/>
                <w:sz w:val="18"/>
                <w:szCs w:val="18"/>
              </w:rPr>
              <w:t>www.humanservices.gov.au or</w:t>
            </w:r>
            <w:r w:rsidRPr="006504EF">
              <w:rPr>
                <w:rFonts w:ascii="Arial Narrow" w:hAnsi="Arial Narrow" w:cs="Times New Roman"/>
                <w:bCs/>
                <w:i/>
                <w:color w:val="000000"/>
                <w:sz w:val="18"/>
                <w:szCs w:val="18"/>
              </w:rPr>
              <w:t xml:space="preserve"> www.nationalasthma.org.au); the assessment and adherence to correct technique should be documented in the patient's medical records. Patients can obtain support with inhaler technique through their local Asthma Foundation (1800 645 130).</w:t>
            </w:r>
          </w:p>
        </w:tc>
      </w:tr>
      <w:tr w:rsidR="004874DB" w:rsidRPr="006504EF" w:rsidTr="004874DB">
        <w:tc>
          <w:tcPr>
            <w:tcW w:w="5000" w:type="pct"/>
            <w:vAlign w:val="center"/>
          </w:tcPr>
          <w:p w:rsidR="004874DB" w:rsidRPr="004874DB" w:rsidRDefault="004874DB" w:rsidP="008D35DA">
            <w:pPr>
              <w:jc w:val="left"/>
              <w:rPr>
                <w:rFonts w:ascii="Arial Narrow" w:hAnsi="Arial Narrow" w:cs="Times New Roman"/>
                <w:b/>
                <w:bCs/>
                <w:color w:val="000000"/>
                <w:sz w:val="18"/>
                <w:szCs w:val="18"/>
              </w:rPr>
            </w:pPr>
            <w:r w:rsidRPr="006504EF">
              <w:rPr>
                <w:rFonts w:ascii="Arial Narrow" w:hAnsi="Arial Narrow" w:cs="Times New Roman"/>
                <w:b/>
                <w:bCs/>
                <w:i/>
                <w:color w:val="000000"/>
                <w:sz w:val="18"/>
                <w:szCs w:val="18"/>
              </w:rPr>
              <w:t>Administrative Advice:</w:t>
            </w:r>
            <w:r w:rsidRPr="006504EF">
              <w:rPr>
                <w:rFonts w:ascii="Arial Narrow" w:hAnsi="Arial Narrow" w:cs="Times New Roman"/>
                <w:b/>
                <w:bCs/>
                <w:color w:val="000000"/>
                <w:sz w:val="18"/>
                <w:szCs w:val="18"/>
              </w:rPr>
              <w:t xml:space="preserve"> </w:t>
            </w:r>
            <w:r w:rsidRPr="006504EF">
              <w:rPr>
                <w:rFonts w:ascii="Arial Narrow" w:hAnsi="Arial Narrow" w:cs="Times New Roman"/>
                <w:bCs/>
                <w:i/>
                <w:color w:val="000000"/>
                <w:sz w:val="18"/>
                <w:szCs w:val="18"/>
              </w:rPr>
              <w:t>This drug is not PBS-subsidised for the treatment of chronic obstructive pulmonary disease (COPD)</w:t>
            </w:r>
          </w:p>
        </w:tc>
      </w:tr>
      <w:tr w:rsidR="004874DB" w:rsidRPr="006504EF" w:rsidTr="004874DB">
        <w:tc>
          <w:tcPr>
            <w:tcW w:w="5000" w:type="pct"/>
            <w:vAlign w:val="center"/>
          </w:tcPr>
          <w:p w:rsidR="004874DB" w:rsidRPr="006504EF" w:rsidRDefault="004874DB" w:rsidP="008D35DA">
            <w:pPr>
              <w:jc w:val="left"/>
              <w:rPr>
                <w:rFonts w:ascii="Arial Narrow" w:hAnsi="Arial Narrow" w:cs="Times New Roman"/>
                <w:bCs/>
                <w:i/>
                <w:color w:val="000000"/>
                <w:sz w:val="18"/>
                <w:szCs w:val="18"/>
              </w:rPr>
            </w:pPr>
            <w:r w:rsidRPr="006504EF">
              <w:rPr>
                <w:rFonts w:ascii="Arial Narrow" w:hAnsi="Arial Narrow" w:cs="Times New Roman"/>
                <w:b/>
                <w:bCs/>
                <w:i/>
                <w:color w:val="000000"/>
                <w:sz w:val="18"/>
                <w:szCs w:val="18"/>
              </w:rPr>
              <w:t>Administrative Advice:</w:t>
            </w:r>
            <w:r w:rsidRPr="006504EF">
              <w:rPr>
                <w:rFonts w:ascii="Arial Narrow" w:hAnsi="Arial Narrow" w:cs="Times New Roman"/>
                <w:bCs/>
                <w:i/>
                <w:color w:val="000000"/>
                <w:sz w:val="18"/>
                <w:szCs w:val="18"/>
              </w:rPr>
              <w:t xml:space="preserve"> This product is not indicated for the initiation of treatment in asthma</w:t>
            </w:r>
          </w:p>
        </w:tc>
      </w:tr>
      <w:tr w:rsidR="004874DB" w:rsidRPr="006504EF" w:rsidTr="004874DB">
        <w:tc>
          <w:tcPr>
            <w:tcW w:w="5000" w:type="pct"/>
            <w:vAlign w:val="center"/>
          </w:tcPr>
          <w:p w:rsidR="004874DB" w:rsidRPr="006504EF" w:rsidRDefault="004874DB" w:rsidP="008D35DA">
            <w:pPr>
              <w:jc w:val="left"/>
              <w:rPr>
                <w:rFonts w:ascii="Arial Narrow" w:hAnsi="Arial Narrow" w:cs="Times New Roman"/>
                <w:bCs/>
                <w:i/>
                <w:color w:val="000000"/>
                <w:sz w:val="18"/>
                <w:szCs w:val="18"/>
              </w:rPr>
            </w:pPr>
            <w:r w:rsidRPr="006504EF">
              <w:rPr>
                <w:rFonts w:ascii="Arial Narrow" w:hAnsi="Arial Narrow" w:cs="Times New Roman"/>
                <w:b/>
                <w:bCs/>
                <w:i/>
                <w:color w:val="000000"/>
                <w:sz w:val="18"/>
                <w:szCs w:val="18"/>
              </w:rPr>
              <w:t>Administrative Advice:</w:t>
            </w:r>
            <w:r w:rsidRPr="006504EF">
              <w:rPr>
                <w:rFonts w:ascii="Arial Narrow" w:hAnsi="Arial Narrow" w:cs="Times New Roman"/>
                <w:bCs/>
                <w:i/>
                <w:color w:val="000000"/>
                <w:sz w:val="18"/>
                <w:szCs w:val="18"/>
              </w:rPr>
              <w:t xml:space="preserve"> The treatment must not be used in combination with an ICS/LABA, LABA/LAMA or LAMA, LABA or ICS monotherapy</w:t>
            </w:r>
          </w:p>
        </w:tc>
      </w:tr>
      <w:tr w:rsidR="004874DB" w:rsidRPr="006504EF" w:rsidTr="004874DB">
        <w:tc>
          <w:tcPr>
            <w:tcW w:w="5000" w:type="pct"/>
            <w:vAlign w:val="center"/>
          </w:tcPr>
          <w:p w:rsidR="004874DB" w:rsidRPr="006504EF" w:rsidRDefault="004874DB" w:rsidP="008D35DA">
            <w:pPr>
              <w:jc w:val="left"/>
              <w:rPr>
                <w:rFonts w:ascii="Arial Narrow" w:hAnsi="Arial Narrow" w:cs="Times New Roman"/>
                <w:bCs/>
                <w:i/>
                <w:color w:val="000000"/>
                <w:sz w:val="18"/>
                <w:szCs w:val="18"/>
              </w:rPr>
            </w:pPr>
            <w:r w:rsidRPr="006504EF">
              <w:rPr>
                <w:rFonts w:ascii="Arial Narrow" w:hAnsi="Arial Narrow" w:cs="Times New Roman"/>
                <w:b/>
                <w:bCs/>
                <w:i/>
                <w:color w:val="000000"/>
                <w:sz w:val="18"/>
                <w:szCs w:val="18"/>
              </w:rPr>
              <w:t>Administrative Advice:</w:t>
            </w:r>
            <w:r w:rsidRPr="006504EF">
              <w:rPr>
                <w:rFonts w:ascii="Arial Narrow" w:hAnsi="Arial Narrow" w:cs="Times New Roman"/>
                <w:bCs/>
                <w:i/>
                <w:color w:val="000000"/>
                <w:sz w:val="18"/>
                <w:szCs w:val="18"/>
              </w:rPr>
              <w:t xml:space="preserve"> A LAMA includes tiotropium, glycopyrronium, aclidinium or umeclidinium.</w:t>
            </w:r>
          </w:p>
        </w:tc>
      </w:tr>
      <w:tr w:rsidR="004874DB" w:rsidRPr="006504EF" w:rsidTr="004874DB">
        <w:tc>
          <w:tcPr>
            <w:tcW w:w="5000" w:type="pct"/>
            <w:vAlign w:val="center"/>
          </w:tcPr>
          <w:p w:rsidR="004874DB" w:rsidRPr="006504EF" w:rsidRDefault="004874DB" w:rsidP="008D35DA">
            <w:pPr>
              <w:jc w:val="left"/>
              <w:rPr>
                <w:rFonts w:ascii="Arial Narrow" w:hAnsi="Arial Narrow" w:cs="Times New Roman"/>
                <w:bCs/>
                <w:i/>
                <w:color w:val="000000"/>
                <w:sz w:val="18"/>
                <w:szCs w:val="18"/>
              </w:rPr>
            </w:pPr>
            <w:r w:rsidRPr="006504EF">
              <w:rPr>
                <w:rFonts w:ascii="Arial Narrow" w:hAnsi="Arial Narrow" w:cs="Times New Roman"/>
                <w:b/>
                <w:bCs/>
                <w:i/>
                <w:color w:val="000000"/>
                <w:sz w:val="18"/>
                <w:szCs w:val="18"/>
              </w:rPr>
              <w:t>Administrative Advice:</w:t>
            </w:r>
            <w:r w:rsidRPr="006504EF">
              <w:rPr>
                <w:rFonts w:ascii="Arial Narrow" w:hAnsi="Arial Narrow" w:cs="Times New Roman"/>
                <w:bCs/>
                <w:i/>
                <w:color w:val="000000"/>
                <w:sz w:val="18"/>
                <w:szCs w:val="18"/>
              </w:rPr>
              <w:t xml:space="preserve"> A LABA includes olodaterol, indacaterol, salmeterol, formoterol or vilanterol.</w:t>
            </w:r>
          </w:p>
        </w:tc>
      </w:tr>
      <w:tr w:rsidR="004874DB" w:rsidRPr="006504EF" w:rsidTr="004874DB">
        <w:tc>
          <w:tcPr>
            <w:tcW w:w="5000" w:type="pct"/>
            <w:vAlign w:val="center"/>
          </w:tcPr>
          <w:p w:rsidR="004874DB" w:rsidRPr="004874DB" w:rsidRDefault="004874DB" w:rsidP="008D35DA">
            <w:pPr>
              <w:jc w:val="left"/>
              <w:rPr>
                <w:rFonts w:ascii="Arial Narrow" w:hAnsi="Arial Narrow" w:cs="Times New Roman"/>
                <w:b/>
                <w:bCs/>
                <w:i/>
                <w:color w:val="000000"/>
                <w:sz w:val="18"/>
                <w:szCs w:val="18"/>
              </w:rPr>
            </w:pPr>
            <w:r w:rsidRPr="006504EF">
              <w:rPr>
                <w:rFonts w:ascii="Arial Narrow" w:hAnsi="Arial Narrow" w:cs="Times New Roman"/>
                <w:b/>
                <w:bCs/>
                <w:i/>
                <w:color w:val="000000"/>
                <w:sz w:val="18"/>
                <w:szCs w:val="18"/>
              </w:rPr>
              <w:t>Administrative Advice:</w:t>
            </w:r>
            <w:r>
              <w:rPr>
                <w:rFonts w:ascii="Arial Narrow" w:hAnsi="Arial Narrow" w:cs="Times New Roman"/>
                <w:b/>
                <w:bCs/>
                <w:i/>
                <w:color w:val="000000"/>
                <w:sz w:val="18"/>
                <w:szCs w:val="18"/>
              </w:rPr>
              <w:t xml:space="preserve"> </w:t>
            </w:r>
            <w:r w:rsidRPr="006504EF">
              <w:rPr>
                <w:rFonts w:ascii="Arial Narrow" w:hAnsi="Arial Narrow" w:cs="Times New Roman"/>
                <w:bCs/>
                <w:i/>
                <w:color w:val="000000"/>
                <w:sz w:val="18"/>
                <w:szCs w:val="18"/>
              </w:rPr>
              <w:t>An ICS includes fluticasone propionate, fluticasone furoate, budesonide, beclometasone or ciclesonide.</w:t>
            </w:r>
          </w:p>
        </w:tc>
      </w:tr>
    </w:tbl>
    <w:p w:rsidR="008D35DA" w:rsidRPr="00FB7A6E" w:rsidRDefault="008D35DA" w:rsidP="00DD254D"/>
    <w:p w:rsidR="001C3FFA" w:rsidRDefault="001C3FFA" w:rsidP="00E62171">
      <w:pPr>
        <w:pStyle w:val="3-BodyText"/>
      </w:pPr>
      <w:r>
        <w:t>The pre-PBAC response</w:t>
      </w:r>
      <w:r w:rsidR="00BB6690">
        <w:t xml:space="preserve"> </w:t>
      </w:r>
      <w:r>
        <w:t xml:space="preserve">stated the TGA requires the label and PI to show the delivered dose rather than the metered dose and that the </w:t>
      </w:r>
      <w:r w:rsidR="004874DB">
        <w:t>Australian Medicines Terminology (</w:t>
      </w:r>
      <w:r>
        <w:t>AMT</w:t>
      </w:r>
      <w:r w:rsidR="004874DB">
        <w:t>)</w:t>
      </w:r>
      <w:r>
        <w:t xml:space="preserve"> </w:t>
      </w:r>
      <w:r w:rsidR="004874DB">
        <w:t xml:space="preserve">assigned to this new drug product </w:t>
      </w:r>
      <w:r>
        <w:t>will be revised</w:t>
      </w:r>
      <w:r w:rsidR="004D3CC3">
        <w:t xml:space="preserve">. </w:t>
      </w:r>
      <w:r w:rsidR="000279A2">
        <w:t>In the requested listing</w:t>
      </w:r>
      <w:r w:rsidR="004874DB">
        <w:t xml:space="preserve"> shown above</w:t>
      </w:r>
      <w:r w:rsidR="000279A2">
        <w:t>, t</w:t>
      </w:r>
      <w:r w:rsidR="004D3CC3">
        <w:t xml:space="preserve">he drug </w:t>
      </w:r>
      <w:r w:rsidR="00BB6690">
        <w:t>doses</w:t>
      </w:r>
      <w:r w:rsidR="004D3CC3">
        <w:t xml:space="preserve"> ha</w:t>
      </w:r>
      <w:r w:rsidR="00BB6690">
        <w:t>ve</w:t>
      </w:r>
      <w:r w:rsidR="004D3CC3">
        <w:t xml:space="preserve"> been revised </w:t>
      </w:r>
      <w:r w:rsidR="00F265CF">
        <w:t>for this PSD</w:t>
      </w:r>
      <w:r w:rsidR="004E45B0">
        <w:t xml:space="preserve"> </w:t>
      </w:r>
      <w:r w:rsidR="004D3CC3">
        <w:t>in accordance with</w:t>
      </w:r>
      <w:r w:rsidR="004E45B0">
        <w:t xml:space="preserve"> the TGA labelling</w:t>
      </w:r>
      <w:r w:rsidR="004D3CC3">
        <w:t xml:space="preserve">, and </w:t>
      </w:r>
      <w:r w:rsidR="000279A2">
        <w:t xml:space="preserve">the </w:t>
      </w:r>
      <w:r w:rsidR="004D3CC3">
        <w:t>anticipated AMT revision.</w:t>
      </w:r>
    </w:p>
    <w:p w:rsidR="00627361" w:rsidRDefault="00627361" w:rsidP="00627361">
      <w:pPr>
        <w:pStyle w:val="3-BodyText"/>
      </w:pPr>
      <w:r w:rsidRPr="00FB7A6E">
        <w:t>The sponsor requested a flat pricing structure for both doses of MF/IND/GLY including a ‘small’ price advantage compared to high dose FP/SAL DPI plus TIO at the n</w:t>
      </w:r>
      <w:r w:rsidR="008668C2">
        <w:t xml:space="preserve">ominated equi-effective doses. </w:t>
      </w:r>
      <w:r w:rsidRPr="00A07146">
        <w:t>The requested flat pricing structure was based the clinical claim that both medium and high dose MF/IND/GLY are non-inferior</w:t>
      </w:r>
      <w:r w:rsidR="008668C2">
        <w:t xml:space="preserve"> to high dose FP/SAL plus TIO. </w:t>
      </w:r>
      <w:r w:rsidR="003F638B" w:rsidRPr="00FB7A6E">
        <w:t>No special pricing arrangement was proposed</w:t>
      </w:r>
      <w:r w:rsidR="003F638B">
        <w:t xml:space="preserve">. </w:t>
      </w:r>
    </w:p>
    <w:p w:rsidR="004F386E" w:rsidRPr="004D3CC3" w:rsidRDefault="003C53FC" w:rsidP="003C53FC">
      <w:pPr>
        <w:pStyle w:val="3-BodyText"/>
      </w:pPr>
      <w:r w:rsidRPr="00FB7A6E">
        <w:lastRenderedPageBreak/>
        <w:t>The sponsor requested an Authority Required (Streamlined) listing for two formulations: medium dose MF/IND/GLY (80/150/50) and hig</w:t>
      </w:r>
      <w:r w:rsidR="008668C2">
        <w:t>h dose MF/IND/GLY (160/150/50).</w:t>
      </w:r>
      <w:r w:rsidRPr="00FB7A6E">
        <w:t xml:space="preserve"> </w:t>
      </w:r>
      <w:r w:rsidR="004F386E" w:rsidRPr="004F386E">
        <w:t xml:space="preserve">This is consistent with the Streamline Authority Required listings for ICS/LABA FDC products used for the treatment of asthma. </w:t>
      </w:r>
      <w:r w:rsidR="00C278A0" w:rsidRPr="003C53FC">
        <w:rPr>
          <w:iCs/>
        </w:rPr>
        <w:t xml:space="preserve">As the </w:t>
      </w:r>
      <w:r w:rsidR="00031ACC" w:rsidRPr="003C53FC">
        <w:rPr>
          <w:iCs/>
        </w:rPr>
        <w:t xml:space="preserve">first </w:t>
      </w:r>
      <w:r w:rsidR="00C278A0" w:rsidRPr="003C53FC">
        <w:rPr>
          <w:iCs/>
        </w:rPr>
        <w:t xml:space="preserve">triple therapy FDC for asthma, a </w:t>
      </w:r>
      <w:r w:rsidR="004E45B0">
        <w:rPr>
          <w:iCs/>
        </w:rPr>
        <w:t xml:space="preserve">more restrictive Authority Required listing </w:t>
      </w:r>
      <w:r w:rsidR="00C278A0" w:rsidRPr="003C53FC">
        <w:rPr>
          <w:iCs/>
        </w:rPr>
        <w:t>or limits on prescriber type may be justified to minimise inappropriate use particularly in patients with less severe asthma otherwise managed on ICS or ICS/LABA.</w:t>
      </w:r>
      <w:r w:rsidR="009B2C42" w:rsidRPr="003C53FC">
        <w:rPr>
          <w:iCs/>
        </w:rPr>
        <w:t xml:space="preserve"> The PSCR argued that an Authority Required (Streamlined) listing was appropriate and is consistent with other FDC products such as the triple therapy fluticasone furoate with vilanterol and umeclidinium (FF/VI/UMEC)</w:t>
      </w:r>
      <w:r w:rsidR="002C18A8" w:rsidRPr="003C53FC">
        <w:rPr>
          <w:iCs/>
        </w:rPr>
        <w:t xml:space="preserve"> </w:t>
      </w:r>
      <w:r w:rsidR="0056692D" w:rsidRPr="003C53FC">
        <w:rPr>
          <w:iCs/>
        </w:rPr>
        <w:t xml:space="preserve">(Trelegy® Ellipta®) for </w:t>
      </w:r>
      <w:r w:rsidRPr="003C53FC">
        <w:rPr>
          <w:rFonts w:cstheme="minorHAnsi"/>
          <w:iCs/>
          <w:color w:val="000000" w:themeColor="text1"/>
        </w:rPr>
        <w:t>chronic obstructive pulmonary disease</w:t>
      </w:r>
      <w:r w:rsidRPr="003C53FC" w:rsidDel="003C53FC">
        <w:rPr>
          <w:rFonts w:cstheme="minorHAnsi"/>
          <w:iCs/>
          <w:color w:val="000000" w:themeColor="text1"/>
        </w:rPr>
        <w:t xml:space="preserve"> </w:t>
      </w:r>
      <w:r w:rsidR="003F638B">
        <w:rPr>
          <w:rFonts w:cstheme="minorHAnsi"/>
          <w:iCs/>
          <w:color w:val="000000" w:themeColor="text1"/>
        </w:rPr>
        <w:t>(</w:t>
      </w:r>
      <w:r w:rsidR="0056692D" w:rsidRPr="003C53FC">
        <w:rPr>
          <w:rFonts w:cstheme="minorHAnsi"/>
          <w:iCs/>
          <w:color w:val="000000" w:themeColor="text1"/>
        </w:rPr>
        <w:t>COPD</w:t>
      </w:r>
      <w:r w:rsidR="003F638B">
        <w:rPr>
          <w:rFonts w:cstheme="minorHAnsi"/>
          <w:iCs/>
          <w:color w:val="000000" w:themeColor="text1"/>
        </w:rPr>
        <w:t>)</w:t>
      </w:r>
      <w:r w:rsidR="0056692D" w:rsidRPr="003C53FC">
        <w:rPr>
          <w:rFonts w:cstheme="minorHAnsi"/>
          <w:iCs/>
          <w:color w:val="000000" w:themeColor="text1"/>
        </w:rPr>
        <w:t>.</w:t>
      </w:r>
      <w:r w:rsidR="00F51A6B" w:rsidRPr="003C53FC">
        <w:rPr>
          <w:rFonts w:cstheme="minorHAnsi"/>
          <w:iCs/>
          <w:color w:val="000000" w:themeColor="text1"/>
        </w:rPr>
        <w:t xml:space="preserve"> </w:t>
      </w:r>
      <w:r w:rsidR="00627361">
        <w:t>T</w:t>
      </w:r>
      <w:r w:rsidR="00627361" w:rsidRPr="00A07146">
        <w:rPr>
          <w:iCs/>
        </w:rPr>
        <w:t>he PBAC consider</w:t>
      </w:r>
      <w:r w:rsidR="00627361">
        <w:rPr>
          <w:iCs/>
        </w:rPr>
        <w:t>ed</w:t>
      </w:r>
      <w:r w:rsidR="00627361" w:rsidRPr="00A07146">
        <w:rPr>
          <w:iCs/>
        </w:rPr>
        <w:t xml:space="preserve"> a </w:t>
      </w:r>
      <w:r w:rsidR="004E45B0">
        <w:rPr>
          <w:iCs/>
        </w:rPr>
        <w:t xml:space="preserve">more restrictive </w:t>
      </w:r>
      <w:r w:rsidR="00627361" w:rsidRPr="00A07146">
        <w:rPr>
          <w:iCs/>
        </w:rPr>
        <w:t xml:space="preserve">Authority Required </w:t>
      </w:r>
      <w:r w:rsidR="004E45B0">
        <w:rPr>
          <w:iCs/>
        </w:rPr>
        <w:t>listing</w:t>
      </w:r>
      <w:r w:rsidR="00627361" w:rsidRPr="00A07146">
        <w:rPr>
          <w:iCs/>
        </w:rPr>
        <w:t xml:space="preserve"> </w:t>
      </w:r>
      <w:r w:rsidR="004E45B0">
        <w:rPr>
          <w:iCs/>
        </w:rPr>
        <w:t>(immediate assessment via t</w:t>
      </w:r>
      <w:r w:rsidR="00627361" w:rsidRPr="00A07146">
        <w:rPr>
          <w:iCs/>
        </w:rPr>
        <w:t>elephone/</w:t>
      </w:r>
      <w:r w:rsidR="004E45B0">
        <w:rPr>
          <w:iCs/>
        </w:rPr>
        <w:t>online application</w:t>
      </w:r>
      <w:r w:rsidR="00627361" w:rsidRPr="00A07146">
        <w:rPr>
          <w:iCs/>
        </w:rPr>
        <w:t xml:space="preserve">) </w:t>
      </w:r>
      <w:r w:rsidR="00627361">
        <w:rPr>
          <w:iCs/>
        </w:rPr>
        <w:t>would be</w:t>
      </w:r>
      <w:r w:rsidR="00627361" w:rsidRPr="00A07146">
        <w:rPr>
          <w:iCs/>
        </w:rPr>
        <w:t xml:space="preserve"> </w:t>
      </w:r>
      <w:r w:rsidR="00627361">
        <w:rPr>
          <w:iCs/>
        </w:rPr>
        <w:t xml:space="preserve">appropriate </w:t>
      </w:r>
      <w:r w:rsidR="00627361" w:rsidRPr="00A07146">
        <w:rPr>
          <w:iCs/>
        </w:rPr>
        <w:t xml:space="preserve">to minimise </w:t>
      </w:r>
      <w:r w:rsidR="00627361">
        <w:rPr>
          <w:iCs/>
        </w:rPr>
        <w:t xml:space="preserve">the </w:t>
      </w:r>
      <w:r w:rsidR="00627361">
        <w:t xml:space="preserve">risk of </w:t>
      </w:r>
      <w:r w:rsidR="00627361" w:rsidRPr="00A07146">
        <w:rPr>
          <w:iCs/>
        </w:rPr>
        <w:t>inappropriate use in p</w:t>
      </w:r>
      <w:r w:rsidR="003F638B">
        <w:rPr>
          <w:iCs/>
        </w:rPr>
        <w:t>atients with less severe asthma</w:t>
      </w:r>
      <w:r w:rsidR="00627361">
        <w:t>.</w:t>
      </w:r>
      <w:r w:rsidR="00566F44">
        <w:t xml:space="preserve"> In addition, the PBAC considered that confirmation that a patient is aged 18 years and over as part of </w:t>
      </w:r>
      <w:r w:rsidR="009829CC">
        <w:t xml:space="preserve">the assessment of eligibility for PBS subsidised therapy may assist in minimising any potential confusion regarding MF/IND/GLY age restrictions (see paragraph 6.44). </w:t>
      </w:r>
    </w:p>
    <w:p w:rsidR="00366211" w:rsidRPr="00AB1AE6" w:rsidRDefault="00E62171" w:rsidP="00366211">
      <w:pPr>
        <w:pStyle w:val="3-BodyText"/>
      </w:pPr>
      <w:r w:rsidRPr="00FB7A6E">
        <w:t>The requested restriction for MF/IND/GLY is consistent with the restriction of TIO for treatment of severe asthma in adults (</w:t>
      </w:r>
      <w:r w:rsidR="008668C2">
        <w:t xml:space="preserve">in combination with ICS/LABA). </w:t>
      </w:r>
      <w:r w:rsidR="003A00AD" w:rsidRPr="00A07146">
        <w:rPr>
          <w:iCs/>
        </w:rPr>
        <w:t>Under the requested listing, s</w:t>
      </w:r>
      <w:r w:rsidR="00623A38" w:rsidRPr="00A07146">
        <w:rPr>
          <w:iCs/>
        </w:rPr>
        <w:t>ymptomatic patients optimised on medium dose ICS (</w:t>
      </w:r>
      <w:r w:rsidR="003A00AD" w:rsidRPr="00A07146">
        <w:rPr>
          <w:iCs/>
        </w:rPr>
        <w:t xml:space="preserve">i.e. </w:t>
      </w:r>
      <w:r w:rsidR="00623A38" w:rsidRPr="00A07146">
        <w:rPr>
          <w:iCs/>
        </w:rPr>
        <w:t>800 mcg budesonide per day or equivalent) are eligible for treatment with triple therapy ICS/LABA/LAMA.</w:t>
      </w:r>
      <w:r w:rsidR="00AB1AE6">
        <w:rPr>
          <w:iCs/>
        </w:rPr>
        <w:t xml:space="preserve"> </w:t>
      </w:r>
    </w:p>
    <w:p w:rsidR="00AB1AE6" w:rsidRPr="00AB1AE6" w:rsidRDefault="00C8305E" w:rsidP="00366211">
      <w:pPr>
        <w:pStyle w:val="3-BodyText"/>
      </w:pPr>
      <w:r>
        <w:rPr>
          <w:iCs/>
        </w:rPr>
        <w:t xml:space="preserve">For consistency across FDC asthma products, </w:t>
      </w:r>
      <w:r w:rsidR="00AB1AE6">
        <w:rPr>
          <w:iCs/>
        </w:rPr>
        <w:t xml:space="preserve">the PBAC considered it would be appropriate for the </w:t>
      </w:r>
      <w:r>
        <w:rPr>
          <w:iCs/>
        </w:rPr>
        <w:t xml:space="preserve">listing </w:t>
      </w:r>
      <w:r w:rsidR="00AB1AE6">
        <w:rPr>
          <w:iCs/>
        </w:rPr>
        <w:t>to include the following administrative advice (and associated explanatory notes):</w:t>
      </w:r>
    </w:p>
    <w:p w:rsidR="00AB1AE6" w:rsidRDefault="00AB1AE6" w:rsidP="00AB1AE6">
      <w:pPr>
        <w:pStyle w:val="3-BodyText"/>
        <w:numPr>
          <w:ilvl w:val="1"/>
          <w:numId w:val="7"/>
        </w:numPr>
        <w:ind w:left="993" w:hanging="294"/>
      </w:pPr>
      <w:r>
        <w:t>This drug is not PBS-subsidised for the treatment of chronic obstructive pulmonary disease (COPD);</w:t>
      </w:r>
    </w:p>
    <w:p w:rsidR="00AB1AE6" w:rsidRDefault="00AB1AE6" w:rsidP="00AB1AE6">
      <w:pPr>
        <w:pStyle w:val="3-BodyText"/>
        <w:numPr>
          <w:ilvl w:val="1"/>
          <w:numId w:val="7"/>
        </w:numPr>
        <w:ind w:left="993" w:hanging="294"/>
      </w:pPr>
      <w:r>
        <w:t>This product is not indicated for the initiation of treatment in asthma;</w:t>
      </w:r>
    </w:p>
    <w:p w:rsidR="00AB1AE6" w:rsidRPr="006E15F5" w:rsidRDefault="00AB1AE6" w:rsidP="00AB1AE6">
      <w:pPr>
        <w:pStyle w:val="3-BodyText"/>
        <w:numPr>
          <w:ilvl w:val="1"/>
          <w:numId w:val="7"/>
        </w:numPr>
        <w:ind w:left="993" w:hanging="294"/>
      </w:pPr>
      <w:r>
        <w:t>The treatment must not be used in combination with an ICS/LABA, LABA/LAMA</w:t>
      </w:r>
      <w:r w:rsidR="00DD68C7">
        <w:t xml:space="preserve"> or LAMA</w:t>
      </w:r>
      <w:r>
        <w:t xml:space="preserve">, LABA or ICS monotherapy. </w:t>
      </w:r>
    </w:p>
    <w:p w:rsidR="00366211" w:rsidRPr="00366211" w:rsidRDefault="00366211" w:rsidP="00366211">
      <w:pPr>
        <w:pStyle w:val="3-BodyText"/>
        <w:numPr>
          <w:ilvl w:val="0"/>
          <w:numId w:val="0"/>
        </w:numPr>
        <w:ind w:left="720"/>
        <w:rPr>
          <w:i/>
        </w:rPr>
      </w:pPr>
      <w:r w:rsidRPr="00366211">
        <w:rPr>
          <w:i/>
        </w:rPr>
        <w:t>For more detail on PBAC’s view, see section 7 PBAC outcome.</w:t>
      </w:r>
    </w:p>
    <w:p w:rsidR="00DD254D" w:rsidRPr="00FB7A6E" w:rsidRDefault="00DD254D" w:rsidP="00DD254D">
      <w:pPr>
        <w:pStyle w:val="2-SectionHeading"/>
      </w:pPr>
      <w:bookmarkStart w:id="15" w:name="_Toc40870058"/>
      <w:r w:rsidRPr="00FB7A6E">
        <w:t>Population and disease</w:t>
      </w:r>
      <w:bookmarkEnd w:id="15"/>
    </w:p>
    <w:p w:rsidR="00DD254D" w:rsidRPr="00FB7A6E" w:rsidRDefault="00DD254D" w:rsidP="00DD254D">
      <w:pPr>
        <w:pStyle w:val="3-BodyText"/>
      </w:pPr>
      <w:r w:rsidRPr="00FB7A6E">
        <w:t xml:space="preserve">Asthma is a chronic inflammatory disease of the airways that is defined clinically as the presence of airflow limitation and respiratory symptoms (e.g. wheeze, shortness of breath, cough, </w:t>
      </w:r>
      <w:r w:rsidR="00F265CF" w:rsidRPr="00FB7A6E">
        <w:t>and chest</w:t>
      </w:r>
      <w:r w:rsidRPr="00FB7A6E">
        <w:t xml:space="preserve"> t</w:t>
      </w:r>
      <w:r w:rsidR="008668C2">
        <w:t xml:space="preserve">ightness) that vary over time. </w:t>
      </w:r>
      <w:r w:rsidRPr="00FB7A6E">
        <w:t>The primary goal of asthma pharmacotherapy is to reduce underlying inflammation and promote bronchodilation.</w:t>
      </w:r>
    </w:p>
    <w:p w:rsidR="00DD254D" w:rsidRPr="00A07146" w:rsidRDefault="00DD254D" w:rsidP="00064751">
      <w:pPr>
        <w:pStyle w:val="3-BodyText"/>
      </w:pPr>
      <w:r w:rsidRPr="00FB7A6E">
        <w:t xml:space="preserve">Asthma severity is determined by the type and amount of treatment needed to maintain adequate symptom control, with more serious disease requiring a </w:t>
      </w:r>
      <w:r w:rsidR="008668C2">
        <w:t>greater intensity of treatment.</w:t>
      </w:r>
      <w:r w:rsidRPr="00FB7A6E">
        <w:t xml:space="preserve"> Pharmacological management involves a stepwise approach</w:t>
      </w:r>
      <w:r w:rsidR="00064751">
        <w:t xml:space="preserve"> for mild to moderate asthma and a targeted approach for severe asthma</w:t>
      </w:r>
      <w:r w:rsidRPr="00FB7A6E">
        <w:t xml:space="preserve">. In the current Australian guidelines (Australian Asthma Handbook, 2019), patients who </w:t>
      </w:r>
      <w:r w:rsidRPr="00FB7A6E">
        <w:lastRenderedPageBreak/>
        <w:t xml:space="preserve">experience exacerbations or uncontrolled asthma despite medium and high dose ICS/LABA can </w:t>
      </w:r>
      <w:r w:rsidR="00064751">
        <w:t xml:space="preserve">trial </w:t>
      </w:r>
      <w:r w:rsidRPr="00FB7A6E">
        <w:t>triple ICS/LABA/LAMA treatment</w:t>
      </w:r>
      <w:r w:rsidRPr="00A07146">
        <w:t>.</w:t>
      </w:r>
      <w:r w:rsidR="00064751" w:rsidRPr="00A07146">
        <w:rPr>
          <w:iCs/>
        </w:rPr>
        <w:t xml:space="preserve"> In the Australian and international guidelines, medium dose ICS includes </w:t>
      </w:r>
      <w:r w:rsidR="00064751" w:rsidRPr="00A07146">
        <w:t xml:space="preserve">800 </w:t>
      </w:r>
      <w:r w:rsidR="00064751" w:rsidRPr="00A07146">
        <w:rPr>
          <w:rFonts w:cs="Calibri"/>
        </w:rPr>
        <w:t>mc</w:t>
      </w:r>
      <w:r w:rsidR="00064751" w:rsidRPr="00A07146">
        <w:t xml:space="preserve">g of budesonide per day or equivalent (at the upper dosage limit), and high dose ICS refers to more than 800 </w:t>
      </w:r>
      <w:r w:rsidR="00064751" w:rsidRPr="00A07146">
        <w:rPr>
          <w:rFonts w:cs="Calibri"/>
        </w:rPr>
        <w:t>mcg</w:t>
      </w:r>
      <w:r w:rsidR="00064751" w:rsidRPr="00A07146">
        <w:t xml:space="preserve"> of budesonide per day or equivalent</w:t>
      </w:r>
      <w:r w:rsidR="00D67089">
        <w:t>.</w:t>
      </w:r>
    </w:p>
    <w:p w:rsidR="009C7CBC" w:rsidRPr="00FB7A6E" w:rsidRDefault="00DD254D" w:rsidP="00C27D96">
      <w:pPr>
        <w:pStyle w:val="3-BodyText"/>
      </w:pPr>
      <w:r w:rsidRPr="00FB7A6E">
        <w:t xml:space="preserve">The submission proposed that MF/IND/GLY would be an alternative treatment option </w:t>
      </w:r>
      <w:r w:rsidR="009A1CB0" w:rsidRPr="00FB7A6E">
        <w:t xml:space="preserve">to add-on LAMA (i.e. TIO) </w:t>
      </w:r>
      <w:r w:rsidRPr="00FB7A6E">
        <w:t xml:space="preserve">in </w:t>
      </w:r>
      <w:r w:rsidR="00503AAF">
        <w:t>‘</w:t>
      </w:r>
      <w:r w:rsidRPr="00FB7A6E">
        <w:t>add-on specialised treatment</w:t>
      </w:r>
      <w:r w:rsidR="00503AAF">
        <w:t>’</w:t>
      </w:r>
      <w:r w:rsidRPr="00FB7A6E">
        <w:t xml:space="preserve"> (Step 5) for patients with uncontrolled asthma taking </w:t>
      </w:r>
      <w:r w:rsidR="009A1CB0" w:rsidRPr="00FB7A6E">
        <w:t xml:space="preserve">moderate (i.e. medium) </w:t>
      </w:r>
      <w:r w:rsidRPr="00FB7A6E">
        <w:t>or high dose ICS/LABA.</w:t>
      </w:r>
      <w:r w:rsidR="008668C2">
        <w:t xml:space="preserve"> </w:t>
      </w:r>
      <w:r w:rsidR="00DF0BF5" w:rsidRPr="00A07146">
        <w:t>Australian guidelines state that if an adult with confirmed severe asthma continues to experience frequent symptoms or</w:t>
      </w:r>
      <w:r w:rsidR="002453B4" w:rsidRPr="00A07146">
        <w:t xml:space="preserve"> </w:t>
      </w:r>
      <w:r w:rsidR="00DF0BF5" w:rsidRPr="00A07146">
        <w:t>flare-ups</w:t>
      </w:r>
      <w:r w:rsidR="002453B4" w:rsidRPr="00A07146">
        <w:t xml:space="preserve"> </w:t>
      </w:r>
      <w:r w:rsidR="00DF0BF5" w:rsidRPr="00A07146">
        <w:t xml:space="preserve">despite optimisation of inhaler technique and adherence, and treatment of comorbidities, a trial of add-on treatment with tiotropium or montelukast can be considered in primary care before referring for specialist assessment for monoclonal antibody therapy. </w:t>
      </w:r>
      <w:r w:rsidR="00064751" w:rsidRPr="00A07146">
        <w:rPr>
          <w:iCs/>
        </w:rPr>
        <w:t xml:space="preserve">If there is no improvement in </w:t>
      </w:r>
      <w:r w:rsidR="00C27D96" w:rsidRPr="00A07146">
        <w:rPr>
          <w:iCs/>
        </w:rPr>
        <w:t xml:space="preserve">asthma symptoms </w:t>
      </w:r>
      <w:r w:rsidR="00064751" w:rsidRPr="00A07146">
        <w:rPr>
          <w:iCs/>
        </w:rPr>
        <w:t xml:space="preserve">after an adequate trial, then </w:t>
      </w:r>
      <w:r w:rsidR="003841BE" w:rsidRPr="00A07146">
        <w:rPr>
          <w:iCs/>
        </w:rPr>
        <w:t xml:space="preserve">the add-on </w:t>
      </w:r>
      <w:r w:rsidR="00064751" w:rsidRPr="00A07146">
        <w:rPr>
          <w:iCs/>
        </w:rPr>
        <w:t>treatment</w:t>
      </w:r>
      <w:r w:rsidR="00C27D96" w:rsidRPr="00A07146">
        <w:rPr>
          <w:iCs/>
        </w:rPr>
        <w:t xml:space="preserve"> is ceased</w:t>
      </w:r>
      <w:r w:rsidR="00064751" w:rsidRPr="00A07146">
        <w:rPr>
          <w:iCs/>
        </w:rPr>
        <w:t>.</w:t>
      </w:r>
    </w:p>
    <w:p w:rsidR="00DD254D" w:rsidRPr="00FB7A6E" w:rsidRDefault="00DD254D" w:rsidP="005D5775">
      <w:pPr>
        <w:pStyle w:val="3-BodyText"/>
      </w:pPr>
      <w:r w:rsidRPr="00A07146">
        <w:t xml:space="preserve">Currently, none of the individual components of MF/IND/GLY are available on the PBS for asthma, therefore patients would need to step up </w:t>
      </w:r>
      <w:r w:rsidR="009C7CBC" w:rsidRPr="00A07146">
        <w:t xml:space="preserve">or switch </w:t>
      </w:r>
      <w:r w:rsidRPr="00A07146">
        <w:t xml:space="preserve">from alternative </w:t>
      </w:r>
      <w:r w:rsidR="009C7CBC" w:rsidRPr="00A07146">
        <w:t>drug combinations</w:t>
      </w:r>
      <w:r w:rsidR="008668C2">
        <w:t xml:space="preserve">. </w:t>
      </w:r>
      <w:r w:rsidR="009C7CBC" w:rsidRPr="00A07146">
        <w:t>This is similar to patients treated with other FDCs on the PBS, where the</w:t>
      </w:r>
      <w:r w:rsidR="008668C2">
        <w:t xml:space="preserve"> components are not available. </w:t>
      </w:r>
      <w:r w:rsidR="009C7CBC" w:rsidRPr="00A07146">
        <w:t>However,</w:t>
      </w:r>
      <w:r w:rsidR="00A273E9" w:rsidRPr="00A07146">
        <w:t xml:space="preserve"> if</w:t>
      </w:r>
      <w:r w:rsidR="009C7CBC" w:rsidRPr="00A07146">
        <w:t xml:space="preserve"> </w:t>
      </w:r>
      <w:r w:rsidRPr="00A07146">
        <w:t xml:space="preserve">Atectura® Breezhaler® (MF/IND) </w:t>
      </w:r>
      <w:r w:rsidR="002C171F">
        <w:t>beca</w:t>
      </w:r>
      <w:r w:rsidR="009C7CBC" w:rsidRPr="00A07146">
        <w:t xml:space="preserve">me available on the PBS, </w:t>
      </w:r>
      <w:r w:rsidRPr="00A07146">
        <w:t xml:space="preserve">then patients taking medium or high dose MF/IND could step up to triple therapy </w:t>
      </w:r>
      <w:r w:rsidR="009C7CBC" w:rsidRPr="00A07146">
        <w:t xml:space="preserve">using </w:t>
      </w:r>
      <w:r w:rsidRPr="00A07146">
        <w:t xml:space="preserve">medium </w:t>
      </w:r>
      <w:r w:rsidR="005D5775" w:rsidRPr="00A07146">
        <w:t xml:space="preserve">or </w:t>
      </w:r>
      <w:r w:rsidRPr="00A07146">
        <w:t>high dose MF/IND/GLY.</w:t>
      </w:r>
      <w:r w:rsidR="007F31CD">
        <w:t xml:space="preserve"> </w:t>
      </w:r>
    </w:p>
    <w:p w:rsidR="00F67F22" w:rsidRPr="00A07146" w:rsidRDefault="00F67F22" w:rsidP="007F6392">
      <w:pPr>
        <w:pStyle w:val="3-BodyText"/>
      </w:pPr>
      <w:r w:rsidRPr="00A07146">
        <w:t xml:space="preserve">Table </w:t>
      </w:r>
      <w:r w:rsidR="007F6392" w:rsidRPr="00A07146">
        <w:t>2</w:t>
      </w:r>
      <w:r w:rsidRPr="00A07146">
        <w:t xml:space="preserve"> summarises comparable doses of MF/IND across different formulations. The Breezhaler® </w:t>
      </w:r>
      <w:r w:rsidR="007A01F8" w:rsidRPr="00A07146">
        <w:t>device</w:t>
      </w:r>
      <w:r w:rsidRPr="00A07146">
        <w:t xml:space="preserve"> permits lower doses of MF and IN</w:t>
      </w:r>
      <w:bookmarkStart w:id="16" w:name="_Hlk39763448"/>
      <w:r w:rsidR="008668C2">
        <w:t xml:space="preserve">D compared to the Twisthaler®. </w:t>
      </w:r>
      <w:r w:rsidRPr="00A07146">
        <w:t xml:space="preserve">In addition, </w:t>
      </w:r>
      <w:r w:rsidR="007A01F8" w:rsidRPr="00A07146">
        <w:t>MF 80</w:t>
      </w:r>
      <w:r w:rsidR="00515B89" w:rsidRPr="00A07146">
        <w:t xml:space="preserve"> </w:t>
      </w:r>
      <w:r w:rsidR="007A01F8" w:rsidRPr="00A07146">
        <w:t>mcg and 160</w:t>
      </w:r>
      <w:r w:rsidR="00515B89" w:rsidRPr="00A07146">
        <w:t xml:space="preserve"> </w:t>
      </w:r>
      <w:r w:rsidR="007A01F8" w:rsidRPr="00A07146">
        <w:t>mcg in the Enerzair® Breezhaler® is comparable to MF 160</w:t>
      </w:r>
      <w:r w:rsidR="00515B89" w:rsidRPr="00A07146">
        <w:t xml:space="preserve"> </w:t>
      </w:r>
      <w:r w:rsidR="007A01F8" w:rsidRPr="00A07146">
        <w:t>mcg and 320</w:t>
      </w:r>
      <w:r w:rsidR="00515B89" w:rsidRPr="00A07146">
        <w:t xml:space="preserve"> </w:t>
      </w:r>
      <w:r w:rsidR="007A01F8" w:rsidRPr="00A07146">
        <w:t>mcg in the Atectura® Breezhaler® respectively (due to a physico-chemical interaction affecting MF fine particle mass).</w:t>
      </w:r>
      <w:r w:rsidR="007A01F8" w:rsidRPr="00FB7A6E">
        <w:rPr>
          <w:vertAlign w:val="superscript"/>
        </w:rPr>
        <w:footnoteReference w:id="1"/>
      </w:r>
      <w:bookmarkEnd w:id="16"/>
      <w:r w:rsidR="003F638B">
        <w:t xml:space="preserve"> </w:t>
      </w:r>
      <w:r w:rsidR="00625FD9">
        <w:t xml:space="preserve">The pre-PBAC response noted changes to the </w:t>
      </w:r>
      <w:r w:rsidR="00625FD9" w:rsidRPr="00360911">
        <w:t>lab</w:t>
      </w:r>
      <w:r w:rsidR="00625FD9">
        <w:t>elling and PI</w:t>
      </w:r>
      <w:r w:rsidR="00625FD9" w:rsidRPr="00360911">
        <w:t>,</w:t>
      </w:r>
      <w:r w:rsidR="00625FD9">
        <w:t xml:space="preserve"> such that the delivered dose would be</w:t>
      </w:r>
      <w:r w:rsidR="00625FD9" w:rsidRPr="00360911">
        <w:t xml:space="preserve"> displayed rather than the metered dose</w:t>
      </w:r>
      <w:r w:rsidR="00625FD9">
        <w:t xml:space="preserve"> for MF/IND and MF/IND/GLY (see paragraph 2.7).</w:t>
      </w:r>
    </w:p>
    <w:p w:rsidR="0093676E" w:rsidRDefault="0093676E">
      <w:pPr>
        <w:jc w:val="left"/>
        <w:rPr>
          <w:rFonts w:ascii="Arial Narrow" w:hAnsi="Arial Narrow"/>
          <w:b/>
          <w:sz w:val="20"/>
          <w:szCs w:val="20"/>
        </w:rPr>
      </w:pPr>
      <w:r>
        <w:rPr>
          <w:rFonts w:ascii="Arial Narrow" w:hAnsi="Arial Narrow"/>
          <w:b/>
          <w:sz w:val="20"/>
          <w:szCs w:val="20"/>
        </w:rPr>
        <w:br w:type="page"/>
      </w:r>
    </w:p>
    <w:p w:rsidR="00F67F22" w:rsidRPr="00A07146" w:rsidRDefault="007A01F8" w:rsidP="007F6392">
      <w:pPr>
        <w:rPr>
          <w:rFonts w:ascii="Arial Narrow" w:hAnsi="Arial Narrow"/>
          <w:b/>
          <w:sz w:val="20"/>
          <w:szCs w:val="20"/>
        </w:rPr>
      </w:pPr>
      <w:r w:rsidRPr="00A07146">
        <w:rPr>
          <w:rFonts w:ascii="Arial Narrow" w:hAnsi="Arial Narrow"/>
          <w:b/>
          <w:sz w:val="20"/>
          <w:szCs w:val="20"/>
        </w:rPr>
        <w:lastRenderedPageBreak/>
        <w:t xml:space="preserve">Table </w:t>
      </w:r>
      <w:r w:rsidR="007F6392" w:rsidRPr="00A07146">
        <w:rPr>
          <w:rFonts w:ascii="Arial Narrow" w:hAnsi="Arial Narrow"/>
          <w:b/>
          <w:sz w:val="20"/>
          <w:szCs w:val="20"/>
        </w:rPr>
        <w:t>2</w:t>
      </w:r>
      <w:r w:rsidR="00F67F22" w:rsidRPr="00A07146">
        <w:rPr>
          <w:rFonts w:ascii="Arial Narrow" w:hAnsi="Arial Narrow"/>
          <w:b/>
          <w:sz w:val="20"/>
          <w:szCs w:val="20"/>
        </w:rPr>
        <w:t>: Comparable doses (mcg) of MF and IND across different formulations</w:t>
      </w:r>
    </w:p>
    <w:tbl>
      <w:tblPr>
        <w:tblStyle w:val="TableGrid"/>
        <w:tblW w:w="0" w:type="auto"/>
        <w:tblCellMar>
          <w:left w:w="28" w:type="dxa"/>
          <w:right w:w="28" w:type="dxa"/>
        </w:tblCellMar>
        <w:tblLook w:val="04A0" w:firstRow="1" w:lastRow="0" w:firstColumn="1" w:lastColumn="0" w:noHBand="0" w:noVBand="1"/>
        <w:tblCaption w:val="Table 2: Comparable doses (mcg) of MF and IND across different formulations"/>
      </w:tblPr>
      <w:tblGrid>
        <w:gridCol w:w="1555"/>
        <w:gridCol w:w="2487"/>
        <w:gridCol w:w="2487"/>
        <w:gridCol w:w="2488"/>
      </w:tblGrid>
      <w:tr w:rsidR="00F67F22" w:rsidRPr="00A07146" w:rsidTr="00F352F3">
        <w:trPr>
          <w:tblHeader/>
        </w:trPr>
        <w:tc>
          <w:tcPr>
            <w:tcW w:w="1555" w:type="dxa"/>
          </w:tcPr>
          <w:p w:rsidR="00F67F22" w:rsidRPr="00A07146" w:rsidRDefault="00F67F22" w:rsidP="00F67F22">
            <w:pPr>
              <w:rPr>
                <w:rFonts w:ascii="Arial Narrow" w:hAnsi="Arial Narrow"/>
                <w:sz w:val="20"/>
                <w:szCs w:val="20"/>
              </w:rPr>
            </w:pPr>
          </w:p>
        </w:tc>
        <w:tc>
          <w:tcPr>
            <w:tcW w:w="2487" w:type="dxa"/>
            <w:vAlign w:val="center"/>
          </w:tcPr>
          <w:p w:rsidR="00F67F22" w:rsidRPr="00A07146" w:rsidRDefault="002453B4" w:rsidP="002453B4">
            <w:pPr>
              <w:jc w:val="center"/>
              <w:rPr>
                <w:rFonts w:ascii="Arial Narrow" w:hAnsi="Arial Narrow"/>
                <w:sz w:val="20"/>
                <w:szCs w:val="20"/>
              </w:rPr>
            </w:pPr>
            <w:r w:rsidRPr="00A07146">
              <w:rPr>
                <w:rFonts w:ascii="Arial Narrow" w:hAnsi="Arial Narrow"/>
                <w:sz w:val="20"/>
                <w:szCs w:val="20"/>
              </w:rPr>
              <w:t xml:space="preserve">MF/IND via </w:t>
            </w:r>
            <w:r w:rsidR="00F67F22" w:rsidRPr="00A07146">
              <w:rPr>
                <w:rFonts w:ascii="Arial Narrow" w:hAnsi="Arial Narrow"/>
                <w:sz w:val="20"/>
                <w:szCs w:val="20"/>
              </w:rPr>
              <w:t>Twisthaler®</w:t>
            </w:r>
          </w:p>
        </w:tc>
        <w:tc>
          <w:tcPr>
            <w:tcW w:w="2487" w:type="dxa"/>
            <w:vAlign w:val="center"/>
          </w:tcPr>
          <w:p w:rsidR="00F67F22" w:rsidRPr="00A07146" w:rsidRDefault="00F67F22" w:rsidP="00F67F22">
            <w:pPr>
              <w:jc w:val="center"/>
              <w:rPr>
                <w:rFonts w:ascii="Arial Narrow" w:hAnsi="Arial Narrow"/>
                <w:sz w:val="20"/>
                <w:szCs w:val="20"/>
              </w:rPr>
            </w:pPr>
            <w:r w:rsidRPr="00A07146">
              <w:rPr>
                <w:rFonts w:ascii="Arial Narrow" w:hAnsi="Arial Narrow"/>
                <w:sz w:val="20"/>
                <w:szCs w:val="20"/>
              </w:rPr>
              <w:t>Atectura® Breezhaler®</w:t>
            </w:r>
          </w:p>
          <w:p w:rsidR="00F67F22" w:rsidRPr="00A07146" w:rsidRDefault="00F67F22" w:rsidP="00F67F22">
            <w:pPr>
              <w:jc w:val="center"/>
              <w:rPr>
                <w:rFonts w:ascii="Arial Narrow" w:hAnsi="Arial Narrow"/>
                <w:sz w:val="20"/>
                <w:szCs w:val="20"/>
              </w:rPr>
            </w:pPr>
            <w:r w:rsidRPr="00A07146">
              <w:rPr>
                <w:rFonts w:ascii="Arial Narrow" w:hAnsi="Arial Narrow"/>
                <w:sz w:val="20"/>
                <w:szCs w:val="20"/>
              </w:rPr>
              <w:t>(MF/IND)</w:t>
            </w:r>
          </w:p>
        </w:tc>
        <w:tc>
          <w:tcPr>
            <w:tcW w:w="2488" w:type="dxa"/>
            <w:vAlign w:val="center"/>
          </w:tcPr>
          <w:p w:rsidR="00F67F22" w:rsidRPr="00A07146" w:rsidRDefault="00F67F22" w:rsidP="00F67F22">
            <w:pPr>
              <w:jc w:val="center"/>
              <w:rPr>
                <w:rFonts w:ascii="Arial Narrow" w:hAnsi="Arial Narrow"/>
                <w:sz w:val="20"/>
                <w:szCs w:val="20"/>
              </w:rPr>
            </w:pPr>
            <w:r w:rsidRPr="00A07146">
              <w:rPr>
                <w:rFonts w:ascii="Arial Narrow" w:hAnsi="Arial Narrow"/>
                <w:sz w:val="20"/>
                <w:szCs w:val="20"/>
              </w:rPr>
              <w:t>Enerzair® Breezhaler®</w:t>
            </w:r>
          </w:p>
          <w:p w:rsidR="00F67F22" w:rsidRPr="00A07146" w:rsidRDefault="00F67F22" w:rsidP="00F67F22">
            <w:pPr>
              <w:jc w:val="center"/>
              <w:rPr>
                <w:rFonts w:ascii="Arial Narrow" w:hAnsi="Arial Narrow"/>
                <w:sz w:val="20"/>
                <w:szCs w:val="20"/>
              </w:rPr>
            </w:pPr>
            <w:r w:rsidRPr="00A07146">
              <w:rPr>
                <w:rFonts w:ascii="Arial Narrow" w:hAnsi="Arial Narrow"/>
                <w:sz w:val="20"/>
                <w:szCs w:val="20"/>
              </w:rPr>
              <w:t>(MF/IND/GLY)</w:t>
            </w:r>
          </w:p>
        </w:tc>
      </w:tr>
      <w:tr w:rsidR="00F67F22" w:rsidRPr="00A07146" w:rsidTr="00F67F22">
        <w:tc>
          <w:tcPr>
            <w:tcW w:w="1555" w:type="dxa"/>
          </w:tcPr>
          <w:p w:rsidR="00F67F22" w:rsidRPr="00A07146" w:rsidRDefault="00F67F22" w:rsidP="00F67F22">
            <w:pPr>
              <w:rPr>
                <w:rFonts w:ascii="Arial Narrow" w:hAnsi="Arial Narrow"/>
                <w:b/>
                <w:sz w:val="20"/>
                <w:szCs w:val="20"/>
              </w:rPr>
            </w:pPr>
            <w:r w:rsidRPr="00A07146">
              <w:rPr>
                <w:rFonts w:ascii="Arial Narrow" w:hAnsi="Arial Narrow"/>
                <w:b/>
                <w:sz w:val="20"/>
                <w:szCs w:val="20"/>
              </w:rPr>
              <w:t>Medium dose MF</w:t>
            </w:r>
          </w:p>
        </w:tc>
        <w:tc>
          <w:tcPr>
            <w:tcW w:w="2487" w:type="dxa"/>
            <w:vAlign w:val="center"/>
          </w:tcPr>
          <w:p w:rsidR="00F67F22" w:rsidRPr="00A07146" w:rsidRDefault="00F67F22" w:rsidP="00F67F22">
            <w:pPr>
              <w:jc w:val="center"/>
              <w:rPr>
                <w:rFonts w:ascii="Arial Narrow" w:hAnsi="Arial Narrow"/>
                <w:sz w:val="20"/>
                <w:szCs w:val="20"/>
              </w:rPr>
            </w:pPr>
            <w:r w:rsidRPr="00A07146">
              <w:rPr>
                <w:rFonts w:ascii="Arial Narrow" w:hAnsi="Arial Narrow"/>
                <w:sz w:val="20"/>
                <w:szCs w:val="20"/>
              </w:rPr>
              <w:t>400/500 once daily</w:t>
            </w:r>
          </w:p>
        </w:tc>
        <w:tc>
          <w:tcPr>
            <w:tcW w:w="2487" w:type="dxa"/>
            <w:vAlign w:val="center"/>
          </w:tcPr>
          <w:p w:rsidR="00F67F22" w:rsidRPr="00A07146" w:rsidRDefault="00F67F22" w:rsidP="00F67F22">
            <w:pPr>
              <w:jc w:val="center"/>
              <w:rPr>
                <w:rFonts w:ascii="Arial Narrow" w:hAnsi="Arial Narrow"/>
                <w:sz w:val="20"/>
                <w:szCs w:val="20"/>
              </w:rPr>
            </w:pPr>
            <w:r w:rsidRPr="00A07146">
              <w:rPr>
                <w:rFonts w:ascii="Arial Narrow" w:hAnsi="Arial Narrow"/>
                <w:sz w:val="20"/>
                <w:szCs w:val="20"/>
              </w:rPr>
              <w:t>160/150 once daily</w:t>
            </w:r>
          </w:p>
        </w:tc>
        <w:tc>
          <w:tcPr>
            <w:tcW w:w="2488" w:type="dxa"/>
            <w:vAlign w:val="center"/>
          </w:tcPr>
          <w:p w:rsidR="00F67F22" w:rsidRPr="00A07146" w:rsidRDefault="00F67F22" w:rsidP="00F67F22">
            <w:pPr>
              <w:jc w:val="center"/>
              <w:rPr>
                <w:rFonts w:ascii="Arial Narrow" w:hAnsi="Arial Narrow"/>
                <w:sz w:val="20"/>
                <w:szCs w:val="20"/>
              </w:rPr>
            </w:pPr>
            <w:r w:rsidRPr="00A07146">
              <w:rPr>
                <w:rFonts w:ascii="Arial Narrow" w:hAnsi="Arial Narrow"/>
                <w:sz w:val="20"/>
                <w:szCs w:val="20"/>
              </w:rPr>
              <w:t>80/150/50 once daily</w:t>
            </w:r>
          </w:p>
        </w:tc>
      </w:tr>
      <w:tr w:rsidR="00F67F22" w:rsidRPr="00A07146" w:rsidTr="00F67F22">
        <w:tc>
          <w:tcPr>
            <w:tcW w:w="1555" w:type="dxa"/>
          </w:tcPr>
          <w:p w:rsidR="00F67F22" w:rsidRPr="00A07146" w:rsidRDefault="00F67F22" w:rsidP="00F67F22">
            <w:pPr>
              <w:rPr>
                <w:rFonts w:ascii="Arial Narrow" w:hAnsi="Arial Narrow"/>
                <w:b/>
                <w:sz w:val="20"/>
                <w:szCs w:val="20"/>
              </w:rPr>
            </w:pPr>
            <w:r w:rsidRPr="00A07146">
              <w:rPr>
                <w:rFonts w:ascii="Arial Narrow" w:hAnsi="Arial Narrow"/>
                <w:b/>
                <w:sz w:val="20"/>
                <w:szCs w:val="20"/>
              </w:rPr>
              <w:t>High dose MF</w:t>
            </w:r>
          </w:p>
        </w:tc>
        <w:tc>
          <w:tcPr>
            <w:tcW w:w="2487" w:type="dxa"/>
            <w:vAlign w:val="center"/>
          </w:tcPr>
          <w:p w:rsidR="00F67F22" w:rsidRPr="00A07146" w:rsidRDefault="00F67F22" w:rsidP="00F67F22">
            <w:pPr>
              <w:jc w:val="center"/>
              <w:rPr>
                <w:rFonts w:ascii="Arial Narrow" w:hAnsi="Arial Narrow"/>
                <w:sz w:val="20"/>
                <w:szCs w:val="20"/>
              </w:rPr>
            </w:pPr>
            <w:r w:rsidRPr="00A07146">
              <w:rPr>
                <w:rFonts w:ascii="Arial Narrow" w:hAnsi="Arial Narrow"/>
                <w:sz w:val="20"/>
                <w:szCs w:val="20"/>
              </w:rPr>
              <w:t>400/500 twice daily</w:t>
            </w:r>
          </w:p>
        </w:tc>
        <w:tc>
          <w:tcPr>
            <w:tcW w:w="2487" w:type="dxa"/>
            <w:vAlign w:val="center"/>
          </w:tcPr>
          <w:p w:rsidR="00F67F22" w:rsidRPr="00A07146" w:rsidRDefault="00F67F22" w:rsidP="00F67F22">
            <w:pPr>
              <w:jc w:val="center"/>
              <w:rPr>
                <w:rFonts w:ascii="Arial Narrow" w:hAnsi="Arial Narrow"/>
                <w:sz w:val="20"/>
                <w:szCs w:val="20"/>
              </w:rPr>
            </w:pPr>
            <w:r w:rsidRPr="00A07146">
              <w:rPr>
                <w:rFonts w:ascii="Arial Narrow" w:hAnsi="Arial Narrow"/>
                <w:sz w:val="20"/>
                <w:szCs w:val="20"/>
              </w:rPr>
              <w:t>320/150 once daily</w:t>
            </w:r>
          </w:p>
        </w:tc>
        <w:tc>
          <w:tcPr>
            <w:tcW w:w="2488" w:type="dxa"/>
            <w:vAlign w:val="center"/>
          </w:tcPr>
          <w:p w:rsidR="00F67F22" w:rsidRPr="00A07146" w:rsidRDefault="00F67F22" w:rsidP="00F67F22">
            <w:pPr>
              <w:jc w:val="center"/>
              <w:rPr>
                <w:rFonts w:ascii="Arial Narrow" w:hAnsi="Arial Narrow"/>
                <w:sz w:val="20"/>
                <w:szCs w:val="20"/>
              </w:rPr>
            </w:pPr>
            <w:r w:rsidRPr="00A07146">
              <w:rPr>
                <w:rFonts w:ascii="Arial Narrow" w:hAnsi="Arial Narrow"/>
                <w:sz w:val="20"/>
                <w:szCs w:val="20"/>
              </w:rPr>
              <w:t>160/150/50 once daily</w:t>
            </w:r>
          </w:p>
        </w:tc>
      </w:tr>
    </w:tbl>
    <w:p w:rsidR="00F67F22" w:rsidRPr="00A07146" w:rsidRDefault="00F67F22" w:rsidP="00F67F22">
      <w:pPr>
        <w:rPr>
          <w:rFonts w:ascii="Arial Narrow" w:hAnsi="Arial Narrow"/>
          <w:sz w:val="18"/>
        </w:rPr>
      </w:pPr>
      <w:r w:rsidRPr="00A07146">
        <w:rPr>
          <w:rFonts w:ascii="Arial Narrow" w:hAnsi="Arial Narrow"/>
          <w:sz w:val="18"/>
        </w:rPr>
        <w:t xml:space="preserve">Abbreviations: GLY=glycopyrronium; IND=indacaterol; MF=mometasone furoate; </w:t>
      </w:r>
    </w:p>
    <w:p w:rsidR="00F67F22" w:rsidRPr="00FB7A6E" w:rsidRDefault="00F67F22" w:rsidP="009A1CB0">
      <w:pPr>
        <w:pStyle w:val="TableFigureFooter"/>
      </w:pPr>
      <w:r w:rsidRPr="00FB7A6E">
        <w:t>Source: constructed during the evaluation from the TGA Clinical Evaluation Report, Section 2.4.1 Formulation development.</w:t>
      </w:r>
    </w:p>
    <w:p w:rsidR="00366211" w:rsidRPr="00366211" w:rsidRDefault="00366211" w:rsidP="00366211">
      <w:pPr>
        <w:pStyle w:val="3-BodyText"/>
        <w:numPr>
          <w:ilvl w:val="0"/>
          <w:numId w:val="0"/>
        </w:numPr>
        <w:ind w:left="720"/>
        <w:rPr>
          <w:i/>
        </w:rPr>
      </w:pPr>
      <w:bookmarkStart w:id="17" w:name="_Toc40870059"/>
      <w:r w:rsidRPr="00366211">
        <w:rPr>
          <w:i/>
        </w:rPr>
        <w:t>For more detail on PBAC’s view, see section 7 PBAC outcome.</w:t>
      </w:r>
    </w:p>
    <w:p w:rsidR="00DD254D" w:rsidRPr="00FB7A6E" w:rsidRDefault="00DD254D" w:rsidP="00DD254D">
      <w:pPr>
        <w:pStyle w:val="2-SectionHeading"/>
      </w:pPr>
      <w:r w:rsidRPr="00FB7A6E">
        <w:t>Comparator</w:t>
      </w:r>
      <w:bookmarkEnd w:id="17"/>
    </w:p>
    <w:p w:rsidR="00864628" w:rsidRPr="00A07146" w:rsidRDefault="00864628" w:rsidP="00864628">
      <w:pPr>
        <w:pStyle w:val="3-BodyText"/>
        <w:rPr>
          <w:snapToGrid/>
        </w:rPr>
      </w:pPr>
      <w:r w:rsidRPr="00FB7A6E">
        <w:t xml:space="preserve">The submission stated that medium and high dose MF/IND/GLY </w:t>
      </w:r>
      <w:r w:rsidR="00F265CF" w:rsidRPr="00FB7A6E">
        <w:t>would</w:t>
      </w:r>
      <w:r w:rsidRPr="00FB7A6E">
        <w:t xml:space="preserve"> substitute for the ‘loose’ combination of high dose ICS/LABA FD</w:t>
      </w:r>
      <w:r w:rsidR="008668C2">
        <w:t xml:space="preserve">C + LAMA available on the PBS. </w:t>
      </w:r>
      <w:r w:rsidRPr="00FB7A6E">
        <w:t xml:space="preserve">For the clinical comparison, the submission nominated FP/SAL DPI 500/50 </w:t>
      </w:r>
      <w:r w:rsidRPr="00FB7A6E">
        <w:rPr>
          <w:rFonts w:cs="Calibri"/>
        </w:rPr>
        <w:t>mc</w:t>
      </w:r>
      <w:r w:rsidRPr="00FB7A6E">
        <w:t xml:space="preserve">g one actuation twice daily plus TIO 2.5 </w:t>
      </w:r>
      <w:r w:rsidRPr="00FB7A6E">
        <w:rPr>
          <w:rFonts w:cs="Calibri"/>
        </w:rPr>
        <w:t>mc</w:t>
      </w:r>
      <w:r w:rsidRPr="00FB7A6E">
        <w:t>g two actuations once daily as the main comparator.</w:t>
      </w:r>
    </w:p>
    <w:p w:rsidR="00864628" w:rsidRPr="00A07146" w:rsidRDefault="003F638B" w:rsidP="00864628">
      <w:pPr>
        <w:pStyle w:val="3-BodyText"/>
        <w:rPr>
          <w:snapToGrid/>
        </w:rPr>
      </w:pPr>
      <w:r>
        <w:t>During the</w:t>
      </w:r>
      <w:r w:rsidR="00864628" w:rsidRPr="00A07146">
        <w:t xml:space="preserve"> </w:t>
      </w:r>
      <w:r w:rsidR="00F265CF">
        <w:t>evaluation,</w:t>
      </w:r>
      <w:r>
        <w:t xml:space="preserve"> it was</w:t>
      </w:r>
      <w:r w:rsidR="001F63DF">
        <w:t xml:space="preserve"> considered the </w:t>
      </w:r>
      <w:r w:rsidR="00864628" w:rsidRPr="00A07146">
        <w:t xml:space="preserve">nominated comparison between medium dose MF/IND/GLY versus high dose ICS/LABA + LAMA was not </w:t>
      </w:r>
      <w:r w:rsidR="00864628" w:rsidRPr="00900B34">
        <w:t xml:space="preserve">adequately </w:t>
      </w:r>
      <w:r w:rsidR="00864628" w:rsidRPr="00A07146">
        <w:t xml:space="preserve">justified and may </w:t>
      </w:r>
      <w:r w:rsidR="008668C2">
        <w:t xml:space="preserve">not be clinically appropriate. </w:t>
      </w:r>
      <w:r w:rsidR="00864628" w:rsidRPr="00A07146">
        <w:t xml:space="preserve">In practice, medium dose MF/IND/GLY </w:t>
      </w:r>
      <w:r w:rsidR="00DE5884">
        <w:t>may</w:t>
      </w:r>
      <w:r w:rsidR="00DE5884" w:rsidRPr="00A07146">
        <w:t xml:space="preserve"> </w:t>
      </w:r>
      <w:r w:rsidR="00864628" w:rsidRPr="00A07146">
        <w:t>substitute for medium dose ICS/LABA FDC + LAMA given:</w:t>
      </w:r>
    </w:p>
    <w:p w:rsidR="00BA0F2E" w:rsidRPr="00DB6C89" w:rsidRDefault="00864628" w:rsidP="006831B2">
      <w:pPr>
        <w:pStyle w:val="3-BodyText"/>
        <w:numPr>
          <w:ilvl w:val="0"/>
          <w:numId w:val="5"/>
        </w:numPr>
        <w:rPr>
          <w:snapToGrid/>
        </w:rPr>
      </w:pPr>
      <w:r w:rsidRPr="00A07146">
        <w:rPr>
          <w:snapToGrid/>
        </w:rPr>
        <w:t xml:space="preserve">Symptomatic patients taking optimised medium dose ICS/LABA (i.e. 800 mcg of budesonide per day or equivalent) are eligible for triple therapy on the </w:t>
      </w:r>
      <w:r w:rsidR="009411E6" w:rsidRPr="00A07146">
        <w:rPr>
          <w:snapToGrid/>
        </w:rPr>
        <w:t>PBS.</w:t>
      </w:r>
      <w:r w:rsidR="009411E6" w:rsidRPr="00A07146">
        <w:t xml:space="preserve"> Patients</w:t>
      </w:r>
      <w:r w:rsidRPr="00A07146">
        <w:t xml:space="preserve"> are likely to step up from optimised medium dose ICS/LABA to medium dose ICS/LABA/LAMA without concurrently changing the dose of ICS.</w:t>
      </w:r>
    </w:p>
    <w:p w:rsidR="00864628" w:rsidRPr="00A07146" w:rsidRDefault="00864628" w:rsidP="00864628">
      <w:pPr>
        <w:pStyle w:val="3-BodyText"/>
        <w:rPr>
          <w:snapToGrid/>
        </w:rPr>
      </w:pPr>
      <w:bookmarkStart w:id="18" w:name="_Hlk39822478"/>
      <w:r w:rsidRPr="00A07146">
        <w:rPr>
          <w:snapToGrid/>
        </w:rPr>
        <w:t xml:space="preserve">A comparison between </w:t>
      </w:r>
      <w:r w:rsidRPr="00A07146">
        <w:t xml:space="preserve">medium dose MF/IND/GLY versus medium dose ICS/LABA + LAMA </w:t>
      </w:r>
      <w:r w:rsidR="00C5539F" w:rsidRPr="00C238A4">
        <w:t xml:space="preserve">was </w:t>
      </w:r>
      <w:r w:rsidRPr="00A07146">
        <w:t>also consistent with the submission for Atectura® Breezhaler®</w:t>
      </w:r>
      <w:r w:rsidR="007E5863" w:rsidRPr="00A07146">
        <w:t xml:space="preserve"> (MF/IND)</w:t>
      </w:r>
      <w:r w:rsidR="008668C2">
        <w:t>.</w:t>
      </w:r>
      <w:r w:rsidRPr="00A07146">
        <w:t xml:space="preserve"> In that submission, the sponsor requested listing of medium dose MF/IND assuming non-infe</w:t>
      </w:r>
      <w:r w:rsidR="008668C2">
        <w:t xml:space="preserve">riority to medium dose FP/SAL. </w:t>
      </w:r>
      <w:r w:rsidRPr="00A07146">
        <w:t>Given medium dose MF/IND/GLY provides a step up for medium dose MF/IND at comparable doses of MF, then it follows that medium dose MF/IND/GLY also provides a step up for medium dose FP/SAL at comparable doses of ICS.</w:t>
      </w:r>
    </w:p>
    <w:bookmarkEnd w:id="18"/>
    <w:p w:rsidR="00DD254D" w:rsidRPr="00A07146" w:rsidRDefault="00DD254D" w:rsidP="00DD254D">
      <w:pPr>
        <w:pStyle w:val="3-BodyText"/>
        <w:rPr>
          <w:snapToGrid/>
        </w:rPr>
      </w:pPr>
      <w:r w:rsidRPr="00FB7A6E">
        <w:rPr>
          <w:snapToGrid/>
        </w:rPr>
        <w:t xml:space="preserve">The submission argued that MF/IND/GLY dry powder capsules would most likely replace </w:t>
      </w:r>
      <w:r w:rsidR="00864628" w:rsidRPr="00FB7A6E">
        <w:rPr>
          <w:snapToGrid/>
        </w:rPr>
        <w:t xml:space="preserve">ICS/LABA </w:t>
      </w:r>
      <w:r w:rsidRPr="00FB7A6E">
        <w:rPr>
          <w:snapToGrid/>
        </w:rPr>
        <w:t xml:space="preserve">DPIs </w:t>
      </w:r>
      <w:r w:rsidR="002333C4" w:rsidRPr="00FB7A6E">
        <w:rPr>
          <w:snapToGrid/>
        </w:rPr>
        <w:t>(+LAMA) rather than ICS/LABA</w:t>
      </w:r>
      <w:r w:rsidRPr="00FB7A6E">
        <w:rPr>
          <w:snapToGrid/>
        </w:rPr>
        <w:t xml:space="preserve"> metered dose inhalers (MDIs)</w:t>
      </w:r>
      <w:r w:rsidR="002333C4" w:rsidRPr="00FB7A6E">
        <w:rPr>
          <w:snapToGrid/>
        </w:rPr>
        <w:t xml:space="preserve"> given little switching between DPIs and MDIs on the PBS</w:t>
      </w:r>
      <w:r w:rsidR="008668C2">
        <w:rPr>
          <w:snapToGrid/>
        </w:rPr>
        <w:t xml:space="preserve">. </w:t>
      </w:r>
      <w:r w:rsidR="002333C4" w:rsidRPr="00A07146">
        <w:rPr>
          <w:snapToGrid/>
        </w:rPr>
        <w:t xml:space="preserve">ICS/LABA </w:t>
      </w:r>
      <w:r w:rsidRPr="00A07146">
        <w:rPr>
          <w:snapToGrid/>
        </w:rPr>
        <w:t>MDIs are relevant comparators given the</w:t>
      </w:r>
      <w:r w:rsidR="008668C2">
        <w:rPr>
          <w:snapToGrid/>
        </w:rPr>
        <w:t xml:space="preserve">y can be replaced in practice. </w:t>
      </w:r>
      <w:r w:rsidR="00CD4DA0" w:rsidRPr="00A07146">
        <w:rPr>
          <w:snapToGrid/>
        </w:rPr>
        <w:t>Furthermore</w:t>
      </w:r>
      <w:r w:rsidR="007E5863" w:rsidRPr="00A07146">
        <w:rPr>
          <w:snapToGrid/>
        </w:rPr>
        <w:t>,</w:t>
      </w:r>
      <w:r w:rsidR="00CD4DA0" w:rsidRPr="00A07146">
        <w:rPr>
          <w:snapToGrid/>
        </w:rPr>
        <w:t xml:space="preserve"> i</w:t>
      </w:r>
      <w:r w:rsidRPr="00A07146">
        <w:rPr>
          <w:snapToGrid/>
        </w:rPr>
        <w:t xml:space="preserve">t is likely that patients taking </w:t>
      </w:r>
      <w:r w:rsidR="002333C4" w:rsidRPr="00A07146">
        <w:rPr>
          <w:snapToGrid/>
        </w:rPr>
        <w:t xml:space="preserve">the </w:t>
      </w:r>
      <w:r w:rsidRPr="00A07146">
        <w:rPr>
          <w:snapToGrid/>
        </w:rPr>
        <w:t>loose</w:t>
      </w:r>
      <w:r w:rsidR="002333C4" w:rsidRPr="00A07146">
        <w:rPr>
          <w:snapToGrid/>
        </w:rPr>
        <w:t xml:space="preserve"> combination of</w:t>
      </w:r>
      <w:r w:rsidRPr="00A07146">
        <w:rPr>
          <w:snapToGrid/>
        </w:rPr>
        <w:t xml:space="preserve"> </w:t>
      </w:r>
      <w:r w:rsidR="002333C4" w:rsidRPr="00A07146">
        <w:rPr>
          <w:snapToGrid/>
        </w:rPr>
        <w:t xml:space="preserve">an </w:t>
      </w:r>
      <w:r w:rsidRPr="00A07146">
        <w:rPr>
          <w:snapToGrid/>
        </w:rPr>
        <w:t>ICS/</w:t>
      </w:r>
      <w:r w:rsidR="005B146C" w:rsidRPr="00A07146">
        <w:rPr>
          <w:snapToGrid/>
        </w:rPr>
        <w:t xml:space="preserve">LABA </w:t>
      </w:r>
      <w:r w:rsidRPr="00A07146">
        <w:rPr>
          <w:snapToGrid/>
        </w:rPr>
        <w:t xml:space="preserve">MDI + </w:t>
      </w:r>
      <w:r w:rsidR="002333C4" w:rsidRPr="00A07146">
        <w:rPr>
          <w:snapToGrid/>
        </w:rPr>
        <w:t xml:space="preserve">LAMA </w:t>
      </w:r>
      <w:r w:rsidRPr="00A07146">
        <w:rPr>
          <w:snapToGrid/>
        </w:rPr>
        <w:t xml:space="preserve">may </w:t>
      </w:r>
      <w:r w:rsidR="00CD4DA0" w:rsidRPr="00A07146">
        <w:rPr>
          <w:snapToGrid/>
        </w:rPr>
        <w:t xml:space="preserve">prefer to </w:t>
      </w:r>
      <w:r w:rsidRPr="00A07146">
        <w:rPr>
          <w:snapToGrid/>
        </w:rPr>
        <w:t>switch to MF/IND/GLY</w:t>
      </w:r>
      <w:r w:rsidR="00CD4DA0" w:rsidRPr="00A07146">
        <w:rPr>
          <w:snapToGrid/>
        </w:rPr>
        <w:t xml:space="preserve"> given a single inhaler is more convenient and has lower out-of-pocket costs (i.e. one co-payment rather than two co-payments)</w:t>
      </w:r>
      <w:r w:rsidR="008668C2">
        <w:rPr>
          <w:snapToGrid/>
        </w:rPr>
        <w:t xml:space="preserve">. </w:t>
      </w:r>
      <w:r w:rsidRPr="00A07146">
        <w:rPr>
          <w:snapToGrid/>
        </w:rPr>
        <w:t>In past decisions, the PBAC has accepted DPI and MDI formulations as relevant comparators for each other (</w:t>
      </w:r>
      <w:r w:rsidR="00363F3A" w:rsidRPr="00A07146">
        <w:rPr>
          <w:snapToGrid/>
        </w:rPr>
        <w:t xml:space="preserve">page 2, </w:t>
      </w:r>
      <w:r w:rsidRPr="00A07146">
        <w:rPr>
          <w:snapToGrid/>
        </w:rPr>
        <w:t>budesonide with eformoterol fumarate</w:t>
      </w:r>
      <w:r w:rsidR="00363F3A" w:rsidRPr="00A07146">
        <w:rPr>
          <w:snapToGrid/>
        </w:rPr>
        <w:t xml:space="preserve"> FDC,</w:t>
      </w:r>
      <w:r w:rsidRPr="00A07146">
        <w:rPr>
          <w:snapToGrid/>
        </w:rPr>
        <w:t xml:space="preserve"> PSD July 2013 PBAC meeting).</w:t>
      </w:r>
    </w:p>
    <w:p w:rsidR="00DD254D" w:rsidRPr="00366211" w:rsidRDefault="00CD4DA0" w:rsidP="00DD254D">
      <w:pPr>
        <w:pStyle w:val="3-BodyText"/>
        <w:rPr>
          <w:snapToGrid/>
        </w:rPr>
      </w:pPr>
      <w:r w:rsidRPr="00A07146">
        <w:rPr>
          <w:iCs/>
        </w:rPr>
        <w:t xml:space="preserve">The submission </w:t>
      </w:r>
      <w:r w:rsidR="00036E2C" w:rsidRPr="00A07146">
        <w:rPr>
          <w:iCs/>
        </w:rPr>
        <w:t xml:space="preserve">also </w:t>
      </w:r>
      <w:r w:rsidRPr="00A07146">
        <w:rPr>
          <w:iCs/>
        </w:rPr>
        <w:t xml:space="preserve">identified Trelegy® Ellipta®, </w:t>
      </w:r>
      <w:r w:rsidRPr="00BA3106">
        <w:rPr>
          <w:iCs/>
        </w:rPr>
        <w:t xml:space="preserve">the </w:t>
      </w:r>
      <w:r w:rsidR="00036E2C" w:rsidRPr="00BA3106">
        <w:rPr>
          <w:iCs/>
        </w:rPr>
        <w:t xml:space="preserve">triple therapy </w:t>
      </w:r>
      <w:r w:rsidRPr="00BA3106">
        <w:rPr>
          <w:iCs/>
        </w:rPr>
        <w:t xml:space="preserve">FDC of </w:t>
      </w:r>
      <w:r w:rsidR="00BA3106" w:rsidRPr="00BA3106">
        <w:rPr>
          <w:iCs/>
        </w:rPr>
        <w:t>FF/VI/UMEC</w:t>
      </w:r>
      <w:r w:rsidR="00036E2C" w:rsidRPr="00A07146">
        <w:rPr>
          <w:iCs/>
        </w:rPr>
        <w:t xml:space="preserve"> as a near-market comparator, noting that it was recently approved for asthma in Europe and that </w:t>
      </w:r>
      <w:r w:rsidR="00DD254D" w:rsidRPr="00A07146">
        <w:rPr>
          <w:iCs/>
        </w:rPr>
        <w:t xml:space="preserve">the sponsor expects TGA registration and a PBAC submission is </w:t>
      </w:r>
      <w:r w:rsidR="00DD254D" w:rsidRPr="00A07146">
        <w:rPr>
          <w:iCs/>
        </w:rPr>
        <w:lastRenderedPageBreak/>
        <w:t>forthcoming.</w:t>
      </w:r>
      <w:r w:rsidR="008668C2">
        <w:rPr>
          <w:iCs/>
        </w:rPr>
        <w:t xml:space="preserve"> </w:t>
      </w:r>
      <w:r w:rsidR="00FA0C7E" w:rsidRPr="00A07146">
        <w:rPr>
          <w:iCs/>
        </w:rPr>
        <w:t>One strength of Trelegy® Ellipta® (</w:t>
      </w:r>
      <w:r w:rsidR="00437108" w:rsidRPr="00A07146">
        <w:rPr>
          <w:iCs/>
        </w:rPr>
        <w:t>FF/VI/UMEC 100/25/62.5</w:t>
      </w:r>
      <w:r w:rsidR="00FA0C7E" w:rsidRPr="00A07146">
        <w:rPr>
          <w:iCs/>
        </w:rPr>
        <w:t>)</w:t>
      </w:r>
      <w:r w:rsidR="00437108" w:rsidRPr="00A07146">
        <w:rPr>
          <w:iCs/>
        </w:rPr>
        <w:t xml:space="preserve"> is PBS listed for COPD.</w:t>
      </w:r>
    </w:p>
    <w:p w:rsidR="00366211" w:rsidRPr="00366211" w:rsidRDefault="00366211" w:rsidP="00366211">
      <w:pPr>
        <w:pStyle w:val="3-BodyText"/>
        <w:numPr>
          <w:ilvl w:val="0"/>
          <w:numId w:val="0"/>
        </w:numPr>
        <w:ind w:left="720"/>
        <w:rPr>
          <w:i/>
        </w:rPr>
      </w:pPr>
      <w:r w:rsidRPr="00366211">
        <w:rPr>
          <w:i/>
        </w:rPr>
        <w:t>For more detail on PBAC’s view, see section 7 PBAC outcome.</w:t>
      </w:r>
    </w:p>
    <w:p w:rsidR="00DD254D" w:rsidRPr="00FB7A6E" w:rsidRDefault="00DD254D" w:rsidP="00DD254D">
      <w:pPr>
        <w:pStyle w:val="2-SectionHeading"/>
      </w:pPr>
      <w:bookmarkStart w:id="19" w:name="_Toc40870060"/>
      <w:bookmarkStart w:id="20" w:name="_Toc22897640"/>
      <w:r w:rsidRPr="00FB7A6E">
        <w:t>Consideration of the evidence</w:t>
      </w:r>
      <w:bookmarkEnd w:id="19"/>
    </w:p>
    <w:p w:rsidR="003F284A" w:rsidRPr="00836F75" w:rsidRDefault="003F284A" w:rsidP="003F284A">
      <w:pPr>
        <w:pStyle w:val="4-SubsectionHeading"/>
        <w:rPr>
          <w:snapToGrid w:val="0"/>
        </w:rPr>
      </w:pPr>
      <w:bookmarkStart w:id="21" w:name="_Toc40870061"/>
      <w:r w:rsidRPr="00836F75">
        <w:rPr>
          <w:snapToGrid w:val="0"/>
        </w:rPr>
        <w:t>Consumer comments</w:t>
      </w:r>
    </w:p>
    <w:p w:rsidR="003F284A" w:rsidRPr="009823C2" w:rsidRDefault="003F284A" w:rsidP="009823C2">
      <w:pPr>
        <w:pStyle w:val="3-BodyText"/>
        <w:widowControl w:val="0"/>
        <w:numPr>
          <w:ilvl w:val="1"/>
          <w:numId w:val="18"/>
        </w:numPr>
      </w:pPr>
      <w:r w:rsidRPr="006831B2">
        <w:rPr>
          <w:bCs/>
        </w:rPr>
        <w:t xml:space="preserve">The PBAC noted and welcomed the input from </w:t>
      </w:r>
      <w:r w:rsidR="00D96D54">
        <w:rPr>
          <w:bCs/>
        </w:rPr>
        <w:t>Asthma Australia</w:t>
      </w:r>
      <w:r w:rsidRPr="006831B2">
        <w:rPr>
          <w:bCs/>
        </w:rPr>
        <w:t xml:space="preserve"> via the Consumer Comment</w:t>
      </w:r>
      <w:r w:rsidR="008668C2">
        <w:rPr>
          <w:bCs/>
        </w:rPr>
        <w:t xml:space="preserve">s facility on the PBS website. </w:t>
      </w:r>
      <w:r w:rsidR="00D96D54">
        <w:rPr>
          <w:bCs/>
        </w:rPr>
        <w:t>Asthma Australia</w:t>
      </w:r>
      <w:r w:rsidRPr="006831B2">
        <w:rPr>
          <w:bCs/>
        </w:rPr>
        <w:t xml:space="preserve"> described a range of benefits of treatment with MF/IND/GLY </w:t>
      </w:r>
      <w:r w:rsidR="009D36D8">
        <w:rPr>
          <w:bCs/>
        </w:rPr>
        <w:t xml:space="preserve">and supported the addition of a fixed dose triple-combination product </w:t>
      </w:r>
      <w:r w:rsidR="00D96D54">
        <w:rPr>
          <w:bCs/>
        </w:rPr>
        <w:t xml:space="preserve">to the PBS </w:t>
      </w:r>
      <w:r w:rsidR="009D36D8">
        <w:rPr>
          <w:bCs/>
        </w:rPr>
        <w:t xml:space="preserve">as an </w:t>
      </w:r>
      <w:r w:rsidR="006831B2" w:rsidRPr="006831B2">
        <w:rPr>
          <w:bCs/>
        </w:rPr>
        <w:t>alternative option for patients with difficult-to-treat asthma, poor control of symptoms and</w:t>
      </w:r>
      <w:r w:rsidR="006831B2">
        <w:rPr>
          <w:bCs/>
        </w:rPr>
        <w:t xml:space="preserve"> </w:t>
      </w:r>
      <w:r w:rsidR="006831B2" w:rsidRPr="006831B2">
        <w:rPr>
          <w:bCs/>
        </w:rPr>
        <w:t>poor lung function</w:t>
      </w:r>
      <w:r w:rsidR="006831B2">
        <w:rPr>
          <w:bCs/>
        </w:rPr>
        <w:t xml:space="preserve">. </w:t>
      </w:r>
    </w:p>
    <w:p w:rsidR="003F284A" w:rsidRPr="00836F75" w:rsidRDefault="003F284A" w:rsidP="003F284A">
      <w:pPr>
        <w:pStyle w:val="4-SubsectionHeading"/>
        <w:rPr>
          <w:snapToGrid w:val="0"/>
        </w:rPr>
      </w:pPr>
      <w:r w:rsidRPr="00836F75">
        <w:rPr>
          <w:snapToGrid w:val="0"/>
        </w:rPr>
        <w:t>Sponsor hearing</w:t>
      </w:r>
    </w:p>
    <w:p w:rsidR="003F284A" w:rsidRPr="00836F75" w:rsidRDefault="003F284A" w:rsidP="003F284A">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There was no hearing for this item.</w:t>
      </w:r>
    </w:p>
    <w:p w:rsidR="00DD254D" w:rsidRPr="00FB7A6E" w:rsidRDefault="00DD254D" w:rsidP="00DD254D">
      <w:pPr>
        <w:pStyle w:val="4-SubsectionHeading"/>
      </w:pPr>
      <w:r w:rsidRPr="00FB7A6E">
        <w:t>Clinical trials</w:t>
      </w:r>
      <w:bookmarkEnd w:id="20"/>
      <w:bookmarkEnd w:id="21"/>
    </w:p>
    <w:p w:rsidR="00ED36CA" w:rsidRPr="00FB7A6E" w:rsidRDefault="00ED36CA" w:rsidP="00DD254D">
      <w:pPr>
        <w:pStyle w:val="3-BodyText"/>
      </w:pPr>
      <w:r w:rsidRPr="00FB7A6E">
        <w:t xml:space="preserve">The </w:t>
      </w:r>
      <w:r w:rsidR="00341D1E" w:rsidRPr="00FB7A6E">
        <w:t xml:space="preserve">submission </w:t>
      </w:r>
      <w:r w:rsidR="00C5539F" w:rsidRPr="00BA3106">
        <w:t xml:space="preserve">was </w:t>
      </w:r>
      <w:r w:rsidR="00341D1E" w:rsidRPr="00FB7A6E">
        <w:t xml:space="preserve">based on </w:t>
      </w:r>
      <w:r w:rsidRPr="00FB7A6E">
        <w:t>one head-to-head randomised trial comparing medium and high dose MF/IND/GLY to high dose FP/SAL plus TIO</w:t>
      </w:r>
      <w:r w:rsidR="00341D1E" w:rsidRPr="00FB7A6E">
        <w:t xml:space="preserve"> (Argon), and one head-to-head randomised trial comparing </w:t>
      </w:r>
      <w:r w:rsidRPr="00FB7A6E">
        <w:t>medium and high dose MF/IND/GLY to medium and high dose MF/IND respectively</w:t>
      </w:r>
      <w:r w:rsidR="00341D1E" w:rsidRPr="00FB7A6E">
        <w:t xml:space="preserve"> (Iridium)</w:t>
      </w:r>
      <w:r w:rsidRPr="00FB7A6E">
        <w:t xml:space="preserve"> as supportive evidence.</w:t>
      </w:r>
    </w:p>
    <w:p w:rsidR="00DD254D" w:rsidRPr="00FB7A6E" w:rsidRDefault="00DD254D" w:rsidP="00D621C3">
      <w:pPr>
        <w:pStyle w:val="TableFigureHeading"/>
      </w:pPr>
      <w:r w:rsidRPr="00FB7A6E">
        <w:rPr>
          <w:rStyle w:val="CommentReference"/>
          <w:b/>
          <w:szCs w:val="24"/>
        </w:rPr>
        <w:t xml:space="preserve">Table </w:t>
      </w:r>
      <w:r w:rsidR="00363F3A" w:rsidRPr="00FB7A6E">
        <w:rPr>
          <w:rStyle w:val="CommentReference"/>
          <w:b/>
          <w:szCs w:val="24"/>
        </w:rPr>
        <w:t>3</w:t>
      </w:r>
      <w:r w:rsidRPr="00FB7A6E">
        <w:rPr>
          <w:rStyle w:val="CommentReference"/>
          <w:b/>
          <w:szCs w:val="24"/>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4"/>
        <w:gridCol w:w="7373"/>
        <w:gridCol w:w="940"/>
      </w:tblGrid>
      <w:tr w:rsidR="00DD254D" w:rsidRPr="00FB7A6E" w:rsidTr="00B061AA">
        <w:trPr>
          <w:tblHeader/>
        </w:trPr>
        <w:tc>
          <w:tcPr>
            <w:tcW w:w="469" w:type="pct"/>
            <w:vAlign w:val="center"/>
          </w:tcPr>
          <w:p w:rsidR="00DD254D" w:rsidRPr="00FB7A6E" w:rsidRDefault="00DD254D" w:rsidP="00B061AA">
            <w:pPr>
              <w:pStyle w:val="In-tableHeading"/>
              <w:rPr>
                <w:lang w:val="en-AU"/>
              </w:rPr>
            </w:pPr>
            <w:r w:rsidRPr="00FB7A6E">
              <w:rPr>
                <w:lang w:val="en-AU"/>
              </w:rPr>
              <w:t>Trial ID</w:t>
            </w:r>
          </w:p>
        </w:tc>
        <w:tc>
          <w:tcPr>
            <w:tcW w:w="4167" w:type="pct"/>
            <w:vAlign w:val="center"/>
          </w:tcPr>
          <w:p w:rsidR="00DD254D" w:rsidRPr="00FB7A6E" w:rsidRDefault="00DD254D" w:rsidP="00B061AA">
            <w:pPr>
              <w:pStyle w:val="In-tableHeading"/>
              <w:rPr>
                <w:lang w:val="en-AU"/>
              </w:rPr>
            </w:pPr>
            <w:r w:rsidRPr="00FB7A6E">
              <w:rPr>
                <w:lang w:val="en-AU"/>
              </w:rPr>
              <w:t>Protocol title/ Publication title</w:t>
            </w:r>
          </w:p>
        </w:tc>
        <w:tc>
          <w:tcPr>
            <w:tcW w:w="365" w:type="pct"/>
            <w:vAlign w:val="center"/>
          </w:tcPr>
          <w:p w:rsidR="00DD254D" w:rsidRPr="00FB7A6E" w:rsidRDefault="00DD254D" w:rsidP="00B061AA">
            <w:pPr>
              <w:pStyle w:val="In-tableHeading"/>
              <w:rPr>
                <w:lang w:val="en-AU"/>
              </w:rPr>
            </w:pPr>
            <w:r w:rsidRPr="00FB7A6E">
              <w:rPr>
                <w:lang w:val="en-AU"/>
              </w:rPr>
              <w:t>Publication citation</w:t>
            </w:r>
          </w:p>
        </w:tc>
      </w:tr>
      <w:tr w:rsidR="00DD254D" w:rsidRPr="00FB7A6E" w:rsidTr="00B061AA">
        <w:trPr>
          <w:tblHeader/>
        </w:trPr>
        <w:tc>
          <w:tcPr>
            <w:tcW w:w="5000" w:type="pct"/>
            <w:gridSpan w:val="3"/>
            <w:vAlign w:val="center"/>
          </w:tcPr>
          <w:p w:rsidR="00DD254D" w:rsidRPr="00FB7A6E" w:rsidRDefault="00DD254D" w:rsidP="00B061AA">
            <w:pPr>
              <w:pStyle w:val="In-tableHeading"/>
              <w:rPr>
                <w:lang w:val="en-AU"/>
              </w:rPr>
            </w:pPr>
            <w:r w:rsidRPr="00FB7A6E">
              <w:rPr>
                <w:lang w:val="en-AU"/>
              </w:rPr>
              <w:t>MF/IND/GLY (80/150/50 and 160/150/50) vs FP/SAL plus TIO</w:t>
            </w:r>
          </w:p>
        </w:tc>
      </w:tr>
      <w:tr w:rsidR="00DD254D" w:rsidRPr="00FB7A6E" w:rsidTr="00B061AA">
        <w:trPr>
          <w:trHeight w:val="560"/>
        </w:trPr>
        <w:tc>
          <w:tcPr>
            <w:tcW w:w="469" w:type="pct"/>
            <w:vAlign w:val="center"/>
          </w:tcPr>
          <w:p w:rsidR="00DD254D" w:rsidRPr="00FB7A6E" w:rsidRDefault="00DD254D" w:rsidP="00B061AA">
            <w:pPr>
              <w:pStyle w:val="TableText0"/>
            </w:pPr>
            <w:r w:rsidRPr="00FB7A6E">
              <w:t>ARGON (2306)</w:t>
            </w:r>
          </w:p>
        </w:tc>
        <w:tc>
          <w:tcPr>
            <w:tcW w:w="4167" w:type="pct"/>
            <w:vAlign w:val="center"/>
          </w:tcPr>
          <w:p w:rsidR="00DD254D" w:rsidRPr="00FB7A6E" w:rsidRDefault="00DD254D" w:rsidP="00B061AA">
            <w:pPr>
              <w:pStyle w:val="TableText0"/>
              <w:rPr>
                <w:szCs w:val="18"/>
              </w:rPr>
            </w:pPr>
            <w:r w:rsidRPr="00FB7A6E">
              <w:rPr>
                <w:szCs w:val="18"/>
              </w:rPr>
              <w:t xml:space="preserve">A </w:t>
            </w:r>
            <w:r w:rsidR="00903593" w:rsidRPr="00FB7A6E">
              <w:rPr>
                <w:szCs w:val="18"/>
              </w:rPr>
              <w:t>multicentre</w:t>
            </w:r>
            <w:r w:rsidRPr="00FB7A6E">
              <w:rPr>
                <w:szCs w:val="18"/>
              </w:rPr>
              <w:t>, partially blinded, randomized, 24-week, parallel-group, non-inferiority, open-label active controlled study to compare the efficacy and safety of QVM149 with a free triple combination of salmeterol/fluticasone plus tiotropium in pati</w:t>
            </w:r>
            <w:r w:rsidR="008668C2">
              <w:rPr>
                <w:szCs w:val="18"/>
              </w:rPr>
              <w:t xml:space="preserve">ents with uncontrolled asthma. </w:t>
            </w:r>
            <w:r w:rsidRPr="00FB7A6E">
              <w:rPr>
                <w:szCs w:val="18"/>
              </w:rPr>
              <w:t>Additional trial registrations: EUCTR2017-000136-34-HU and EUCTR2017-000136-34-ES and NCT03158311</w:t>
            </w:r>
          </w:p>
        </w:tc>
        <w:tc>
          <w:tcPr>
            <w:tcW w:w="365" w:type="pct"/>
            <w:vAlign w:val="center"/>
          </w:tcPr>
          <w:p w:rsidR="00DD254D" w:rsidRPr="00FB7A6E" w:rsidRDefault="00DD254D" w:rsidP="00B061AA">
            <w:pPr>
              <w:pStyle w:val="TableText0"/>
            </w:pPr>
            <w:r w:rsidRPr="00FB7A6E">
              <w:t>2019</w:t>
            </w:r>
          </w:p>
        </w:tc>
      </w:tr>
      <w:tr w:rsidR="00DD254D" w:rsidRPr="00FB7A6E" w:rsidTr="00B061AA">
        <w:trPr>
          <w:trHeight w:val="227"/>
        </w:trPr>
        <w:tc>
          <w:tcPr>
            <w:tcW w:w="5000" w:type="pct"/>
            <w:gridSpan w:val="3"/>
            <w:vAlign w:val="center"/>
          </w:tcPr>
          <w:p w:rsidR="00DD254D" w:rsidRPr="00FB7A6E" w:rsidRDefault="00DD254D" w:rsidP="00B061AA">
            <w:pPr>
              <w:pStyle w:val="TableText0"/>
              <w:rPr>
                <w:b/>
              </w:rPr>
            </w:pPr>
            <w:r w:rsidRPr="00FB7A6E">
              <w:rPr>
                <w:b/>
              </w:rPr>
              <w:t>MF/IND/GLY (80/150/50 and 160/150/50) vs MF/IND (160/150 and 320/150)</w:t>
            </w:r>
          </w:p>
        </w:tc>
      </w:tr>
      <w:tr w:rsidR="00DD254D" w:rsidRPr="00FB7A6E" w:rsidTr="00B061AA">
        <w:trPr>
          <w:trHeight w:val="469"/>
        </w:trPr>
        <w:tc>
          <w:tcPr>
            <w:tcW w:w="469" w:type="pct"/>
            <w:vAlign w:val="center"/>
          </w:tcPr>
          <w:p w:rsidR="00DD254D" w:rsidRPr="00FB7A6E" w:rsidRDefault="00DD254D" w:rsidP="00B061AA">
            <w:pPr>
              <w:pStyle w:val="TableText0"/>
            </w:pPr>
            <w:r w:rsidRPr="00FB7A6E">
              <w:t>IRIDIUM (2302)</w:t>
            </w:r>
          </w:p>
        </w:tc>
        <w:tc>
          <w:tcPr>
            <w:tcW w:w="4167" w:type="pct"/>
            <w:vAlign w:val="center"/>
          </w:tcPr>
          <w:p w:rsidR="00DD254D" w:rsidRPr="00FB7A6E" w:rsidRDefault="00DD254D" w:rsidP="00B061AA">
            <w:pPr>
              <w:pStyle w:val="TableText0"/>
            </w:pPr>
            <w:r w:rsidRPr="00FB7A6E">
              <w:rPr>
                <w:szCs w:val="18"/>
              </w:rPr>
              <w:t xml:space="preserve">A </w:t>
            </w:r>
            <w:r w:rsidR="00903593" w:rsidRPr="00FB7A6E">
              <w:rPr>
                <w:szCs w:val="18"/>
              </w:rPr>
              <w:t>multicentre</w:t>
            </w:r>
            <w:r w:rsidRPr="00FB7A6E">
              <w:rPr>
                <w:szCs w:val="18"/>
              </w:rPr>
              <w:t xml:space="preserve">, randomized, 52-week, double-blind, parallel-group, active controlled study to compare the efficacy and safety of QVM149 with QMF149 in patients with </w:t>
            </w:r>
            <w:r w:rsidR="008668C2">
              <w:rPr>
                <w:szCs w:val="18"/>
              </w:rPr>
              <w:t xml:space="preserve">asthma. </w:t>
            </w:r>
            <w:r w:rsidRPr="00FB7A6E">
              <w:rPr>
                <w:szCs w:val="18"/>
              </w:rPr>
              <w:t>Additional trial registrations: EUCTR2015-002529-21-DE and NCT02554786.</w:t>
            </w:r>
          </w:p>
        </w:tc>
        <w:tc>
          <w:tcPr>
            <w:tcW w:w="365" w:type="pct"/>
            <w:vAlign w:val="center"/>
          </w:tcPr>
          <w:p w:rsidR="00DD254D" w:rsidRPr="00FB7A6E" w:rsidRDefault="00DD254D" w:rsidP="00B061AA">
            <w:pPr>
              <w:pStyle w:val="TableText0"/>
            </w:pPr>
            <w:r w:rsidRPr="00FB7A6E">
              <w:t>2018</w:t>
            </w:r>
          </w:p>
        </w:tc>
      </w:tr>
    </w:tbl>
    <w:p w:rsidR="00DD254D" w:rsidRPr="00FB7A6E" w:rsidRDefault="00DD254D" w:rsidP="00B42C0B">
      <w:pPr>
        <w:pStyle w:val="TableFigureFooter"/>
      </w:pPr>
      <w:r w:rsidRPr="00FB7A6E">
        <w:t>Abbreviations: FP=fluticasone propionate; GLY=glycopyrronium; IND=indacaterol; MF=mometasone furoate; SAL=salmeterol; TIO=tiotropium; QVM149</w:t>
      </w:r>
      <w:r w:rsidR="00B42C0B" w:rsidRPr="00FB7A6E">
        <w:t>=</w:t>
      </w:r>
      <w:r w:rsidRPr="00FB7A6E">
        <w:t>MF/IND/GLY</w:t>
      </w:r>
      <w:r w:rsidR="00B42C0B" w:rsidRPr="00FB7A6E">
        <w:t xml:space="preserve">; </w:t>
      </w:r>
      <w:r w:rsidRPr="00FB7A6E">
        <w:t>QMF149</w:t>
      </w:r>
      <w:r w:rsidR="00B42C0B" w:rsidRPr="00FB7A6E">
        <w:t>=</w:t>
      </w:r>
      <w:r w:rsidRPr="00FB7A6E">
        <w:t>MF/IND</w:t>
      </w:r>
    </w:p>
    <w:p w:rsidR="00DD254D" w:rsidRDefault="00DD254D" w:rsidP="00DD254D">
      <w:pPr>
        <w:pStyle w:val="TableFigureFooter"/>
      </w:pPr>
      <w:r w:rsidRPr="00FB7A6E">
        <w:t>Source: Table 2.3, p39 of the submission and Attachment 13 Iridium.</w:t>
      </w:r>
    </w:p>
    <w:p w:rsidR="00BA3106" w:rsidRPr="00FB7A6E" w:rsidRDefault="00BA3106" w:rsidP="00DD254D">
      <w:pPr>
        <w:pStyle w:val="TableFigureFooter"/>
        <w:rPr>
          <w:sz w:val="20"/>
        </w:rPr>
      </w:pPr>
    </w:p>
    <w:p w:rsidR="00D04715" w:rsidRDefault="001F5D9B" w:rsidP="003A5DC2">
      <w:pPr>
        <w:pStyle w:val="3-BodyText"/>
      </w:pPr>
      <w:r w:rsidRPr="00FB7A6E">
        <w:t xml:space="preserve">The submission also presented </w:t>
      </w:r>
      <w:r w:rsidR="00A43237" w:rsidRPr="00FB7A6E">
        <w:t>limited available</w:t>
      </w:r>
      <w:r w:rsidR="00B42C0B" w:rsidRPr="00FB7A6E">
        <w:t xml:space="preserve"> </w:t>
      </w:r>
      <w:r w:rsidR="00A43237" w:rsidRPr="00FB7A6E">
        <w:t xml:space="preserve">efficacy </w:t>
      </w:r>
      <w:r w:rsidRPr="00FB7A6E">
        <w:t xml:space="preserve">data from </w:t>
      </w:r>
      <w:r w:rsidR="00A43237" w:rsidRPr="00FB7A6E">
        <w:t xml:space="preserve">the </w:t>
      </w:r>
      <w:r w:rsidRPr="00FB7A6E">
        <w:t>Captain</w:t>
      </w:r>
      <w:r w:rsidR="00A43237" w:rsidRPr="00FB7A6E">
        <w:t xml:space="preserve"> trial (</w:t>
      </w:r>
      <w:r w:rsidRPr="00FB7A6E">
        <w:t xml:space="preserve">NCT02924688) comparing FF/VI/UMEC one actuation once daily </w:t>
      </w:r>
      <w:r w:rsidR="00B42C0B" w:rsidRPr="00FB7A6E">
        <w:t xml:space="preserve">versus </w:t>
      </w:r>
      <w:r w:rsidRPr="00FB7A6E">
        <w:t>FF/VI one actuation once daily for pati</w:t>
      </w:r>
      <w:r w:rsidR="008668C2">
        <w:t xml:space="preserve">ents with uncontrolled asthma. </w:t>
      </w:r>
      <w:r w:rsidR="00D04715" w:rsidRPr="00A07146">
        <w:rPr>
          <w:iCs/>
        </w:rPr>
        <w:t>Captain was a multi-centre randomised, double-blind, 52 week, 6-arm parallel group trial evaluating FF/VI/UMEC (100/25/31.25, 100/25/62.5, 200/25/31.25 and 200/25/62.5 mcg) versus FF/VI</w:t>
      </w:r>
      <w:r w:rsidR="008668C2">
        <w:rPr>
          <w:iCs/>
        </w:rPr>
        <w:t xml:space="preserve"> (100/25 and 200/25 mcg). </w:t>
      </w:r>
      <w:r w:rsidR="00D04715" w:rsidRPr="00A07146">
        <w:rPr>
          <w:iCs/>
        </w:rPr>
        <w:t xml:space="preserve">Patients enrolled were aged 18-75 years with symptomatic </w:t>
      </w:r>
      <w:r w:rsidR="003A5DC2" w:rsidRPr="00A07146">
        <w:rPr>
          <w:iCs/>
        </w:rPr>
        <w:t>asthma despite taking</w:t>
      </w:r>
      <w:r w:rsidR="00D04715" w:rsidRPr="00A07146">
        <w:rPr>
          <w:iCs/>
        </w:rPr>
        <w:t xml:space="preserve"> medium to high dose ICS/LAB</w:t>
      </w:r>
      <w:r w:rsidR="008668C2">
        <w:rPr>
          <w:iCs/>
        </w:rPr>
        <w:t xml:space="preserve">A (&gt;250 mcg FP or equivalent). </w:t>
      </w:r>
      <w:r w:rsidR="00D04715" w:rsidRPr="00A07146">
        <w:rPr>
          <w:iCs/>
        </w:rPr>
        <w:t xml:space="preserve">There was limited published </w:t>
      </w:r>
      <w:r w:rsidR="003A5DC2" w:rsidRPr="00A07146">
        <w:rPr>
          <w:iCs/>
        </w:rPr>
        <w:t>information</w:t>
      </w:r>
      <w:r w:rsidR="00D04715" w:rsidRPr="00A07146">
        <w:rPr>
          <w:iCs/>
        </w:rPr>
        <w:t xml:space="preserve"> to appraise the potential risk of bias.</w:t>
      </w:r>
    </w:p>
    <w:p w:rsidR="00B42C0B" w:rsidRPr="00FB7A6E" w:rsidRDefault="001F5D9B" w:rsidP="003A5DC2">
      <w:pPr>
        <w:pStyle w:val="3-BodyText"/>
      </w:pPr>
      <w:r w:rsidRPr="00A07146">
        <w:rPr>
          <w:iCs/>
        </w:rPr>
        <w:lastRenderedPageBreak/>
        <w:t xml:space="preserve">For </w:t>
      </w:r>
      <w:r w:rsidRPr="00D67089">
        <w:rPr>
          <w:iCs/>
        </w:rPr>
        <w:t xml:space="preserve">completeness, the </w:t>
      </w:r>
      <w:r w:rsidR="00BA3106">
        <w:rPr>
          <w:iCs/>
        </w:rPr>
        <w:t>evaluation</w:t>
      </w:r>
      <w:r w:rsidRPr="00D67089">
        <w:rPr>
          <w:iCs/>
        </w:rPr>
        <w:t xml:space="preserve"> also present</w:t>
      </w:r>
      <w:r w:rsidR="00C5539F" w:rsidRPr="00BA3106">
        <w:rPr>
          <w:iCs/>
        </w:rPr>
        <w:t>ed</w:t>
      </w:r>
      <w:r w:rsidRPr="00BA3106">
        <w:rPr>
          <w:iCs/>
        </w:rPr>
        <w:t xml:space="preserve"> </w:t>
      </w:r>
      <w:r w:rsidRPr="00D67089">
        <w:rPr>
          <w:iCs/>
        </w:rPr>
        <w:t xml:space="preserve">comparable data from Kerstjens </w:t>
      </w:r>
      <w:r w:rsidR="0069581F" w:rsidRPr="00D67089">
        <w:rPr>
          <w:iCs/>
        </w:rPr>
        <w:t xml:space="preserve">et al </w:t>
      </w:r>
      <w:r w:rsidRPr="00D67089">
        <w:rPr>
          <w:iCs/>
        </w:rPr>
        <w:t>2012</w:t>
      </w:r>
      <w:r w:rsidR="003A5DC2" w:rsidRPr="00D67089">
        <w:rPr>
          <w:rStyle w:val="FootnoteReference"/>
          <w:iCs/>
        </w:rPr>
        <w:footnoteReference w:id="2"/>
      </w:r>
      <w:r w:rsidRPr="00D67089">
        <w:rPr>
          <w:iCs/>
        </w:rPr>
        <w:t xml:space="preserve">, which was the main trial supporting the PBS listing of TIO </w:t>
      </w:r>
      <w:r w:rsidR="00B42C0B" w:rsidRPr="00D67089">
        <w:rPr>
          <w:iCs/>
        </w:rPr>
        <w:t xml:space="preserve">in triple therapy </w:t>
      </w:r>
      <w:r w:rsidRPr="00D67089">
        <w:rPr>
          <w:iCs/>
        </w:rPr>
        <w:t>for severe asthma.</w:t>
      </w:r>
      <w:r w:rsidR="008668C2">
        <w:t xml:space="preserve"> </w:t>
      </w:r>
      <w:r w:rsidR="003A5DC2" w:rsidRPr="00A07146">
        <w:rPr>
          <w:iCs/>
        </w:rPr>
        <w:t>The publication</w:t>
      </w:r>
      <w:r w:rsidR="00D04715" w:rsidRPr="00A07146">
        <w:t xml:space="preserve"> included data from two randomised, double-blind, 48-week, placebo-controlled twin trials, conducted concurrently (Trial 1 and Trial 2) of TIO as add-on therapy to maintenance asthma treatment consisting of medium to high dose ICS (≥800mcg budes</w:t>
      </w:r>
      <w:bookmarkStart w:id="22" w:name="_Hlk40709719"/>
      <w:r w:rsidR="008668C2">
        <w:t xml:space="preserve">onide or equivalent) and LABA. </w:t>
      </w:r>
      <w:r w:rsidR="00D04715" w:rsidRPr="00A07146">
        <w:t xml:space="preserve">Patients enrolled were aged 18-75 years with symptomatic </w:t>
      </w:r>
      <w:r w:rsidR="003A5DC2" w:rsidRPr="00A07146">
        <w:t xml:space="preserve">asthma </w:t>
      </w:r>
      <w:r w:rsidR="00D04715" w:rsidRPr="00A07146">
        <w:t xml:space="preserve">despite </w:t>
      </w:r>
      <w:r w:rsidR="003A5DC2" w:rsidRPr="00A07146">
        <w:t>taking medium to high dose</w:t>
      </w:r>
      <w:r w:rsidR="00D04715" w:rsidRPr="00A07146">
        <w:t xml:space="preserve"> ICS (≥800 mcg budes</w:t>
      </w:r>
      <w:r w:rsidR="008668C2">
        <w:t xml:space="preserve">onide or equivalent) and LABA. </w:t>
      </w:r>
      <w:r w:rsidR="00D04715" w:rsidRPr="00A07146">
        <w:t>The risk of bias for the trials was considered low (paragraph 6.7, tiotropium bromide PSD</w:t>
      </w:r>
      <w:r w:rsidR="003A5DC2" w:rsidRPr="00A07146">
        <w:t>,</w:t>
      </w:r>
      <w:r w:rsidR="00D04715" w:rsidRPr="00A07146">
        <w:t xml:space="preserve"> July 2015 PBAC meeting).</w:t>
      </w:r>
    </w:p>
    <w:bookmarkEnd w:id="22"/>
    <w:p w:rsidR="00DD254D" w:rsidRPr="00FB7A6E" w:rsidRDefault="00DD254D" w:rsidP="00ED36CA">
      <w:pPr>
        <w:pStyle w:val="3-BodyText"/>
      </w:pPr>
      <w:r w:rsidRPr="00FB7A6E">
        <w:t xml:space="preserve">Table </w:t>
      </w:r>
      <w:r w:rsidR="00363F3A" w:rsidRPr="00FB7A6E">
        <w:t xml:space="preserve">4 </w:t>
      </w:r>
      <w:r w:rsidRPr="00FB7A6E">
        <w:t xml:space="preserve">summarises the key features of the </w:t>
      </w:r>
      <w:r w:rsidR="00A43237" w:rsidRPr="00FB7A6E">
        <w:t xml:space="preserve">Argon and Iridium </w:t>
      </w:r>
      <w:r w:rsidRPr="00FB7A6E">
        <w:t>trials.</w:t>
      </w:r>
      <w:r w:rsidR="00ED36CA" w:rsidRPr="00A07146">
        <w:rPr>
          <w:iCs/>
        </w:rPr>
        <w:t xml:space="preserve"> Both trials were multicentre but neither included Australian sites.</w:t>
      </w:r>
    </w:p>
    <w:p w:rsidR="00DD254D" w:rsidRPr="00FB7A6E" w:rsidRDefault="00DD254D" w:rsidP="004A5852">
      <w:pPr>
        <w:keepNext/>
        <w:keepLines/>
        <w:widowControl w:val="0"/>
        <w:rPr>
          <w:rFonts w:ascii="Arial Narrow" w:hAnsi="Arial Narrow"/>
          <w:b/>
          <w:bCs/>
          <w:iCs/>
          <w:snapToGrid w:val="0"/>
          <w:sz w:val="20"/>
          <w:szCs w:val="20"/>
          <w:lang w:eastAsia="en-US"/>
        </w:rPr>
      </w:pPr>
      <w:r w:rsidRPr="00FB7A6E">
        <w:rPr>
          <w:rFonts w:ascii="Arial Narrow" w:hAnsi="Arial Narrow"/>
          <w:b/>
          <w:bCs/>
          <w:iCs/>
          <w:snapToGrid w:val="0"/>
          <w:sz w:val="20"/>
          <w:szCs w:val="20"/>
          <w:lang w:eastAsia="en-US"/>
        </w:rPr>
        <w:t xml:space="preserve">Table </w:t>
      </w:r>
      <w:r w:rsidR="00363F3A" w:rsidRPr="00FB7A6E">
        <w:rPr>
          <w:rFonts w:ascii="Arial Narrow" w:hAnsi="Arial Narrow"/>
          <w:b/>
          <w:bCs/>
          <w:iCs/>
          <w:snapToGrid w:val="0"/>
          <w:sz w:val="20"/>
          <w:szCs w:val="20"/>
          <w:lang w:eastAsia="en-US"/>
        </w:rPr>
        <w:t>4</w:t>
      </w:r>
      <w:r w:rsidRPr="00FB7A6E">
        <w:rPr>
          <w:rFonts w:ascii="Arial Narrow" w:hAnsi="Arial Narrow"/>
          <w:b/>
          <w:bCs/>
          <w:iCs/>
          <w:snapToGrid w:val="0"/>
          <w:sz w:val="20"/>
          <w:szCs w:val="20"/>
          <w:lang w:eastAsia="en-US"/>
        </w:rPr>
        <w:t>: Key features of the included evidence</w:t>
      </w:r>
    </w:p>
    <w:tbl>
      <w:tblPr>
        <w:tblStyle w:val="TableGrid"/>
        <w:tblW w:w="5000" w:type="pct"/>
        <w:tblCellMar>
          <w:left w:w="28" w:type="dxa"/>
          <w:right w:w="28" w:type="dxa"/>
        </w:tblCellMar>
        <w:tblLook w:val="04A0" w:firstRow="1" w:lastRow="0" w:firstColumn="1" w:lastColumn="0" w:noHBand="0" w:noVBand="1"/>
        <w:tblCaption w:val="Table 4: Key features of the included evidence"/>
      </w:tblPr>
      <w:tblGrid>
        <w:gridCol w:w="562"/>
        <w:gridCol w:w="426"/>
        <w:gridCol w:w="1558"/>
        <w:gridCol w:w="426"/>
        <w:gridCol w:w="2269"/>
        <w:gridCol w:w="992"/>
        <w:gridCol w:w="2784"/>
      </w:tblGrid>
      <w:tr w:rsidR="00DD254D" w:rsidRPr="00FB7A6E" w:rsidTr="00F352F3">
        <w:trPr>
          <w:tblHeader/>
        </w:trPr>
        <w:tc>
          <w:tcPr>
            <w:tcW w:w="312" w:type="pct"/>
          </w:tcPr>
          <w:p w:rsidR="00DD254D" w:rsidRPr="00FB7A6E" w:rsidRDefault="00DD254D" w:rsidP="004A5852">
            <w:pPr>
              <w:keepNext/>
              <w:keepLines/>
              <w:widowControl w:val="0"/>
              <w:rPr>
                <w:rFonts w:ascii="Arial Narrow" w:hAnsi="Arial Narrow"/>
                <w:b/>
                <w:bCs/>
                <w:iCs/>
                <w:snapToGrid w:val="0"/>
                <w:sz w:val="20"/>
                <w:szCs w:val="20"/>
                <w:lang w:eastAsia="en-US"/>
              </w:rPr>
            </w:pPr>
            <w:r w:rsidRPr="00FB7A6E">
              <w:rPr>
                <w:rFonts w:ascii="Arial Narrow" w:hAnsi="Arial Narrow"/>
                <w:b/>
                <w:bCs/>
                <w:iCs/>
                <w:snapToGrid w:val="0"/>
                <w:sz w:val="20"/>
                <w:szCs w:val="20"/>
                <w:lang w:eastAsia="en-US"/>
              </w:rPr>
              <w:t>Trial</w:t>
            </w:r>
          </w:p>
        </w:tc>
        <w:tc>
          <w:tcPr>
            <w:tcW w:w="236" w:type="pct"/>
            <w:vAlign w:val="center"/>
          </w:tcPr>
          <w:p w:rsidR="00DD254D" w:rsidRPr="00FB7A6E" w:rsidRDefault="00DD254D" w:rsidP="004A5852">
            <w:pPr>
              <w:keepNext/>
              <w:keepLines/>
              <w:widowControl w:val="0"/>
              <w:jc w:val="center"/>
              <w:rPr>
                <w:rFonts w:ascii="Arial Narrow" w:hAnsi="Arial Narrow"/>
                <w:b/>
                <w:bCs/>
                <w:iCs/>
                <w:snapToGrid w:val="0"/>
                <w:sz w:val="20"/>
                <w:szCs w:val="20"/>
                <w:lang w:eastAsia="en-US"/>
              </w:rPr>
            </w:pPr>
            <w:r w:rsidRPr="00FB7A6E">
              <w:rPr>
                <w:rFonts w:ascii="Arial Narrow" w:hAnsi="Arial Narrow"/>
                <w:b/>
                <w:bCs/>
                <w:iCs/>
                <w:snapToGrid w:val="0"/>
                <w:sz w:val="20"/>
                <w:szCs w:val="20"/>
                <w:lang w:eastAsia="en-US"/>
              </w:rPr>
              <w:t>N</w:t>
            </w:r>
          </w:p>
        </w:tc>
        <w:tc>
          <w:tcPr>
            <w:tcW w:w="864" w:type="pct"/>
            <w:vAlign w:val="center"/>
          </w:tcPr>
          <w:p w:rsidR="00DD254D" w:rsidRPr="00FB7A6E" w:rsidRDefault="00DD254D" w:rsidP="004A5852">
            <w:pPr>
              <w:keepNext/>
              <w:keepLines/>
              <w:widowControl w:val="0"/>
              <w:jc w:val="center"/>
              <w:rPr>
                <w:rFonts w:ascii="Arial Narrow" w:hAnsi="Arial Narrow"/>
                <w:b/>
                <w:bCs/>
                <w:iCs/>
                <w:snapToGrid w:val="0"/>
                <w:sz w:val="20"/>
                <w:szCs w:val="20"/>
                <w:lang w:eastAsia="en-US"/>
              </w:rPr>
            </w:pPr>
            <w:r w:rsidRPr="00FB7A6E">
              <w:rPr>
                <w:rFonts w:ascii="Arial Narrow" w:hAnsi="Arial Narrow"/>
                <w:b/>
                <w:bCs/>
                <w:iCs/>
                <w:snapToGrid w:val="0"/>
                <w:sz w:val="20"/>
                <w:szCs w:val="20"/>
                <w:lang w:eastAsia="en-US"/>
              </w:rPr>
              <w:t>Design/duration</w:t>
            </w:r>
          </w:p>
        </w:tc>
        <w:tc>
          <w:tcPr>
            <w:tcW w:w="236" w:type="pct"/>
            <w:vAlign w:val="center"/>
          </w:tcPr>
          <w:p w:rsidR="00DD254D" w:rsidRPr="00FB7A6E" w:rsidRDefault="00DD254D" w:rsidP="004A5852">
            <w:pPr>
              <w:keepNext/>
              <w:keepLines/>
              <w:widowControl w:val="0"/>
              <w:jc w:val="center"/>
              <w:rPr>
                <w:rFonts w:ascii="Arial Narrow" w:hAnsi="Arial Narrow"/>
                <w:b/>
                <w:bCs/>
                <w:iCs/>
                <w:snapToGrid w:val="0"/>
                <w:sz w:val="20"/>
                <w:szCs w:val="20"/>
                <w:lang w:eastAsia="en-US"/>
              </w:rPr>
            </w:pPr>
            <w:r w:rsidRPr="00FB7A6E">
              <w:rPr>
                <w:rFonts w:ascii="Arial Narrow" w:hAnsi="Arial Narrow"/>
                <w:b/>
                <w:bCs/>
                <w:iCs/>
                <w:snapToGrid w:val="0"/>
                <w:sz w:val="20"/>
                <w:szCs w:val="20"/>
                <w:lang w:eastAsia="en-US"/>
              </w:rPr>
              <w:t>Bias</w:t>
            </w:r>
          </w:p>
        </w:tc>
        <w:tc>
          <w:tcPr>
            <w:tcW w:w="1258" w:type="pct"/>
            <w:vAlign w:val="center"/>
          </w:tcPr>
          <w:p w:rsidR="00DD254D" w:rsidRPr="00FB7A6E" w:rsidRDefault="00DD254D" w:rsidP="004A5852">
            <w:pPr>
              <w:keepNext/>
              <w:keepLines/>
              <w:widowControl w:val="0"/>
              <w:jc w:val="center"/>
              <w:rPr>
                <w:rFonts w:ascii="Arial Narrow" w:hAnsi="Arial Narrow"/>
                <w:b/>
                <w:bCs/>
                <w:iCs/>
                <w:snapToGrid w:val="0"/>
                <w:sz w:val="20"/>
                <w:szCs w:val="20"/>
                <w:lang w:eastAsia="en-US"/>
              </w:rPr>
            </w:pPr>
            <w:r w:rsidRPr="00FB7A6E">
              <w:rPr>
                <w:rFonts w:ascii="Arial Narrow" w:hAnsi="Arial Narrow"/>
                <w:b/>
                <w:bCs/>
                <w:iCs/>
                <w:snapToGrid w:val="0"/>
                <w:sz w:val="20"/>
                <w:szCs w:val="20"/>
                <w:lang w:eastAsia="en-US"/>
              </w:rPr>
              <w:t>Treatment arms</w:t>
            </w:r>
          </w:p>
        </w:tc>
        <w:tc>
          <w:tcPr>
            <w:tcW w:w="550" w:type="pct"/>
            <w:vAlign w:val="center"/>
          </w:tcPr>
          <w:p w:rsidR="00DD254D" w:rsidRPr="00FB7A6E" w:rsidRDefault="00DD254D" w:rsidP="004A5852">
            <w:pPr>
              <w:keepNext/>
              <w:keepLines/>
              <w:widowControl w:val="0"/>
              <w:jc w:val="center"/>
              <w:rPr>
                <w:rFonts w:ascii="Arial Narrow" w:hAnsi="Arial Narrow"/>
                <w:b/>
                <w:bCs/>
                <w:iCs/>
                <w:snapToGrid w:val="0"/>
                <w:sz w:val="20"/>
                <w:szCs w:val="20"/>
                <w:lang w:eastAsia="en-US"/>
              </w:rPr>
            </w:pPr>
            <w:r w:rsidRPr="00FB7A6E">
              <w:rPr>
                <w:rFonts w:ascii="Arial Narrow" w:hAnsi="Arial Narrow"/>
                <w:b/>
                <w:bCs/>
                <w:iCs/>
                <w:snapToGrid w:val="0"/>
                <w:sz w:val="20"/>
                <w:szCs w:val="20"/>
                <w:lang w:eastAsia="en-US"/>
              </w:rPr>
              <w:t>Population</w:t>
            </w:r>
          </w:p>
        </w:tc>
        <w:tc>
          <w:tcPr>
            <w:tcW w:w="1544" w:type="pct"/>
            <w:vAlign w:val="center"/>
          </w:tcPr>
          <w:p w:rsidR="00DD254D" w:rsidRPr="00FB7A6E" w:rsidRDefault="00DD254D" w:rsidP="004A5852">
            <w:pPr>
              <w:keepNext/>
              <w:keepLines/>
              <w:widowControl w:val="0"/>
              <w:jc w:val="center"/>
              <w:rPr>
                <w:rFonts w:ascii="Arial Narrow" w:hAnsi="Arial Narrow"/>
                <w:b/>
                <w:bCs/>
                <w:iCs/>
                <w:snapToGrid w:val="0"/>
                <w:sz w:val="20"/>
                <w:szCs w:val="20"/>
                <w:lang w:eastAsia="en-US"/>
              </w:rPr>
            </w:pPr>
            <w:r w:rsidRPr="00FB7A6E">
              <w:rPr>
                <w:rFonts w:ascii="Arial Narrow" w:hAnsi="Arial Narrow"/>
                <w:b/>
                <w:bCs/>
                <w:iCs/>
                <w:snapToGrid w:val="0"/>
                <w:sz w:val="20"/>
                <w:szCs w:val="20"/>
                <w:lang w:eastAsia="en-US"/>
              </w:rPr>
              <w:t>Key efficacy outcomes</w:t>
            </w:r>
          </w:p>
        </w:tc>
      </w:tr>
      <w:tr w:rsidR="00DD254D" w:rsidRPr="00FB7A6E" w:rsidTr="00B061AA">
        <w:tc>
          <w:tcPr>
            <w:tcW w:w="5000" w:type="pct"/>
            <w:gridSpan w:val="7"/>
          </w:tcPr>
          <w:p w:rsidR="00DD254D" w:rsidRPr="00FB7A6E" w:rsidRDefault="00DD254D" w:rsidP="004A5852">
            <w:pPr>
              <w:keepNext/>
              <w:keepLines/>
              <w:widowControl w:val="0"/>
              <w:rPr>
                <w:rFonts w:ascii="Arial Narrow" w:hAnsi="Arial Narrow"/>
                <w:b/>
                <w:iCs/>
                <w:snapToGrid w:val="0"/>
                <w:sz w:val="20"/>
                <w:szCs w:val="20"/>
                <w:lang w:eastAsia="en-US"/>
              </w:rPr>
            </w:pPr>
            <w:r w:rsidRPr="00FB7A6E">
              <w:rPr>
                <w:rFonts w:ascii="Arial Narrow" w:hAnsi="Arial Narrow"/>
                <w:b/>
                <w:sz w:val="20"/>
                <w:szCs w:val="20"/>
              </w:rPr>
              <w:t>MF/IND/GLY (80/150/50 and 160/150/50) vs FP/SAL 500/50 + TIO 5</w:t>
            </w:r>
          </w:p>
        </w:tc>
      </w:tr>
      <w:tr w:rsidR="00DD254D" w:rsidRPr="00A07146" w:rsidTr="00B061AA">
        <w:tc>
          <w:tcPr>
            <w:tcW w:w="312" w:type="pct"/>
            <w:vAlign w:val="center"/>
          </w:tcPr>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Argon</w:t>
            </w:r>
          </w:p>
        </w:tc>
        <w:tc>
          <w:tcPr>
            <w:tcW w:w="236" w:type="pct"/>
            <w:vAlign w:val="center"/>
          </w:tcPr>
          <w:p w:rsidR="00DD254D" w:rsidRPr="00A07146" w:rsidRDefault="00DD254D" w:rsidP="004A5852">
            <w:pPr>
              <w:keepNext/>
              <w:keepLines/>
              <w:widowControl w:val="0"/>
              <w:jc w:val="center"/>
              <w:rPr>
                <w:rFonts w:ascii="Arial Narrow" w:hAnsi="Arial Narrow"/>
                <w:iCs/>
                <w:snapToGrid w:val="0"/>
                <w:sz w:val="20"/>
                <w:szCs w:val="20"/>
                <w:lang w:eastAsia="en-US"/>
              </w:rPr>
            </w:pPr>
            <w:r w:rsidRPr="00A07146">
              <w:rPr>
                <w:rFonts w:ascii="Arial Narrow" w:hAnsi="Arial Narrow"/>
                <w:iCs/>
                <w:snapToGrid w:val="0"/>
                <w:sz w:val="20"/>
                <w:szCs w:val="20"/>
                <w:lang w:eastAsia="en-US"/>
              </w:rPr>
              <w:t>1426</w:t>
            </w:r>
          </w:p>
        </w:tc>
        <w:tc>
          <w:tcPr>
            <w:tcW w:w="864" w:type="pct"/>
            <w:vAlign w:val="center"/>
          </w:tcPr>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MC, R</w:t>
            </w:r>
            <w:r w:rsidR="00ED36CA" w:rsidRPr="00A07146">
              <w:rPr>
                <w:rFonts w:ascii="Arial Narrow" w:hAnsi="Arial Narrow"/>
                <w:iCs/>
                <w:snapToGrid w:val="0"/>
                <w:sz w:val="20"/>
                <w:szCs w:val="20"/>
                <w:lang w:eastAsia="en-US"/>
              </w:rPr>
              <w:t>, OL</w:t>
            </w:r>
            <w:r w:rsidRPr="00A07146">
              <w:rPr>
                <w:rFonts w:ascii="Arial Narrow" w:hAnsi="Arial Narrow"/>
                <w:iCs/>
                <w:snapToGrid w:val="0"/>
                <w:sz w:val="20"/>
                <w:szCs w:val="20"/>
                <w:vertAlign w:val="superscript"/>
                <w:lang w:eastAsia="en-US"/>
              </w:rPr>
              <w:t>a</w:t>
            </w:r>
            <w:r w:rsidRPr="00A07146">
              <w:rPr>
                <w:rFonts w:ascii="Arial Narrow" w:hAnsi="Arial Narrow"/>
                <w:iCs/>
                <w:snapToGrid w:val="0"/>
                <w:sz w:val="20"/>
                <w:szCs w:val="20"/>
                <w:lang w:eastAsia="en-US"/>
              </w:rPr>
              <w:t>, parallel, 2w run-in + 24w tx (+7d follow-up)</w:t>
            </w:r>
          </w:p>
        </w:tc>
        <w:tc>
          <w:tcPr>
            <w:tcW w:w="236" w:type="pct"/>
            <w:vAlign w:val="center"/>
          </w:tcPr>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High</w:t>
            </w:r>
          </w:p>
        </w:tc>
        <w:tc>
          <w:tcPr>
            <w:tcW w:w="1258" w:type="pct"/>
            <w:vAlign w:val="center"/>
          </w:tcPr>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MF/IND/GLY DPI (80/150/50 and 160/150/50 µg D)</w:t>
            </w:r>
          </w:p>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FP/SAL (500/50 µg BD) + TIO (2.5 µg 2 D)</w:t>
            </w:r>
          </w:p>
        </w:tc>
        <w:tc>
          <w:tcPr>
            <w:tcW w:w="550" w:type="pct"/>
            <w:vAlign w:val="center"/>
          </w:tcPr>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Aged ≥18y, Asthma, FEV1 &lt;85%</w:t>
            </w:r>
          </w:p>
        </w:tc>
        <w:tc>
          <w:tcPr>
            <w:tcW w:w="1544" w:type="pct"/>
            <w:vAlign w:val="center"/>
          </w:tcPr>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1º: AQLQ (24w)</w:t>
            </w:r>
          </w:p>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2º: trough FEV1 and ACQ-7 (24w)</w:t>
            </w:r>
          </w:p>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Other: spirometry</w:t>
            </w:r>
            <w:r w:rsidRPr="00A07146">
              <w:rPr>
                <w:rFonts w:ascii="Arial Narrow" w:hAnsi="Arial Narrow"/>
                <w:iCs/>
                <w:snapToGrid w:val="0"/>
                <w:sz w:val="20"/>
                <w:szCs w:val="20"/>
                <w:vertAlign w:val="superscript"/>
                <w:lang w:eastAsia="en-US"/>
              </w:rPr>
              <w:t>#</w:t>
            </w:r>
            <w:r w:rsidRPr="00A07146">
              <w:rPr>
                <w:rFonts w:ascii="Arial Narrow" w:hAnsi="Arial Narrow"/>
                <w:iCs/>
                <w:snapToGrid w:val="0"/>
                <w:sz w:val="20"/>
                <w:szCs w:val="20"/>
                <w:lang w:eastAsia="en-US"/>
              </w:rPr>
              <w:t>, PRO</w:t>
            </w:r>
            <w:r w:rsidRPr="00A07146">
              <w:rPr>
                <w:rFonts w:ascii="Arial Narrow" w:hAnsi="Arial Narrow"/>
                <w:iCs/>
                <w:snapToGrid w:val="0"/>
                <w:sz w:val="20"/>
                <w:szCs w:val="20"/>
                <w:vertAlign w:val="superscript"/>
                <w:lang w:eastAsia="en-US"/>
              </w:rPr>
              <w:t>b</w:t>
            </w:r>
            <w:r w:rsidRPr="00A07146">
              <w:rPr>
                <w:rFonts w:ascii="Arial Narrow" w:hAnsi="Arial Narrow"/>
                <w:iCs/>
                <w:snapToGrid w:val="0"/>
                <w:sz w:val="20"/>
                <w:szCs w:val="20"/>
                <w:lang w:eastAsia="en-US"/>
              </w:rPr>
              <w:t>, salbutamol, exacerbations</w:t>
            </w:r>
          </w:p>
        </w:tc>
      </w:tr>
      <w:tr w:rsidR="00DD254D" w:rsidRPr="00FB7A6E" w:rsidTr="00B061AA">
        <w:tc>
          <w:tcPr>
            <w:tcW w:w="5000" w:type="pct"/>
            <w:gridSpan w:val="7"/>
            <w:vAlign w:val="center"/>
          </w:tcPr>
          <w:p w:rsidR="00DD254D" w:rsidRPr="00FB7A6E" w:rsidRDefault="00DD254D" w:rsidP="004A5852">
            <w:pPr>
              <w:keepNext/>
              <w:keepLines/>
              <w:widowControl w:val="0"/>
              <w:jc w:val="left"/>
              <w:rPr>
                <w:rFonts w:ascii="Arial Narrow" w:hAnsi="Arial Narrow"/>
                <w:iCs/>
                <w:snapToGrid w:val="0"/>
                <w:sz w:val="20"/>
                <w:szCs w:val="20"/>
                <w:lang w:eastAsia="en-US"/>
              </w:rPr>
            </w:pPr>
            <w:r w:rsidRPr="00FB7A6E">
              <w:rPr>
                <w:rFonts w:ascii="Arial Narrow" w:hAnsi="Arial Narrow"/>
                <w:b/>
                <w:sz w:val="20"/>
                <w:szCs w:val="20"/>
              </w:rPr>
              <w:t>MF/IND/GLY (80/150/50 and 160/150/50) vs MF/IND (160/150 and 320/150) and FP/SAL 500/50</w:t>
            </w:r>
          </w:p>
        </w:tc>
      </w:tr>
      <w:tr w:rsidR="00DD254D" w:rsidRPr="00A07146" w:rsidTr="00B061AA">
        <w:tc>
          <w:tcPr>
            <w:tcW w:w="312" w:type="pct"/>
            <w:vAlign w:val="center"/>
          </w:tcPr>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Iridium</w:t>
            </w:r>
          </w:p>
        </w:tc>
        <w:tc>
          <w:tcPr>
            <w:tcW w:w="236" w:type="pct"/>
            <w:vAlign w:val="center"/>
          </w:tcPr>
          <w:p w:rsidR="00DD254D" w:rsidRPr="00A07146" w:rsidRDefault="00DD254D" w:rsidP="004A5852">
            <w:pPr>
              <w:keepNext/>
              <w:keepLines/>
              <w:widowControl w:val="0"/>
              <w:jc w:val="center"/>
              <w:rPr>
                <w:rFonts w:ascii="Arial Narrow" w:hAnsi="Arial Narrow"/>
                <w:iCs/>
                <w:snapToGrid w:val="0"/>
                <w:sz w:val="20"/>
                <w:szCs w:val="20"/>
                <w:lang w:eastAsia="en-US"/>
              </w:rPr>
            </w:pPr>
            <w:r w:rsidRPr="00A07146">
              <w:rPr>
                <w:rFonts w:ascii="Arial Narrow" w:hAnsi="Arial Narrow"/>
                <w:iCs/>
                <w:snapToGrid w:val="0"/>
                <w:sz w:val="20"/>
                <w:szCs w:val="20"/>
                <w:lang w:eastAsia="en-US"/>
              </w:rPr>
              <w:t>3092</w:t>
            </w:r>
          </w:p>
        </w:tc>
        <w:tc>
          <w:tcPr>
            <w:tcW w:w="864" w:type="pct"/>
            <w:vAlign w:val="center"/>
          </w:tcPr>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MC, R, DB, 2D parallel, 2w run-in + 52w tx (+30d follow-up)</w:t>
            </w:r>
          </w:p>
        </w:tc>
        <w:tc>
          <w:tcPr>
            <w:tcW w:w="236" w:type="pct"/>
            <w:vAlign w:val="center"/>
          </w:tcPr>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Low</w:t>
            </w:r>
          </w:p>
        </w:tc>
        <w:tc>
          <w:tcPr>
            <w:tcW w:w="1258" w:type="pct"/>
            <w:vAlign w:val="center"/>
          </w:tcPr>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MF/IND DPI (160/150 and 320/150 µg D)</w:t>
            </w:r>
          </w:p>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FP/SAL (500/50 µg BD)</w:t>
            </w:r>
          </w:p>
        </w:tc>
        <w:tc>
          <w:tcPr>
            <w:tcW w:w="550" w:type="pct"/>
            <w:vAlign w:val="center"/>
          </w:tcPr>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Aged 18-75y, Asthma, FEV1 &lt;80%</w:t>
            </w:r>
          </w:p>
        </w:tc>
        <w:tc>
          <w:tcPr>
            <w:tcW w:w="1544" w:type="pct"/>
            <w:vAlign w:val="center"/>
          </w:tcPr>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1º: trough FEV1 (26w)</w:t>
            </w:r>
          </w:p>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2º: ACQ-7 (26w)</w:t>
            </w:r>
          </w:p>
          <w:p w:rsidR="00DD254D" w:rsidRPr="00A07146" w:rsidRDefault="00DD254D" w:rsidP="004A5852">
            <w:pPr>
              <w:keepNext/>
              <w:keepLines/>
              <w:widowControl w:val="0"/>
              <w:jc w:val="left"/>
              <w:rPr>
                <w:rFonts w:ascii="Arial Narrow" w:hAnsi="Arial Narrow"/>
                <w:iCs/>
                <w:snapToGrid w:val="0"/>
                <w:sz w:val="20"/>
                <w:szCs w:val="20"/>
                <w:lang w:eastAsia="en-US"/>
              </w:rPr>
            </w:pPr>
            <w:r w:rsidRPr="00A07146">
              <w:rPr>
                <w:rFonts w:ascii="Arial Narrow" w:hAnsi="Arial Narrow"/>
                <w:iCs/>
                <w:snapToGrid w:val="0"/>
                <w:sz w:val="20"/>
                <w:szCs w:val="20"/>
                <w:lang w:eastAsia="en-US"/>
              </w:rPr>
              <w:t>Other: spirometry</w:t>
            </w:r>
            <w:r w:rsidRPr="00A07146">
              <w:rPr>
                <w:rFonts w:ascii="Arial Narrow" w:hAnsi="Arial Narrow"/>
                <w:iCs/>
                <w:snapToGrid w:val="0"/>
                <w:sz w:val="20"/>
                <w:szCs w:val="20"/>
                <w:vertAlign w:val="superscript"/>
                <w:lang w:eastAsia="en-US"/>
              </w:rPr>
              <w:t>#</w:t>
            </w:r>
            <w:r w:rsidRPr="00A07146">
              <w:rPr>
                <w:rFonts w:ascii="Arial Narrow" w:hAnsi="Arial Narrow"/>
                <w:iCs/>
                <w:snapToGrid w:val="0"/>
                <w:sz w:val="20"/>
                <w:szCs w:val="20"/>
                <w:lang w:eastAsia="en-US"/>
              </w:rPr>
              <w:t>, PRO</w:t>
            </w:r>
            <w:r w:rsidRPr="00A07146">
              <w:rPr>
                <w:rFonts w:ascii="Arial Narrow" w:hAnsi="Arial Narrow"/>
                <w:iCs/>
                <w:snapToGrid w:val="0"/>
                <w:sz w:val="20"/>
                <w:szCs w:val="20"/>
                <w:vertAlign w:val="superscript"/>
                <w:lang w:eastAsia="en-US"/>
              </w:rPr>
              <w:t>c</w:t>
            </w:r>
            <w:r w:rsidRPr="00A07146">
              <w:rPr>
                <w:rFonts w:ascii="Arial Narrow" w:hAnsi="Arial Narrow"/>
                <w:iCs/>
                <w:snapToGrid w:val="0"/>
                <w:sz w:val="20"/>
                <w:szCs w:val="20"/>
                <w:lang w:eastAsia="en-US"/>
              </w:rPr>
              <w:t>, salbutamol, exacerbations</w:t>
            </w:r>
          </w:p>
        </w:tc>
      </w:tr>
    </w:tbl>
    <w:p w:rsidR="00DD254D" w:rsidRPr="00FB7A6E" w:rsidRDefault="00DD254D" w:rsidP="00DD254D">
      <w:pPr>
        <w:widowControl w:val="0"/>
        <w:tabs>
          <w:tab w:val="left" w:pos="142"/>
        </w:tabs>
        <w:rPr>
          <w:rFonts w:ascii="Arial Narrow" w:hAnsi="Arial Narrow"/>
          <w:iCs/>
          <w:snapToGrid w:val="0"/>
          <w:sz w:val="18"/>
          <w:szCs w:val="18"/>
          <w:lang w:eastAsia="en-US"/>
        </w:rPr>
      </w:pPr>
      <w:r w:rsidRPr="00FB7A6E">
        <w:rPr>
          <w:rFonts w:ascii="Arial Narrow" w:hAnsi="Arial Narrow"/>
          <w:iCs/>
          <w:snapToGrid w:val="0"/>
          <w:sz w:val="18"/>
          <w:szCs w:val="18"/>
          <w:lang w:eastAsia="en-US"/>
        </w:rPr>
        <w:t>Abbreviations: ACQ=asthma control questionnaire; AQLQ=asthma quality of life questionnaire; DB=double blind; FEV</w:t>
      </w:r>
      <w:r w:rsidRPr="00FB7A6E">
        <w:rPr>
          <w:rFonts w:ascii="Arial Narrow" w:hAnsi="Arial Narrow"/>
          <w:iCs/>
          <w:snapToGrid w:val="0"/>
          <w:sz w:val="18"/>
          <w:szCs w:val="18"/>
          <w:vertAlign w:val="subscript"/>
          <w:lang w:eastAsia="en-US"/>
        </w:rPr>
        <w:t>25-75=</w:t>
      </w:r>
      <w:r w:rsidRPr="00FB7A6E">
        <w:rPr>
          <w:rFonts w:ascii="Arial Narrow" w:hAnsi="Arial Narrow"/>
          <w:iCs/>
          <w:snapToGrid w:val="0"/>
          <w:sz w:val="18"/>
          <w:szCs w:val="18"/>
          <w:lang w:eastAsia="en-US"/>
        </w:rPr>
        <w:t>forced expiratory flow between 25% and 75%; FP=fluticasone propionate; FVC=forced vital capacity; GL</w:t>
      </w:r>
      <w:r w:rsidR="009326C0" w:rsidRPr="00FB7A6E">
        <w:rPr>
          <w:rFonts w:ascii="Arial Narrow" w:hAnsi="Arial Narrow"/>
          <w:iCs/>
          <w:snapToGrid w:val="0"/>
          <w:sz w:val="18"/>
          <w:szCs w:val="18"/>
          <w:lang w:eastAsia="en-US"/>
        </w:rPr>
        <w:t>Y</w:t>
      </w:r>
      <w:r w:rsidRPr="00FB7A6E">
        <w:rPr>
          <w:rFonts w:ascii="Arial Narrow" w:hAnsi="Arial Narrow"/>
          <w:iCs/>
          <w:snapToGrid w:val="0"/>
          <w:sz w:val="18"/>
          <w:szCs w:val="18"/>
          <w:lang w:eastAsia="en-US"/>
        </w:rPr>
        <w:t xml:space="preserve">=glycopyrronium bromide; IND=indacaterol; MC=multicentre; MF=mometasone furoate; OL=open label; PEF=peak expiratory flow rate; PRO=patient reported outcome; R=randomised; SAL=salmeterol; </w:t>
      </w:r>
      <w:r w:rsidR="009326C0" w:rsidRPr="00FB7A6E">
        <w:rPr>
          <w:rFonts w:ascii="Arial Narrow" w:hAnsi="Arial Narrow"/>
          <w:iCs/>
          <w:snapToGrid w:val="0"/>
          <w:sz w:val="18"/>
          <w:szCs w:val="18"/>
          <w:lang w:eastAsia="en-US"/>
        </w:rPr>
        <w:t xml:space="preserve">TIO=tiotropium; </w:t>
      </w:r>
      <w:r w:rsidRPr="00FB7A6E">
        <w:rPr>
          <w:rFonts w:ascii="Arial Narrow" w:hAnsi="Arial Narrow"/>
          <w:iCs/>
          <w:snapToGrid w:val="0"/>
          <w:sz w:val="18"/>
          <w:szCs w:val="18"/>
          <w:lang w:eastAsia="en-US"/>
        </w:rPr>
        <w:t xml:space="preserve">BD=twice daily; D=once daily; d=day; tx=treatment; w=week; y=year; </w:t>
      </w:r>
    </w:p>
    <w:p w:rsidR="00DD254D" w:rsidRPr="00FB7A6E" w:rsidRDefault="00DD254D" w:rsidP="00DD254D">
      <w:pPr>
        <w:widowControl w:val="0"/>
        <w:tabs>
          <w:tab w:val="left" w:pos="142"/>
        </w:tabs>
        <w:rPr>
          <w:rFonts w:ascii="Arial Narrow" w:hAnsi="Arial Narrow"/>
          <w:iCs/>
          <w:snapToGrid w:val="0"/>
          <w:sz w:val="18"/>
          <w:szCs w:val="18"/>
          <w:lang w:eastAsia="en-US"/>
        </w:rPr>
      </w:pPr>
      <w:r w:rsidRPr="00FB7A6E">
        <w:rPr>
          <w:rFonts w:ascii="Arial Narrow" w:hAnsi="Arial Narrow"/>
          <w:iCs/>
          <w:snapToGrid w:val="0"/>
          <w:sz w:val="18"/>
          <w:szCs w:val="18"/>
          <w:lang w:eastAsia="en-US"/>
        </w:rPr>
        <w:t>#</w:t>
      </w:r>
      <w:r w:rsidRPr="00FB7A6E">
        <w:rPr>
          <w:rFonts w:ascii="Arial Narrow" w:hAnsi="Arial Narrow"/>
          <w:iCs/>
          <w:snapToGrid w:val="0"/>
          <w:sz w:val="18"/>
          <w:szCs w:val="18"/>
          <w:lang w:eastAsia="en-US"/>
        </w:rPr>
        <w:tab/>
        <w:t>spirometry assessment included: FEV1, PEF, FVC, FEF</w:t>
      </w:r>
      <w:r w:rsidRPr="00FB7A6E">
        <w:rPr>
          <w:rFonts w:ascii="Arial Narrow" w:hAnsi="Arial Narrow"/>
          <w:iCs/>
          <w:snapToGrid w:val="0"/>
          <w:sz w:val="18"/>
          <w:szCs w:val="18"/>
          <w:vertAlign w:val="subscript"/>
          <w:lang w:eastAsia="en-US"/>
        </w:rPr>
        <w:t>25-75%</w:t>
      </w:r>
      <w:r w:rsidRPr="00FB7A6E">
        <w:rPr>
          <w:rFonts w:ascii="Arial Narrow" w:hAnsi="Arial Narrow"/>
          <w:iCs/>
          <w:snapToGrid w:val="0"/>
          <w:sz w:val="18"/>
          <w:szCs w:val="18"/>
          <w:lang w:eastAsia="en-US"/>
        </w:rPr>
        <w:t>, trough FEV1 (other visits)</w:t>
      </w:r>
    </w:p>
    <w:p w:rsidR="00DD254D" w:rsidRPr="00FB7A6E" w:rsidRDefault="00DD254D" w:rsidP="00DD254D">
      <w:pPr>
        <w:widowControl w:val="0"/>
        <w:tabs>
          <w:tab w:val="left" w:pos="142"/>
        </w:tabs>
        <w:ind w:left="135" w:hanging="135"/>
        <w:rPr>
          <w:rFonts w:ascii="Arial Narrow" w:hAnsi="Arial Narrow"/>
          <w:iCs/>
          <w:snapToGrid w:val="0"/>
          <w:sz w:val="18"/>
          <w:szCs w:val="18"/>
          <w:lang w:eastAsia="en-US"/>
        </w:rPr>
      </w:pPr>
      <w:r w:rsidRPr="00FB7A6E">
        <w:rPr>
          <w:rFonts w:ascii="Arial Narrow" w:hAnsi="Arial Narrow"/>
          <w:iCs/>
          <w:snapToGrid w:val="0"/>
          <w:sz w:val="18"/>
          <w:szCs w:val="18"/>
          <w:vertAlign w:val="superscript"/>
          <w:lang w:eastAsia="en-US"/>
        </w:rPr>
        <w:t>a</w:t>
      </w:r>
      <w:r w:rsidRPr="00FB7A6E">
        <w:rPr>
          <w:rFonts w:ascii="Arial Narrow" w:hAnsi="Arial Narrow"/>
          <w:iCs/>
          <w:snapToGrid w:val="0"/>
          <w:sz w:val="18"/>
          <w:szCs w:val="18"/>
          <w:vertAlign w:val="superscript"/>
          <w:lang w:eastAsia="en-US"/>
        </w:rPr>
        <w:tab/>
      </w:r>
      <w:r w:rsidRPr="00FB7A6E">
        <w:rPr>
          <w:rFonts w:ascii="Arial Narrow" w:hAnsi="Arial Narrow"/>
          <w:iCs/>
          <w:snapToGrid w:val="0"/>
          <w:sz w:val="18"/>
          <w:szCs w:val="18"/>
          <w:lang w:eastAsia="en-US"/>
        </w:rPr>
        <w:t>Partial b</w:t>
      </w:r>
      <w:r w:rsidR="008668C2">
        <w:rPr>
          <w:rFonts w:ascii="Arial Narrow" w:hAnsi="Arial Narrow"/>
          <w:iCs/>
          <w:snapToGrid w:val="0"/>
          <w:sz w:val="18"/>
          <w:szCs w:val="18"/>
          <w:lang w:eastAsia="en-US"/>
        </w:rPr>
        <w:t xml:space="preserve">lind/open-label study. </w:t>
      </w:r>
      <w:r w:rsidRPr="00FB7A6E">
        <w:rPr>
          <w:rFonts w:ascii="Arial Narrow" w:hAnsi="Arial Narrow"/>
          <w:iCs/>
          <w:snapToGrid w:val="0"/>
          <w:sz w:val="18"/>
          <w:szCs w:val="18"/>
          <w:lang w:eastAsia="en-US"/>
        </w:rPr>
        <w:t xml:space="preserve">Investigators and patients had knowledge of treatment allocation between MF/IND/GLY and/or </w:t>
      </w:r>
      <w:r w:rsidR="00F265CF" w:rsidRPr="00FB7A6E">
        <w:rPr>
          <w:rFonts w:ascii="Arial Narrow" w:hAnsi="Arial Narrow"/>
          <w:iCs/>
          <w:snapToGrid w:val="0"/>
          <w:sz w:val="18"/>
          <w:szCs w:val="18"/>
          <w:lang w:eastAsia="en-US"/>
        </w:rPr>
        <w:t>comparator;</w:t>
      </w:r>
      <w:r w:rsidRPr="00FB7A6E">
        <w:rPr>
          <w:rFonts w:ascii="Arial Narrow" w:hAnsi="Arial Narrow"/>
          <w:iCs/>
          <w:snapToGrid w:val="0"/>
          <w:sz w:val="18"/>
          <w:szCs w:val="18"/>
          <w:lang w:eastAsia="en-US"/>
        </w:rPr>
        <w:t xml:space="preserve"> </w:t>
      </w:r>
      <w:r w:rsidR="00F265CF" w:rsidRPr="00FB7A6E">
        <w:rPr>
          <w:rFonts w:ascii="Arial Narrow" w:hAnsi="Arial Narrow"/>
          <w:iCs/>
          <w:snapToGrid w:val="0"/>
          <w:sz w:val="18"/>
          <w:szCs w:val="18"/>
          <w:lang w:eastAsia="en-US"/>
        </w:rPr>
        <w:t>however,</w:t>
      </w:r>
      <w:r w:rsidRPr="00FB7A6E">
        <w:rPr>
          <w:rFonts w:ascii="Arial Narrow" w:hAnsi="Arial Narrow"/>
          <w:iCs/>
          <w:snapToGrid w:val="0"/>
          <w:sz w:val="18"/>
          <w:szCs w:val="18"/>
          <w:lang w:eastAsia="en-US"/>
        </w:rPr>
        <w:t xml:space="preserve"> MF/IND/GLY dosage s</w:t>
      </w:r>
      <w:r w:rsidR="008668C2">
        <w:rPr>
          <w:rFonts w:ascii="Arial Narrow" w:hAnsi="Arial Narrow"/>
          <w:iCs/>
          <w:snapToGrid w:val="0"/>
          <w:sz w:val="18"/>
          <w:szCs w:val="18"/>
          <w:lang w:eastAsia="en-US"/>
        </w:rPr>
        <w:t xml:space="preserve">trength allocation was masked. </w:t>
      </w:r>
      <w:r w:rsidRPr="00FB7A6E">
        <w:rPr>
          <w:rFonts w:ascii="Arial Narrow" w:hAnsi="Arial Narrow"/>
          <w:iCs/>
          <w:snapToGrid w:val="0"/>
          <w:sz w:val="18"/>
          <w:szCs w:val="18"/>
          <w:lang w:eastAsia="en-US"/>
        </w:rPr>
        <w:t>The global sponsor team responsible for data review and analysis was blinded to all treatment allocation.</w:t>
      </w:r>
    </w:p>
    <w:p w:rsidR="00DD254D" w:rsidRPr="00FB7A6E" w:rsidRDefault="00DD254D" w:rsidP="00DD254D">
      <w:pPr>
        <w:widowControl w:val="0"/>
        <w:tabs>
          <w:tab w:val="left" w:pos="142"/>
        </w:tabs>
        <w:ind w:left="135" w:hanging="135"/>
        <w:rPr>
          <w:rFonts w:ascii="Arial Narrow" w:hAnsi="Arial Narrow"/>
          <w:iCs/>
          <w:snapToGrid w:val="0"/>
          <w:sz w:val="18"/>
          <w:szCs w:val="18"/>
          <w:lang w:eastAsia="en-US"/>
        </w:rPr>
      </w:pPr>
      <w:r w:rsidRPr="00FB7A6E">
        <w:rPr>
          <w:rFonts w:ascii="Arial Narrow" w:hAnsi="Arial Narrow"/>
          <w:iCs/>
          <w:snapToGrid w:val="0"/>
          <w:sz w:val="18"/>
          <w:szCs w:val="18"/>
          <w:vertAlign w:val="superscript"/>
          <w:lang w:eastAsia="en-US"/>
        </w:rPr>
        <w:t>b</w:t>
      </w:r>
      <w:r w:rsidRPr="00FB7A6E">
        <w:rPr>
          <w:rFonts w:ascii="Arial Narrow" w:hAnsi="Arial Narrow"/>
          <w:iCs/>
          <w:snapToGrid w:val="0"/>
          <w:sz w:val="18"/>
          <w:szCs w:val="18"/>
          <w:lang w:eastAsia="en-US"/>
        </w:rPr>
        <w:tab/>
        <w:t>PRO (health status): ACQ-7, AQLQ, SGRQ</w:t>
      </w:r>
    </w:p>
    <w:p w:rsidR="00DD254D" w:rsidRPr="00FB7A6E" w:rsidRDefault="00DD254D" w:rsidP="00DD254D">
      <w:pPr>
        <w:widowControl w:val="0"/>
        <w:tabs>
          <w:tab w:val="left" w:pos="142"/>
        </w:tabs>
        <w:ind w:left="135" w:hanging="135"/>
        <w:rPr>
          <w:rFonts w:ascii="Arial Narrow" w:hAnsi="Arial Narrow"/>
          <w:iCs/>
          <w:snapToGrid w:val="0"/>
          <w:sz w:val="18"/>
          <w:szCs w:val="18"/>
          <w:lang w:eastAsia="en-US"/>
        </w:rPr>
      </w:pPr>
      <w:r w:rsidRPr="00FB7A6E">
        <w:rPr>
          <w:rFonts w:ascii="Arial Narrow" w:hAnsi="Arial Narrow"/>
          <w:iCs/>
          <w:snapToGrid w:val="0"/>
          <w:sz w:val="18"/>
          <w:szCs w:val="18"/>
          <w:vertAlign w:val="superscript"/>
          <w:lang w:eastAsia="en-US"/>
        </w:rPr>
        <w:t>c</w:t>
      </w:r>
      <w:r w:rsidRPr="00FB7A6E">
        <w:rPr>
          <w:rFonts w:ascii="Arial Narrow" w:hAnsi="Arial Narrow"/>
          <w:iCs/>
          <w:snapToGrid w:val="0"/>
          <w:sz w:val="18"/>
          <w:szCs w:val="18"/>
          <w:lang w:eastAsia="en-US"/>
        </w:rPr>
        <w:tab/>
        <w:t xml:space="preserve">PRO (health status): ACQ-7, AQLQ-S, Work Productivity and Activity Impairment Questionnaire (WPAI-Asthma), EQ-5D-5L </w:t>
      </w:r>
    </w:p>
    <w:p w:rsidR="00DD254D" w:rsidRDefault="00DD254D" w:rsidP="00BA3106">
      <w:pPr>
        <w:widowControl w:val="0"/>
        <w:tabs>
          <w:tab w:val="left" w:pos="142"/>
        </w:tabs>
        <w:rPr>
          <w:rFonts w:ascii="Arial Narrow" w:hAnsi="Arial Narrow"/>
          <w:iCs/>
          <w:snapToGrid w:val="0"/>
          <w:sz w:val="18"/>
          <w:szCs w:val="18"/>
          <w:lang w:eastAsia="en-US"/>
        </w:rPr>
      </w:pPr>
      <w:r w:rsidRPr="00FB7A6E">
        <w:rPr>
          <w:rFonts w:ascii="Arial Narrow" w:hAnsi="Arial Narrow"/>
          <w:iCs/>
          <w:snapToGrid w:val="0"/>
          <w:sz w:val="18"/>
          <w:szCs w:val="18"/>
          <w:lang w:eastAsia="en-US"/>
        </w:rPr>
        <w:t>Source: Section 2.</w:t>
      </w:r>
      <w:r w:rsidR="00BA3106">
        <w:rPr>
          <w:rFonts w:ascii="Arial Narrow" w:hAnsi="Arial Narrow"/>
          <w:iCs/>
          <w:snapToGrid w:val="0"/>
          <w:sz w:val="18"/>
          <w:szCs w:val="18"/>
          <w:lang w:eastAsia="en-US"/>
        </w:rPr>
        <w:t xml:space="preserve">4.1, p44 of the submission. </w:t>
      </w:r>
    </w:p>
    <w:p w:rsidR="00BA3106" w:rsidRPr="00BA3106" w:rsidRDefault="00BA3106" w:rsidP="00BA3106">
      <w:pPr>
        <w:widowControl w:val="0"/>
        <w:tabs>
          <w:tab w:val="left" w:pos="142"/>
        </w:tabs>
        <w:rPr>
          <w:rFonts w:ascii="Arial Narrow" w:hAnsi="Arial Narrow"/>
          <w:iCs/>
          <w:snapToGrid w:val="0"/>
          <w:sz w:val="18"/>
          <w:szCs w:val="18"/>
          <w:lang w:eastAsia="en-US"/>
        </w:rPr>
      </w:pPr>
    </w:p>
    <w:p w:rsidR="00ED36CA" w:rsidRPr="00FB7A6E" w:rsidRDefault="00ED36CA" w:rsidP="00DD254D">
      <w:pPr>
        <w:pStyle w:val="3-BodyText"/>
      </w:pPr>
      <w:r w:rsidRPr="00FB7A6E">
        <w:t xml:space="preserve">Argon was a three-arm open-label non-inferiority trial, comparing medium dose </w:t>
      </w:r>
      <w:r w:rsidR="00A43237" w:rsidRPr="00FB7A6E">
        <w:t xml:space="preserve">and high dose </w:t>
      </w:r>
      <w:r w:rsidRPr="00FB7A6E">
        <w:t>MF/IND/GLY to high dose FP/SAL plus TIO in terms of Asthma Quality of Life Que</w:t>
      </w:r>
      <w:r w:rsidR="008668C2">
        <w:t xml:space="preserve">stionnaire (AQLQ) at 24 weeks. </w:t>
      </w:r>
      <w:r w:rsidRPr="00FB7A6E">
        <w:t>The dose of MF/IND/GLY was blinded to patients and investigators, but treatment allocation to FP/SAL plus TIO was not blinded.</w:t>
      </w:r>
    </w:p>
    <w:p w:rsidR="00ED36CA" w:rsidRPr="00FB7A6E" w:rsidRDefault="00E963D4" w:rsidP="00DD254D">
      <w:pPr>
        <w:pStyle w:val="3-BodyText"/>
      </w:pPr>
      <w:r w:rsidRPr="00FB7A6E">
        <w:t>Iridium was a five-arm d</w:t>
      </w:r>
      <w:r w:rsidR="008668C2">
        <w:t xml:space="preserve">ouble-blind superiority trial. </w:t>
      </w:r>
      <w:r w:rsidRPr="00FB7A6E">
        <w:t>The primary objective was to demonstrate superiority of medium dose MF/IND/GLY to medium dose MF/IND and high dose MF/IND/GLY to high dose MF/IND in ter</w:t>
      </w:r>
      <w:r w:rsidR="008668C2">
        <w:t xml:space="preserve">ms of trough FEV1 at 26 weeks. </w:t>
      </w:r>
      <w:r w:rsidRPr="00FB7A6E">
        <w:t>Comparison to high dose FP/</w:t>
      </w:r>
      <w:r w:rsidR="008668C2">
        <w:t xml:space="preserve">SAL was a secondary objective. </w:t>
      </w:r>
      <w:r w:rsidRPr="00FB7A6E">
        <w:t>Placebo doses were used to maintain blinding between treatment arms.</w:t>
      </w:r>
    </w:p>
    <w:p w:rsidR="00E963D4" w:rsidRPr="00A07146" w:rsidRDefault="00E963D4" w:rsidP="00E963D4">
      <w:pPr>
        <w:pStyle w:val="3-BodyText"/>
      </w:pPr>
      <w:r w:rsidRPr="00A07146">
        <w:lastRenderedPageBreak/>
        <w:t>Overall, the risk of bias in Iridium (for the primary comparisons of MF/IND/GLY vs MF/IND) was considered low</w:t>
      </w:r>
      <w:r w:rsidR="00EC7E37" w:rsidRPr="00A07146">
        <w:t>; however,</w:t>
      </w:r>
      <w:r w:rsidRPr="00A07146">
        <w:t xml:space="preserve"> the risk of bias in Argon was considered high and potentially favours MF/IND/GLY over FP/SAL plus TIO:</w:t>
      </w:r>
    </w:p>
    <w:p w:rsidR="00E963D4" w:rsidRPr="00A07146" w:rsidRDefault="00E963D4" w:rsidP="006831B2">
      <w:pPr>
        <w:pStyle w:val="3-BodyText"/>
        <w:numPr>
          <w:ilvl w:val="1"/>
          <w:numId w:val="6"/>
        </w:numPr>
        <w:ind w:left="993" w:hanging="294"/>
        <w:rPr>
          <w:snapToGrid/>
        </w:rPr>
      </w:pPr>
      <w:r w:rsidRPr="00A07146">
        <w:rPr>
          <w:snapToGrid/>
        </w:rPr>
        <w:t>Patients and investigators were not blinded to the treatment allocation</w:t>
      </w:r>
      <w:r w:rsidR="00EC31A0">
        <w:rPr>
          <w:snapToGrid/>
        </w:rPr>
        <w:t xml:space="preserve"> </w:t>
      </w:r>
      <w:r w:rsidR="00EC31A0" w:rsidRPr="00DB6C89">
        <w:rPr>
          <w:snapToGrid/>
        </w:rPr>
        <w:t>in the FP/SAL+TIO arm</w:t>
      </w:r>
      <w:r w:rsidRPr="00A07146">
        <w:rPr>
          <w:snapToGrid/>
        </w:rPr>
        <w:t>, and the primary outcome is a patient reported questionnaire.</w:t>
      </w:r>
    </w:p>
    <w:p w:rsidR="00E963D4" w:rsidRPr="00A07146" w:rsidRDefault="00E963D4" w:rsidP="006831B2">
      <w:pPr>
        <w:pStyle w:val="3-BodyText"/>
        <w:numPr>
          <w:ilvl w:val="1"/>
          <w:numId w:val="6"/>
        </w:numPr>
        <w:ind w:left="993" w:hanging="294"/>
        <w:rPr>
          <w:snapToGrid/>
        </w:rPr>
      </w:pPr>
      <w:r w:rsidRPr="00A07146">
        <w:rPr>
          <w:snapToGrid/>
        </w:rPr>
        <w:t>The trial enrolled symptomatic patients after a run-in period with FP/SAL, therefore there may be a selection bias working against FP/SAL plus T</w:t>
      </w:r>
      <w:r w:rsidR="008668C2">
        <w:rPr>
          <w:snapToGrid/>
        </w:rPr>
        <w:t xml:space="preserve">IO during the treatment phase. </w:t>
      </w:r>
      <w:r w:rsidRPr="00A07146">
        <w:rPr>
          <w:snapToGrid/>
        </w:rPr>
        <w:t>It is possible that switching background ICS/LABA may reduce symptoms.</w:t>
      </w:r>
    </w:p>
    <w:p w:rsidR="00DD254D" w:rsidRPr="00A07146" w:rsidRDefault="00E963D4" w:rsidP="006831B2">
      <w:pPr>
        <w:pStyle w:val="3-BodyText"/>
        <w:numPr>
          <w:ilvl w:val="1"/>
          <w:numId w:val="6"/>
        </w:numPr>
        <w:ind w:left="993" w:hanging="294"/>
        <w:rPr>
          <w:snapToGrid/>
        </w:rPr>
      </w:pPr>
      <w:r w:rsidRPr="00A07146">
        <w:rPr>
          <w:snapToGrid/>
        </w:rPr>
        <w:t>The trial permitted patients with symptom control in the FP/SAL plus TIO arm to ‘step-down’ treatment including ceasing TIO but this option was not possible in the MF/IND/GLY arms, which potentially favours MF/IND/GLY.</w:t>
      </w:r>
      <w:r w:rsidR="00C7292C" w:rsidRPr="00DB6C89">
        <w:rPr>
          <w:iCs/>
          <w:snapToGrid/>
        </w:rPr>
        <w:t xml:space="preserve"> The ESC noted that </w:t>
      </w:r>
      <w:r w:rsidR="00ED7EF9" w:rsidRPr="00DB6C89">
        <w:rPr>
          <w:iCs/>
          <w:snapToGrid/>
        </w:rPr>
        <w:t>very few patients discontinued TIO (Table 12-1 Argon trial</w:t>
      </w:r>
      <w:r w:rsidR="00202C8B" w:rsidRPr="00DB6C89">
        <w:rPr>
          <w:iCs/>
          <w:snapToGrid/>
        </w:rPr>
        <w:t xml:space="preserve"> Clinical Study Report, p98</w:t>
      </w:r>
      <w:r w:rsidR="00ED7EF9" w:rsidRPr="00DB6C89">
        <w:rPr>
          <w:iCs/>
          <w:snapToGrid/>
        </w:rPr>
        <w:t>)</w:t>
      </w:r>
      <w:r w:rsidR="00887AC2" w:rsidRPr="00DB6C89">
        <w:rPr>
          <w:iCs/>
          <w:snapToGrid/>
        </w:rPr>
        <w:t>.</w:t>
      </w:r>
    </w:p>
    <w:p w:rsidR="00AB2791" w:rsidRPr="00A07146" w:rsidRDefault="00AB2791" w:rsidP="00A2790F">
      <w:pPr>
        <w:pStyle w:val="3-BodyText"/>
      </w:pPr>
      <w:r w:rsidRPr="00A07146">
        <w:t xml:space="preserve">The clinically relevant outcomes </w:t>
      </w:r>
      <w:r w:rsidR="00B81897" w:rsidRPr="00A07146">
        <w:t xml:space="preserve">for asthma </w:t>
      </w:r>
      <w:r w:rsidRPr="00202C8B">
        <w:t>are</w:t>
      </w:r>
      <w:r w:rsidRPr="00A07146">
        <w:t xml:space="preserve"> differences in lung function tests, rescue medication use, symptom free days / control (e.g. </w:t>
      </w:r>
      <w:r w:rsidR="00B81897" w:rsidRPr="00A07146">
        <w:t xml:space="preserve">Asthma Control Questionnaire, </w:t>
      </w:r>
      <w:r w:rsidRPr="00A07146">
        <w:t>ACQ), asthma exacerbations an</w:t>
      </w:r>
      <w:r w:rsidR="008668C2">
        <w:t xml:space="preserve">d quality of life (e.g. AQLQ). </w:t>
      </w:r>
      <w:r w:rsidRPr="00A07146">
        <w:t xml:space="preserve">In past decisions, the PBAC has relied on lung function tests to determine non-inferiority between ICS/LABA FDCs, including change in morning peak expiratory flow (PEF), and less commonly change in trough </w:t>
      </w:r>
      <w:r w:rsidR="002D6B53" w:rsidRPr="00A07146">
        <w:t>forced expiratory volume in one second (</w:t>
      </w:r>
      <w:r w:rsidRPr="00A07146">
        <w:t>FEV1</w:t>
      </w:r>
      <w:r w:rsidR="002D6B53" w:rsidRPr="00A07146">
        <w:t>)</w:t>
      </w:r>
      <w:r w:rsidR="008668C2">
        <w:t xml:space="preserve">. </w:t>
      </w:r>
      <w:r w:rsidRPr="00A07146">
        <w:t xml:space="preserve">The PBAC recommended TIO for triple therapy ICS/LABA+LAMA </w:t>
      </w:r>
      <w:r w:rsidR="00A2790F" w:rsidRPr="00A07146">
        <w:t xml:space="preserve">in </w:t>
      </w:r>
      <w:r w:rsidRPr="00A07146">
        <w:t>severe asthma based on acceptable cost-effectiveness versus dual therapy ICS/LABA, supported by a clinically relevant improvement in FEV1 in the trial data and where ACQ-7 and exacerbations informed the health states in the model (paragraph 6.9, tiotropium bromide PSD March 2016 PBAC meeting).</w:t>
      </w:r>
    </w:p>
    <w:p w:rsidR="00E963D4" w:rsidRPr="00FB7A6E" w:rsidRDefault="00E963D4" w:rsidP="00DD254D">
      <w:pPr>
        <w:pStyle w:val="3-BodyText"/>
      </w:pPr>
      <w:r w:rsidRPr="00FB7A6E">
        <w:t>The submission based the clinical claim on the primary outcome in Argon, the change from baseline in AQLQ at the</w:t>
      </w:r>
      <w:r w:rsidR="008668C2">
        <w:t xml:space="preserve"> end of 24 weeks of treatment. </w:t>
      </w:r>
      <w:r w:rsidRPr="00FB7A6E">
        <w:t xml:space="preserve">The submission nominated a non-inferiority margin of 0.25 reduction in AQLQ score in line the </w:t>
      </w:r>
      <w:r w:rsidR="008668C2">
        <w:t xml:space="preserve">pre-specified margin in Argon. </w:t>
      </w:r>
      <w:r w:rsidRPr="00FB7A6E">
        <w:t>Iridium measured the change in the standardised AQLQ (AQLQ-S) over 52 weeks as a secondary outcome.</w:t>
      </w:r>
    </w:p>
    <w:p w:rsidR="001F5D9B" w:rsidRPr="00FB7A6E" w:rsidRDefault="001F5D9B" w:rsidP="000B209C">
      <w:pPr>
        <w:pStyle w:val="3-BodyText"/>
      </w:pPr>
      <w:r w:rsidRPr="00FB7A6E">
        <w:t xml:space="preserve">The submission also presented results for a large number of other outcomes, including the change from baseline at Week 24 or 26 in trough FEV1 (the primary outcome in Iridium), PEF (an exploratory outcome in Argon) and </w:t>
      </w:r>
      <w:r w:rsidR="00B81897" w:rsidRPr="00FB7A6E">
        <w:t>ACQ</w:t>
      </w:r>
      <w:r w:rsidRPr="00FB7A6E">
        <w:t>-7</w:t>
      </w:r>
      <w:r w:rsidR="000B209C" w:rsidRPr="00FB7A6E">
        <w:t xml:space="preserve"> and identified </w:t>
      </w:r>
      <w:r w:rsidRPr="00FB7A6E">
        <w:t>the following minimal clinically important difference (MCID) for the</w:t>
      </w:r>
      <w:r w:rsidR="007615AB">
        <w:t>se</w:t>
      </w:r>
      <w:r w:rsidRPr="00FB7A6E">
        <w:t xml:space="preserve"> key outcome</w:t>
      </w:r>
      <w:r w:rsidR="007615AB">
        <w:t>s</w:t>
      </w:r>
      <w:r w:rsidRPr="00FB7A6E">
        <w:t>:</w:t>
      </w:r>
    </w:p>
    <w:p w:rsidR="001F5D9B" w:rsidRPr="00A07146" w:rsidRDefault="001F5D9B" w:rsidP="006831B2">
      <w:pPr>
        <w:pStyle w:val="3-BodyText"/>
        <w:numPr>
          <w:ilvl w:val="1"/>
          <w:numId w:val="6"/>
        </w:numPr>
        <w:ind w:left="993" w:hanging="294"/>
        <w:rPr>
          <w:snapToGrid/>
        </w:rPr>
      </w:pPr>
      <w:r w:rsidRPr="00FB7A6E">
        <w:rPr>
          <w:snapToGrid/>
        </w:rPr>
        <w:t xml:space="preserve">Trough FEV1, 0.23 </w:t>
      </w:r>
      <w:r w:rsidR="008668C2">
        <w:rPr>
          <w:snapToGrid/>
        </w:rPr>
        <w:t xml:space="preserve">L or 10% change from baseline. </w:t>
      </w:r>
      <w:r w:rsidRPr="00A07146">
        <w:rPr>
          <w:snapToGrid/>
        </w:rPr>
        <w:t>The PBAC has considered that an increase in FEV1 of 0.10 L was likely to be clinically meaningful for severe asthma (paragraph 7.5, tiotropium bromide PSD July 2015 PBAC meeting), which is lower than the MCID (</w:t>
      </w:r>
      <w:r w:rsidR="00B81897" w:rsidRPr="00A07146">
        <w:rPr>
          <w:snapToGrid/>
        </w:rPr>
        <w:t xml:space="preserve">or </w:t>
      </w:r>
      <w:r w:rsidRPr="00A07146">
        <w:rPr>
          <w:snapToGrid/>
        </w:rPr>
        <w:t xml:space="preserve">non-inferiority margin) of between 0.15 to 0.20 </w:t>
      </w:r>
      <w:r w:rsidR="007615AB" w:rsidRPr="00A07146">
        <w:rPr>
          <w:snapToGrid/>
        </w:rPr>
        <w:t xml:space="preserve">L </w:t>
      </w:r>
      <w:r w:rsidRPr="00A07146">
        <w:rPr>
          <w:snapToGrid/>
        </w:rPr>
        <w:t>accepted by the PBAC for less severe asthma (page 4</w:t>
      </w:r>
      <w:r w:rsidR="00363F3A" w:rsidRPr="00A07146">
        <w:rPr>
          <w:snapToGrid/>
        </w:rPr>
        <w:t>,</w:t>
      </w:r>
      <w:r w:rsidRPr="00A07146">
        <w:rPr>
          <w:snapToGrid/>
        </w:rPr>
        <w:t xml:space="preserve"> fluticasone propionate with eformoterol fumarate</w:t>
      </w:r>
      <w:r w:rsidR="00363F3A" w:rsidRPr="00A07146">
        <w:rPr>
          <w:snapToGrid/>
        </w:rPr>
        <w:t xml:space="preserve"> FDC,</w:t>
      </w:r>
      <w:r w:rsidRPr="00A07146">
        <w:rPr>
          <w:snapToGrid/>
        </w:rPr>
        <w:t xml:space="preserve"> PSD July 2013 PBAC meeting; and paragraph 6.4, fluticasone </w:t>
      </w:r>
      <w:r w:rsidR="00FA0C7E" w:rsidRPr="00A07146">
        <w:rPr>
          <w:snapToGrid/>
        </w:rPr>
        <w:t>furoate</w:t>
      </w:r>
      <w:r w:rsidRPr="00A07146">
        <w:rPr>
          <w:snapToGrid/>
        </w:rPr>
        <w:t xml:space="preserve"> with vilanterol</w:t>
      </w:r>
      <w:r w:rsidR="00363F3A" w:rsidRPr="00A07146">
        <w:rPr>
          <w:snapToGrid/>
        </w:rPr>
        <w:t xml:space="preserve"> FDC,</w:t>
      </w:r>
      <w:r w:rsidRPr="00A07146">
        <w:rPr>
          <w:snapToGrid/>
        </w:rPr>
        <w:t xml:space="preserve"> PSD March 2014 PBAC meeting).</w:t>
      </w:r>
    </w:p>
    <w:p w:rsidR="001F5D9B" w:rsidRPr="00FB7A6E" w:rsidRDefault="001F5D9B" w:rsidP="006831B2">
      <w:pPr>
        <w:pStyle w:val="3-BodyText"/>
        <w:numPr>
          <w:ilvl w:val="1"/>
          <w:numId w:val="6"/>
        </w:numPr>
        <w:ind w:left="993" w:hanging="294"/>
        <w:rPr>
          <w:snapToGrid/>
        </w:rPr>
      </w:pPr>
      <w:r w:rsidRPr="00FB7A6E">
        <w:rPr>
          <w:snapToGrid/>
        </w:rPr>
        <w:lastRenderedPageBreak/>
        <w:t>PEF, 5.39% (corresponding to 18.8 L / mi</w:t>
      </w:r>
      <w:r w:rsidR="008668C2">
        <w:rPr>
          <w:snapToGrid/>
        </w:rPr>
        <w:t>n) to 12% change from baseline.</w:t>
      </w:r>
      <w:r w:rsidRPr="00FB7A6E">
        <w:rPr>
          <w:snapToGrid/>
        </w:rPr>
        <w:t xml:space="preserve"> </w:t>
      </w:r>
      <w:r w:rsidR="000F1E13" w:rsidRPr="00A07146">
        <w:rPr>
          <w:snapToGrid/>
        </w:rPr>
        <w:t>Australian guidelines</w:t>
      </w:r>
      <w:r w:rsidR="000F1E13" w:rsidRPr="00A07146">
        <w:rPr>
          <w:rStyle w:val="FootnoteReference"/>
        </w:rPr>
        <w:footnoteReference w:id="3"/>
      </w:r>
      <w:r w:rsidR="000F1E13" w:rsidRPr="00A07146">
        <w:rPr>
          <w:snapToGrid/>
        </w:rPr>
        <w:t xml:space="preserve"> refer to a 10% variation in PEF as being clinically important, which is also consistent with previous PBAC con</w:t>
      </w:r>
      <w:r w:rsidR="008668C2">
        <w:rPr>
          <w:snapToGrid/>
        </w:rPr>
        <w:t xml:space="preserve">siderations for ICS/LABA FDCs. </w:t>
      </w:r>
      <w:r w:rsidRPr="00A07146">
        <w:rPr>
          <w:snapToGrid/>
        </w:rPr>
        <w:t>Baseline mean morning PEF in Argon was approximately 300 L / min across all patients, therefore a 10% improvement corresponds to an increase of 30 L / min.</w:t>
      </w:r>
    </w:p>
    <w:p w:rsidR="001F5D9B" w:rsidRPr="00366211" w:rsidRDefault="001F5D9B" w:rsidP="006831B2">
      <w:pPr>
        <w:pStyle w:val="3-BodyText"/>
        <w:numPr>
          <w:ilvl w:val="1"/>
          <w:numId w:val="6"/>
        </w:numPr>
        <w:ind w:left="993" w:hanging="294"/>
      </w:pPr>
      <w:r w:rsidRPr="00FB7A6E">
        <w:rPr>
          <w:snapToGrid/>
        </w:rPr>
        <w:t>ACQ-7, change from baseline of ≥ 0.5</w:t>
      </w:r>
      <w:r w:rsidR="008668C2">
        <w:rPr>
          <w:snapToGrid/>
        </w:rPr>
        <w:t xml:space="preserve">. </w:t>
      </w:r>
      <w:r w:rsidR="00164986" w:rsidRPr="00A07146">
        <w:rPr>
          <w:iCs/>
          <w:snapToGrid/>
        </w:rPr>
        <w:t xml:space="preserve">ACQ-7 is the </w:t>
      </w:r>
      <w:r w:rsidR="00A81708" w:rsidRPr="00A07146">
        <w:rPr>
          <w:iCs/>
          <w:snapToGrid/>
        </w:rPr>
        <w:t xml:space="preserve">7-item </w:t>
      </w:r>
      <w:r w:rsidR="00164986" w:rsidRPr="00A07146">
        <w:rPr>
          <w:iCs/>
          <w:snapToGrid/>
        </w:rPr>
        <w:t xml:space="preserve">version of the ACQ </w:t>
      </w:r>
      <w:r w:rsidR="00A81708" w:rsidRPr="00A07146">
        <w:rPr>
          <w:iCs/>
          <w:snapToGrid/>
        </w:rPr>
        <w:t>(5 items on symptom and activity limitations, 1 on rescue drug use, and 1 on FEV% predicted)</w:t>
      </w:r>
    </w:p>
    <w:p w:rsidR="00DD254D" w:rsidRPr="00FB7A6E" w:rsidRDefault="00DD254D" w:rsidP="00DD254D">
      <w:pPr>
        <w:pStyle w:val="4-SubsectionHeading"/>
      </w:pPr>
      <w:bookmarkStart w:id="23" w:name="_Toc22897641"/>
      <w:bookmarkStart w:id="24" w:name="_Toc40870062"/>
      <w:r w:rsidRPr="00FB7A6E">
        <w:t>Comparative effectiveness</w:t>
      </w:r>
      <w:bookmarkEnd w:id="23"/>
      <w:bookmarkEnd w:id="24"/>
    </w:p>
    <w:p w:rsidR="00702518" w:rsidRPr="00FB7A6E" w:rsidRDefault="00702518" w:rsidP="00702518">
      <w:pPr>
        <w:pStyle w:val="3-BodyText"/>
      </w:pPr>
      <w:r w:rsidRPr="00FB7A6E">
        <w:t xml:space="preserve">Table </w:t>
      </w:r>
      <w:r w:rsidR="00363F3A" w:rsidRPr="00FB7A6E">
        <w:t xml:space="preserve">5 </w:t>
      </w:r>
      <w:r w:rsidRPr="00FB7A6E">
        <w:t>summarises results from the relevant comparisons reported in Argon and Iridium for the change from baseline in AQLQ, trough FEV1, mean morning PEF and ACQ-7.</w:t>
      </w:r>
    </w:p>
    <w:p w:rsidR="00903593" w:rsidRDefault="00903593">
      <w:pPr>
        <w:jc w:val="left"/>
        <w:rPr>
          <w:rFonts w:ascii="Arial Narrow" w:hAnsi="Arial Narrow"/>
          <w:b/>
          <w:sz w:val="20"/>
        </w:rPr>
      </w:pPr>
      <w:r>
        <w:rPr>
          <w:rFonts w:ascii="Arial Narrow" w:hAnsi="Arial Narrow"/>
          <w:b/>
          <w:sz w:val="20"/>
        </w:rPr>
        <w:br w:type="page"/>
      </w:r>
    </w:p>
    <w:p w:rsidR="00702518" w:rsidRPr="00FB7A6E" w:rsidRDefault="00702518" w:rsidP="002C18A8">
      <w:pPr>
        <w:keepNext/>
        <w:keepLines/>
        <w:rPr>
          <w:rFonts w:ascii="Arial Narrow" w:hAnsi="Arial Narrow"/>
          <w:b/>
          <w:sz w:val="20"/>
        </w:rPr>
      </w:pPr>
      <w:bookmarkStart w:id="25" w:name="_GoBack"/>
      <w:bookmarkEnd w:id="25"/>
      <w:r w:rsidRPr="00FB7A6E">
        <w:rPr>
          <w:rFonts w:ascii="Arial Narrow" w:hAnsi="Arial Narrow"/>
          <w:b/>
          <w:sz w:val="20"/>
        </w:rPr>
        <w:lastRenderedPageBreak/>
        <w:t xml:space="preserve">Table </w:t>
      </w:r>
      <w:r w:rsidR="00363F3A" w:rsidRPr="00FB7A6E">
        <w:rPr>
          <w:rFonts w:ascii="Arial Narrow" w:hAnsi="Arial Narrow"/>
          <w:b/>
          <w:sz w:val="20"/>
        </w:rPr>
        <w:t>5</w:t>
      </w:r>
      <w:r w:rsidRPr="00FB7A6E">
        <w:rPr>
          <w:rFonts w:ascii="Arial Narrow" w:hAnsi="Arial Narrow"/>
          <w:b/>
          <w:sz w:val="20"/>
        </w:rPr>
        <w:t>: Mean change (SE) from baseline in AQLQ total score, trough FEV1 (L), PEF (L/min) and ACQ-7 in MF/IND/GLY trials, Argon and Iridium</w:t>
      </w:r>
    </w:p>
    <w:tbl>
      <w:tblPr>
        <w:tblStyle w:val="TableGrid"/>
        <w:tblW w:w="5000" w:type="pct"/>
        <w:tblCellMar>
          <w:left w:w="28" w:type="dxa"/>
          <w:right w:w="28" w:type="dxa"/>
        </w:tblCellMar>
        <w:tblLook w:val="04A0" w:firstRow="1" w:lastRow="0" w:firstColumn="1" w:lastColumn="0" w:noHBand="0" w:noVBand="1"/>
        <w:tblCaption w:val="Table 5: Mean changes (SE) frombaseline in AQLQ total score, trough FEV1 (L), PEF (L/min) and ACQ-7 in MF/IND/GLY trial, Argon and Iridium"/>
      </w:tblPr>
      <w:tblGrid>
        <w:gridCol w:w="3371"/>
        <w:gridCol w:w="1004"/>
        <w:gridCol w:w="1010"/>
        <w:gridCol w:w="894"/>
        <w:gridCol w:w="1369"/>
        <w:gridCol w:w="1369"/>
      </w:tblGrid>
      <w:tr w:rsidR="00702518" w:rsidRPr="00FB7A6E" w:rsidTr="00F352F3">
        <w:trPr>
          <w:tblHeader/>
        </w:trPr>
        <w:tc>
          <w:tcPr>
            <w:tcW w:w="1869" w:type="pct"/>
            <w:vMerge w:val="restart"/>
            <w:vAlign w:val="center"/>
          </w:tcPr>
          <w:p w:rsidR="00702518" w:rsidRPr="00FB7A6E" w:rsidRDefault="00702518" w:rsidP="002C18A8">
            <w:pPr>
              <w:keepNext/>
              <w:keepLines/>
              <w:jc w:val="left"/>
              <w:rPr>
                <w:rFonts w:ascii="Arial Narrow" w:hAnsi="Arial Narrow"/>
                <w:b/>
                <w:sz w:val="20"/>
                <w:szCs w:val="20"/>
              </w:rPr>
            </w:pPr>
          </w:p>
        </w:tc>
        <w:tc>
          <w:tcPr>
            <w:tcW w:w="557" w:type="pct"/>
            <w:vMerge w:val="restart"/>
            <w:vAlign w:val="center"/>
          </w:tcPr>
          <w:p w:rsidR="00702518" w:rsidRPr="00FB7A6E" w:rsidRDefault="00702518" w:rsidP="002C18A8">
            <w:pPr>
              <w:keepNext/>
              <w:keepLines/>
              <w:jc w:val="center"/>
              <w:rPr>
                <w:rFonts w:ascii="Arial Narrow" w:hAnsi="Arial Narrow"/>
                <w:b/>
                <w:sz w:val="20"/>
                <w:szCs w:val="20"/>
              </w:rPr>
            </w:pPr>
            <w:r w:rsidRPr="00FB7A6E">
              <w:rPr>
                <w:rFonts w:ascii="Arial Narrow" w:hAnsi="Arial Narrow"/>
                <w:b/>
                <w:sz w:val="20"/>
                <w:szCs w:val="20"/>
              </w:rPr>
              <w:t>MF/IND/GLY</w:t>
            </w:r>
          </w:p>
        </w:tc>
        <w:tc>
          <w:tcPr>
            <w:tcW w:w="560" w:type="pct"/>
            <w:vMerge w:val="restart"/>
            <w:vAlign w:val="center"/>
          </w:tcPr>
          <w:p w:rsidR="00702518" w:rsidRPr="00FB7A6E" w:rsidRDefault="00702518" w:rsidP="002C18A8">
            <w:pPr>
              <w:keepNext/>
              <w:keepLines/>
              <w:jc w:val="center"/>
              <w:rPr>
                <w:rFonts w:ascii="Arial Narrow" w:hAnsi="Arial Narrow"/>
                <w:b/>
                <w:sz w:val="20"/>
                <w:szCs w:val="20"/>
              </w:rPr>
            </w:pPr>
            <w:r w:rsidRPr="00FB7A6E">
              <w:rPr>
                <w:rFonts w:ascii="Arial Narrow" w:hAnsi="Arial Narrow"/>
                <w:b/>
                <w:sz w:val="20"/>
                <w:szCs w:val="20"/>
              </w:rPr>
              <w:t>FP/SAL+TIO</w:t>
            </w:r>
          </w:p>
        </w:tc>
        <w:tc>
          <w:tcPr>
            <w:tcW w:w="496" w:type="pct"/>
            <w:vMerge w:val="restart"/>
            <w:vAlign w:val="center"/>
          </w:tcPr>
          <w:p w:rsidR="00702518" w:rsidRPr="00FB7A6E" w:rsidRDefault="00702518" w:rsidP="002C18A8">
            <w:pPr>
              <w:keepNext/>
              <w:keepLines/>
              <w:jc w:val="center"/>
              <w:rPr>
                <w:rFonts w:ascii="Arial Narrow" w:hAnsi="Arial Narrow"/>
                <w:b/>
                <w:sz w:val="20"/>
                <w:szCs w:val="20"/>
              </w:rPr>
            </w:pPr>
            <w:r w:rsidRPr="00FB7A6E">
              <w:rPr>
                <w:rFonts w:ascii="Arial Narrow" w:hAnsi="Arial Narrow"/>
                <w:b/>
                <w:sz w:val="20"/>
                <w:szCs w:val="20"/>
              </w:rPr>
              <w:t>MF/IND</w:t>
            </w:r>
          </w:p>
        </w:tc>
        <w:tc>
          <w:tcPr>
            <w:tcW w:w="1518" w:type="pct"/>
            <w:gridSpan w:val="2"/>
            <w:vAlign w:val="center"/>
          </w:tcPr>
          <w:p w:rsidR="00702518" w:rsidRPr="00FB7A6E" w:rsidRDefault="00702518" w:rsidP="002C18A8">
            <w:pPr>
              <w:keepNext/>
              <w:keepLines/>
              <w:jc w:val="center"/>
              <w:rPr>
                <w:rFonts w:ascii="Arial Narrow" w:hAnsi="Arial Narrow"/>
                <w:b/>
                <w:sz w:val="20"/>
                <w:szCs w:val="20"/>
              </w:rPr>
            </w:pPr>
            <w:r w:rsidRPr="00FB7A6E">
              <w:rPr>
                <w:rFonts w:ascii="Arial Narrow" w:hAnsi="Arial Narrow"/>
                <w:b/>
                <w:sz w:val="20"/>
                <w:szCs w:val="20"/>
              </w:rPr>
              <w:t>Mean diff. (95% CI)</w:t>
            </w:r>
          </w:p>
        </w:tc>
      </w:tr>
      <w:tr w:rsidR="00702518" w:rsidRPr="00FB7A6E" w:rsidTr="00F352F3">
        <w:trPr>
          <w:trHeight w:val="169"/>
          <w:tblHeader/>
        </w:trPr>
        <w:tc>
          <w:tcPr>
            <w:tcW w:w="1869" w:type="pct"/>
            <w:vMerge/>
            <w:vAlign w:val="center"/>
          </w:tcPr>
          <w:p w:rsidR="00702518" w:rsidRPr="00FB7A6E" w:rsidRDefault="00702518" w:rsidP="002C18A8">
            <w:pPr>
              <w:keepNext/>
              <w:keepLines/>
              <w:jc w:val="left"/>
              <w:rPr>
                <w:rFonts w:ascii="Arial Narrow" w:hAnsi="Arial Narrow"/>
                <w:b/>
                <w:sz w:val="20"/>
                <w:szCs w:val="20"/>
              </w:rPr>
            </w:pPr>
          </w:p>
        </w:tc>
        <w:tc>
          <w:tcPr>
            <w:tcW w:w="557" w:type="pct"/>
            <w:vMerge/>
            <w:vAlign w:val="center"/>
          </w:tcPr>
          <w:p w:rsidR="00702518" w:rsidRPr="00FB7A6E" w:rsidRDefault="00702518" w:rsidP="002C18A8">
            <w:pPr>
              <w:keepNext/>
              <w:keepLines/>
              <w:jc w:val="center"/>
              <w:rPr>
                <w:rFonts w:ascii="Arial Narrow" w:hAnsi="Arial Narrow"/>
                <w:b/>
                <w:sz w:val="20"/>
                <w:szCs w:val="20"/>
              </w:rPr>
            </w:pPr>
          </w:p>
        </w:tc>
        <w:tc>
          <w:tcPr>
            <w:tcW w:w="560" w:type="pct"/>
            <w:vMerge/>
            <w:vAlign w:val="center"/>
          </w:tcPr>
          <w:p w:rsidR="00702518" w:rsidRPr="00FB7A6E" w:rsidRDefault="00702518" w:rsidP="002C18A8">
            <w:pPr>
              <w:keepNext/>
              <w:keepLines/>
              <w:jc w:val="center"/>
              <w:rPr>
                <w:rFonts w:ascii="Arial Narrow" w:hAnsi="Arial Narrow"/>
                <w:b/>
                <w:sz w:val="20"/>
                <w:szCs w:val="20"/>
              </w:rPr>
            </w:pPr>
          </w:p>
        </w:tc>
        <w:tc>
          <w:tcPr>
            <w:tcW w:w="496" w:type="pct"/>
            <w:vMerge/>
            <w:vAlign w:val="center"/>
          </w:tcPr>
          <w:p w:rsidR="00702518" w:rsidRPr="00FB7A6E" w:rsidRDefault="00702518" w:rsidP="002C18A8">
            <w:pPr>
              <w:keepNext/>
              <w:keepLines/>
              <w:jc w:val="center"/>
              <w:rPr>
                <w:rFonts w:ascii="Arial Narrow" w:hAnsi="Arial Narrow"/>
                <w:b/>
                <w:sz w:val="20"/>
                <w:szCs w:val="20"/>
              </w:rPr>
            </w:pPr>
          </w:p>
        </w:tc>
        <w:tc>
          <w:tcPr>
            <w:tcW w:w="759" w:type="pct"/>
            <w:vAlign w:val="center"/>
          </w:tcPr>
          <w:p w:rsidR="00702518" w:rsidRPr="00FB7A6E" w:rsidRDefault="00702518" w:rsidP="002C18A8">
            <w:pPr>
              <w:keepNext/>
              <w:keepLines/>
              <w:jc w:val="center"/>
              <w:rPr>
                <w:rFonts w:ascii="Arial Narrow" w:hAnsi="Arial Narrow"/>
                <w:b/>
                <w:sz w:val="20"/>
                <w:szCs w:val="20"/>
              </w:rPr>
            </w:pPr>
            <w:r w:rsidRPr="00FB7A6E">
              <w:rPr>
                <w:rFonts w:ascii="Arial Narrow" w:hAnsi="Arial Narrow"/>
                <w:b/>
                <w:sz w:val="20"/>
                <w:szCs w:val="20"/>
              </w:rPr>
              <w:t>MF/IND/GLY vs FP/SAL+TIO</w:t>
            </w:r>
          </w:p>
        </w:tc>
        <w:tc>
          <w:tcPr>
            <w:tcW w:w="759" w:type="pct"/>
            <w:vAlign w:val="center"/>
          </w:tcPr>
          <w:p w:rsidR="00702518" w:rsidRPr="00FB7A6E" w:rsidRDefault="00702518" w:rsidP="002C18A8">
            <w:pPr>
              <w:keepNext/>
              <w:keepLines/>
              <w:jc w:val="center"/>
              <w:rPr>
                <w:rFonts w:ascii="Arial Narrow" w:hAnsi="Arial Narrow"/>
                <w:b/>
                <w:sz w:val="20"/>
                <w:szCs w:val="20"/>
              </w:rPr>
            </w:pPr>
            <w:r w:rsidRPr="00FB7A6E">
              <w:rPr>
                <w:rFonts w:ascii="Arial Narrow" w:hAnsi="Arial Narrow"/>
                <w:b/>
                <w:sz w:val="20"/>
                <w:szCs w:val="20"/>
              </w:rPr>
              <w:t>MF/IND/GLY vs MF/IND</w:t>
            </w:r>
          </w:p>
        </w:tc>
      </w:tr>
      <w:tr w:rsidR="00702518" w:rsidRPr="00FB7A6E" w:rsidTr="004431CF">
        <w:tc>
          <w:tcPr>
            <w:tcW w:w="5000" w:type="pct"/>
            <w:gridSpan w:val="6"/>
            <w:tcBorders>
              <w:bottom w:val="nil"/>
            </w:tcBorders>
            <w:vAlign w:val="center"/>
          </w:tcPr>
          <w:p w:rsidR="00702518" w:rsidRPr="00FB7A6E" w:rsidRDefault="00702518" w:rsidP="002C18A8">
            <w:pPr>
              <w:keepNext/>
              <w:keepLines/>
              <w:jc w:val="left"/>
              <w:rPr>
                <w:rFonts w:ascii="Arial Narrow" w:hAnsi="Arial Narrow"/>
                <w:sz w:val="20"/>
                <w:szCs w:val="20"/>
              </w:rPr>
            </w:pPr>
            <w:r w:rsidRPr="00FB7A6E">
              <w:rPr>
                <w:rFonts w:ascii="Arial Narrow" w:hAnsi="Arial Narrow"/>
                <w:b/>
                <w:sz w:val="20"/>
                <w:szCs w:val="20"/>
              </w:rPr>
              <w:t>AQLQ total score^</w:t>
            </w:r>
          </w:p>
        </w:tc>
      </w:tr>
      <w:tr w:rsidR="00702518" w:rsidRPr="00FB7A6E" w:rsidTr="004431CF">
        <w:tc>
          <w:tcPr>
            <w:tcW w:w="1869" w:type="pct"/>
            <w:tcBorders>
              <w:bottom w:val="nil"/>
            </w:tcBorders>
            <w:vAlign w:val="center"/>
          </w:tcPr>
          <w:p w:rsidR="00702518" w:rsidRPr="00FB7A6E" w:rsidRDefault="00702518" w:rsidP="002C18A8">
            <w:pPr>
              <w:keepNext/>
              <w:keepLines/>
              <w:jc w:val="left"/>
              <w:rPr>
                <w:rFonts w:ascii="Arial Narrow" w:hAnsi="Arial Narrow"/>
                <w:sz w:val="20"/>
                <w:szCs w:val="20"/>
              </w:rPr>
            </w:pPr>
            <w:r w:rsidRPr="00FB7A6E">
              <w:rPr>
                <w:rFonts w:ascii="Arial Narrow" w:hAnsi="Arial Narrow"/>
                <w:sz w:val="20"/>
                <w:szCs w:val="20"/>
              </w:rPr>
              <w:t>Medium dose MF/IND/GLY 80/150/50 D vs</w:t>
            </w:r>
          </w:p>
        </w:tc>
        <w:tc>
          <w:tcPr>
            <w:tcW w:w="557" w:type="pct"/>
            <w:tcBorders>
              <w:bottom w:val="nil"/>
            </w:tcBorders>
            <w:vAlign w:val="center"/>
          </w:tcPr>
          <w:p w:rsidR="00702518" w:rsidRPr="00FB7A6E" w:rsidRDefault="00702518" w:rsidP="002C18A8">
            <w:pPr>
              <w:keepNext/>
              <w:keepLines/>
              <w:rPr>
                <w:rFonts w:ascii="Arial Narrow" w:hAnsi="Arial Narrow"/>
                <w:sz w:val="20"/>
                <w:szCs w:val="20"/>
              </w:rPr>
            </w:pPr>
          </w:p>
        </w:tc>
        <w:tc>
          <w:tcPr>
            <w:tcW w:w="560" w:type="pct"/>
            <w:tcBorders>
              <w:bottom w:val="nil"/>
            </w:tcBorders>
            <w:vAlign w:val="center"/>
          </w:tcPr>
          <w:p w:rsidR="00702518" w:rsidRPr="00FB7A6E" w:rsidRDefault="00702518" w:rsidP="002C18A8">
            <w:pPr>
              <w:keepNext/>
              <w:keepLines/>
              <w:rPr>
                <w:rFonts w:ascii="Arial Narrow" w:hAnsi="Arial Narrow"/>
                <w:sz w:val="20"/>
                <w:szCs w:val="20"/>
              </w:rPr>
            </w:pPr>
          </w:p>
        </w:tc>
        <w:tc>
          <w:tcPr>
            <w:tcW w:w="496" w:type="pct"/>
            <w:tcBorders>
              <w:bottom w:val="nil"/>
            </w:tcBorders>
            <w:vAlign w:val="center"/>
          </w:tcPr>
          <w:p w:rsidR="00702518" w:rsidRPr="00FB7A6E" w:rsidRDefault="00702518" w:rsidP="002C18A8">
            <w:pPr>
              <w:keepNext/>
              <w:keepLines/>
              <w:jc w:val="center"/>
              <w:rPr>
                <w:rFonts w:ascii="Arial Narrow" w:hAnsi="Arial Narrow"/>
                <w:sz w:val="20"/>
                <w:szCs w:val="20"/>
              </w:rPr>
            </w:pPr>
          </w:p>
        </w:tc>
        <w:tc>
          <w:tcPr>
            <w:tcW w:w="759" w:type="pct"/>
            <w:tcBorders>
              <w:bottom w:val="nil"/>
            </w:tcBorders>
            <w:vAlign w:val="center"/>
          </w:tcPr>
          <w:p w:rsidR="00702518" w:rsidRPr="00FB7A6E" w:rsidRDefault="00702518" w:rsidP="002C18A8">
            <w:pPr>
              <w:keepNext/>
              <w:keepLines/>
              <w:rPr>
                <w:rFonts w:ascii="Arial Narrow" w:hAnsi="Arial Narrow"/>
                <w:sz w:val="20"/>
                <w:szCs w:val="20"/>
              </w:rPr>
            </w:pPr>
          </w:p>
        </w:tc>
        <w:tc>
          <w:tcPr>
            <w:tcW w:w="759" w:type="pct"/>
            <w:tcBorders>
              <w:bottom w:val="nil"/>
            </w:tcBorders>
            <w:vAlign w:val="center"/>
          </w:tcPr>
          <w:p w:rsidR="00702518" w:rsidRPr="00FB7A6E" w:rsidRDefault="00702518" w:rsidP="002C18A8">
            <w:pPr>
              <w:keepNext/>
              <w:keepLines/>
              <w:jc w:val="center"/>
              <w:rPr>
                <w:rFonts w:ascii="Arial Narrow" w:hAnsi="Arial Narrow"/>
                <w:sz w:val="20"/>
                <w:szCs w:val="20"/>
              </w:rPr>
            </w:pPr>
          </w:p>
        </w:tc>
      </w:tr>
      <w:tr w:rsidR="00702518" w:rsidRPr="00FB7A6E" w:rsidTr="0097686E">
        <w:tc>
          <w:tcPr>
            <w:tcW w:w="1869" w:type="pct"/>
            <w:tcBorders>
              <w:top w:val="nil"/>
              <w:bottom w:val="nil"/>
            </w:tcBorders>
            <w:vAlign w:val="center"/>
          </w:tcPr>
          <w:p w:rsidR="00702518" w:rsidRPr="00FB7A6E" w:rsidRDefault="00702518" w:rsidP="002C18A8">
            <w:pPr>
              <w:keepNext/>
              <w:keepLines/>
              <w:ind w:left="109"/>
              <w:jc w:val="left"/>
              <w:rPr>
                <w:rFonts w:ascii="Arial Narrow" w:hAnsi="Arial Narrow"/>
                <w:sz w:val="20"/>
                <w:szCs w:val="20"/>
              </w:rPr>
            </w:pPr>
            <w:r w:rsidRPr="00FB7A6E">
              <w:rPr>
                <w:rFonts w:ascii="Arial Narrow" w:hAnsi="Arial Narrow"/>
                <w:sz w:val="20"/>
                <w:szCs w:val="20"/>
              </w:rPr>
              <w:t>FP/SAL 500/50 BD +TIO 5 D; Argon Wk24</w:t>
            </w:r>
          </w:p>
        </w:tc>
        <w:tc>
          <w:tcPr>
            <w:tcW w:w="557" w:type="pct"/>
            <w:tcBorders>
              <w:top w:val="nil"/>
              <w:bottom w:val="nil"/>
            </w:tcBorders>
            <w:vAlign w:val="center"/>
          </w:tcPr>
          <w:p w:rsidR="00702518" w:rsidRPr="00FB7A6E" w:rsidRDefault="00702518" w:rsidP="002C18A8">
            <w:pPr>
              <w:keepNext/>
              <w:keepLines/>
              <w:jc w:val="center"/>
              <w:rPr>
                <w:rFonts w:ascii="Arial Narrow" w:hAnsi="Arial Narrow"/>
                <w:sz w:val="20"/>
                <w:szCs w:val="20"/>
              </w:rPr>
            </w:pPr>
            <w:r w:rsidRPr="00FB7A6E">
              <w:rPr>
                <w:rFonts w:ascii="Arial Narrow" w:hAnsi="Arial Narrow"/>
                <w:sz w:val="20"/>
                <w:szCs w:val="20"/>
              </w:rPr>
              <w:t>0.76 (0.05)</w:t>
            </w:r>
          </w:p>
        </w:tc>
        <w:tc>
          <w:tcPr>
            <w:tcW w:w="560" w:type="pct"/>
            <w:tcBorders>
              <w:top w:val="nil"/>
              <w:bottom w:val="nil"/>
            </w:tcBorders>
            <w:vAlign w:val="center"/>
          </w:tcPr>
          <w:p w:rsidR="00702518" w:rsidRPr="00FB7A6E" w:rsidRDefault="00702518" w:rsidP="002C18A8">
            <w:pPr>
              <w:keepNext/>
              <w:keepLines/>
              <w:jc w:val="center"/>
              <w:rPr>
                <w:rFonts w:ascii="Arial Narrow" w:hAnsi="Arial Narrow"/>
                <w:sz w:val="20"/>
                <w:szCs w:val="20"/>
              </w:rPr>
            </w:pPr>
            <w:r w:rsidRPr="00FB7A6E">
              <w:rPr>
                <w:rFonts w:ascii="Arial Narrow" w:hAnsi="Arial Narrow"/>
                <w:sz w:val="20"/>
                <w:szCs w:val="20"/>
              </w:rPr>
              <w:t>0.80 (0.05)</w:t>
            </w:r>
          </w:p>
        </w:tc>
        <w:tc>
          <w:tcPr>
            <w:tcW w:w="496" w:type="pct"/>
            <w:tcBorders>
              <w:top w:val="nil"/>
              <w:bottom w:val="nil"/>
            </w:tcBorders>
            <w:vAlign w:val="center"/>
          </w:tcPr>
          <w:p w:rsidR="00702518" w:rsidRPr="00FB7A6E" w:rsidRDefault="00702518" w:rsidP="002C18A8">
            <w:pPr>
              <w:keepNext/>
              <w:keepLines/>
              <w:jc w:val="center"/>
              <w:rPr>
                <w:rFonts w:ascii="Arial Narrow" w:hAnsi="Arial Narrow"/>
                <w:sz w:val="20"/>
                <w:szCs w:val="20"/>
              </w:rPr>
            </w:pPr>
          </w:p>
        </w:tc>
        <w:tc>
          <w:tcPr>
            <w:tcW w:w="759" w:type="pct"/>
            <w:tcBorders>
              <w:top w:val="nil"/>
              <w:bottom w:val="nil"/>
            </w:tcBorders>
            <w:vAlign w:val="center"/>
          </w:tcPr>
          <w:p w:rsidR="00702518" w:rsidRPr="00FB7A6E" w:rsidRDefault="00702518" w:rsidP="002C18A8">
            <w:pPr>
              <w:keepNext/>
              <w:keepLines/>
              <w:jc w:val="center"/>
              <w:rPr>
                <w:rFonts w:ascii="Arial Narrow" w:hAnsi="Arial Narrow"/>
                <w:sz w:val="20"/>
                <w:szCs w:val="20"/>
              </w:rPr>
            </w:pPr>
            <w:r w:rsidRPr="00FB7A6E">
              <w:rPr>
                <w:rFonts w:ascii="Arial Narrow" w:hAnsi="Arial Narrow"/>
                <w:sz w:val="20"/>
                <w:szCs w:val="20"/>
              </w:rPr>
              <w:t>-0.04 (-0.14,0.06)</w:t>
            </w:r>
          </w:p>
        </w:tc>
        <w:tc>
          <w:tcPr>
            <w:tcW w:w="759" w:type="pct"/>
            <w:tcBorders>
              <w:top w:val="nil"/>
              <w:bottom w:val="nil"/>
            </w:tcBorders>
            <w:vAlign w:val="center"/>
          </w:tcPr>
          <w:p w:rsidR="00702518" w:rsidRPr="00FB7A6E" w:rsidRDefault="00702518" w:rsidP="002C18A8">
            <w:pPr>
              <w:keepNext/>
              <w:keepLines/>
              <w:jc w:val="center"/>
              <w:rPr>
                <w:rFonts w:ascii="Arial Narrow" w:hAnsi="Arial Narrow"/>
                <w:sz w:val="20"/>
                <w:szCs w:val="20"/>
              </w:rPr>
            </w:pPr>
          </w:p>
        </w:tc>
      </w:tr>
      <w:tr w:rsidR="005B23D9" w:rsidRPr="00FB7A6E" w:rsidTr="0097686E">
        <w:tc>
          <w:tcPr>
            <w:tcW w:w="1869" w:type="pct"/>
            <w:tcBorders>
              <w:top w:val="nil"/>
            </w:tcBorders>
            <w:vAlign w:val="center"/>
          </w:tcPr>
          <w:p w:rsidR="005B23D9" w:rsidRPr="00FB7A6E" w:rsidRDefault="005B23D9" w:rsidP="005B23D9">
            <w:pPr>
              <w:keepNext/>
              <w:keepLines/>
              <w:ind w:left="109"/>
              <w:jc w:val="left"/>
              <w:rPr>
                <w:rFonts w:ascii="Arial Narrow" w:hAnsi="Arial Narrow"/>
                <w:sz w:val="20"/>
                <w:szCs w:val="20"/>
              </w:rPr>
            </w:pPr>
            <w:r w:rsidRPr="00FB7A6E">
              <w:rPr>
                <w:rFonts w:ascii="Arial Narrow" w:hAnsi="Arial Narrow"/>
                <w:sz w:val="20"/>
                <w:szCs w:val="20"/>
              </w:rPr>
              <w:t>MF/IND 160/150 D; Iridium Wk26</w:t>
            </w:r>
          </w:p>
        </w:tc>
        <w:tc>
          <w:tcPr>
            <w:tcW w:w="557" w:type="pct"/>
            <w:tcBorders>
              <w:top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0.6</w:t>
            </w:r>
            <w:r>
              <w:rPr>
                <w:rFonts w:ascii="Arial Narrow" w:hAnsi="Arial Narrow"/>
                <w:sz w:val="20"/>
                <w:szCs w:val="20"/>
              </w:rPr>
              <w:t>7</w:t>
            </w:r>
            <w:r w:rsidRPr="00FB7A6E">
              <w:rPr>
                <w:rFonts w:ascii="Arial Narrow" w:hAnsi="Arial Narrow"/>
                <w:sz w:val="20"/>
                <w:szCs w:val="20"/>
              </w:rPr>
              <w:t xml:space="preserve"> (0.0</w:t>
            </w:r>
            <w:r>
              <w:rPr>
                <w:rFonts w:ascii="Arial Narrow" w:hAnsi="Arial Narrow"/>
                <w:sz w:val="20"/>
                <w:szCs w:val="20"/>
              </w:rPr>
              <w:t>3</w:t>
            </w:r>
            <w:r w:rsidRPr="00FB7A6E">
              <w:rPr>
                <w:rFonts w:ascii="Arial Narrow" w:hAnsi="Arial Narrow"/>
                <w:sz w:val="20"/>
                <w:szCs w:val="20"/>
              </w:rPr>
              <w:t>)</w:t>
            </w:r>
          </w:p>
        </w:tc>
        <w:tc>
          <w:tcPr>
            <w:tcW w:w="560" w:type="pct"/>
            <w:tcBorders>
              <w:top w:val="nil"/>
            </w:tcBorders>
            <w:vAlign w:val="center"/>
          </w:tcPr>
          <w:p w:rsidR="005B23D9" w:rsidRPr="00FB7A6E" w:rsidRDefault="005B23D9" w:rsidP="005B23D9">
            <w:pPr>
              <w:keepNext/>
              <w:keepLines/>
              <w:jc w:val="center"/>
              <w:rPr>
                <w:rFonts w:ascii="Arial Narrow" w:hAnsi="Arial Narrow"/>
                <w:sz w:val="20"/>
                <w:szCs w:val="20"/>
              </w:rPr>
            </w:pPr>
          </w:p>
        </w:tc>
        <w:tc>
          <w:tcPr>
            <w:tcW w:w="496" w:type="pct"/>
            <w:tcBorders>
              <w:top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w:t>
            </w:r>
            <w:r>
              <w:rPr>
                <w:rFonts w:ascii="Arial Narrow" w:hAnsi="Arial Narrow"/>
                <w:sz w:val="20"/>
                <w:szCs w:val="20"/>
              </w:rPr>
              <w:t>71</w:t>
            </w:r>
            <w:r w:rsidRPr="00FB7A6E">
              <w:rPr>
                <w:rFonts w:ascii="Arial Narrow" w:hAnsi="Arial Narrow"/>
                <w:sz w:val="20"/>
                <w:szCs w:val="20"/>
              </w:rPr>
              <w:t xml:space="preserve"> (0.0</w:t>
            </w:r>
            <w:r>
              <w:rPr>
                <w:rFonts w:ascii="Arial Narrow" w:hAnsi="Arial Narrow"/>
                <w:sz w:val="20"/>
                <w:szCs w:val="20"/>
              </w:rPr>
              <w:t>3</w:t>
            </w:r>
            <w:r w:rsidRPr="00FB7A6E">
              <w:rPr>
                <w:rFonts w:ascii="Arial Narrow" w:hAnsi="Arial Narrow"/>
                <w:sz w:val="20"/>
                <w:szCs w:val="20"/>
              </w:rPr>
              <w:t>)</w:t>
            </w:r>
          </w:p>
        </w:tc>
        <w:tc>
          <w:tcPr>
            <w:tcW w:w="759" w:type="pct"/>
            <w:tcBorders>
              <w:top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-0.0</w:t>
            </w:r>
            <w:r>
              <w:rPr>
                <w:rFonts w:ascii="Arial Narrow" w:hAnsi="Arial Narrow"/>
                <w:sz w:val="20"/>
                <w:szCs w:val="20"/>
              </w:rPr>
              <w:t>4</w:t>
            </w:r>
            <w:r w:rsidRPr="00FB7A6E">
              <w:rPr>
                <w:rFonts w:ascii="Arial Narrow" w:hAnsi="Arial Narrow"/>
                <w:sz w:val="20"/>
                <w:szCs w:val="20"/>
              </w:rPr>
              <w:t xml:space="preserve"> (-0.1</w:t>
            </w:r>
            <w:r>
              <w:rPr>
                <w:rFonts w:ascii="Arial Narrow" w:hAnsi="Arial Narrow"/>
                <w:sz w:val="20"/>
                <w:szCs w:val="20"/>
              </w:rPr>
              <w:t>4</w:t>
            </w:r>
            <w:r w:rsidRPr="00FB7A6E">
              <w:rPr>
                <w:rFonts w:ascii="Arial Narrow" w:hAnsi="Arial Narrow"/>
                <w:sz w:val="20"/>
                <w:szCs w:val="20"/>
              </w:rPr>
              <w:t>,0.0</w:t>
            </w:r>
            <w:r>
              <w:rPr>
                <w:rFonts w:ascii="Arial Narrow" w:hAnsi="Arial Narrow"/>
                <w:sz w:val="20"/>
                <w:szCs w:val="20"/>
              </w:rPr>
              <w:t>6</w:t>
            </w:r>
            <w:r w:rsidRPr="00FB7A6E">
              <w:rPr>
                <w:rFonts w:ascii="Arial Narrow" w:hAnsi="Arial Narrow"/>
                <w:sz w:val="20"/>
                <w:szCs w:val="20"/>
              </w:rPr>
              <w:t>)</w:t>
            </w:r>
          </w:p>
        </w:tc>
      </w:tr>
      <w:tr w:rsidR="005B23D9" w:rsidRPr="00FB7A6E" w:rsidTr="0097686E">
        <w:tc>
          <w:tcPr>
            <w:tcW w:w="1869" w:type="pct"/>
            <w:tcBorders>
              <w:bottom w:val="nil"/>
            </w:tcBorders>
            <w:vAlign w:val="center"/>
          </w:tcPr>
          <w:p w:rsidR="005B23D9" w:rsidRPr="00FB7A6E" w:rsidRDefault="005B23D9" w:rsidP="005B23D9">
            <w:pPr>
              <w:keepNext/>
              <w:keepLines/>
              <w:jc w:val="left"/>
              <w:rPr>
                <w:rFonts w:ascii="Arial Narrow" w:hAnsi="Arial Narrow"/>
                <w:sz w:val="20"/>
                <w:szCs w:val="20"/>
              </w:rPr>
            </w:pPr>
            <w:r w:rsidRPr="00FB7A6E">
              <w:rPr>
                <w:rFonts w:ascii="Arial Narrow" w:hAnsi="Arial Narrow"/>
                <w:sz w:val="20"/>
                <w:szCs w:val="20"/>
              </w:rPr>
              <w:t>High dose MF/IND/GLY 160/150/50 D vs</w:t>
            </w:r>
          </w:p>
        </w:tc>
        <w:tc>
          <w:tcPr>
            <w:tcW w:w="557" w:type="pct"/>
            <w:tcBorders>
              <w:bottom w:val="nil"/>
            </w:tcBorders>
            <w:vAlign w:val="center"/>
          </w:tcPr>
          <w:p w:rsidR="005B23D9" w:rsidRPr="00FB7A6E" w:rsidRDefault="005B23D9" w:rsidP="005B23D9">
            <w:pPr>
              <w:keepNext/>
              <w:keepLines/>
              <w:jc w:val="center"/>
              <w:rPr>
                <w:rFonts w:ascii="Arial Narrow" w:hAnsi="Arial Narrow"/>
                <w:sz w:val="20"/>
                <w:szCs w:val="20"/>
              </w:rPr>
            </w:pPr>
          </w:p>
        </w:tc>
        <w:tc>
          <w:tcPr>
            <w:tcW w:w="560" w:type="pct"/>
            <w:tcBorders>
              <w:bottom w:val="nil"/>
            </w:tcBorders>
            <w:vAlign w:val="center"/>
          </w:tcPr>
          <w:p w:rsidR="005B23D9" w:rsidRPr="00FB7A6E" w:rsidRDefault="005B23D9" w:rsidP="005B23D9">
            <w:pPr>
              <w:keepNext/>
              <w:keepLines/>
              <w:jc w:val="center"/>
              <w:rPr>
                <w:rFonts w:ascii="Arial Narrow" w:hAnsi="Arial Narrow"/>
                <w:sz w:val="20"/>
                <w:szCs w:val="20"/>
              </w:rPr>
            </w:pPr>
          </w:p>
        </w:tc>
        <w:tc>
          <w:tcPr>
            <w:tcW w:w="496" w:type="pct"/>
            <w:tcBorders>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bottom w:val="nil"/>
            </w:tcBorders>
            <w:vAlign w:val="center"/>
          </w:tcPr>
          <w:p w:rsidR="005B23D9" w:rsidRPr="00FB7A6E" w:rsidRDefault="005B23D9" w:rsidP="005B23D9">
            <w:pPr>
              <w:keepNext/>
              <w:keepLines/>
              <w:jc w:val="center"/>
              <w:rPr>
                <w:rFonts w:ascii="Arial Narrow" w:hAnsi="Arial Narrow"/>
                <w:sz w:val="20"/>
                <w:szCs w:val="20"/>
              </w:rPr>
            </w:pPr>
          </w:p>
        </w:tc>
      </w:tr>
      <w:tr w:rsidR="005B23D9" w:rsidRPr="00FB7A6E" w:rsidTr="0097686E">
        <w:tc>
          <w:tcPr>
            <w:tcW w:w="1869" w:type="pct"/>
            <w:tcBorders>
              <w:top w:val="nil"/>
              <w:bottom w:val="nil"/>
            </w:tcBorders>
            <w:vAlign w:val="center"/>
          </w:tcPr>
          <w:p w:rsidR="005B23D9" w:rsidRPr="00FB7A6E" w:rsidRDefault="005B23D9" w:rsidP="005B23D9">
            <w:pPr>
              <w:keepNext/>
              <w:keepLines/>
              <w:ind w:left="109"/>
              <w:jc w:val="left"/>
              <w:rPr>
                <w:rFonts w:ascii="Arial Narrow" w:hAnsi="Arial Narrow"/>
                <w:sz w:val="20"/>
                <w:szCs w:val="20"/>
              </w:rPr>
            </w:pPr>
            <w:r w:rsidRPr="00FB7A6E">
              <w:rPr>
                <w:rFonts w:ascii="Arial Narrow" w:hAnsi="Arial Narrow"/>
                <w:sz w:val="20"/>
                <w:szCs w:val="20"/>
              </w:rPr>
              <w:t>FP/SAL 500/50 BD +TIO 5 D; Argon Wk24</w:t>
            </w:r>
          </w:p>
        </w:tc>
        <w:tc>
          <w:tcPr>
            <w:tcW w:w="557"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0.87 (0.05)</w:t>
            </w:r>
          </w:p>
        </w:tc>
        <w:tc>
          <w:tcPr>
            <w:tcW w:w="560"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0.80 (0.05)</w:t>
            </w:r>
          </w:p>
        </w:tc>
        <w:tc>
          <w:tcPr>
            <w:tcW w:w="496"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0.07 (-0.03,0.17)</w:t>
            </w:r>
          </w:p>
        </w:tc>
        <w:tc>
          <w:tcPr>
            <w:tcW w:w="759"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p>
        </w:tc>
      </w:tr>
      <w:tr w:rsidR="005B23D9" w:rsidRPr="00FB7A6E" w:rsidTr="0097686E">
        <w:tc>
          <w:tcPr>
            <w:tcW w:w="1869" w:type="pct"/>
            <w:tcBorders>
              <w:top w:val="nil"/>
              <w:bottom w:val="single" w:sz="4" w:space="0" w:color="auto"/>
            </w:tcBorders>
            <w:vAlign w:val="center"/>
          </w:tcPr>
          <w:p w:rsidR="005B23D9" w:rsidRPr="00FB7A6E" w:rsidRDefault="005B23D9" w:rsidP="005B23D9">
            <w:pPr>
              <w:keepNext/>
              <w:keepLines/>
              <w:ind w:left="109"/>
              <w:jc w:val="left"/>
              <w:rPr>
                <w:rFonts w:ascii="Arial Narrow" w:hAnsi="Arial Narrow"/>
                <w:sz w:val="20"/>
                <w:szCs w:val="20"/>
              </w:rPr>
            </w:pPr>
            <w:r w:rsidRPr="00FB7A6E">
              <w:rPr>
                <w:rFonts w:ascii="Arial Narrow" w:hAnsi="Arial Narrow"/>
                <w:sz w:val="20"/>
                <w:szCs w:val="20"/>
              </w:rPr>
              <w:t>MF/IND 320/150 D; Iridium Wk26</w:t>
            </w:r>
          </w:p>
        </w:tc>
        <w:tc>
          <w:tcPr>
            <w:tcW w:w="557" w:type="pct"/>
            <w:tcBorders>
              <w:top w:val="nil"/>
              <w:bottom w:val="single" w:sz="4" w:space="0" w:color="auto"/>
            </w:tcBorders>
            <w:vAlign w:val="center"/>
          </w:tcPr>
          <w:p w:rsidR="005B23D9" w:rsidRPr="00FB7A6E" w:rsidRDefault="00B41486" w:rsidP="005B23D9">
            <w:pPr>
              <w:keepNext/>
              <w:keepLines/>
              <w:jc w:val="center"/>
              <w:rPr>
                <w:rFonts w:ascii="Arial Narrow" w:hAnsi="Arial Narrow"/>
                <w:sz w:val="20"/>
                <w:szCs w:val="20"/>
              </w:rPr>
            </w:pPr>
            <w:r w:rsidRPr="00FB7A6E">
              <w:rPr>
                <w:rFonts w:ascii="Arial Narrow" w:hAnsi="Arial Narrow"/>
                <w:sz w:val="20"/>
                <w:szCs w:val="20"/>
              </w:rPr>
              <w:t>0.7</w:t>
            </w:r>
            <w:r>
              <w:rPr>
                <w:rFonts w:ascii="Arial Narrow" w:hAnsi="Arial Narrow"/>
                <w:sz w:val="20"/>
                <w:szCs w:val="20"/>
              </w:rPr>
              <w:t>3</w:t>
            </w:r>
            <w:r w:rsidRPr="00FB7A6E">
              <w:rPr>
                <w:rFonts w:ascii="Arial Narrow" w:hAnsi="Arial Narrow"/>
                <w:sz w:val="20"/>
                <w:szCs w:val="20"/>
              </w:rPr>
              <w:t xml:space="preserve"> (0.0</w:t>
            </w:r>
            <w:r>
              <w:rPr>
                <w:rFonts w:ascii="Arial Narrow" w:hAnsi="Arial Narrow"/>
                <w:sz w:val="20"/>
                <w:szCs w:val="20"/>
              </w:rPr>
              <w:t>3</w:t>
            </w:r>
            <w:r w:rsidRPr="00FB7A6E">
              <w:rPr>
                <w:rFonts w:ascii="Arial Narrow" w:hAnsi="Arial Narrow"/>
                <w:sz w:val="20"/>
                <w:szCs w:val="20"/>
              </w:rPr>
              <w:t>)</w:t>
            </w:r>
          </w:p>
        </w:tc>
        <w:tc>
          <w:tcPr>
            <w:tcW w:w="560"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p>
        </w:tc>
        <w:tc>
          <w:tcPr>
            <w:tcW w:w="496" w:type="pct"/>
            <w:tcBorders>
              <w:top w:val="nil"/>
              <w:bottom w:val="single" w:sz="4" w:space="0" w:color="auto"/>
            </w:tcBorders>
            <w:vAlign w:val="center"/>
          </w:tcPr>
          <w:p w:rsidR="005B23D9" w:rsidRPr="00FB7A6E" w:rsidRDefault="00B41486" w:rsidP="005B23D9">
            <w:pPr>
              <w:keepNext/>
              <w:keepLines/>
              <w:jc w:val="center"/>
              <w:rPr>
                <w:rFonts w:ascii="Arial Narrow" w:hAnsi="Arial Narrow"/>
                <w:sz w:val="20"/>
                <w:szCs w:val="20"/>
              </w:rPr>
            </w:pPr>
            <w:r w:rsidRPr="00FB7A6E">
              <w:rPr>
                <w:rFonts w:ascii="Arial Narrow" w:hAnsi="Arial Narrow"/>
                <w:sz w:val="20"/>
                <w:szCs w:val="20"/>
              </w:rPr>
              <w:t>0.7</w:t>
            </w:r>
            <w:r>
              <w:rPr>
                <w:rFonts w:ascii="Arial Narrow" w:hAnsi="Arial Narrow"/>
                <w:sz w:val="20"/>
                <w:szCs w:val="20"/>
              </w:rPr>
              <w:t>7</w:t>
            </w:r>
            <w:r w:rsidRPr="00FB7A6E">
              <w:rPr>
                <w:rFonts w:ascii="Arial Narrow" w:hAnsi="Arial Narrow"/>
                <w:sz w:val="20"/>
                <w:szCs w:val="20"/>
              </w:rPr>
              <w:t xml:space="preserve"> (0.0</w:t>
            </w:r>
            <w:r>
              <w:rPr>
                <w:rFonts w:ascii="Arial Narrow" w:hAnsi="Arial Narrow"/>
                <w:sz w:val="20"/>
                <w:szCs w:val="20"/>
              </w:rPr>
              <w:t>3</w:t>
            </w:r>
            <w:r w:rsidRPr="00FB7A6E">
              <w:rPr>
                <w:rFonts w:ascii="Arial Narrow" w:hAnsi="Arial Narrow"/>
                <w:sz w:val="20"/>
                <w:szCs w:val="20"/>
              </w:rPr>
              <w:t>)</w:t>
            </w:r>
          </w:p>
        </w:tc>
        <w:tc>
          <w:tcPr>
            <w:tcW w:w="759"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nil"/>
              <w:bottom w:val="single" w:sz="4" w:space="0" w:color="auto"/>
            </w:tcBorders>
            <w:vAlign w:val="center"/>
          </w:tcPr>
          <w:p w:rsidR="005B23D9" w:rsidRPr="00FB7A6E" w:rsidRDefault="00B41486" w:rsidP="005B23D9">
            <w:pPr>
              <w:keepNext/>
              <w:keepLines/>
              <w:jc w:val="center"/>
              <w:rPr>
                <w:rFonts w:ascii="Arial Narrow" w:hAnsi="Arial Narrow"/>
                <w:sz w:val="20"/>
                <w:szCs w:val="20"/>
              </w:rPr>
            </w:pPr>
            <w:r w:rsidRPr="00FB7A6E">
              <w:rPr>
                <w:rFonts w:ascii="Arial Narrow" w:hAnsi="Arial Narrow"/>
                <w:sz w:val="20"/>
                <w:szCs w:val="20"/>
              </w:rPr>
              <w:t>0.0</w:t>
            </w:r>
            <w:r>
              <w:rPr>
                <w:rFonts w:ascii="Arial Narrow" w:hAnsi="Arial Narrow"/>
                <w:sz w:val="20"/>
                <w:szCs w:val="20"/>
              </w:rPr>
              <w:t>3</w:t>
            </w:r>
            <w:r w:rsidRPr="00FB7A6E">
              <w:rPr>
                <w:rFonts w:ascii="Arial Narrow" w:hAnsi="Arial Narrow"/>
                <w:sz w:val="20"/>
                <w:szCs w:val="20"/>
              </w:rPr>
              <w:t xml:space="preserve"> (-0.1</w:t>
            </w:r>
            <w:r>
              <w:rPr>
                <w:rFonts w:ascii="Arial Narrow" w:hAnsi="Arial Narrow"/>
                <w:sz w:val="20"/>
                <w:szCs w:val="20"/>
              </w:rPr>
              <w:t>3</w:t>
            </w:r>
            <w:r w:rsidRPr="00FB7A6E">
              <w:rPr>
                <w:rFonts w:ascii="Arial Narrow" w:hAnsi="Arial Narrow"/>
                <w:sz w:val="20"/>
                <w:szCs w:val="20"/>
              </w:rPr>
              <w:t>,0.0</w:t>
            </w:r>
            <w:r>
              <w:rPr>
                <w:rFonts w:ascii="Arial Narrow" w:hAnsi="Arial Narrow"/>
                <w:sz w:val="20"/>
                <w:szCs w:val="20"/>
              </w:rPr>
              <w:t>6</w:t>
            </w:r>
            <w:r w:rsidRPr="00FB7A6E">
              <w:rPr>
                <w:rFonts w:ascii="Arial Narrow" w:hAnsi="Arial Narrow"/>
                <w:sz w:val="20"/>
                <w:szCs w:val="20"/>
              </w:rPr>
              <w:t>)</w:t>
            </w:r>
          </w:p>
        </w:tc>
      </w:tr>
      <w:tr w:rsidR="005B23D9" w:rsidRPr="00FB7A6E" w:rsidTr="004431CF">
        <w:tc>
          <w:tcPr>
            <w:tcW w:w="5000" w:type="pct"/>
            <w:gridSpan w:val="6"/>
            <w:tcBorders>
              <w:top w:val="single" w:sz="4" w:space="0" w:color="auto"/>
              <w:bottom w:val="single" w:sz="4" w:space="0" w:color="auto"/>
            </w:tcBorders>
            <w:vAlign w:val="center"/>
          </w:tcPr>
          <w:p w:rsidR="005B23D9" w:rsidRPr="00FB7A6E" w:rsidRDefault="005B23D9" w:rsidP="005B23D9">
            <w:pPr>
              <w:keepNext/>
              <w:keepLines/>
              <w:jc w:val="left"/>
              <w:rPr>
                <w:rFonts w:ascii="Arial Narrow" w:hAnsi="Arial Narrow"/>
                <w:b/>
                <w:sz w:val="20"/>
                <w:szCs w:val="20"/>
              </w:rPr>
            </w:pPr>
            <w:r w:rsidRPr="00FB7A6E">
              <w:rPr>
                <w:rFonts w:ascii="Arial Narrow" w:hAnsi="Arial Narrow"/>
                <w:b/>
                <w:sz w:val="20"/>
                <w:szCs w:val="20"/>
              </w:rPr>
              <w:t>Trough FEV1 (L)#</w:t>
            </w:r>
          </w:p>
        </w:tc>
      </w:tr>
      <w:tr w:rsidR="005B23D9" w:rsidRPr="00FB7A6E" w:rsidTr="004431CF">
        <w:tc>
          <w:tcPr>
            <w:tcW w:w="1869" w:type="pct"/>
            <w:tcBorders>
              <w:top w:val="single" w:sz="4" w:space="0" w:color="auto"/>
              <w:bottom w:val="nil"/>
            </w:tcBorders>
            <w:vAlign w:val="center"/>
          </w:tcPr>
          <w:p w:rsidR="005B23D9" w:rsidRPr="00FB7A6E" w:rsidRDefault="005B23D9" w:rsidP="005B23D9">
            <w:pPr>
              <w:keepNext/>
              <w:keepLines/>
              <w:jc w:val="left"/>
              <w:rPr>
                <w:rFonts w:ascii="Arial Narrow" w:hAnsi="Arial Narrow"/>
                <w:sz w:val="20"/>
                <w:szCs w:val="20"/>
              </w:rPr>
            </w:pPr>
            <w:r w:rsidRPr="00FB7A6E">
              <w:rPr>
                <w:rFonts w:ascii="Arial Narrow" w:hAnsi="Arial Narrow"/>
                <w:sz w:val="20"/>
                <w:szCs w:val="20"/>
              </w:rPr>
              <w:t>Medium dose MF/IND/GLY 80/150/50 D vs</w:t>
            </w:r>
          </w:p>
        </w:tc>
        <w:tc>
          <w:tcPr>
            <w:tcW w:w="557"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560"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496"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r>
      <w:tr w:rsidR="005B23D9" w:rsidRPr="00FB7A6E" w:rsidTr="004431CF">
        <w:tc>
          <w:tcPr>
            <w:tcW w:w="1869" w:type="pct"/>
            <w:tcBorders>
              <w:top w:val="nil"/>
              <w:bottom w:val="nil"/>
            </w:tcBorders>
            <w:vAlign w:val="center"/>
          </w:tcPr>
          <w:p w:rsidR="005B23D9" w:rsidRPr="00FB7A6E" w:rsidRDefault="005B23D9" w:rsidP="005B23D9">
            <w:pPr>
              <w:keepNext/>
              <w:keepLines/>
              <w:ind w:left="109"/>
              <w:jc w:val="left"/>
              <w:rPr>
                <w:rFonts w:ascii="Arial Narrow" w:hAnsi="Arial Narrow"/>
                <w:sz w:val="20"/>
                <w:szCs w:val="20"/>
              </w:rPr>
            </w:pPr>
            <w:r w:rsidRPr="00FB7A6E">
              <w:rPr>
                <w:rFonts w:ascii="Arial Narrow" w:hAnsi="Arial Narrow"/>
                <w:sz w:val="20"/>
                <w:szCs w:val="20"/>
              </w:rPr>
              <w:t>FP/SAL 500/50 BD +TIO 5 D; Argon Wk24</w:t>
            </w:r>
          </w:p>
        </w:tc>
        <w:tc>
          <w:tcPr>
            <w:tcW w:w="557"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0.25 (0.02)</w:t>
            </w:r>
          </w:p>
        </w:tc>
        <w:tc>
          <w:tcPr>
            <w:tcW w:w="560"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0.24 (0.02)</w:t>
            </w:r>
          </w:p>
        </w:tc>
        <w:tc>
          <w:tcPr>
            <w:tcW w:w="496"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nil"/>
              <w:bottom w:val="nil"/>
            </w:tcBorders>
            <w:vAlign w:val="center"/>
          </w:tcPr>
          <w:p w:rsidR="005B23D9" w:rsidRPr="00FB7A6E" w:rsidRDefault="005B23D9" w:rsidP="005B23D9">
            <w:pPr>
              <w:keepNext/>
              <w:keepLines/>
              <w:jc w:val="center"/>
              <w:rPr>
                <w:rFonts w:ascii="Arial Narrow" w:hAnsi="Arial Narrow"/>
                <w:b/>
                <w:sz w:val="20"/>
                <w:szCs w:val="20"/>
              </w:rPr>
            </w:pPr>
            <w:r w:rsidRPr="00FB7A6E">
              <w:rPr>
                <w:rFonts w:ascii="Arial Narrow" w:hAnsi="Arial Narrow"/>
                <w:sz w:val="20"/>
                <w:szCs w:val="20"/>
              </w:rPr>
              <w:t>0.01 (-0.04,0.06)</w:t>
            </w:r>
          </w:p>
        </w:tc>
        <w:tc>
          <w:tcPr>
            <w:tcW w:w="759" w:type="pct"/>
            <w:tcBorders>
              <w:top w:val="nil"/>
              <w:bottom w:val="nil"/>
            </w:tcBorders>
            <w:vAlign w:val="center"/>
          </w:tcPr>
          <w:p w:rsidR="005B23D9" w:rsidRPr="00FB7A6E" w:rsidRDefault="005B23D9" w:rsidP="005B23D9">
            <w:pPr>
              <w:keepNext/>
              <w:keepLines/>
              <w:jc w:val="center"/>
              <w:rPr>
                <w:rFonts w:ascii="Arial Narrow" w:hAnsi="Arial Narrow"/>
                <w:b/>
                <w:sz w:val="20"/>
                <w:szCs w:val="20"/>
              </w:rPr>
            </w:pPr>
          </w:p>
        </w:tc>
      </w:tr>
      <w:tr w:rsidR="005B23D9" w:rsidRPr="00FB7A6E" w:rsidTr="004431CF">
        <w:tc>
          <w:tcPr>
            <w:tcW w:w="1869" w:type="pct"/>
            <w:tcBorders>
              <w:top w:val="nil"/>
              <w:bottom w:val="single" w:sz="4" w:space="0" w:color="auto"/>
            </w:tcBorders>
            <w:vAlign w:val="center"/>
          </w:tcPr>
          <w:p w:rsidR="005B23D9" w:rsidRPr="00FB7A6E" w:rsidRDefault="005B23D9" w:rsidP="005B23D9">
            <w:pPr>
              <w:keepNext/>
              <w:keepLines/>
              <w:ind w:left="109"/>
              <w:jc w:val="left"/>
              <w:rPr>
                <w:rFonts w:ascii="Arial Narrow" w:hAnsi="Arial Narrow"/>
                <w:sz w:val="20"/>
                <w:szCs w:val="20"/>
              </w:rPr>
            </w:pPr>
            <w:r w:rsidRPr="00FB7A6E">
              <w:rPr>
                <w:rFonts w:ascii="Arial Narrow" w:hAnsi="Arial Narrow"/>
                <w:sz w:val="20"/>
                <w:szCs w:val="20"/>
              </w:rPr>
              <w:t>MF/IND 160/150 D; Iridium Wk26</w:t>
            </w:r>
          </w:p>
        </w:tc>
        <w:tc>
          <w:tcPr>
            <w:tcW w:w="557"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0.30 (0.01)</w:t>
            </w:r>
          </w:p>
        </w:tc>
        <w:tc>
          <w:tcPr>
            <w:tcW w:w="560"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p>
        </w:tc>
        <w:tc>
          <w:tcPr>
            <w:tcW w:w="496"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0.22 (0.01)</w:t>
            </w:r>
          </w:p>
        </w:tc>
        <w:tc>
          <w:tcPr>
            <w:tcW w:w="759"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b/>
                <w:sz w:val="20"/>
                <w:szCs w:val="20"/>
              </w:rPr>
              <w:t>0.08 (0.04, 0.11)</w:t>
            </w:r>
          </w:p>
        </w:tc>
      </w:tr>
      <w:tr w:rsidR="005B23D9" w:rsidRPr="00FB7A6E" w:rsidTr="004431CF">
        <w:tc>
          <w:tcPr>
            <w:tcW w:w="1869" w:type="pct"/>
            <w:tcBorders>
              <w:top w:val="single" w:sz="4" w:space="0" w:color="auto"/>
              <w:bottom w:val="nil"/>
            </w:tcBorders>
            <w:vAlign w:val="center"/>
          </w:tcPr>
          <w:p w:rsidR="005B23D9" w:rsidRPr="00FB7A6E" w:rsidRDefault="005B23D9" w:rsidP="005B23D9">
            <w:pPr>
              <w:keepNext/>
              <w:keepLines/>
              <w:jc w:val="left"/>
              <w:rPr>
                <w:rFonts w:ascii="Arial Narrow" w:hAnsi="Arial Narrow"/>
                <w:sz w:val="20"/>
                <w:szCs w:val="20"/>
              </w:rPr>
            </w:pPr>
            <w:r w:rsidRPr="00FB7A6E">
              <w:rPr>
                <w:rFonts w:ascii="Arial Narrow" w:hAnsi="Arial Narrow"/>
                <w:sz w:val="20"/>
                <w:szCs w:val="20"/>
              </w:rPr>
              <w:t>High dose MF/IND/GLY 160/150/50 D vs</w:t>
            </w:r>
          </w:p>
        </w:tc>
        <w:tc>
          <w:tcPr>
            <w:tcW w:w="557"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560"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496"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r>
      <w:tr w:rsidR="005B23D9" w:rsidRPr="00FB7A6E" w:rsidTr="004431CF">
        <w:tc>
          <w:tcPr>
            <w:tcW w:w="1869" w:type="pct"/>
            <w:tcBorders>
              <w:top w:val="nil"/>
              <w:bottom w:val="nil"/>
            </w:tcBorders>
            <w:vAlign w:val="center"/>
          </w:tcPr>
          <w:p w:rsidR="005B23D9" w:rsidRPr="00FB7A6E" w:rsidRDefault="005B23D9" w:rsidP="005B23D9">
            <w:pPr>
              <w:keepNext/>
              <w:keepLines/>
              <w:ind w:left="109"/>
              <w:jc w:val="left"/>
              <w:rPr>
                <w:rFonts w:ascii="Arial Narrow" w:hAnsi="Arial Narrow"/>
                <w:sz w:val="20"/>
                <w:szCs w:val="20"/>
              </w:rPr>
            </w:pPr>
            <w:r w:rsidRPr="00FB7A6E">
              <w:rPr>
                <w:rFonts w:ascii="Arial Narrow" w:hAnsi="Arial Narrow"/>
                <w:sz w:val="20"/>
                <w:szCs w:val="20"/>
              </w:rPr>
              <w:t>FP/SAL 500/50 BD +TIO 5 D; Argon Wk24</w:t>
            </w:r>
          </w:p>
        </w:tc>
        <w:tc>
          <w:tcPr>
            <w:tcW w:w="557"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0.33 (0.02)</w:t>
            </w:r>
          </w:p>
        </w:tc>
        <w:tc>
          <w:tcPr>
            <w:tcW w:w="560"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0.24 (0.02)</w:t>
            </w:r>
          </w:p>
        </w:tc>
        <w:tc>
          <w:tcPr>
            <w:tcW w:w="496"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nil"/>
              <w:bottom w:val="nil"/>
            </w:tcBorders>
            <w:vAlign w:val="center"/>
          </w:tcPr>
          <w:p w:rsidR="005B23D9" w:rsidRPr="00FB7A6E" w:rsidRDefault="005B23D9" w:rsidP="005B23D9">
            <w:pPr>
              <w:keepNext/>
              <w:keepLines/>
              <w:jc w:val="center"/>
              <w:rPr>
                <w:rFonts w:ascii="Arial Narrow" w:hAnsi="Arial Narrow"/>
                <w:b/>
                <w:sz w:val="20"/>
                <w:szCs w:val="20"/>
              </w:rPr>
            </w:pPr>
            <w:r w:rsidRPr="00FB7A6E">
              <w:rPr>
                <w:rFonts w:ascii="Arial Narrow" w:hAnsi="Arial Narrow"/>
                <w:b/>
                <w:sz w:val="20"/>
                <w:szCs w:val="20"/>
              </w:rPr>
              <w:t>0.096 (0.05,0.15)</w:t>
            </w:r>
          </w:p>
        </w:tc>
        <w:tc>
          <w:tcPr>
            <w:tcW w:w="759"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p>
        </w:tc>
      </w:tr>
      <w:tr w:rsidR="005B23D9" w:rsidRPr="00FB7A6E" w:rsidTr="004431CF">
        <w:tc>
          <w:tcPr>
            <w:tcW w:w="1869" w:type="pct"/>
            <w:tcBorders>
              <w:top w:val="nil"/>
              <w:bottom w:val="single" w:sz="4" w:space="0" w:color="auto"/>
            </w:tcBorders>
            <w:vAlign w:val="center"/>
          </w:tcPr>
          <w:p w:rsidR="005B23D9" w:rsidRPr="00FB7A6E" w:rsidRDefault="005B23D9" w:rsidP="005B23D9">
            <w:pPr>
              <w:keepNext/>
              <w:keepLines/>
              <w:ind w:left="109"/>
              <w:jc w:val="left"/>
              <w:rPr>
                <w:rFonts w:ascii="Arial Narrow" w:hAnsi="Arial Narrow"/>
                <w:sz w:val="20"/>
                <w:szCs w:val="20"/>
              </w:rPr>
            </w:pPr>
            <w:r w:rsidRPr="00FB7A6E">
              <w:rPr>
                <w:rFonts w:ascii="Arial Narrow" w:hAnsi="Arial Narrow"/>
                <w:sz w:val="20"/>
                <w:szCs w:val="20"/>
              </w:rPr>
              <w:t>MF/IND 320/150 D; Iridium Wk26</w:t>
            </w:r>
          </w:p>
        </w:tc>
        <w:tc>
          <w:tcPr>
            <w:tcW w:w="557"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0.32 (0.01)</w:t>
            </w:r>
          </w:p>
        </w:tc>
        <w:tc>
          <w:tcPr>
            <w:tcW w:w="560"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p>
        </w:tc>
        <w:tc>
          <w:tcPr>
            <w:tcW w:w="496"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0.26 (0.01)</w:t>
            </w:r>
          </w:p>
        </w:tc>
        <w:tc>
          <w:tcPr>
            <w:tcW w:w="759"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b/>
                <w:sz w:val="20"/>
                <w:szCs w:val="20"/>
              </w:rPr>
              <w:t>0.07 (0.03, 0.10)</w:t>
            </w:r>
          </w:p>
        </w:tc>
      </w:tr>
      <w:tr w:rsidR="005B23D9" w:rsidRPr="00FB7A6E" w:rsidTr="004431CF">
        <w:tc>
          <w:tcPr>
            <w:tcW w:w="5000" w:type="pct"/>
            <w:gridSpan w:val="6"/>
            <w:tcBorders>
              <w:top w:val="single" w:sz="4" w:space="0" w:color="auto"/>
              <w:bottom w:val="single" w:sz="4" w:space="0" w:color="auto"/>
            </w:tcBorders>
            <w:vAlign w:val="center"/>
          </w:tcPr>
          <w:p w:rsidR="005B23D9" w:rsidRPr="00FB7A6E" w:rsidRDefault="005B23D9" w:rsidP="005B23D9">
            <w:pPr>
              <w:keepNext/>
              <w:keepLines/>
              <w:rPr>
                <w:rFonts w:ascii="Arial Narrow" w:hAnsi="Arial Narrow"/>
                <w:b/>
                <w:sz w:val="20"/>
                <w:szCs w:val="20"/>
              </w:rPr>
            </w:pPr>
            <w:r w:rsidRPr="00FB7A6E">
              <w:rPr>
                <w:rFonts w:ascii="Arial Narrow" w:hAnsi="Arial Narrow"/>
                <w:b/>
                <w:sz w:val="20"/>
                <w:szCs w:val="20"/>
              </w:rPr>
              <w:t>Mean morning PEF (L/min)</w:t>
            </w:r>
          </w:p>
        </w:tc>
      </w:tr>
      <w:tr w:rsidR="005B23D9" w:rsidRPr="00FB7A6E" w:rsidTr="004431CF">
        <w:tc>
          <w:tcPr>
            <w:tcW w:w="1869" w:type="pct"/>
            <w:tcBorders>
              <w:top w:val="single" w:sz="4" w:space="0" w:color="auto"/>
              <w:bottom w:val="nil"/>
            </w:tcBorders>
            <w:vAlign w:val="center"/>
          </w:tcPr>
          <w:p w:rsidR="005B23D9" w:rsidRPr="00FB7A6E" w:rsidRDefault="005B23D9" w:rsidP="005B23D9">
            <w:pPr>
              <w:keepNext/>
              <w:keepLines/>
              <w:jc w:val="left"/>
              <w:rPr>
                <w:rFonts w:ascii="Arial Narrow" w:hAnsi="Arial Narrow"/>
                <w:sz w:val="20"/>
                <w:szCs w:val="20"/>
              </w:rPr>
            </w:pPr>
            <w:r w:rsidRPr="00FB7A6E">
              <w:rPr>
                <w:rFonts w:ascii="Arial Narrow" w:hAnsi="Arial Narrow"/>
                <w:sz w:val="20"/>
                <w:szCs w:val="20"/>
              </w:rPr>
              <w:t>Medium dose MF/IND/GLY 80/150/50 D vs</w:t>
            </w:r>
          </w:p>
        </w:tc>
        <w:tc>
          <w:tcPr>
            <w:tcW w:w="557"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560"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496"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single" w:sz="4" w:space="0" w:color="auto"/>
              <w:bottom w:val="nil"/>
            </w:tcBorders>
            <w:vAlign w:val="center"/>
          </w:tcPr>
          <w:p w:rsidR="005B23D9" w:rsidRPr="00FB7A6E" w:rsidRDefault="005B23D9" w:rsidP="005B23D9">
            <w:pPr>
              <w:keepNext/>
              <w:keepLines/>
              <w:jc w:val="center"/>
              <w:rPr>
                <w:rFonts w:ascii="Arial Narrow" w:hAnsi="Arial Narrow"/>
                <w:b/>
                <w:sz w:val="20"/>
                <w:szCs w:val="20"/>
              </w:rPr>
            </w:pPr>
          </w:p>
        </w:tc>
      </w:tr>
      <w:tr w:rsidR="005B23D9" w:rsidRPr="00FB7A6E" w:rsidTr="004431CF">
        <w:tc>
          <w:tcPr>
            <w:tcW w:w="1869" w:type="pct"/>
            <w:tcBorders>
              <w:top w:val="nil"/>
              <w:bottom w:val="nil"/>
            </w:tcBorders>
            <w:vAlign w:val="center"/>
          </w:tcPr>
          <w:p w:rsidR="005B23D9" w:rsidRPr="00FB7A6E" w:rsidRDefault="005B23D9" w:rsidP="005B23D9">
            <w:pPr>
              <w:keepNext/>
              <w:keepLines/>
              <w:ind w:left="109"/>
              <w:jc w:val="left"/>
              <w:rPr>
                <w:rFonts w:ascii="Arial Narrow" w:hAnsi="Arial Narrow"/>
                <w:sz w:val="20"/>
                <w:szCs w:val="20"/>
              </w:rPr>
            </w:pPr>
            <w:r w:rsidRPr="00FB7A6E">
              <w:rPr>
                <w:rFonts w:ascii="Arial Narrow" w:hAnsi="Arial Narrow"/>
                <w:sz w:val="20"/>
                <w:szCs w:val="20"/>
              </w:rPr>
              <w:t>FP/SAL 500/50 BD +TIO 5 D; Argon Wk24</w:t>
            </w:r>
          </w:p>
        </w:tc>
        <w:tc>
          <w:tcPr>
            <w:tcW w:w="557"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30.0 (2.18)</w:t>
            </w:r>
          </w:p>
        </w:tc>
        <w:tc>
          <w:tcPr>
            <w:tcW w:w="560"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24.1 (2.18)</w:t>
            </w:r>
          </w:p>
        </w:tc>
        <w:tc>
          <w:tcPr>
            <w:tcW w:w="496"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b/>
                <w:sz w:val="20"/>
                <w:szCs w:val="20"/>
              </w:rPr>
              <w:t>5.9 (0.33, 11.5)</w:t>
            </w:r>
          </w:p>
        </w:tc>
        <w:tc>
          <w:tcPr>
            <w:tcW w:w="759" w:type="pct"/>
            <w:tcBorders>
              <w:top w:val="nil"/>
              <w:bottom w:val="nil"/>
            </w:tcBorders>
            <w:vAlign w:val="center"/>
          </w:tcPr>
          <w:p w:rsidR="005B23D9" w:rsidRPr="00FB7A6E" w:rsidRDefault="005B23D9" w:rsidP="005B23D9">
            <w:pPr>
              <w:keepNext/>
              <w:keepLines/>
              <w:jc w:val="center"/>
              <w:rPr>
                <w:rFonts w:ascii="Arial Narrow" w:hAnsi="Arial Narrow"/>
                <w:b/>
                <w:sz w:val="20"/>
                <w:szCs w:val="20"/>
              </w:rPr>
            </w:pPr>
          </w:p>
        </w:tc>
      </w:tr>
      <w:tr w:rsidR="005B23D9" w:rsidRPr="00FB7A6E" w:rsidTr="004431CF">
        <w:tc>
          <w:tcPr>
            <w:tcW w:w="1869" w:type="pct"/>
            <w:tcBorders>
              <w:top w:val="nil"/>
              <w:bottom w:val="single" w:sz="4" w:space="0" w:color="auto"/>
            </w:tcBorders>
            <w:vAlign w:val="center"/>
          </w:tcPr>
          <w:p w:rsidR="005B23D9" w:rsidRPr="00FB7A6E" w:rsidRDefault="005B23D9" w:rsidP="005B23D9">
            <w:pPr>
              <w:keepNext/>
              <w:keepLines/>
              <w:ind w:left="109"/>
              <w:jc w:val="left"/>
              <w:rPr>
                <w:rFonts w:ascii="Arial Narrow" w:hAnsi="Arial Narrow"/>
                <w:sz w:val="20"/>
                <w:szCs w:val="20"/>
              </w:rPr>
            </w:pPr>
            <w:r w:rsidRPr="00FB7A6E">
              <w:rPr>
                <w:rFonts w:ascii="Arial Narrow" w:hAnsi="Arial Narrow"/>
                <w:sz w:val="20"/>
                <w:szCs w:val="20"/>
              </w:rPr>
              <w:t>MF/IND 160/150 D; Iridium Wk</w:t>
            </w:r>
            <w:r>
              <w:rPr>
                <w:rFonts w:ascii="Arial Narrow" w:hAnsi="Arial Narrow"/>
                <w:sz w:val="20"/>
                <w:szCs w:val="20"/>
              </w:rPr>
              <w:t>52</w:t>
            </w:r>
          </w:p>
        </w:tc>
        <w:tc>
          <w:tcPr>
            <w:tcW w:w="557" w:type="pct"/>
            <w:tcBorders>
              <w:top w:val="nil"/>
              <w:bottom w:val="single" w:sz="4" w:space="0" w:color="auto"/>
            </w:tcBorders>
            <w:vAlign w:val="center"/>
          </w:tcPr>
          <w:p w:rsidR="005B23D9" w:rsidRPr="00FB7A6E" w:rsidRDefault="005B23D9" w:rsidP="005B23D9">
            <w:pPr>
              <w:keepNext/>
              <w:keepLines/>
              <w:jc w:val="center"/>
              <w:rPr>
                <w:rFonts w:ascii="Arial Narrow" w:hAnsi="Arial Narrow"/>
                <w:iCs/>
                <w:sz w:val="20"/>
                <w:szCs w:val="20"/>
              </w:rPr>
            </w:pPr>
            <w:r w:rsidRPr="00FB7A6E">
              <w:rPr>
                <w:rFonts w:ascii="Arial Narrow" w:hAnsi="Arial Narrow"/>
                <w:iCs/>
                <w:sz w:val="20"/>
                <w:szCs w:val="20"/>
              </w:rPr>
              <w:t>41.2 (2.05)</w:t>
            </w:r>
          </w:p>
        </w:tc>
        <w:tc>
          <w:tcPr>
            <w:tcW w:w="560" w:type="pct"/>
            <w:tcBorders>
              <w:top w:val="nil"/>
              <w:bottom w:val="single" w:sz="4" w:space="0" w:color="auto"/>
            </w:tcBorders>
            <w:vAlign w:val="center"/>
          </w:tcPr>
          <w:p w:rsidR="005B23D9" w:rsidRPr="00FB7A6E" w:rsidRDefault="005B23D9" w:rsidP="005B23D9">
            <w:pPr>
              <w:keepNext/>
              <w:keepLines/>
              <w:jc w:val="center"/>
              <w:rPr>
                <w:rFonts w:ascii="Arial Narrow" w:hAnsi="Arial Narrow"/>
                <w:iCs/>
                <w:sz w:val="20"/>
                <w:szCs w:val="20"/>
              </w:rPr>
            </w:pPr>
          </w:p>
        </w:tc>
        <w:tc>
          <w:tcPr>
            <w:tcW w:w="496" w:type="pct"/>
            <w:tcBorders>
              <w:top w:val="nil"/>
              <w:bottom w:val="single" w:sz="4" w:space="0" w:color="auto"/>
            </w:tcBorders>
            <w:vAlign w:val="center"/>
          </w:tcPr>
          <w:p w:rsidR="005B23D9" w:rsidRPr="00FB7A6E" w:rsidRDefault="005B23D9" w:rsidP="005B23D9">
            <w:pPr>
              <w:keepNext/>
              <w:keepLines/>
              <w:jc w:val="center"/>
              <w:rPr>
                <w:rFonts w:ascii="Arial Narrow" w:hAnsi="Arial Narrow"/>
                <w:iCs/>
                <w:sz w:val="20"/>
                <w:szCs w:val="20"/>
              </w:rPr>
            </w:pPr>
            <w:r w:rsidRPr="00FB7A6E">
              <w:rPr>
                <w:rFonts w:ascii="Arial Narrow" w:hAnsi="Arial Narrow"/>
                <w:iCs/>
                <w:sz w:val="20"/>
                <w:szCs w:val="20"/>
              </w:rPr>
              <w:t>25.6 (2.06)</w:t>
            </w:r>
          </w:p>
        </w:tc>
        <w:tc>
          <w:tcPr>
            <w:tcW w:w="759" w:type="pct"/>
            <w:tcBorders>
              <w:top w:val="nil"/>
              <w:bottom w:val="single" w:sz="4" w:space="0" w:color="auto"/>
            </w:tcBorders>
            <w:vAlign w:val="center"/>
          </w:tcPr>
          <w:p w:rsidR="005B23D9" w:rsidRPr="00FB7A6E" w:rsidRDefault="005B23D9" w:rsidP="005B23D9">
            <w:pPr>
              <w:keepNext/>
              <w:keepLines/>
              <w:jc w:val="center"/>
              <w:rPr>
                <w:rFonts w:ascii="Arial Narrow" w:hAnsi="Arial Narrow"/>
                <w:iCs/>
                <w:sz w:val="20"/>
                <w:szCs w:val="20"/>
              </w:rPr>
            </w:pPr>
          </w:p>
        </w:tc>
        <w:tc>
          <w:tcPr>
            <w:tcW w:w="759" w:type="pct"/>
            <w:tcBorders>
              <w:top w:val="nil"/>
              <w:bottom w:val="single" w:sz="4" w:space="0" w:color="auto"/>
            </w:tcBorders>
            <w:vAlign w:val="center"/>
          </w:tcPr>
          <w:p w:rsidR="005B23D9" w:rsidRPr="00FB7A6E" w:rsidRDefault="005B23D9" w:rsidP="005B23D9">
            <w:pPr>
              <w:keepNext/>
              <w:keepLines/>
              <w:jc w:val="center"/>
              <w:rPr>
                <w:rFonts w:ascii="Arial Narrow" w:hAnsi="Arial Narrow"/>
                <w:b/>
                <w:iCs/>
                <w:sz w:val="20"/>
                <w:szCs w:val="20"/>
              </w:rPr>
            </w:pPr>
            <w:r w:rsidRPr="00FB7A6E">
              <w:rPr>
                <w:rFonts w:ascii="Arial Narrow" w:hAnsi="Arial Narrow"/>
                <w:b/>
                <w:iCs/>
                <w:sz w:val="20"/>
                <w:szCs w:val="20"/>
              </w:rPr>
              <w:t>15.6 (10.2, 20.9)</w:t>
            </w:r>
          </w:p>
        </w:tc>
      </w:tr>
      <w:tr w:rsidR="005B23D9" w:rsidRPr="00FB7A6E" w:rsidTr="004431CF">
        <w:tc>
          <w:tcPr>
            <w:tcW w:w="1869" w:type="pct"/>
            <w:tcBorders>
              <w:top w:val="single" w:sz="4" w:space="0" w:color="auto"/>
              <w:bottom w:val="nil"/>
            </w:tcBorders>
            <w:vAlign w:val="center"/>
          </w:tcPr>
          <w:p w:rsidR="005B23D9" w:rsidRPr="00FB7A6E" w:rsidRDefault="005B23D9" w:rsidP="005B23D9">
            <w:pPr>
              <w:keepNext/>
              <w:keepLines/>
              <w:jc w:val="left"/>
              <w:rPr>
                <w:rFonts w:ascii="Arial Narrow" w:hAnsi="Arial Narrow"/>
                <w:sz w:val="20"/>
                <w:szCs w:val="20"/>
              </w:rPr>
            </w:pPr>
            <w:r w:rsidRPr="00FB7A6E">
              <w:rPr>
                <w:rFonts w:ascii="Arial Narrow" w:hAnsi="Arial Narrow"/>
                <w:sz w:val="20"/>
                <w:szCs w:val="20"/>
              </w:rPr>
              <w:t>High dose MF/IND/GLY 160/150/50 D vs</w:t>
            </w:r>
          </w:p>
        </w:tc>
        <w:tc>
          <w:tcPr>
            <w:tcW w:w="557" w:type="pct"/>
            <w:tcBorders>
              <w:top w:val="single" w:sz="4" w:space="0" w:color="auto"/>
              <w:bottom w:val="nil"/>
            </w:tcBorders>
            <w:vAlign w:val="center"/>
          </w:tcPr>
          <w:p w:rsidR="005B23D9" w:rsidRPr="00FB7A6E" w:rsidRDefault="005B23D9" w:rsidP="005B23D9">
            <w:pPr>
              <w:keepNext/>
              <w:keepLines/>
              <w:jc w:val="center"/>
              <w:rPr>
                <w:rFonts w:ascii="Arial Narrow" w:hAnsi="Arial Narrow"/>
                <w:iCs/>
                <w:sz w:val="20"/>
                <w:szCs w:val="20"/>
              </w:rPr>
            </w:pPr>
          </w:p>
        </w:tc>
        <w:tc>
          <w:tcPr>
            <w:tcW w:w="560" w:type="pct"/>
            <w:tcBorders>
              <w:top w:val="single" w:sz="4" w:space="0" w:color="auto"/>
              <w:bottom w:val="nil"/>
            </w:tcBorders>
            <w:vAlign w:val="center"/>
          </w:tcPr>
          <w:p w:rsidR="005B23D9" w:rsidRPr="00FB7A6E" w:rsidRDefault="005B23D9" w:rsidP="005B23D9">
            <w:pPr>
              <w:keepNext/>
              <w:keepLines/>
              <w:jc w:val="center"/>
              <w:rPr>
                <w:rFonts w:ascii="Arial Narrow" w:hAnsi="Arial Narrow"/>
                <w:iCs/>
                <w:sz w:val="20"/>
                <w:szCs w:val="20"/>
              </w:rPr>
            </w:pPr>
          </w:p>
        </w:tc>
        <w:tc>
          <w:tcPr>
            <w:tcW w:w="496" w:type="pct"/>
            <w:tcBorders>
              <w:top w:val="single" w:sz="4" w:space="0" w:color="auto"/>
              <w:bottom w:val="nil"/>
            </w:tcBorders>
            <w:vAlign w:val="center"/>
          </w:tcPr>
          <w:p w:rsidR="005B23D9" w:rsidRPr="00FB7A6E" w:rsidRDefault="005B23D9" w:rsidP="005B23D9">
            <w:pPr>
              <w:keepNext/>
              <w:keepLines/>
              <w:jc w:val="center"/>
              <w:rPr>
                <w:rFonts w:ascii="Arial Narrow" w:hAnsi="Arial Narrow"/>
                <w:iCs/>
                <w:sz w:val="20"/>
                <w:szCs w:val="20"/>
              </w:rPr>
            </w:pPr>
          </w:p>
        </w:tc>
        <w:tc>
          <w:tcPr>
            <w:tcW w:w="759" w:type="pct"/>
            <w:tcBorders>
              <w:top w:val="single" w:sz="4" w:space="0" w:color="auto"/>
              <w:bottom w:val="nil"/>
            </w:tcBorders>
            <w:vAlign w:val="center"/>
          </w:tcPr>
          <w:p w:rsidR="005B23D9" w:rsidRPr="00FB7A6E" w:rsidRDefault="005B23D9" w:rsidP="005B23D9">
            <w:pPr>
              <w:keepNext/>
              <w:keepLines/>
              <w:jc w:val="center"/>
              <w:rPr>
                <w:rFonts w:ascii="Arial Narrow" w:hAnsi="Arial Narrow"/>
                <w:iCs/>
                <w:sz w:val="20"/>
                <w:szCs w:val="20"/>
              </w:rPr>
            </w:pPr>
          </w:p>
        </w:tc>
        <w:tc>
          <w:tcPr>
            <w:tcW w:w="759" w:type="pct"/>
            <w:tcBorders>
              <w:top w:val="single" w:sz="4" w:space="0" w:color="auto"/>
              <w:bottom w:val="nil"/>
            </w:tcBorders>
            <w:vAlign w:val="center"/>
          </w:tcPr>
          <w:p w:rsidR="005B23D9" w:rsidRPr="00FB7A6E" w:rsidRDefault="005B23D9" w:rsidP="005B23D9">
            <w:pPr>
              <w:keepNext/>
              <w:keepLines/>
              <w:jc w:val="center"/>
              <w:rPr>
                <w:rFonts w:ascii="Arial Narrow" w:hAnsi="Arial Narrow"/>
                <w:b/>
                <w:iCs/>
                <w:sz w:val="20"/>
                <w:szCs w:val="20"/>
              </w:rPr>
            </w:pPr>
          </w:p>
        </w:tc>
      </w:tr>
      <w:tr w:rsidR="005B23D9" w:rsidRPr="00FB7A6E" w:rsidTr="004431CF">
        <w:tc>
          <w:tcPr>
            <w:tcW w:w="1869" w:type="pct"/>
            <w:tcBorders>
              <w:top w:val="nil"/>
              <w:bottom w:val="nil"/>
            </w:tcBorders>
            <w:vAlign w:val="center"/>
          </w:tcPr>
          <w:p w:rsidR="005B23D9" w:rsidRPr="00FB7A6E" w:rsidRDefault="005B23D9" w:rsidP="005B23D9">
            <w:pPr>
              <w:keepNext/>
              <w:keepLines/>
              <w:ind w:left="109"/>
              <w:jc w:val="left"/>
              <w:rPr>
                <w:rFonts w:ascii="Arial Narrow" w:hAnsi="Arial Narrow"/>
                <w:sz w:val="20"/>
                <w:szCs w:val="20"/>
              </w:rPr>
            </w:pPr>
            <w:r w:rsidRPr="00FB7A6E">
              <w:rPr>
                <w:rFonts w:ascii="Arial Narrow" w:hAnsi="Arial Narrow"/>
                <w:sz w:val="20"/>
                <w:szCs w:val="20"/>
              </w:rPr>
              <w:t>FP/SAL 500/50 BD +TIO 5 D; Argon Wk24</w:t>
            </w:r>
          </w:p>
        </w:tc>
        <w:tc>
          <w:tcPr>
            <w:tcW w:w="557"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35.8 (2.17)</w:t>
            </w:r>
          </w:p>
        </w:tc>
        <w:tc>
          <w:tcPr>
            <w:tcW w:w="560"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24.1 (2.18)</w:t>
            </w:r>
          </w:p>
        </w:tc>
        <w:tc>
          <w:tcPr>
            <w:tcW w:w="496"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b/>
                <w:sz w:val="20"/>
                <w:szCs w:val="20"/>
              </w:rPr>
              <w:t>11.8 (6.1, 17.4)</w:t>
            </w:r>
          </w:p>
        </w:tc>
        <w:tc>
          <w:tcPr>
            <w:tcW w:w="759" w:type="pct"/>
            <w:tcBorders>
              <w:top w:val="nil"/>
              <w:bottom w:val="nil"/>
            </w:tcBorders>
            <w:vAlign w:val="center"/>
          </w:tcPr>
          <w:p w:rsidR="005B23D9" w:rsidRPr="00FB7A6E" w:rsidRDefault="005B23D9" w:rsidP="005B23D9">
            <w:pPr>
              <w:keepNext/>
              <w:keepLines/>
              <w:jc w:val="center"/>
              <w:rPr>
                <w:rFonts w:ascii="Arial Narrow" w:hAnsi="Arial Narrow"/>
                <w:b/>
                <w:sz w:val="20"/>
                <w:szCs w:val="20"/>
              </w:rPr>
            </w:pPr>
          </w:p>
        </w:tc>
      </w:tr>
      <w:tr w:rsidR="005B23D9" w:rsidRPr="00FB7A6E" w:rsidTr="004431CF">
        <w:tc>
          <w:tcPr>
            <w:tcW w:w="1869" w:type="pct"/>
            <w:tcBorders>
              <w:top w:val="nil"/>
              <w:bottom w:val="single" w:sz="4" w:space="0" w:color="auto"/>
            </w:tcBorders>
            <w:vAlign w:val="center"/>
          </w:tcPr>
          <w:p w:rsidR="005B23D9" w:rsidRPr="00FB7A6E" w:rsidRDefault="005B23D9" w:rsidP="005B23D9">
            <w:pPr>
              <w:keepNext/>
              <w:keepLines/>
              <w:ind w:left="109"/>
              <w:jc w:val="left"/>
              <w:rPr>
                <w:rFonts w:ascii="Arial Narrow" w:hAnsi="Arial Narrow"/>
                <w:sz w:val="20"/>
                <w:szCs w:val="20"/>
              </w:rPr>
            </w:pPr>
            <w:r w:rsidRPr="00FB7A6E">
              <w:rPr>
                <w:rFonts w:ascii="Arial Narrow" w:hAnsi="Arial Narrow"/>
                <w:sz w:val="20"/>
                <w:szCs w:val="20"/>
              </w:rPr>
              <w:t>MF/IND 320/150 D; Iridium Wk</w:t>
            </w:r>
            <w:r w:rsidR="00B41486">
              <w:rPr>
                <w:rFonts w:ascii="Arial Narrow" w:hAnsi="Arial Narrow"/>
                <w:sz w:val="20"/>
                <w:szCs w:val="20"/>
              </w:rPr>
              <w:t>52</w:t>
            </w:r>
          </w:p>
        </w:tc>
        <w:tc>
          <w:tcPr>
            <w:tcW w:w="557"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47.5 (2.03)</w:t>
            </w:r>
          </w:p>
        </w:tc>
        <w:tc>
          <w:tcPr>
            <w:tcW w:w="560"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p>
        </w:tc>
        <w:tc>
          <w:tcPr>
            <w:tcW w:w="496"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28.8 (2.05)</w:t>
            </w:r>
          </w:p>
        </w:tc>
        <w:tc>
          <w:tcPr>
            <w:tcW w:w="759"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nil"/>
              <w:bottom w:val="single" w:sz="4" w:space="0" w:color="auto"/>
            </w:tcBorders>
            <w:vAlign w:val="center"/>
          </w:tcPr>
          <w:p w:rsidR="005B23D9" w:rsidRPr="00FB7A6E" w:rsidRDefault="005B23D9" w:rsidP="005B23D9">
            <w:pPr>
              <w:keepNext/>
              <w:keepLines/>
              <w:jc w:val="center"/>
              <w:rPr>
                <w:rFonts w:ascii="Arial Narrow" w:hAnsi="Arial Narrow"/>
                <w:b/>
                <w:sz w:val="20"/>
                <w:szCs w:val="20"/>
              </w:rPr>
            </w:pPr>
            <w:r w:rsidRPr="00FB7A6E">
              <w:rPr>
                <w:rFonts w:ascii="Arial Narrow" w:hAnsi="Arial Narrow"/>
                <w:b/>
                <w:sz w:val="20"/>
                <w:szCs w:val="20"/>
              </w:rPr>
              <w:t>18.7 (13.4, 24.1)</w:t>
            </w:r>
          </w:p>
        </w:tc>
      </w:tr>
      <w:tr w:rsidR="005B23D9" w:rsidRPr="00FB7A6E" w:rsidTr="004431CF">
        <w:tc>
          <w:tcPr>
            <w:tcW w:w="5000" w:type="pct"/>
            <w:gridSpan w:val="6"/>
            <w:tcBorders>
              <w:top w:val="single" w:sz="4" w:space="0" w:color="auto"/>
              <w:bottom w:val="single" w:sz="4" w:space="0" w:color="auto"/>
            </w:tcBorders>
            <w:vAlign w:val="center"/>
          </w:tcPr>
          <w:p w:rsidR="005B23D9" w:rsidRPr="00FB7A6E" w:rsidRDefault="005B23D9" w:rsidP="005B23D9">
            <w:pPr>
              <w:keepNext/>
              <w:keepLines/>
              <w:jc w:val="left"/>
              <w:rPr>
                <w:rFonts w:ascii="Arial Narrow" w:hAnsi="Arial Narrow"/>
                <w:b/>
                <w:iCs/>
                <w:sz w:val="20"/>
                <w:szCs w:val="20"/>
              </w:rPr>
            </w:pPr>
            <w:r w:rsidRPr="00FB7A6E">
              <w:rPr>
                <w:rFonts w:ascii="Arial Narrow" w:hAnsi="Arial Narrow"/>
                <w:b/>
                <w:iCs/>
                <w:sz w:val="20"/>
                <w:szCs w:val="20"/>
              </w:rPr>
              <w:t>ACQ-7</w:t>
            </w:r>
          </w:p>
        </w:tc>
      </w:tr>
      <w:tr w:rsidR="005B23D9" w:rsidRPr="00FB7A6E" w:rsidTr="004431CF">
        <w:tc>
          <w:tcPr>
            <w:tcW w:w="1869" w:type="pct"/>
            <w:tcBorders>
              <w:top w:val="single" w:sz="4" w:space="0" w:color="auto"/>
              <w:bottom w:val="nil"/>
            </w:tcBorders>
            <w:vAlign w:val="center"/>
          </w:tcPr>
          <w:p w:rsidR="005B23D9" w:rsidRPr="00FB7A6E" w:rsidRDefault="005B23D9" w:rsidP="005B23D9">
            <w:pPr>
              <w:keepNext/>
              <w:keepLines/>
              <w:jc w:val="left"/>
              <w:rPr>
                <w:rFonts w:ascii="Arial Narrow" w:hAnsi="Arial Narrow"/>
                <w:sz w:val="20"/>
                <w:szCs w:val="20"/>
              </w:rPr>
            </w:pPr>
            <w:r w:rsidRPr="00FB7A6E">
              <w:rPr>
                <w:rFonts w:ascii="Arial Narrow" w:hAnsi="Arial Narrow"/>
                <w:sz w:val="20"/>
                <w:szCs w:val="20"/>
              </w:rPr>
              <w:t>Medium dose MF/IND/GLY 80/150/50 D vs</w:t>
            </w:r>
          </w:p>
        </w:tc>
        <w:tc>
          <w:tcPr>
            <w:tcW w:w="557"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560"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496"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single" w:sz="4" w:space="0" w:color="auto"/>
              <w:bottom w:val="nil"/>
            </w:tcBorders>
            <w:vAlign w:val="center"/>
          </w:tcPr>
          <w:p w:rsidR="005B23D9" w:rsidRPr="00FB7A6E" w:rsidRDefault="005B23D9" w:rsidP="005B23D9">
            <w:pPr>
              <w:keepNext/>
              <w:keepLines/>
              <w:jc w:val="center"/>
              <w:rPr>
                <w:rFonts w:ascii="Arial Narrow" w:hAnsi="Arial Narrow"/>
                <w:b/>
                <w:sz w:val="20"/>
                <w:szCs w:val="20"/>
              </w:rPr>
            </w:pPr>
          </w:p>
        </w:tc>
      </w:tr>
      <w:tr w:rsidR="005B23D9" w:rsidRPr="00FB7A6E" w:rsidTr="004431CF">
        <w:tc>
          <w:tcPr>
            <w:tcW w:w="1869" w:type="pct"/>
            <w:tcBorders>
              <w:top w:val="nil"/>
              <w:bottom w:val="nil"/>
            </w:tcBorders>
            <w:vAlign w:val="center"/>
          </w:tcPr>
          <w:p w:rsidR="005B23D9" w:rsidRPr="00FB7A6E" w:rsidRDefault="005B23D9" w:rsidP="005B23D9">
            <w:pPr>
              <w:keepNext/>
              <w:keepLines/>
              <w:ind w:left="109"/>
              <w:jc w:val="left"/>
              <w:rPr>
                <w:rFonts w:ascii="Arial Narrow" w:hAnsi="Arial Narrow"/>
                <w:sz w:val="20"/>
                <w:szCs w:val="20"/>
              </w:rPr>
            </w:pPr>
            <w:r w:rsidRPr="00FB7A6E">
              <w:rPr>
                <w:rFonts w:ascii="Arial Narrow" w:hAnsi="Arial Narrow"/>
                <w:sz w:val="20"/>
                <w:szCs w:val="20"/>
              </w:rPr>
              <w:t>FP/SAL 500/50 BD +TIO 5 D; Argon Wk24</w:t>
            </w:r>
          </w:p>
        </w:tc>
        <w:tc>
          <w:tcPr>
            <w:tcW w:w="557"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-1.08 (0.05)</w:t>
            </w:r>
          </w:p>
        </w:tc>
        <w:tc>
          <w:tcPr>
            <w:tcW w:w="560"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-1.05 (0.05)</w:t>
            </w:r>
          </w:p>
        </w:tc>
        <w:tc>
          <w:tcPr>
            <w:tcW w:w="496"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-0.03 (-0.13,0.06)</w:t>
            </w:r>
          </w:p>
        </w:tc>
        <w:tc>
          <w:tcPr>
            <w:tcW w:w="759" w:type="pct"/>
            <w:tcBorders>
              <w:top w:val="nil"/>
              <w:bottom w:val="nil"/>
            </w:tcBorders>
            <w:vAlign w:val="center"/>
          </w:tcPr>
          <w:p w:rsidR="005B23D9" w:rsidRPr="00FB7A6E" w:rsidRDefault="005B23D9" w:rsidP="005B23D9">
            <w:pPr>
              <w:keepNext/>
              <w:keepLines/>
              <w:jc w:val="center"/>
              <w:rPr>
                <w:rFonts w:ascii="Arial Narrow" w:hAnsi="Arial Narrow"/>
                <w:b/>
                <w:sz w:val="20"/>
                <w:szCs w:val="20"/>
              </w:rPr>
            </w:pPr>
          </w:p>
        </w:tc>
      </w:tr>
      <w:tr w:rsidR="005B23D9" w:rsidRPr="00FB7A6E" w:rsidTr="004431CF">
        <w:tc>
          <w:tcPr>
            <w:tcW w:w="1869" w:type="pct"/>
            <w:tcBorders>
              <w:top w:val="nil"/>
              <w:bottom w:val="single" w:sz="4" w:space="0" w:color="auto"/>
            </w:tcBorders>
            <w:vAlign w:val="center"/>
          </w:tcPr>
          <w:p w:rsidR="005B23D9" w:rsidRPr="00FB7A6E" w:rsidRDefault="005B23D9" w:rsidP="005B23D9">
            <w:pPr>
              <w:keepNext/>
              <w:keepLines/>
              <w:ind w:left="109"/>
              <w:jc w:val="left"/>
              <w:rPr>
                <w:rFonts w:ascii="Arial Narrow" w:hAnsi="Arial Narrow"/>
                <w:sz w:val="20"/>
                <w:szCs w:val="20"/>
              </w:rPr>
            </w:pPr>
            <w:r w:rsidRPr="00FB7A6E">
              <w:rPr>
                <w:rFonts w:ascii="Arial Narrow" w:hAnsi="Arial Narrow"/>
                <w:sz w:val="20"/>
                <w:szCs w:val="20"/>
              </w:rPr>
              <w:t>MF/IND 160/150 D; Iridium Wk26</w:t>
            </w:r>
          </w:p>
        </w:tc>
        <w:tc>
          <w:tcPr>
            <w:tcW w:w="557"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-0.97 (0.03)</w:t>
            </w:r>
          </w:p>
        </w:tc>
        <w:tc>
          <w:tcPr>
            <w:tcW w:w="560"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p>
        </w:tc>
        <w:tc>
          <w:tcPr>
            <w:tcW w:w="496"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-0.90(0.03)</w:t>
            </w:r>
          </w:p>
        </w:tc>
        <w:tc>
          <w:tcPr>
            <w:tcW w:w="759" w:type="pct"/>
            <w:tcBorders>
              <w:top w:val="nil"/>
              <w:bottom w:val="single" w:sz="4" w:space="0" w:color="auto"/>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nil"/>
              <w:bottom w:val="single" w:sz="4" w:space="0" w:color="auto"/>
            </w:tcBorders>
            <w:vAlign w:val="center"/>
          </w:tcPr>
          <w:p w:rsidR="005B23D9" w:rsidRPr="00FB7A6E" w:rsidRDefault="005B23D9" w:rsidP="005B23D9">
            <w:pPr>
              <w:keepNext/>
              <w:keepLines/>
              <w:jc w:val="center"/>
              <w:rPr>
                <w:rFonts w:ascii="Arial Narrow" w:hAnsi="Arial Narrow"/>
                <w:b/>
                <w:sz w:val="20"/>
                <w:szCs w:val="20"/>
              </w:rPr>
            </w:pPr>
            <w:r w:rsidRPr="00FB7A6E">
              <w:rPr>
                <w:rFonts w:ascii="Arial Narrow" w:hAnsi="Arial Narrow"/>
                <w:bCs/>
                <w:sz w:val="20"/>
                <w:szCs w:val="20"/>
              </w:rPr>
              <w:t>-0.07 (-0.15,0.01)</w:t>
            </w:r>
          </w:p>
        </w:tc>
      </w:tr>
      <w:tr w:rsidR="005B23D9" w:rsidRPr="00FB7A6E" w:rsidTr="004431CF">
        <w:trPr>
          <w:trHeight w:val="70"/>
        </w:trPr>
        <w:tc>
          <w:tcPr>
            <w:tcW w:w="1869" w:type="pct"/>
            <w:tcBorders>
              <w:top w:val="single" w:sz="4" w:space="0" w:color="auto"/>
              <w:bottom w:val="nil"/>
            </w:tcBorders>
            <w:vAlign w:val="center"/>
          </w:tcPr>
          <w:p w:rsidR="005B23D9" w:rsidRPr="00FB7A6E" w:rsidRDefault="005B23D9" w:rsidP="005B23D9">
            <w:pPr>
              <w:keepNext/>
              <w:keepLines/>
              <w:jc w:val="left"/>
              <w:rPr>
                <w:rFonts w:ascii="Arial Narrow" w:hAnsi="Arial Narrow"/>
                <w:i/>
                <w:iCs/>
                <w:sz w:val="20"/>
                <w:szCs w:val="20"/>
              </w:rPr>
            </w:pPr>
            <w:r w:rsidRPr="00FB7A6E">
              <w:rPr>
                <w:rFonts w:ascii="Arial Narrow" w:hAnsi="Arial Narrow"/>
                <w:sz w:val="20"/>
                <w:szCs w:val="20"/>
              </w:rPr>
              <w:t>High dose MF/IND/GLY 160/150/50 D vs</w:t>
            </w:r>
          </w:p>
        </w:tc>
        <w:tc>
          <w:tcPr>
            <w:tcW w:w="557"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560"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496"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single" w:sz="4" w:space="0" w:color="auto"/>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single" w:sz="4" w:space="0" w:color="auto"/>
              <w:bottom w:val="nil"/>
            </w:tcBorders>
            <w:vAlign w:val="center"/>
          </w:tcPr>
          <w:p w:rsidR="005B23D9" w:rsidRPr="00FB7A6E" w:rsidRDefault="005B23D9" w:rsidP="005B23D9">
            <w:pPr>
              <w:keepNext/>
              <w:keepLines/>
              <w:jc w:val="center"/>
              <w:rPr>
                <w:rFonts w:ascii="Arial Narrow" w:hAnsi="Arial Narrow"/>
                <w:bCs/>
                <w:sz w:val="20"/>
                <w:szCs w:val="20"/>
              </w:rPr>
            </w:pPr>
          </w:p>
        </w:tc>
      </w:tr>
      <w:tr w:rsidR="005B23D9" w:rsidRPr="00FB7A6E" w:rsidTr="004431CF">
        <w:tc>
          <w:tcPr>
            <w:tcW w:w="1869" w:type="pct"/>
            <w:tcBorders>
              <w:top w:val="nil"/>
              <w:bottom w:val="nil"/>
            </w:tcBorders>
            <w:vAlign w:val="center"/>
          </w:tcPr>
          <w:p w:rsidR="005B23D9" w:rsidRPr="00FB7A6E" w:rsidRDefault="005B23D9" w:rsidP="005B23D9">
            <w:pPr>
              <w:keepNext/>
              <w:keepLines/>
              <w:ind w:left="109"/>
              <w:jc w:val="left"/>
              <w:rPr>
                <w:rFonts w:ascii="Arial Narrow" w:hAnsi="Arial Narrow"/>
                <w:i/>
                <w:iCs/>
                <w:sz w:val="20"/>
                <w:szCs w:val="20"/>
              </w:rPr>
            </w:pPr>
            <w:r w:rsidRPr="00FB7A6E">
              <w:rPr>
                <w:rFonts w:ascii="Arial Narrow" w:hAnsi="Arial Narrow"/>
                <w:sz w:val="20"/>
                <w:szCs w:val="20"/>
              </w:rPr>
              <w:t>FP/SAL 500/50 BD +TIO 5 D; Argon Wk24</w:t>
            </w:r>
          </w:p>
        </w:tc>
        <w:tc>
          <w:tcPr>
            <w:tcW w:w="557"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-1.17 (0.05)</w:t>
            </w:r>
          </w:p>
        </w:tc>
        <w:tc>
          <w:tcPr>
            <w:tcW w:w="560"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r w:rsidRPr="00FB7A6E">
              <w:rPr>
                <w:rFonts w:ascii="Arial Narrow" w:hAnsi="Arial Narrow"/>
                <w:sz w:val="20"/>
                <w:szCs w:val="20"/>
              </w:rPr>
              <w:t>-1.05 (0.05)</w:t>
            </w:r>
          </w:p>
        </w:tc>
        <w:tc>
          <w:tcPr>
            <w:tcW w:w="496" w:type="pct"/>
            <w:tcBorders>
              <w:top w:val="nil"/>
              <w:bottom w:val="nil"/>
            </w:tcBorders>
            <w:vAlign w:val="center"/>
          </w:tcPr>
          <w:p w:rsidR="005B23D9" w:rsidRPr="00FB7A6E" w:rsidRDefault="005B23D9" w:rsidP="005B23D9">
            <w:pPr>
              <w:keepNext/>
              <w:keepLines/>
              <w:jc w:val="center"/>
              <w:rPr>
                <w:rFonts w:ascii="Arial Narrow" w:hAnsi="Arial Narrow"/>
                <w:sz w:val="20"/>
                <w:szCs w:val="20"/>
              </w:rPr>
            </w:pPr>
          </w:p>
        </w:tc>
        <w:tc>
          <w:tcPr>
            <w:tcW w:w="759" w:type="pct"/>
            <w:tcBorders>
              <w:top w:val="nil"/>
              <w:bottom w:val="nil"/>
            </w:tcBorders>
            <w:vAlign w:val="center"/>
          </w:tcPr>
          <w:p w:rsidR="005B23D9" w:rsidRPr="00FB7A6E" w:rsidRDefault="005B23D9" w:rsidP="005B23D9">
            <w:pPr>
              <w:keepNext/>
              <w:keepLines/>
              <w:jc w:val="center"/>
              <w:rPr>
                <w:rFonts w:ascii="Arial Narrow" w:hAnsi="Arial Narrow"/>
                <w:b/>
                <w:bCs/>
                <w:sz w:val="20"/>
                <w:szCs w:val="20"/>
              </w:rPr>
            </w:pPr>
            <w:r w:rsidRPr="00FB7A6E">
              <w:rPr>
                <w:rFonts w:ascii="Arial Narrow" w:hAnsi="Arial Narrow"/>
                <w:b/>
                <w:bCs/>
                <w:sz w:val="20"/>
                <w:szCs w:val="20"/>
              </w:rPr>
              <w:t>-0.12(-0.22,-0.03)</w:t>
            </w:r>
          </w:p>
        </w:tc>
        <w:tc>
          <w:tcPr>
            <w:tcW w:w="759" w:type="pct"/>
            <w:tcBorders>
              <w:top w:val="nil"/>
              <w:bottom w:val="nil"/>
            </w:tcBorders>
            <w:vAlign w:val="center"/>
          </w:tcPr>
          <w:p w:rsidR="005B23D9" w:rsidRPr="00FB7A6E" w:rsidRDefault="005B23D9" w:rsidP="005B23D9">
            <w:pPr>
              <w:keepNext/>
              <w:keepLines/>
              <w:jc w:val="center"/>
              <w:rPr>
                <w:rFonts w:ascii="Arial Narrow" w:hAnsi="Arial Narrow"/>
                <w:bCs/>
                <w:sz w:val="20"/>
                <w:szCs w:val="20"/>
              </w:rPr>
            </w:pPr>
          </w:p>
        </w:tc>
      </w:tr>
      <w:tr w:rsidR="005B23D9" w:rsidRPr="00FB7A6E" w:rsidTr="004431CF">
        <w:tc>
          <w:tcPr>
            <w:tcW w:w="1869" w:type="pct"/>
            <w:tcBorders>
              <w:top w:val="nil"/>
              <w:bottom w:val="single" w:sz="4" w:space="0" w:color="auto"/>
            </w:tcBorders>
            <w:vAlign w:val="center"/>
          </w:tcPr>
          <w:p w:rsidR="005B23D9" w:rsidRPr="00FB7A6E" w:rsidRDefault="005B23D9" w:rsidP="005B23D9">
            <w:pPr>
              <w:ind w:left="109"/>
              <w:jc w:val="left"/>
              <w:rPr>
                <w:rFonts w:ascii="Arial Narrow" w:hAnsi="Arial Narrow"/>
                <w:i/>
                <w:iCs/>
                <w:sz w:val="20"/>
                <w:szCs w:val="20"/>
              </w:rPr>
            </w:pPr>
            <w:r w:rsidRPr="00FB7A6E">
              <w:rPr>
                <w:rFonts w:ascii="Arial Narrow" w:hAnsi="Arial Narrow"/>
                <w:sz w:val="20"/>
                <w:szCs w:val="20"/>
              </w:rPr>
              <w:t>MF/IND 320/150 D; Iridium Wk26</w:t>
            </w:r>
          </w:p>
        </w:tc>
        <w:tc>
          <w:tcPr>
            <w:tcW w:w="557" w:type="pct"/>
            <w:tcBorders>
              <w:top w:val="nil"/>
              <w:bottom w:val="single" w:sz="4" w:space="0" w:color="auto"/>
            </w:tcBorders>
            <w:vAlign w:val="center"/>
          </w:tcPr>
          <w:p w:rsidR="005B23D9" w:rsidRPr="00FB7A6E" w:rsidRDefault="005B23D9" w:rsidP="005B23D9">
            <w:pPr>
              <w:jc w:val="center"/>
              <w:rPr>
                <w:rFonts w:ascii="Arial Narrow" w:hAnsi="Arial Narrow"/>
                <w:sz w:val="20"/>
                <w:szCs w:val="20"/>
              </w:rPr>
            </w:pPr>
            <w:r w:rsidRPr="00FB7A6E">
              <w:rPr>
                <w:rFonts w:ascii="Arial Narrow" w:hAnsi="Arial Narrow"/>
                <w:sz w:val="20"/>
                <w:szCs w:val="20"/>
              </w:rPr>
              <w:t>-0.98 (0.03)</w:t>
            </w:r>
          </w:p>
        </w:tc>
        <w:tc>
          <w:tcPr>
            <w:tcW w:w="560" w:type="pct"/>
            <w:tcBorders>
              <w:top w:val="nil"/>
              <w:bottom w:val="single" w:sz="4" w:space="0" w:color="auto"/>
            </w:tcBorders>
            <w:vAlign w:val="center"/>
          </w:tcPr>
          <w:p w:rsidR="005B23D9" w:rsidRPr="00FB7A6E" w:rsidRDefault="005B23D9" w:rsidP="005B23D9">
            <w:pPr>
              <w:jc w:val="center"/>
              <w:rPr>
                <w:rFonts w:ascii="Arial Narrow" w:hAnsi="Arial Narrow"/>
                <w:sz w:val="20"/>
                <w:szCs w:val="20"/>
              </w:rPr>
            </w:pPr>
          </w:p>
        </w:tc>
        <w:tc>
          <w:tcPr>
            <w:tcW w:w="496" w:type="pct"/>
            <w:tcBorders>
              <w:top w:val="nil"/>
              <w:bottom w:val="single" w:sz="4" w:space="0" w:color="auto"/>
            </w:tcBorders>
            <w:vAlign w:val="center"/>
          </w:tcPr>
          <w:p w:rsidR="005B23D9" w:rsidRPr="00FB7A6E" w:rsidRDefault="005B23D9" w:rsidP="005B23D9">
            <w:pPr>
              <w:jc w:val="center"/>
              <w:rPr>
                <w:rFonts w:ascii="Arial Narrow" w:hAnsi="Arial Narrow"/>
                <w:sz w:val="20"/>
                <w:szCs w:val="20"/>
              </w:rPr>
            </w:pPr>
            <w:r w:rsidRPr="00FB7A6E">
              <w:rPr>
                <w:rFonts w:ascii="Arial Narrow" w:hAnsi="Arial Narrow"/>
                <w:sz w:val="20"/>
                <w:szCs w:val="20"/>
              </w:rPr>
              <w:t>-0.99(0.03)</w:t>
            </w:r>
          </w:p>
        </w:tc>
        <w:tc>
          <w:tcPr>
            <w:tcW w:w="759" w:type="pct"/>
            <w:tcBorders>
              <w:top w:val="nil"/>
              <w:bottom w:val="single" w:sz="4" w:space="0" w:color="auto"/>
            </w:tcBorders>
            <w:vAlign w:val="center"/>
          </w:tcPr>
          <w:p w:rsidR="005B23D9" w:rsidRPr="00FB7A6E" w:rsidRDefault="005B23D9" w:rsidP="005B23D9">
            <w:pPr>
              <w:jc w:val="center"/>
              <w:rPr>
                <w:rFonts w:ascii="Arial Narrow" w:hAnsi="Arial Narrow"/>
                <w:sz w:val="20"/>
                <w:szCs w:val="20"/>
              </w:rPr>
            </w:pPr>
          </w:p>
        </w:tc>
        <w:tc>
          <w:tcPr>
            <w:tcW w:w="759" w:type="pct"/>
            <w:tcBorders>
              <w:top w:val="nil"/>
              <w:bottom w:val="single" w:sz="4" w:space="0" w:color="auto"/>
            </w:tcBorders>
            <w:vAlign w:val="center"/>
          </w:tcPr>
          <w:p w:rsidR="005B23D9" w:rsidRPr="00FB7A6E" w:rsidRDefault="005B23D9" w:rsidP="005B23D9">
            <w:pPr>
              <w:jc w:val="center"/>
              <w:rPr>
                <w:rFonts w:ascii="Arial Narrow" w:hAnsi="Arial Narrow"/>
                <w:bCs/>
                <w:sz w:val="20"/>
                <w:szCs w:val="20"/>
              </w:rPr>
            </w:pPr>
            <w:r w:rsidRPr="00FB7A6E">
              <w:rPr>
                <w:rFonts w:ascii="Arial Narrow" w:hAnsi="Arial Narrow"/>
                <w:bCs/>
                <w:sz w:val="20"/>
                <w:szCs w:val="20"/>
              </w:rPr>
              <w:t>0.01 (-0.07,0.09)</w:t>
            </w:r>
          </w:p>
        </w:tc>
      </w:tr>
    </w:tbl>
    <w:p w:rsidR="000F1E13" w:rsidRDefault="000F1E13" w:rsidP="000F1E13">
      <w:pPr>
        <w:pStyle w:val="TableFigureFooter"/>
        <w:spacing w:after="0"/>
      </w:pPr>
      <w:r>
        <w:t>Bold text indicates statistical significance at p&lt;0.05</w:t>
      </w:r>
    </w:p>
    <w:p w:rsidR="00702518" w:rsidRPr="00FB7A6E" w:rsidRDefault="00702518" w:rsidP="00702518">
      <w:pPr>
        <w:pStyle w:val="TableFigureFooter"/>
        <w:spacing w:after="0"/>
      </w:pPr>
      <w:r w:rsidRPr="00FB7A6E">
        <w:t xml:space="preserve">Abbreviations: AQLQ=asthma quality of life questionnaire; </w:t>
      </w:r>
      <w:r w:rsidR="009326C0" w:rsidRPr="00FB7A6E">
        <w:t xml:space="preserve">FEV1=forced expiratory volume in one second; </w:t>
      </w:r>
      <w:r w:rsidRPr="00FB7A6E">
        <w:t xml:space="preserve">FP=fluticasone propionate; GLY=glycopyrronium; IND=indacaterol; MF=mometasone furoate; </w:t>
      </w:r>
      <w:r w:rsidR="009326C0" w:rsidRPr="00FB7A6E">
        <w:t xml:space="preserve">PEF=peak expiratory flow; </w:t>
      </w:r>
      <w:r w:rsidRPr="00FB7A6E">
        <w:t>SAL=salmeterol; TIO=tiotropium; wk=week; D=once daily; BD=twice daily;</w:t>
      </w:r>
    </w:p>
    <w:p w:rsidR="00702518" w:rsidRPr="00FB7A6E" w:rsidRDefault="00702518" w:rsidP="00702518">
      <w:pPr>
        <w:pStyle w:val="TableFigureFooter"/>
        <w:tabs>
          <w:tab w:val="left" w:pos="142"/>
        </w:tabs>
        <w:spacing w:after="0"/>
      </w:pPr>
      <w:r w:rsidRPr="00FB7A6E">
        <w:t>^</w:t>
      </w:r>
      <w:r w:rsidRPr="00FB7A6E">
        <w:tab/>
      </w:r>
      <w:r w:rsidR="00A273E9" w:rsidRPr="00FB7A6E">
        <w:t>LS mean treatment difference of the change from baseline in AQLQ at Week 24 (adjusted one-sided p-value) is</w:t>
      </w:r>
      <w:r w:rsidR="008668C2">
        <w:t xml:space="preserve"> the primary outcome in Argon. </w:t>
      </w:r>
      <w:r w:rsidR="00A273E9" w:rsidRPr="00FB7A6E">
        <w:t>The two-sided test of the between-treatment comparison (as presented in the table) is a secondary outcome</w:t>
      </w:r>
    </w:p>
    <w:p w:rsidR="00702518" w:rsidRPr="00FB7A6E" w:rsidRDefault="00702518" w:rsidP="00702518">
      <w:pPr>
        <w:pStyle w:val="TableFigureFooter"/>
        <w:tabs>
          <w:tab w:val="left" w:pos="142"/>
        </w:tabs>
        <w:spacing w:after="0"/>
      </w:pPr>
      <w:r w:rsidRPr="00FB7A6E">
        <w:t>#</w:t>
      </w:r>
      <w:r w:rsidRPr="00FB7A6E">
        <w:tab/>
        <w:t>Change from baseline in trough FEV1 is the primary outcome in Iridium</w:t>
      </w:r>
    </w:p>
    <w:p w:rsidR="00702518" w:rsidRPr="00FB7A6E" w:rsidRDefault="009411E6" w:rsidP="003110A1">
      <w:pPr>
        <w:spacing w:after="120"/>
        <w:rPr>
          <w:rFonts w:ascii="Arial Narrow" w:hAnsi="Arial Narrow"/>
          <w:sz w:val="18"/>
          <w:szCs w:val="18"/>
        </w:rPr>
      </w:pPr>
      <w:r>
        <w:rPr>
          <w:rFonts w:ascii="Arial Narrow" w:hAnsi="Arial Narrow"/>
          <w:sz w:val="18"/>
          <w:szCs w:val="18"/>
        </w:rPr>
        <w:t>Source: Tables 2.21, 2.</w:t>
      </w:r>
      <w:r w:rsidR="00702518" w:rsidRPr="00FB7A6E">
        <w:rPr>
          <w:rFonts w:ascii="Arial Narrow" w:hAnsi="Arial Narrow"/>
          <w:sz w:val="18"/>
          <w:szCs w:val="18"/>
        </w:rPr>
        <w:t>22 and 2.25, pp69-74, Table 2.28, p77 and Table 2.35, p82 of the submission and Attachments 11 and 14 of the submission</w:t>
      </w:r>
    </w:p>
    <w:p w:rsidR="00702518" w:rsidRPr="00FB7A6E" w:rsidRDefault="00702518" w:rsidP="00702518">
      <w:pPr>
        <w:pStyle w:val="3-BodyText"/>
      </w:pPr>
      <w:r w:rsidRPr="00FB7A6E">
        <w:t xml:space="preserve">Table </w:t>
      </w:r>
      <w:r w:rsidR="00363F3A" w:rsidRPr="00FB7A6E">
        <w:t xml:space="preserve">6 </w:t>
      </w:r>
      <w:r w:rsidRPr="00FB7A6E">
        <w:t>compares the incremental benefit of triple therapy ICS/LABA/LABA with dual therapy ICS/LABA in terms of FEV1 and ACQ-7 reported in Iridium (MF/IND/GLY vs MF/IND), Captain (FF/VI/UMEC vs FF/VI) and Kerstjens</w:t>
      </w:r>
      <w:r w:rsidR="00C564FF" w:rsidRPr="00FB7A6E">
        <w:t xml:space="preserve"> et al</w:t>
      </w:r>
      <w:r w:rsidRPr="00FB7A6E">
        <w:t xml:space="preserve"> 2012 (ICS/LABA+TIO vs ICS/LABA).</w:t>
      </w:r>
    </w:p>
    <w:p w:rsidR="00702518" w:rsidRPr="00FB7A6E" w:rsidRDefault="00702518" w:rsidP="002C18A8">
      <w:pPr>
        <w:keepNext/>
        <w:rPr>
          <w:rFonts w:ascii="Arial Narrow" w:hAnsi="Arial Narrow"/>
          <w:b/>
          <w:sz w:val="20"/>
          <w:szCs w:val="20"/>
        </w:rPr>
      </w:pPr>
      <w:r w:rsidRPr="00FB7A6E">
        <w:rPr>
          <w:rFonts w:ascii="Arial Narrow" w:hAnsi="Arial Narrow"/>
          <w:b/>
          <w:sz w:val="20"/>
          <w:szCs w:val="20"/>
        </w:rPr>
        <w:lastRenderedPageBreak/>
        <w:t xml:space="preserve">Table </w:t>
      </w:r>
      <w:r w:rsidR="00363F3A" w:rsidRPr="00FB7A6E">
        <w:rPr>
          <w:rFonts w:ascii="Arial Narrow" w:hAnsi="Arial Narrow"/>
          <w:b/>
          <w:sz w:val="20"/>
          <w:szCs w:val="20"/>
        </w:rPr>
        <w:t>6</w:t>
      </w:r>
      <w:r w:rsidRPr="00FB7A6E">
        <w:rPr>
          <w:rFonts w:ascii="Arial Narrow" w:hAnsi="Arial Narrow"/>
          <w:b/>
          <w:sz w:val="20"/>
          <w:szCs w:val="20"/>
        </w:rPr>
        <w:t>: Mean change from baseline in trough FEV1 (L) and ACQ-7, in trials comparing ICS/LABA/LAMA vs ICS/LABA</w:t>
      </w:r>
    </w:p>
    <w:tbl>
      <w:tblPr>
        <w:tblStyle w:val="TableGrid"/>
        <w:tblW w:w="0" w:type="auto"/>
        <w:tblLayout w:type="fixed"/>
        <w:tblCellMar>
          <w:left w:w="28" w:type="dxa"/>
          <w:right w:w="28" w:type="dxa"/>
        </w:tblCellMar>
        <w:tblLook w:val="04A0" w:firstRow="1" w:lastRow="0" w:firstColumn="1" w:lastColumn="0" w:noHBand="0" w:noVBand="1"/>
        <w:tblCaption w:val="Table 6: Mean change from baseline in trough FEV1 (L) and ACQ-7, in trials comparing ICS/LABA/LAMA vs ICS/LABA"/>
      </w:tblPr>
      <w:tblGrid>
        <w:gridCol w:w="5240"/>
        <w:gridCol w:w="1276"/>
        <w:gridCol w:w="992"/>
        <w:gridCol w:w="1446"/>
      </w:tblGrid>
      <w:tr w:rsidR="00702518" w:rsidRPr="00FB7A6E" w:rsidTr="00F352F3">
        <w:trPr>
          <w:tblHeader/>
        </w:trPr>
        <w:tc>
          <w:tcPr>
            <w:tcW w:w="5240" w:type="dxa"/>
            <w:tcBorders>
              <w:bottom w:val="single" w:sz="4" w:space="0" w:color="auto"/>
            </w:tcBorders>
            <w:vAlign w:val="center"/>
          </w:tcPr>
          <w:p w:rsidR="00702518" w:rsidRPr="00FB7A6E" w:rsidRDefault="00702518" w:rsidP="002C18A8">
            <w:pPr>
              <w:keepNext/>
              <w:jc w:val="left"/>
              <w:rPr>
                <w:rFonts w:ascii="Arial Narrow" w:hAnsi="Arial Narrow"/>
                <w:b/>
                <w:sz w:val="20"/>
                <w:szCs w:val="20"/>
              </w:rPr>
            </w:pPr>
          </w:p>
        </w:tc>
        <w:tc>
          <w:tcPr>
            <w:tcW w:w="1276" w:type="dxa"/>
            <w:tcBorders>
              <w:bottom w:val="single" w:sz="4" w:space="0" w:color="auto"/>
            </w:tcBorders>
            <w:vAlign w:val="center"/>
          </w:tcPr>
          <w:p w:rsidR="001C2075" w:rsidRDefault="00702518" w:rsidP="002C18A8">
            <w:pPr>
              <w:keepNext/>
              <w:jc w:val="center"/>
              <w:rPr>
                <w:rFonts w:ascii="Arial Narrow" w:hAnsi="Arial Narrow"/>
                <w:b/>
                <w:sz w:val="20"/>
                <w:szCs w:val="20"/>
              </w:rPr>
            </w:pPr>
            <w:r w:rsidRPr="00FB7A6E">
              <w:rPr>
                <w:rFonts w:ascii="Arial Narrow" w:hAnsi="Arial Narrow"/>
                <w:b/>
                <w:sz w:val="20"/>
                <w:szCs w:val="20"/>
              </w:rPr>
              <w:t>ICS/LABA/</w:t>
            </w:r>
          </w:p>
          <w:p w:rsidR="00702518" w:rsidRPr="00FB7A6E" w:rsidRDefault="00702518" w:rsidP="002C18A8">
            <w:pPr>
              <w:keepNext/>
              <w:jc w:val="center"/>
              <w:rPr>
                <w:rFonts w:ascii="Arial Narrow" w:hAnsi="Arial Narrow"/>
                <w:b/>
                <w:sz w:val="20"/>
                <w:szCs w:val="20"/>
              </w:rPr>
            </w:pPr>
            <w:r w:rsidRPr="00FB7A6E">
              <w:rPr>
                <w:rFonts w:ascii="Arial Narrow" w:hAnsi="Arial Narrow"/>
                <w:b/>
                <w:sz w:val="20"/>
                <w:szCs w:val="20"/>
              </w:rPr>
              <w:t>LAMA</w:t>
            </w:r>
          </w:p>
        </w:tc>
        <w:tc>
          <w:tcPr>
            <w:tcW w:w="992" w:type="dxa"/>
            <w:tcBorders>
              <w:bottom w:val="single" w:sz="4" w:space="0" w:color="auto"/>
            </w:tcBorders>
            <w:vAlign w:val="center"/>
          </w:tcPr>
          <w:p w:rsidR="00702518" w:rsidRPr="00FB7A6E" w:rsidRDefault="00702518" w:rsidP="002C18A8">
            <w:pPr>
              <w:keepNext/>
              <w:jc w:val="center"/>
              <w:rPr>
                <w:rFonts w:ascii="Arial Narrow" w:hAnsi="Arial Narrow"/>
                <w:b/>
                <w:sz w:val="20"/>
                <w:szCs w:val="20"/>
              </w:rPr>
            </w:pPr>
            <w:r w:rsidRPr="00FB7A6E">
              <w:rPr>
                <w:rFonts w:ascii="Arial Narrow" w:hAnsi="Arial Narrow"/>
                <w:b/>
                <w:sz w:val="20"/>
                <w:szCs w:val="20"/>
              </w:rPr>
              <w:t>ICS/LABA</w:t>
            </w:r>
          </w:p>
        </w:tc>
        <w:tc>
          <w:tcPr>
            <w:tcW w:w="1446" w:type="dxa"/>
            <w:tcBorders>
              <w:bottom w:val="single" w:sz="4" w:space="0" w:color="auto"/>
            </w:tcBorders>
            <w:vAlign w:val="center"/>
          </w:tcPr>
          <w:p w:rsidR="00702518" w:rsidRPr="00FB7A6E" w:rsidRDefault="00702518" w:rsidP="002C18A8">
            <w:pPr>
              <w:keepNext/>
              <w:jc w:val="center"/>
              <w:rPr>
                <w:rFonts w:ascii="Arial Narrow" w:hAnsi="Arial Narrow"/>
                <w:sz w:val="20"/>
                <w:szCs w:val="20"/>
              </w:rPr>
            </w:pPr>
            <w:r w:rsidRPr="00FB7A6E">
              <w:rPr>
                <w:rFonts w:ascii="Arial Narrow" w:hAnsi="Arial Narrow"/>
                <w:b/>
                <w:sz w:val="20"/>
                <w:szCs w:val="20"/>
              </w:rPr>
              <w:t>Mean diff. (95%CI)</w:t>
            </w:r>
          </w:p>
        </w:tc>
      </w:tr>
      <w:tr w:rsidR="00702518" w:rsidRPr="00FB7A6E" w:rsidTr="004431CF">
        <w:tc>
          <w:tcPr>
            <w:tcW w:w="8954" w:type="dxa"/>
            <w:gridSpan w:val="4"/>
            <w:tcBorders>
              <w:bottom w:val="nil"/>
            </w:tcBorders>
            <w:vAlign w:val="center"/>
          </w:tcPr>
          <w:p w:rsidR="00702518" w:rsidRPr="00FB7A6E" w:rsidRDefault="00702518" w:rsidP="002C18A8">
            <w:pPr>
              <w:keepNext/>
              <w:jc w:val="left"/>
              <w:rPr>
                <w:rFonts w:ascii="Arial Narrow" w:hAnsi="Arial Narrow"/>
                <w:sz w:val="20"/>
                <w:szCs w:val="20"/>
              </w:rPr>
            </w:pPr>
            <w:r w:rsidRPr="00FB7A6E">
              <w:rPr>
                <w:rFonts w:ascii="Arial Narrow" w:hAnsi="Arial Narrow"/>
                <w:b/>
                <w:sz w:val="20"/>
                <w:szCs w:val="20"/>
              </w:rPr>
              <w:t>Trough FEV1 (L)</w:t>
            </w:r>
          </w:p>
        </w:tc>
      </w:tr>
      <w:tr w:rsidR="00702518" w:rsidRPr="00DB6C89" w:rsidTr="001C2075">
        <w:tc>
          <w:tcPr>
            <w:tcW w:w="5240" w:type="dxa"/>
            <w:tcBorders>
              <w:bottom w:val="nil"/>
            </w:tcBorders>
          </w:tcPr>
          <w:p w:rsidR="00702518" w:rsidRPr="00DB6C89" w:rsidRDefault="00702518" w:rsidP="002C18A8">
            <w:pPr>
              <w:keepNext/>
              <w:rPr>
                <w:rFonts w:ascii="Arial Narrow" w:hAnsi="Arial Narrow"/>
                <w:sz w:val="20"/>
                <w:szCs w:val="20"/>
              </w:rPr>
            </w:pPr>
            <w:r w:rsidRPr="00DB6C89">
              <w:rPr>
                <w:rFonts w:ascii="Arial Narrow" w:hAnsi="Arial Narrow"/>
                <w:sz w:val="20"/>
                <w:szCs w:val="20"/>
              </w:rPr>
              <w:t>Med/high# dose ICS/LABA/LAMA vs med/high# dose ICS/LABA</w:t>
            </w:r>
          </w:p>
        </w:tc>
        <w:tc>
          <w:tcPr>
            <w:tcW w:w="1276" w:type="dxa"/>
            <w:tcBorders>
              <w:bottom w:val="nil"/>
            </w:tcBorders>
            <w:vAlign w:val="center"/>
          </w:tcPr>
          <w:p w:rsidR="00702518" w:rsidRPr="00DB6C89" w:rsidRDefault="00702518" w:rsidP="002C18A8">
            <w:pPr>
              <w:keepNext/>
              <w:jc w:val="center"/>
              <w:rPr>
                <w:rFonts w:ascii="Arial Narrow" w:hAnsi="Arial Narrow"/>
                <w:iCs/>
                <w:sz w:val="20"/>
                <w:szCs w:val="20"/>
              </w:rPr>
            </w:pPr>
          </w:p>
        </w:tc>
        <w:tc>
          <w:tcPr>
            <w:tcW w:w="992" w:type="dxa"/>
            <w:tcBorders>
              <w:bottom w:val="nil"/>
            </w:tcBorders>
            <w:vAlign w:val="center"/>
          </w:tcPr>
          <w:p w:rsidR="00702518" w:rsidRPr="00DB6C89" w:rsidRDefault="00702518" w:rsidP="002C18A8">
            <w:pPr>
              <w:keepNext/>
              <w:jc w:val="center"/>
              <w:rPr>
                <w:rFonts w:ascii="Arial Narrow" w:hAnsi="Arial Narrow"/>
                <w:iCs/>
                <w:sz w:val="20"/>
                <w:szCs w:val="20"/>
              </w:rPr>
            </w:pPr>
          </w:p>
        </w:tc>
        <w:tc>
          <w:tcPr>
            <w:tcW w:w="1446" w:type="dxa"/>
            <w:tcBorders>
              <w:bottom w:val="nil"/>
            </w:tcBorders>
            <w:vAlign w:val="center"/>
          </w:tcPr>
          <w:p w:rsidR="00702518" w:rsidRPr="00DB6C89" w:rsidRDefault="00702518" w:rsidP="002C18A8">
            <w:pPr>
              <w:keepNext/>
              <w:jc w:val="center"/>
              <w:rPr>
                <w:rFonts w:ascii="Arial Narrow" w:hAnsi="Arial Narrow"/>
                <w:iCs/>
                <w:sz w:val="20"/>
                <w:szCs w:val="20"/>
              </w:rPr>
            </w:pPr>
          </w:p>
        </w:tc>
      </w:tr>
      <w:tr w:rsidR="00702518" w:rsidRPr="00FB7A6E" w:rsidTr="001C2075">
        <w:tc>
          <w:tcPr>
            <w:tcW w:w="5240" w:type="dxa"/>
            <w:tcBorders>
              <w:top w:val="nil"/>
              <w:bottom w:val="nil"/>
            </w:tcBorders>
            <w:vAlign w:val="center"/>
          </w:tcPr>
          <w:p w:rsidR="00702518" w:rsidRPr="001C2075" w:rsidRDefault="00702518" w:rsidP="002C18A8">
            <w:pPr>
              <w:keepNext/>
              <w:ind w:left="112"/>
              <w:jc w:val="left"/>
              <w:rPr>
                <w:rFonts w:ascii="Arial Narrow" w:hAnsi="Arial Narrow"/>
                <w:iCs/>
                <w:sz w:val="20"/>
                <w:szCs w:val="20"/>
                <w:vertAlign w:val="superscript"/>
              </w:rPr>
            </w:pPr>
            <w:r w:rsidRPr="001C2075">
              <w:rPr>
                <w:rFonts w:ascii="Arial Narrow" w:hAnsi="Arial Narrow"/>
                <w:iCs/>
                <w:sz w:val="20"/>
                <w:szCs w:val="20"/>
              </w:rPr>
              <w:t>ICS/LABA# + TIO 5 D vs ICS/LABA#; Kerstjens 2012 Wk24, Trial 1</w:t>
            </w:r>
            <w:r w:rsidR="001C2075" w:rsidRPr="001C2075">
              <w:rPr>
                <w:rFonts w:ascii="Arial Narrow" w:hAnsi="Arial Narrow"/>
                <w:iCs/>
                <w:sz w:val="20"/>
                <w:szCs w:val="20"/>
                <w:vertAlign w:val="superscript"/>
              </w:rPr>
              <w:t>a</w:t>
            </w:r>
          </w:p>
        </w:tc>
        <w:tc>
          <w:tcPr>
            <w:tcW w:w="1276" w:type="dxa"/>
            <w:tcBorders>
              <w:top w:val="nil"/>
              <w:bottom w:val="nil"/>
            </w:tcBorders>
            <w:vAlign w:val="center"/>
          </w:tcPr>
          <w:p w:rsidR="00702518" w:rsidRPr="001C2075" w:rsidRDefault="00702518" w:rsidP="002C18A8">
            <w:pPr>
              <w:keepNext/>
              <w:jc w:val="center"/>
              <w:rPr>
                <w:rFonts w:ascii="Arial Narrow" w:hAnsi="Arial Narrow"/>
                <w:iCs/>
                <w:sz w:val="20"/>
                <w:szCs w:val="20"/>
              </w:rPr>
            </w:pPr>
            <w:r w:rsidRPr="001C2075">
              <w:rPr>
                <w:rFonts w:ascii="Arial Narrow" w:hAnsi="Arial Narrow"/>
                <w:iCs/>
                <w:sz w:val="20"/>
                <w:szCs w:val="20"/>
              </w:rPr>
              <w:t>0.14 (0.02)</w:t>
            </w:r>
          </w:p>
        </w:tc>
        <w:tc>
          <w:tcPr>
            <w:tcW w:w="992" w:type="dxa"/>
            <w:tcBorders>
              <w:top w:val="nil"/>
              <w:bottom w:val="nil"/>
            </w:tcBorders>
            <w:vAlign w:val="center"/>
          </w:tcPr>
          <w:p w:rsidR="00702518" w:rsidRPr="001C2075" w:rsidRDefault="00702518" w:rsidP="002C18A8">
            <w:pPr>
              <w:keepNext/>
              <w:jc w:val="center"/>
              <w:rPr>
                <w:rFonts w:ascii="Arial Narrow" w:hAnsi="Arial Narrow"/>
                <w:iCs/>
                <w:sz w:val="20"/>
                <w:szCs w:val="20"/>
              </w:rPr>
            </w:pPr>
            <w:r w:rsidRPr="001C2075">
              <w:rPr>
                <w:rFonts w:ascii="Arial Narrow" w:hAnsi="Arial Narrow"/>
                <w:iCs/>
                <w:sz w:val="20"/>
                <w:szCs w:val="20"/>
              </w:rPr>
              <w:t>0.06 (0.03)</w:t>
            </w:r>
          </w:p>
        </w:tc>
        <w:tc>
          <w:tcPr>
            <w:tcW w:w="1446" w:type="dxa"/>
            <w:tcBorders>
              <w:top w:val="nil"/>
              <w:bottom w:val="nil"/>
            </w:tcBorders>
            <w:vAlign w:val="center"/>
          </w:tcPr>
          <w:p w:rsidR="00702518" w:rsidRPr="001C2075" w:rsidRDefault="00702518" w:rsidP="002C18A8">
            <w:pPr>
              <w:keepNext/>
              <w:jc w:val="center"/>
              <w:rPr>
                <w:rFonts w:ascii="Arial Narrow" w:hAnsi="Arial Narrow"/>
                <w:b/>
                <w:iCs/>
                <w:sz w:val="20"/>
                <w:szCs w:val="20"/>
              </w:rPr>
            </w:pPr>
            <w:r w:rsidRPr="001C2075">
              <w:rPr>
                <w:rFonts w:ascii="Arial Narrow" w:hAnsi="Arial Narrow"/>
                <w:b/>
                <w:iCs/>
                <w:sz w:val="20"/>
                <w:szCs w:val="20"/>
              </w:rPr>
              <w:t>0.09 (0.03,0.15)</w:t>
            </w:r>
          </w:p>
        </w:tc>
      </w:tr>
      <w:tr w:rsidR="00702518" w:rsidRPr="00FB7A6E" w:rsidTr="001C2075">
        <w:tc>
          <w:tcPr>
            <w:tcW w:w="5240" w:type="dxa"/>
            <w:tcBorders>
              <w:top w:val="nil"/>
              <w:bottom w:val="single" w:sz="4" w:space="0" w:color="auto"/>
            </w:tcBorders>
            <w:vAlign w:val="center"/>
          </w:tcPr>
          <w:p w:rsidR="00702518" w:rsidRPr="001C2075" w:rsidRDefault="00702518" w:rsidP="002C18A8">
            <w:pPr>
              <w:keepNext/>
              <w:ind w:left="112"/>
              <w:jc w:val="left"/>
              <w:rPr>
                <w:rFonts w:ascii="Arial Narrow" w:hAnsi="Arial Narrow"/>
                <w:iCs/>
                <w:sz w:val="20"/>
                <w:szCs w:val="20"/>
                <w:vertAlign w:val="superscript"/>
              </w:rPr>
            </w:pPr>
            <w:r w:rsidRPr="001C2075">
              <w:rPr>
                <w:rFonts w:ascii="Arial Narrow" w:hAnsi="Arial Narrow"/>
                <w:iCs/>
                <w:sz w:val="20"/>
                <w:szCs w:val="20"/>
              </w:rPr>
              <w:t>ICS/LABA# + TIO 5 D vs ICS/LABA#; Kerstjens 2012 Wk24, Trial 2</w:t>
            </w:r>
            <w:r w:rsidR="001C2075" w:rsidRPr="001C2075">
              <w:rPr>
                <w:rFonts w:ascii="Arial Narrow" w:hAnsi="Arial Narrow"/>
                <w:iCs/>
                <w:sz w:val="20"/>
                <w:szCs w:val="20"/>
                <w:vertAlign w:val="superscript"/>
              </w:rPr>
              <w:t>a</w:t>
            </w:r>
          </w:p>
        </w:tc>
        <w:tc>
          <w:tcPr>
            <w:tcW w:w="1276" w:type="dxa"/>
            <w:tcBorders>
              <w:top w:val="nil"/>
              <w:bottom w:val="single" w:sz="4" w:space="0" w:color="auto"/>
            </w:tcBorders>
            <w:vAlign w:val="center"/>
          </w:tcPr>
          <w:p w:rsidR="00702518" w:rsidRPr="001C2075" w:rsidRDefault="00702518" w:rsidP="002C18A8">
            <w:pPr>
              <w:keepNext/>
              <w:jc w:val="center"/>
              <w:rPr>
                <w:rFonts w:ascii="Arial Narrow" w:hAnsi="Arial Narrow"/>
                <w:iCs/>
                <w:sz w:val="20"/>
                <w:szCs w:val="20"/>
              </w:rPr>
            </w:pPr>
            <w:r w:rsidRPr="001C2075">
              <w:rPr>
                <w:rFonts w:ascii="Arial Narrow" w:hAnsi="Arial Narrow"/>
                <w:iCs/>
                <w:sz w:val="20"/>
                <w:szCs w:val="20"/>
              </w:rPr>
              <w:t>0.16 (0.02)</w:t>
            </w:r>
          </w:p>
        </w:tc>
        <w:tc>
          <w:tcPr>
            <w:tcW w:w="992" w:type="dxa"/>
            <w:tcBorders>
              <w:top w:val="nil"/>
              <w:bottom w:val="single" w:sz="4" w:space="0" w:color="auto"/>
            </w:tcBorders>
            <w:vAlign w:val="center"/>
          </w:tcPr>
          <w:p w:rsidR="00702518" w:rsidRPr="001C2075" w:rsidRDefault="00702518" w:rsidP="002C18A8">
            <w:pPr>
              <w:keepNext/>
              <w:jc w:val="center"/>
              <w:rPr>
                <w:rFonts w:ascii="Arial Narrow" w:hAnsi="Arial Narrow"/>
                <w:iCs/>
                <w:sz w:val="20"/>
                <w:szCs w:val="20"/>
              </w:rPr>
            </w:pPr>
            <w:r w:rsidRPr="001C2075">
              <w:rPr>
                <w:rFonts w:ascii="Arial Narrow" w:hAnsi="Arial Narrow"/>
                <w:iCs/>
                <w:sz w:val="20"/>
                <w:szCs w:val="20"/>
              </w:rPr>
              <w:t>0.04 (0.02)</w:t>
            </w:r>
          </w:p>
        </w:tc>
        <w:tc>
          <w:tcPr>
            <w:tcW w:w="1446" w:type="dxa"/>
            <w:tcBorders>
              <w:top w:val="nil"/>
              <w:bottom w:val="single" w:sz="4" w:space="0" w:color="auto"/>
            </w:tcBorders>
            <w:vAlign w:val="center"/>
          </w:tcPr>
          <w:p w:rsidR="00702518" w:rsidRPr="001C2075" w:rsidRDefault="00702518" w:rsidP="002C18A8">
            <w:pPr>
              <w:keepNext/>
              <w:jc w:val="center"/>
              <w:rPr>
                <w:rFonts w:ascii="Arial Narrow" w:hAnsi="Arial Narrow"/>
                <w:b/>
                <w:iCs/>
                <w:sz w:val="20"/>
                <w:szCs w:val="20"/>
              </w:rPr>
            </w:pPr>
            <w:r w:rsidRPr="001C2075">
              <w:rPr>
                <w:rFonts w:ascii="Arial Narrow" w:hAnsi="Arial Narrow"/>
                <w:b/>
                <w:iCs/>
                <w:sz w:val="20"/>
                <w:szCs w:val="20"/>
              </w:rPr>
              <w:t>0.11 (0.05,0.17)</w:t>
            </w:r>
          </w:p>
        </w:tc>
      </w:tr>
      <w:tr w:rsidR="00702518" w:rsidRPr="00FB7A6E" w:rsidTr="001C2075">
        <w:tc>
          <w:tcPr>
            <w:tcW w:w="5240" w:type="dxa"/>
            <w:tcBorders>
              <w:top w:val="single" w:sz="4" w:space="0" w:color="auto"/>
              <w:bottom w:val="nil"/>
            </w:tcBorders>
          </w:tcPr>
          <w:p w:rsidR="00702518" w:rsidRPr="001C2075" w:rsidRDefault="00702518" w:rsidP="002C18A8">
            <w:pPr>
              <w:keepNext/>
              <w:rPr>
                <w:rFonts w:ascii="Arial Narrow" w:hAnsi="Arial Narrow"/>
                <w:sz w:val="20"/>
                <w:szCs w:val="20"/>
              </w:rPr>
            </w:pPr>
            <w:r w:rsidRPr="001C2075">
              <w:rPr>
                <w:rFonts w:ascii="Arial Narrow" w:hAnsi="Arial Narrow"/>
                <w:sz w:val="20"/>
                <w:szCs w:val="20"/>
              </w:rPr>
              <w:t>Medium dose ICS/LABA/LAMA vs medium dose ICS/LABA</w:t>
            </w:r>
          </w:p>
        </w:tc>
        <w:tc>
          <w:tcPr>
            <w:tcW w:w="1276" w:type="dxa"/>
            <w:tcBorders>
              <w:top w:val="single" w:sz="4" w:space="0" w:color="auto"/>
              <w:bottom w:val="nil"/>
            </w:tcBorders>
            <w:vAlign w:val="center"/>
          </w:tcPr>
          <w:p w:rsidR="00702518" w:rsidRPr="001C2075" w:rsidRDefault="00702518" w:rsidP="002C18A8">
            <w:pPr>
              <w:keepNext/>
              <w:jc w:val="center"/>
              <w:rPr>
                <w:rFonts w:ascii="Arial Narrow" w:hAnsi="Arial Narrow"/>
                <w:sz w:val="20"/>
                <w:szCs w:val="20"/>
              </w:rPr>
            </w:pPr>
          </w:p>
        </w:tc>
        <w:tc>
          <w:tcPr>
            <w:tcW w:w="992" w:type="dxa"/>
            <w:tcBorders>
              <w:top w:val="single" w:sz="4" w:space="0" w:color="auto"/>
              <w:bottom w:val="nil"/>
            </w:tcBorders>
            <w:vAlign w:val="center"/>
          </w:tcPr>
          <w:p w:rsidR="00702518" w:rsidRPr="001C2075" w:rsidRDefault="00702518" w:rsidP="002C18A8">
            <w:pPr>
              <w:keepNext/>
              <w:jc w:val="center"/>
              <w:rPr>
                <w:rFonts w:ascii="Arial Narrow" w:hAnsi="Arial Narrow"/>
                <w:sz w:val="20"/>
                <w:szCs w:val="20"/>
              </w:rPr>
            </w:pPr>
          </w:p>
        </w:tc>
        <w:tc>
          <w:tcPr>
            <w:tcW w:w="1446" w:type="dxa"/>
            <w:tcBorders>
              <w:top w:val="single" w:sz="4" w:space="0" w:color="auto"/>
              <w:bottom w:val="nil"/>
            </w:tcBorders>
            <w:vAlign w:val="center"/>
          </w:tcPr>
          <w:p w:rsidR="00702518" w:rsidRPr="001C2075" w:rsidRDefault="00702518" w:rsidP="002C18A8">
            <w:pPr>
              <w:keepNext/>
              <w:jc w:val="center"/>
              <w:rPr>
                <w:rFonts w:ascii="Arial Narrow" w:hAnsi="Arial Narrow"/>
                <w:sz w:val="20"/>
                <w:szCs w:val="20"/>
              </w:rPr>
            </w:pPr>
          </w:p>
        </w:tc>
      </w:tr>
      <w:tr w:rsidR="00702518" w:rsidRPr="00FB7A6E" w:rsidTr="001C2075">
        <w:tc>
          <w:tcPr>
            <w:tcW w:w="5240" w:type="dxa"/>
            <w:tcBorders>
              <w:top w:val="nil"/>
              <w:bottom w:val="nil"/>
            </w:tcBorders>
            <w:vAlign w:val="center"/>
          </w:tcPr>
          <w:p w:rsidR="00702518" w:rsidRPr="001C2075" w:rsidRDefault="00702518" w:rsidP="002C18A8">
            <w:pPr>
              <w:keepNext/>
              <w:ind w:left="112"/>
              <w:jc w:val="left"/>
              <w:rPr>
                <w:rFonts w:ascii="Arial Narrow" w:hAnsi="Arial Narrow"/>
                <w:sz w:val="20"/>
                <w:szCs w:val="20"/>
              </w:rPr>
            </w:pPr>
            <w:r w:rsidRPr="001C2075">
              <w:rPr>
                <w:rFonts w:ascii="Arial Narrow" w:hAnsi="Arial Narrow"/>
                <w:sz w:val="20"/>
                <w:szCs w:val="20"/>
              </w:rPr>
              <w:t>MF/IND/GLY 80/150/50 D vs MF/IND 160/150 D; Iridium Wk26</w:t>
            </w:r>
          </w:p>
        </w:tc>
        <w:tc>
          <w:tcPr>
            <w:tcW w:w="1276" w:type="dxa"/>
            <w:tcBorders>
              <w:top w:val="nil"/>
              <w:bottom w:val="nil"/>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0.30 (0.01)</w:t>
            </w:r>
          </w:p>
        </w:tc>
        <w:tc>
          <w:tcPr>
            <w:tcW w:w="992" w:type="dxa"/>
            <w:tcBorders>
              <w:top w:val="nil"/>
              <w:bottom w:val="nil"/>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0.22 (0.01)</w:t>
            </w:r>
          </w:p>
        </w:tc>
        <w:tc>
          <w:tcPr>
            <w:tcW w:w="1446" w:type="dxa"/>
            <w:tcBorders>
              <w:top w:val="nil"/>
              <w:bottom w:val="nil"/>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b/>
                <w:sz w:val="20"/>
                <w:szCs w:val="20"/>
              </w:rPr>
              <w:t>0.08 (0.04,0.11)</w:t>
            </w:r>
          </w:p>
        </w:tc>
      </w:tr>
      <w:tr w:rsidR="00702518" w:rsidRPr="00FB7A6E" w:rsidTr="001C2075">
        <w:tc>
          <w:tcPr>
            <w:tcW w:w="5240" w:type="dxa"/>
            <w:tcBorders>
              <w:top w:val="nil"/>
              <w:bottom w:val="nil"/>
            </w:tcBorders>
            <w:vAlign w:val="center"/>
          </w:tcPr>
          <w:p w:rsidR="00702518" w:rsidRPr="001C2075" w:rsidRDefault="00702518" w:rsidP="002C18A8">
            <w:pPr>
              <w:keepNext/>
              <w:ind w:left="112"/>
              <w:jc w:val="left"/>
              <w:rPr>
                <w:rFonts w:ascii="Arial Narrow" w:hAnsi="Arial Narrow"/>
                <w:sz w:val="20"/>
                <w:szCs w:val="20"/>
              </w:rPr>
            </w:pPr>
            <w:r w:rsidRPr="001C2075">
              <w:rPr>
                <w:rFonts w:ascii="Arial Narrow" w:hAnsi="Arial Narrow"/>
                <w:sz w:val="20"/>
                <w:szCs w:val="20"/>
              </w:rPr>
              <w:t>FF/VI/UMEC 100/25/31.25 D vs FF/VI 100/25 D; Captain Wk24</w:t>
            </w:r>
          </w:p>
        </w:tc>
        <w:tc>
          <w:tcPr>
            <w:tcW w:w="1276" w:type="dxa"/>
            <w:tcBorders>
              <w:top w:val="nil"/>
              <w:bottom w:val="nil"/>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0.12 (0.02)</w:t>
            </w:r>
          </w:p>
        </w:tc>
        <w:tc>
          <w:tcPr>
            <w:tcW w:w="992" w:type="dxa"/>
            <w:tcBorders>
              <w:top w:val="nil"/>
              <w:bottom w:val="nil"/>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0.02 (0.02)</w:t>
            </w:r>
          </w:p>
        </w:tc>
        <w:tc>
          <w:tcPr>
            <w:tcW w:w="1446" w:type="dxa"/>
            <w:tcBorders>
              <w:top w:val="nil"/>
              <w:bottom w:val="nil"/>
            </w:tcBorders>
            <w:vAlign w:val="center"/>
          </w:tcPr>
          <w:p w:rsidR="00702518" w:rsidRPr="001C2075" w:rsidRDefault="00702518" w:rsidP="002C18A8">
            <w:pPr>
              <w:keepNext/>
              <w:jc w:val="center"/>
              <w:rPr>
                <w:rFonts w:ascii="Arial Narrow" w:hAnsi="Arial Narrow"/>
                <w:b/>
                <w:sz w:val="20"/>
                <w:szCs w:val="20"/>
              </w:rPr>
            </w:pPr>
            <w:r w:rsidRPr="001C2075">
              <w:rPr>
                <w:rFonts w:ascii="Arial Narrow" w:hAnsi="Arial Narrow"/>
                <w:b/>
                <w:sz w:val="20"/>
                <w:szCs w:val="20"/>
              </w:rPr>
              <w:t>0.10 (0.05,0.14)</w:t>
            </w:r>
          </w:p>
        </w:tc>
      </w:tr>
      <w:tr w:rsidR="00702518" w:rsidRPr="00FB7A6E" w:rsidTr="001C2075">
        <w:tc>
          <w:tcPr>
            <w:tcW w:w="5240" w:type="dxa"/>
            <w:tcBorders>
              <w:top w:val="nil"/>
            </w:tcBorders>
            <w:vAlign w:val="center"/>
          </w:tcPr>
          <w:p w:rsidR="00702518" w:rsidRPr="001C2075" w:rsidRDefault="00702518" w:rsidP="002C18A8">
            <w:pPr>
              <w:keepNext/>
              <w:ind w:left="112"/>
              <w:jc w:val="left"/>
              <w:rPr>
                <w:rFonts w:ascii="Arial Narrow" w:hAnsi="Arial Narrow"/>
                <w:sz w:val="20"/>
                <w:szCs w:val="20"/>
              </w:rPr>
            </w:pPr>
            <w:r w:rsidRPr="001C2075">
              <w:rPr>
                <w:rFonts w:ascii="Arial Narrow" w:hAnsi="Arial Narrow"/>
                <w:sz w:val="20"/>
                <w:szCs w:val="20"/>
              </w:rPr>
              <w:t>FF/VI/UMEC 100/25/62.5 D vs FF/VI 100/25 D; Captain Wk24</w:t>
            </w:r>
          </w:p>
        </w:tc>
        <w:tc>
          <w:tcPr>
            <w:tcW w:w="1276" w:type="dxa"/>
            <w:tcBorders>
              <w:top w:val="nil"/>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0.13 (0.02)</w:t>
            </w:r>
          </w:p>
        </w:tc>
        <w:tc>
          <w:tcPr>
            <w:tcW w:w="992" w:type="dxa"/>
            <w:tcBorders>
              <w:top w:val="nil"/>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0.02 (0.02)</w:t>
            </w:r>
          </w:p>
        </w:tc>
        <w:tc>
          <w:tcPr>
            <w:tcW w:w="1446" w:type="dxa"/>
            <w:tcBorders>
              <w:top w:val="nil"/>
            </w:tcBorders>
            <w:vAlign w:val="center"/>
          </w:tcPr>
          <w:p w:rsidR="00702518" w:rsidRPr="001C2075" w:rsidRDefault="00702518" w:rsidP="002C18A8">
            <w:pPr>
              <w:keepNext/>
              <w:jc w:val="center"/>
              <w:rPr>
                <w:rFonts w:ascii="Arial Narrow" w:hAnsi="Arial Narrow"/>
                <w:b/>
                <w:sz w:val="20"/>
                <w:szCs w:val="20"/>
              </w:rPr>
            </w:pPr>
            <w:r w:rsidRPr="001C2075">
              <w:rPr>
                <w:rFonts w:ascii="Arial Narrow" w:hAnsi="Arial Narrow"/>
                <w:b/>
                <w:sz w:val="20"/>
                <w:szCs w:val="20"/>
              </w:rPr>
              <w:t>0.11 (0.07,0.15)</w:t>
            </w:r>
          </w:p>
        </w:tc>
      </w:tr>
      <w:tr w:rsidR="00702518" w:rsidRPr="00FB7A6E" w:rsidTr="001C2075">
        <w:tc>
          <w:tcPr>
            <w:tcW w:w="5240" w:type="dxa"/>
            <w:tcBorders>
              <w:bottom w:val="nil"/>
            </w:tcBorders>
            <w:vAlign w:val="center"/>
          </w:tcPr>
          <w:p w:rsidR="00702518" w:rsidRPr="001C2075" w:rsidRDefault="00702518" w:rsidP="002C18A8">
            <w:pPr>
              <w:keepNext/>
              <w:jc w:val="left"/>
              <w:rPr>
                <w:rFonts w:ascii="Arial Narrow" w:hAnsi="Arial Narrow"/>
                <w:sz w:val="20"/>
                <w:szCs w:val="20"/>
              </w:rPr>
            </w:pPr>
            <w:r w:rsidRPr="001C2075">
              <w:rPr>
                <w:rFonts w:ascii="Arial Narrow" w:hAnsi="Arial Narrow"/>
                <w:sz w:val="20"/>
                <w:szCs w:val="20"/>
              </w:rPr>
              <w:t>High dose ICS/LABA/LAMA</w:t>
            </w:r>
          </w:p>
        </w:tc>
        <w:tc>
          <w:tcPr>
            <w:tcW w:w="1276" w:type="dxa"/>
            <w:tcBorders>
              <w:bottom w:val="nil"/>
            </w:tcBorders>
            <w:vAlign w:val="center"/>
          </w:tcPr>
          <w:p w:rsidR="00702518" w:rsidRPr="001C2075" w:rsidRDefault="00702518" w:rsidP="002C18A8">
            <w:pPr>
              <w:keepNext/>
              <w:jc w:val="center"/>
              <w:rPr>
                <w:rFonts w:ascii="Arial Narrow" w:hAnsi="Arial Narrow"/>
                <w:sz w:val="20"/>
                <w:szCs w:val="20"/>
              </w:rPr>
            </w:pPr>
          </w:p>
        </w:tc>
        <w:tc>
          <w:tcPr>
            <w:tcW w:w="992" w:type="dxa"/>
            <w:tcBorders>
              <w:bottom w:val="nil"/>
            </w:tcBorders>
            <w:vAlign w:val="center"/>
          </w:tcPr>
          <w:p w:rsidR="00702518" w:rsidRPr="001C2075" w:rsidRDefault="00702518" w:rsidP="002C18A8">
            <w:pPr>
              <w:keepNext/>
              <w:jc w:val="center"/>
              <w:rPr>
                <w:rFonts w:ascii="Arial Narrow" w:hAnsi="Arial Narrow"/>
                <w:sz w:val="20"/>
                <w:szCs w:val="20"/>
              </w:rPr>
            </w:pPr>
          </w:p>
        </w:tc>
        <w:tc>
          <w:tcPr>
            <w:tcW w:w="1446" w:type="dxa"/>
            <w:tcBorders>
              <w:bottom w:val="nil"/>
            </w:tcBorders>
            <w:vAlign w:val="center"/>
          </w:tcPr>
          <w:p w:rsidR="00702518" w:rsidRPr="001C2075" w:rsidRDefault="00702518" w:rsidP="002C18A8">
            <w:pPr>
              <w:keepNext/>
              <w:jc w:val="center"/>
              <w:rPr>
                <w:rFonts w:ascii="Arial Narrow" w:hAnsi="Arial Narrow"/>
                <w:sz w:val="20"/>
                <w:szCs w:val="20"/>
              </w:rPr>
            </w:pPr>
          </w:p>
        </w:tc>
      </w:tr>
      <w:tr w:rsidR="00702518" w:rsidRPr="00FB7A6E" w:rsidTr="001C2075">
        <w:tc>
          <w:tcPr>
            <w:tcW w:w="5240" w:type="dxa"/>
            <w:tcBorders>
              <w:top w:val="nil"/>
              <w:bottom w:val="nil"/>
            </w:tcBorders>
            <w:vAlign w:val="center"/>
          </w:tcPr>
          <w:p w:rsidR="00702518" w:rsidRPr="001C2075" w:rsidRDefault="00702518" w:rsidP="002C18A8">
            <w:pPr>
              <w:keepNext/>
              <w:ind w:left="112"/>
              <w:jc w:val="left"/>
              <w:rPr>
                <w:rFonts w:ascii="Arial Narrow" w:hAnsi="Arial Narrow"/>
                <w:sz w:val="20"/>
                <w:szCs w:val="20"/>
              </w:rPr>
            </w:pPr>
            <w:r w:rsidRPr="001C2075">
              <w:rPr>
                <w:rFonts w:ascii="Arial Narrow" w:hAnsi="Arial Narrow"/>
                <w:sz w:val="20"/>
                <w:szCs w:val="20"/>
              </w:rPr>
              <w:t>MF/IND/GLY 160/150/50 D vs MF/IND 320/150 D; Iridium Wk26</w:t>
            </w:r>
          </w:p>
        </w:tc>
        <w:tc>
          <w:tcPr>
            <w:tcW w:w="1276" w:type="dxa"/>
            <w:tcBorders>
              <w:top w:val="nil"/>
              <w:bottom w:val="nil"/>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0.32 (0.01)</w:t>
            </w:r>
          </w:p>
        </w:tc>
        <w:tc>
          <w:tcPr>
            <w:tcW w:w="992" w:type="dxa"/>
            <w:tcBorders>
              <w:top w:val="nil"/>
              <w:bottom w:val="nil"/>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0.26 (0.01)</w:t>
            </w:r>
          </w:p>
        </w:tc>
        <w:tc>
          <w:tcPr>
            <w:tcW w:w="1446" w:type="dxa"/>
            <w:tcBorders>
              <w:top w:val="nil"/>
              <w:bottom w:val="nil"/>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b/>
                <w:sz w:val="20"/>
                <w:szCs w:val="20"/>
              </w:rPr>
              <w:t>0.07 (0.03,0.10)</w:t>
            </w:r>
          </w:p>
        </w:tc>
      </w:tr>
      <w:tr w:rsidR="00702518" w:rsidRPr="00FB7A6E" w:rsidTr="001C2075">
        <w:tc>
          <w:tcPr>
            <w:tcW w:w="5240" w:type="dxa"/>
            <w:tcBorders>
              <w:top w:val="nil"/>
              <w:bottom w:val="nil"/>
            </w:tcBorders>
            <w:vAlign w:val="center"/>
          </w:tcPr>
          <w:p w:rsidR="00702518" w:rsidRPr="001C2075" w:rsidRDefault="00702518" w:rsidP="002C18A8">
            <w:pPr>
              <w:keepNext/>
              <w:ind w:left="112"/>
              <w:jc w:val="left"/>
              <w:rPr>
                <w:rFonts w:ascii="Arial Narrow" w:hAnsi="Arial Narrow"/>
                <w:sz w:val="20"/>
                <w:szCs w:val="20"/>
              </w:rPr>
            </w:pPr>
            <w:r w:rsidRPr="001C2075">
              <w:rPr>
                <w:rFonts w:ascii="Arial Narrow" w:hAnsi="Arial Narrow"/>
                <w:sz w:val="20"/>
                <w:szCs w:val="20"/>
              </w:rPr>
              <w:t>FF/VI/UMEC 200/25/31.25 D vs FF/VI 200/25 D; Captain Wk24</w:t>
            </w:r>
          </w:p>
        </w:tc>
        <w:tc>
          <w:tcPr>
            <w:tcW w:w="1276" w:type="dxa"/>
            <w:tcBorders>
              <w:top w:val="nil"/>
              <w:bottom w:val="nil"/>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0.16 (0.02)</w:t>
            </w:r>
          </w:p>
        </w:tc>
        <w:tc>
          <w:tcPr>
            <w:tcW w:w="992" w:type="dxa"/>
            <w:tcBorders>
              <w:top w:val="nil"/>
              <w:bottom w:val="nil"/>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0.08 (0.02)</w:t>
            </w:r>
          </w:p>
        </w:tc>
        <w:tc>
          <w:tcPr>
            <w:tcW w:w="1446" w:type="dxa"/>
            <w:tcBorders>
              <w:top w:val="nil"/>
              <w:bottom w:val="nil"/>
            </w:tcBorders>
            <w:vAlign w:val="center"/>
          </w:tcPr>
          <w:p w:rsidR="00702518" w:rsidRPr="001C2075" w:rsidRDefault="00702518" w:rsidP="002C18A8">
            <w:pPr>
              <w:keepNext/>
              <w:jc w:val="center"/>
              <w:rPr>
                <w:rFonts w:ascii="Arial Narrow" w:hAnsi="Arial Narrow"/>
                <w:b/>
                <w:sz w:val="20"/>
                <w:szCs w:val="20"/>
              </w:rPr>
            </w:pPr>
            <w:r w:rsidRPr="001C2075">
              <w:rPr>
                <w:rFonts w:ascii="Arial Narrow" w:hAnsi="Arial Narrow"/>
                <w:b/>
                <w:sz w:val="20"/>
                <w:szCs w:val="20"/>
              </w:rPr>
              <w:t>0.08 (0.04,0.13)</w:t>
            </w:r>
          </w:p>
        </w:tc>
      </w:tr>
      <w:tr w:rsidR="00702518" w:rsidRPr="00FB7A6E" w:rsidTr="001C2075">
        <w:tc>
          <w:tcPr>
            <w:tcW w:w="5240" w:type="dxa"/>
            <w:tcBorders>
              <w:top w:val="nil"/>
              <w:bottom w:val="single" w:sz="4" w:space="0" w:color="auto"/>
            </w:tcBorders>
            <w:vAlign w:val="center"/>
          </w:tcPr>
          <w:p w:rsidR="00702518" w:rsidRPr="001C2075" w:rsidRDefault="00702518" w:rsidP="002C18A8">
            <w:pPr>
              <w:keepNext/>
              <w:ind w:left="112"/>
              <w:jc w:val="left"/>
              <w:rPr>
                <w:rFonts w:ascii="Arial Narrow" w:hAnsi="Arial Narrow"/>
                <w:sz w:val="20"/>
                <w:szCs w:val="20"/>
              </w:rPr>
            </w:pPr>
            <w:r w:rsidRPr="001C2075">
              <w:rPr>
                <w:rFonts w:ascii="Arial Narrow" w:hAnsi="Arial Narrow"/>
                <w:sz w:val="20"/>
                <w:szCs w:val="20"/>
              </w:rPr>
              <w:t>FF/VI/UMEC 200/25/62.5 D vs FF/VI 200/25 D; Captain Wk24</w:t>
            </w:r>
          </w:p>
        </w:tc>
        <w:tc>
          <w:tcPr>
            <w:tcW w:w="1276" w:type="dxa"/>
            <w:tcBorders>
              <w:top w:val="nil"/>
              <w:bottom w:val="single" w:sz="4" w:space="0" w:color="auto"/>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0.17 (0.02)</w:t>
            </w:r>
          </w:p>
        </w:tc>
        <w:tc>
          <w:tcPr>
            <w:tcW w:w="992" w:type="dxa"/>
            <w:tcBorders>
              <w:top w:val="nil"/>
              <w:bottom w:val="single" w:sz="4" w:space="0" w:color="auto"/>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0.08 (0.02)</w:t>
            </w:r>
          </w:p>
        </w:tc>
        <w:tc>
          <w:tcPr>
            <w:tcW w:w="1446" w:type="dxa"/>
            <w:tcBorders>
              <w:top w:val="nil"/>
              <w:bottom w:val="single" w:sz="4" w:space="0" w:color="auto"/>
            </w:tcBorders>
            <w:vAlign w:val="center"/>
          </w:tcPr>
          <w:p w:rsidR="00702518" w:rsidRPr="001C2075" w:rsidRDefault="00702518" w:rsidP="002C18A8">
            <w:pPr>
              <w:keepNext/>
              <w:jc w:val="center"/>
              <w:rPr>
                <w:rFonts w:ascii="Arial Narrow" w:hAnsi="Arial Narrow"/>
                <w:b/>
                <w:sz w:val="20"/>
                <w:szCs w:val="20"/>
              </w:rPr>
            </w:pPr>
            <w:r w:rsidRPr="001C2075">
              <w:rPr>
                <w:rFonts w:ascii="Arial Narrow" w:hAnsi="Arial Narrow"/>
                <w:b/>
                <w:sz w:val="20"/>
                <w:szCs w:val="20"/>
              </w:rPr>
              <w:t>0.09 (0.05,0.14)</w:t>
            </w:r>
          </w:p>
        </w:tc>
      </w:tr>
      <w:tr w:rsidR="00702518" w:rsidRPr="00FB7A6E" w:rsidTr="004431CF">
        <w:tc>
          <w:tcPr>
            <w:tcW w:w="8954" w:type="dxa"/>
            <w:gridSpan w:val="4"/>
            <w:tcBorders>
              <w:top w:val="single" w:sz="4" w:space="0" w:color="auto"/>
              <w:bottom w:val="single" w:sz="4" w:space="0" w:color="auto"/>
            </w:tcBorders>
            <w:vAlign w:val="center"/>
          </w:tcPr>
          <w:p w:rsidR="00702518" w:rsidRPr="001C2075" w:rsidRDefault="00702518" w:rsidP="002C18A8">
            <w:pPr>
              <w:keepNext/>
              <w:jc w:val="left"/>
              <w:rPr>
                <w:rFonts w:ascii="Arial Narrow" w:hAnsi="Arial Narrow"/>
                <w:b/>
                <w:sz w:val="20"/>
                <w:szCs w:val="20"/>
              </w:rPr>
            </w:pPr>
            <w:r w:rsidRPr="001C2075">
              <w:rPr>
                <w:rFonts w:ascii="Arial Narrow" w:hAnsi="Arial Narrow"/>
                <w:b/>
                <w:bCs/>
                <w:sz w:val="20"/>
                <w:szCs w:val="20"/>
              </w:rPr>
              <w:t>ACQ-7</w:t>
            </w:r>
          </w:p>
        </w:tc>
      </w:tr>
      <w:tr w:rsidR="00702518" w:rsidRPr="00FB7A6E" w:rsidTr="001C2075">
        <w:tc>
          <w:tcPr>
            <w:tcW w:w="5240" w:type="dxa"/>
            <w:tcBorders>
              <w:top w:val="single" w:sz="4" w:space="0" w:color="auto"/>
              <w:bottom w:val="nil"/>
            </w:tcBorders>
          </w:tcPr>
          <w:p w:rsidR="00702518" w:rsidRPr="001C2075" w:rsidRDefault="00702518" w:rsidP="002C18A8">
            <w:pPr>
              <w:keepNext/>
              <w:jc w:val="left"/>
              <w:rPr>
                <w:rFonts w:ascii="Arial Narrow" w:hAnsi="Arial Narrow"/>
                <w:sz w:val="20"/>
                <w:szCs w:val="20"/>
              </w:rPr>
            </w:pPr>
            <w:r w:rsidRPr="001C2075">
              <w:rPr>
                <w:rFonts w:ascii="Arial Narrow" w:hAnsi="Arial Narrow"/>
                <w:sz w:val="20"/>
                <w:szCs w:val="20"/>
              </w:rPr>
              <w:t>Med/high# dose ICS/LABA/LAMA vs med/high# dose ICS/LABA</w:t>
            </w:r>
          </w:p>
        </w:tc>
        <w:tc>
          <w:tcPr>
            <w:tcW w:w="1276" w:type="dxa"/>
            <w:tcBorders>
              <w:top w:val="single" w:sz="4" w:space="0" w:color="auto"/>
              <w:bottom w:val="nil"/>
            </w:tcBorders>
            <w:vAlign w:val="center"/>
          </w:tcPr>
          <w:p w:rsidR="00702518" w:rsidRPr="001C2075" w:rsidRDefault="00702518" w:rsidP="002C18A8">
            <w:pPr>
              <w:keepNext/>
              <w:jc w:val="center"/>
              <w:rPr>
                <w:rFonts w:ascii="Arial Narrow" w:hAnsi="Arial Narrow"/>
                <w:sz w:val="20"/>
                <w:szCs w:val="20"/>
              </w:rPr>
            </w:pPr>
          </w:p>
        </w:tc>
        <w:tc>
          <w:tcPr>
            <w:tcW w:w="992" w:type="dxa"/>
            <w:tcBorders>
              <w:top w:val="single" w:sz="4" w:space="0" w:color="auto"/>
              <w:bottom w:val="nil"/>
            </w:tcBorders>
            <w:vAlign w:val="center"/>
          </w:tcPr>
          <w:p w:rsidR="00702518" w:rsidRPr="001C2075" w:rsidRDefault="00702518" w:rsidP="002C18A8">
            <w:pPr>
              <w:keepNext/>
              <w:jc w:val="center"/>
              <w:rPr>
                <w:rFonts w:ascii="Arial Narrow" w:hAnsi="Arial Narrow"/>
                <w:sz w:val="20"/>
                <w:szCs w:val="20"/>
              </w:rPr>
            </w:pPr>
          </w:p>
        </w:tc>
        <w:tc>
          <w:tcPr>
            <w:tcW w:w="1446" w:type="dxa"/>
            <w:tcBorders>
              <w:top w:val="single" w:sz="4" w:space="0" w:color="auto"/>
              <w:bottom w:val="nil"/>
            </w:tcBorders>
            <w:vAlign w:val="center"/>
          </w:tcPr>
          <w:p w:rsidR="00702518" w:rsidRPr="001C2075" w:rsidRDefault="00702518" w:rsidP="002C18A8">
            <w:pPr>
              <w:keepNext/>
              <w:jc w:val="center"/>
              <w:rPr>
                <w:rFonts w:ascii="Arial Narrow" w:hAnsi="Arial Narrow"/>
                <w:b/>
                <w:sz w:val="20"/>
                <w:szCs w:val="20"/>
              </w:rPr>
            </w:pPr>
          </w:p>
        </w:tc>
      </w:tr>
      <w:tr w:rsidR="00702518" w:rsidRPr="00FB7A6E" w:rsidTr="001C2075">
        <w:tc>
          <w:tcPr>
            <w:tcW w:w="5240" w:type="dxa"/>
            <w:tcBorders>
              <w:top w:val="nil"/>
              <w:bottom w:val="nil"/>
            </w:tcBorders>
            <w:vAlign w:val="center"/>
          </w:tcPr>
          <w:p w:rsidR="00702518" w:rsidRPr="001C2075" w:rsidRDefault="00702518" w:rsidP="002C18A8">
            <w:pPr>
              <w:keepNext/>
              <w:ind w:left="112"/>
              <w:jc w:val="left"/>
              <w:rPr>
                <w:rFonts w:ascii="Arial Narrow" w:hAnsi="Arial Narrow"/>
                <w:iCs/>
                <w:sz w:val="20"/>
                <w:szCs w:val="20"/>
                <w:vertAlign w:val="superscript"/>
              </w:rPr>
            </w:pPr>
            <w:r w:rsidRPr="001C2075">
              <w:rPr>
                <w:rFonts w:ascii="Arial Narrow" w:hAnsi="Arial Narrow"/>
                <w:iCs/>
                <w:sz w:val="20"/>
                <w:szCs w:val="20"/>
              </w:rPr>
              <w:t>ICS/LABA# + TIO 5 D vs ICS/LABA#; Kerstjens 2012 Wk24, Trial 1</w:t>
            </w:r>
            <w:r w:rsidR="001C2075" w:rsidRPr="001C2075">
              <w:rPr>
                <w:rFonts w:ascii="Arial Narrow" w:hAnsi="Arial Narrow"/>
                <w:iCs/>
                <w:sz w:val="20"/>
                <w:szCs w:val="20"/>
                <w:vertAlign w:val="superscript"/>
              </w:rPr>
              <w:t>a</w:t>
            </w:r>
          </w:p>
        </w:tc>
        <w:tc>
          <w:tcPr>
            <w:tcW w:w="1276" w:type="dxa"/>
            <w:tcBorders>
              <w:top w:val="nil"/>
              <w:bottom w:val="nil"/>
            </w:tcBorders>
            <w:vAlign w:val="center"/>
          </w:tcPr>
          <w:p w:rsidR="00702518" w:rsidRPr="001C2075" w:rsidRDefault="00702518" w:rsidP="002C18A8">
            <w:pPr>
              <w:keepNext/>
              <w:jc w:val="center"/>
              <w:rPr>
                <w:rFonts w:ascii="Arial Narrow" w:hAnsi="Arial Narrow"/>
                <w:iCs/>
                <w:sz w:val="20"/>
                <w:szCs w:val="20"/>
              </w:rPr>
            </w:pPr>
            <w:r w:rsidRPr="001C2075">
              <w:rPr>
                <w:rFonts w:ascii="Arial Narrow" w:hAnsi="Arial Narrow"/>
                <w:iCs/>
                <w:sz w:val="20"/>
                <w:szCs w:val="20"/>
              </w:rPr>
              <w:t>NR</w:t>
            </w:r>
          </w:p>
        </w:tc>
        <w:tc>
          <w:tcPr>
            <w:tcW w:w="992" w:type="dxa"/>
            <w:tcBorders>
              <w:top w:val="nil"/>
              <w:bottom w:val="nil"/>
            </w:tcBorders>
            <w:vAlign w:val="center"/>
          </w:tcPr>
          <w:p w:rsidR="00702518" w:rsidRPr="001C2075" w:rsidRDefault="00702518" w:rsidP="002C18A8">
            <w:pPr>
              <w:keepNext/>
              <w:jc w:val="center"/>
              <w:rPr>
                <w:rFonts w:ascii="Arial Narrow" w:hAnsi="Arial Narrow"/>
                <w:iCs/>
                <w:sz w:val="20"/>
                <w:szCs w:val="20"/>
              </w:rPr>
            </w:pPr>
            <w:r w:rsidRPr="001C2075">
              <w:rPr>
                <w:rFonts w:ascii="Arial Narrow" w:hAnsi="Arial Narrow"/>
                <w:iCs/>
                <w:sz w:val="20"/>
                <w:szCs w:val="20"/>
              </w:rPr>
              <w:t>NR</w:t>
            </w:r>
          </w:p>
        </w:tc>
        <w:tc>
          <w:tcPr>
            <w:tcW w:w="1446" w:type="dxa"/>
            <w:tcBorders>
              <w:top w:val="nil"/>
              <w:bottom w:val="nil"/>
            </w:tcBorders>
            <w:vAlign w:val="center"/>
          </w:tcPr>
          <w:p w:rsidR="00702518" w:rsidRPr="001C2075" w:rsidRDefault="00702518" w:rsidP="002C18A8">
            <w:pPr>
              <w:keepNext/>
              <w:jc w:val="center"/>
              <w:rPr>
                <w:rFonts w:ascii="Arial Narrow" w:hAnsi="Arial Narrow"/>
                <w:bCs/>
                <w:iCs/>
                <w:sz w:val="20"/>
                <w:szCs w:val="20"/>
              </w:rPr>
            </w:pPr>
            <w:r w:rsidRPr="001C2075">
              <w:rPr>
                <w:rFonts w:ascii="Arial Narrow" w:hAnsi="Arial Narrow"/>
                <w:bCs/>
                <w:iCs/>
                <w:sz w:val="20"/>
                <w:szCs w:val="20"/>
              </w:rPr>
              <w:t>-0.13 (p&gt;0.05)</w:t>
            </w:r>
          </w:p>
        </w:tc>
      </w:tr>
      <w:tr w:rsidR="00702518" w:rsidRPr="00FB7A6E" w:rsidTr="001C2075">
        <w:tc>
          <w:tcPr>
            <w:tcW w:w="5240" w:type="dxa"/>
            <w:tcBorders>
              <w:top w:val="nil"/>
              <w:bottom w:val="nil"/>
            </w:tcBorders>
            <w:vAlign w:val="center"/>
          </w:tcPr>
          <w:p w:rsidR="00702518" w:rsidRPr="001C2075" w:rsidRDefault="00702518" w:rsidP="002C18A8">
            <w:pPr>
              <w:keepNext/>
              <w:ind w:left="112"/>
              <w:jc w:val="left"/>
              <w:rPr>
                <w:rFonts w:ascii="Arial Narrow" w:hAnsi="Arial Narrow"/>
                <w:iCs/>
                <w:sz w:val="20"/>
                <w:szCs w:val="20"/>
                <w:vertAlign w:val="superscript"/>
              </w:rPr>
            </w:pPr>
            <w:r w:rsidRPr="001C2075">
              <w:rPr>
                <w:rFonts w:ascii="Arial Narrow" w:hAnsi="Arial Narrow"/>
                <w:iCs/>
                <w:sz w:val="20"/>
                <w:szCs w:val="20"/>
              </w:rPr>
              <w:t>ICS/LABA# + TIO 5 D vs ICS/LABA#; Kerstjens 2012 Wk24, Trial 2</w:t>
            </w:r>
            <w:r w:rsidR="001C2075" w:rsidRPr="001C2075">
              <w:rPr>
                <w:rFonts w:ascii="Arial Narrow" w:hAnsi="Arial Narrow"/>
                <w:iCs/>
                <w:sz w:val="20"/>
                <w:szCs w:val="20"/>
                <w:vertAlign w:val="superscript"/>
              </w:rPr>
              <w:t>a</w:t>
            </w:r>
          </w:p>
        </w:tc>
        <w:tc>
          <w:tcPr>
            <w:tcW w:w="1276" w:type="dxa"/>
            <w:tcBorders>
              <w:top w:val="nil"/>
              <w:bottom w:val="nil"/>
            </w:tcBorders>
            <w:vAlign w:val="center"/>
          </w:tcPr>
          <w:p w:rsidR="00702518" w:rsidRPr="001C2075" w:rsidRDefault="00702518" w:rsidP="002C18A8">
            <w:pPr>
              <w:keepNext/>
              <w:jc w:val="center"/>
              <w:rPr>
                <w:rFonts w:ascii="Arial Narrow" w:hAnsi="Arial Narrow"/>
                <w:iCs/>
                <w:sz w:val="20"/>
                <w:szCs w:val="20"/>
              </w:rPr>
            </w:pPr>
            <w:r w:rsidRPr="001C2075">
              <w:rPr>
                <w:rFonts w:ascii="Arial Narrow" w:hAnsi="Arial Narrow"/>
                <w:iCs/>
                <w:sz w:val="20"/>
                <w:szCs w:val="20"/>
              </w:rPr>
              <w:t>NR</w:t>
            </w:r>
          </w:p>
        </w:tc>
        <w:tc>
          <w:tcPr>
            <w:tcW w:w="992" w:type="dxa"/>
            <w:tcBorders>
              <w:top w:val="nil"/>
              <w:bottom w:val="nil"/>
            </w:tcBorders>
            <w:vAlign w:val="center"/>
          </w:tcPr>
          <w:p w:rsidR="00702518" w:rsidRPr="001C2075" w:rsidRDefault="00702518" w:rsidP="002C18A8">
            <w:pPr>
              <w:keepNext/>
              <w:jc w:val="center"/>
              <w:rPr>
                <w:rFonts w:ascii="Arial Narrow" w:hAnsi="Arial Narrow"/>
                <w:iCs/>
                <w:sz w:val="20"/>
                <w:szCs w:val="20"/>
              </w:rPr>
            </w:pPr>
            <w:r w:rsidRPr="001C2075">
              <w:rPr>
                <w:rFonts w:ascii="Arial Narrow" w:hAnsi="Arial Narrow"/>
                <w:iCs/>
                <w:sz w:val="20"/>
                <w:szCs w:val="20"/>
              </w:rPr>
              <w:t>NR</w:t>
            </w:r>
          </w:p>
        </w:tc>
        <w:tc>
          <w:tcPr>
            <w:tcW w:w="1446" w:type="dxa"/>
            <w:tcBorders>
              <w:top w:val="nil"/>
              <w:bottom w:val="nil"/>
            </w:tcBorders>
            <w:vAlign w:val="center"/>
          </w:tcPr>
          <w:p w:rsidR="00702518" w:rsidRPr="001C2075" w:rsidRDefault="00702518" w:rsidP="002C18A8">
            <w:pPr>
              <w:keepNext/>
              <w:jc w:val="center"/>
              <w:rPr>
                <w:rFonts w:ascii="Arial Narrow" w:hAnsi="Arial Narrow"/>
                <w:b/>
                <w:iCs/>
                <w:sz w:val="20"/>
                <w:szCs w:val="20"/>
              </w:rPr>
            </w:pPr>
            <w:r w:rsidRPr="001C2075">
              <w:rPr>
                <w:rFonts w:ascii="Arial Narrow" w:hAnsi="Arial Narrow"/>
                <w:b/>
                <w:iCs/>
                <w:sz w:val="20"/>
                <w:szCs w:val="20"/>
              </w:rPr>
              <w:t>-0.20 (p&lt;0.05)</w:t>
            </w:r>
          </w:p>
        </w:tc>
      </w:tr>
      <w:tr w:rsidR="00702518" w:rsidRPr="00FB7A6E" w:rsidTr="001C2075">
        <w:tc>
          <w:tcPr>
            <w:tcW w:w="5240" w:type="dxa"/>
            <w:tcBorders>
              <w:top w:val="nil"/>
              <w:bottom w:val="nil"/>
            </w:tcBorders>
            <w:vAlign w:val="center"/>
          </w:tcPr>
          <w:p w:rsidR="00702518" w:rsidRPr="001C2075" w:rsidRDefault="00702518" w:rsidP="002C18A8">
            <w:pPr>
              <w:keepNext/>
              <w:ind w:left="112"/>
              <w:jc w:val="left"/>
              <w:rPr>
                <w:rFonts w:ascii="Arial Narrow" w:hAnsi="Arial Narrow"/>
                <w:sz w:val="20"/>
                <w:szCs w:val="20"/>
              </w:rPr>
            </w:pPr>
            <w:r w:rsidRPr="001C2075">
              <w:rPr>
                <w:rFonts w:ascii="Arial Narrow" w:hAnsi="Arial Narrow"/>
                <w:sz w:val="20"/>
                <w:szCs w:val="20"/>
              </w:rPr>
              <w:t xml:space="preserve">FF/VI/UMEC^ 31.25 D vs FF/VI^; Captain Wk24 </w:t>
            </w:r>
          </w:p>
        </w:tc>
        <w:tc>
          <w:tcPr>
            <w:tcW w:w="1276" w:type="dxa"/>
            <w:tcBorders>
              <w:top w:val="nil"/>
              <w:bottom w:val="nil"/>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-0.73 (0.02)</w:t>
            </w:r>
          </w:p>
        </w:tc>
        <w:tc>
          <w:tcPr>
            <w:tcW w:w="992" w:type="dxa"/>
            <w:tcBorders>
              <w:top w:val="nil"/>
              <w:bottom w:val="nil"/>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-0.68 (0.02)</w:t>
            </w:r>
          </w:p>
        </w:tc>
        <w:tc>
          <w:tcPr>
            <w:tcW w:w="1446" w:type="dxa"/>
            <w:tcBorders>
              <w:top w:val="nil"/>
              <w:bottom w:val="nil"/>
            </w:tcBorders>
            <w:vAlign w:val="center"/>
          </w:tcPr>
          <w:p w:rsidR="00702518" w:rsidRPr="001C2075" w:rsidRDefault="00702518" w:rsidP="002C18A8">
            <w:pPr>
              <w:keepNext/>
              <w:jc w:val="center"/>
              <w:rPr>
                <w:rFonts w:ascii="Arial Narrow" w:hAnsi="Arial Narrow"/>
                <w:bCs/>
                <w:sz w:val="20"/>
                <w:szCs w:val="20"/>
              </w:rPr>
            </w:pPr>
            <w:r w:rsidRPr="001C2075">
              <w:rPr>
                <w:rFonts w:ascii="Arial Narrow" w:hAnsi="Arial Narrow"/>
                <w:bCs/>
                <w:sz w:val="20"/>
                <w:szCs w:val="20"/>
              </w:rPr>
              <w:t>-0.06 (-0.12,0.01)</w:t>
            </w:r>
          </w:p>
        </w:tc>
      </w:tr>
      <w:tr w:rsidR="00702518" w:rsidRPr="00FB7A6E" w:rsidTr="001C2075">
        <w:tc>
          <w:tcPr>
            <w:tcW w:w="5240" w:type="dxa"/>
            <w:tcBorders>
              <w:top w:val="nil"/>
              <w:bottom w:val="single" w:sz="4" w:space="0" w:color="auto"/>
            </w:tcBorders>
            <w:vAlign w:val="center"/>
          </w:tcPr>
          <w:p w:rsidR="00702518" w:rsidRPr="001C2075" w:rsidRDefault="00702518" w:rsidP="002C18A8">
            <w:pPr>
              <w:keepNext/>
              <w:ind w:left="112"/>
              <w:jc w:val="left"/>
              <w:rPr>
                <w:rFonts w:ascii="Arial Narrow" w:hAnsi="Arial Narrow"/>
                <w:sz w:val="20"/>
                <w:szCs w:val="20"/>
              </w:rPr>
            </w:pPr>
            <w:r w:rsidRPr="001C2075">
              <w:rPr>
                <w:rFonts w:ascii="Arial Narrow" w:hAnsi="Arial Narrow"/>
                <w:sz w:val="20"/>
                <w:szCs w:val="20"/>
              </w:rPr>
              <w:t>FF/VI/UMEC^ 62.5 D vs FF/VI^; Captain Wk24</w:t>
            </w:r>
          </w:p>
        </w:tc>
        <w:tc>
          <w:tcPr>
            <w:tcW w:w="1276" w:type="dxa"/>
            <w:tcBorders>
              <w:top w:val="nil"/>
              <w:bottom w:val="single" w:sz="4" w:space="0" w:color="auto"/>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-0.77 (0.02)</w:t>
            </w:r>
          </w:p>
        </w:tc>
        <w:tc>
          <w:tcPr>
            <w:tcW w:w="992" w:type="dxa"/>
            <w:tcBorders>
              <w:top w:val="nil"/>
              <w:bottom w:val="single" w:sz="4" w:space="0" w:color="auto"/>
            </w:tcBorders>
            <w:vAlign w:val="center"/>
          </w:tcPr>
          <w:p w:rsidR="00702518" w:rsidRPr="001C2075" w:rsidRDefault="00702518" w:rsidP="002C18A8">
            <w:pPr>
              <w:keepNext/>
              <w:jc w:val="center"/>
              <w:rPr>
                <w:rFonts w:ascii="Arial Narrow" w:hAnsi="Arial Narrow"/>
                <w:sz w:val="20"/>
                <w:szCs w:val="20"/>
              </w:rPr>
            </w:pPr>
            <w:r w:rsidRPr="001C2075">
              <w:rPr>
                <w:rFonts w:ascii="Arial Narrow" w:hAnsi="Arial Narrow"/>
                <w:sz w:val="20"/>
                <w:szCs w:val="20"/>
              </w:rPr>
              <w:t>-0.68 (0.02)</w:t>
            </w:r>
          </w:p>
        </w:tc>
        <w:tc>
          <w:tcPr>
            <w:tcW w:w="1446" w:type="dxa"/>
            <w:tcBorders>
              <w:top w:val="nil"/>
              <w:bottom w:val="single" w:sz="4" w:space="0" w:color="auto"/>
            </w:tcBorders>
            <w:vAlign w:val="center"/>
          </w:tcPr>
          <w:p w:rsidR="00702518" w:rsidRPr="001C2075" w:rsidRDefault="00702518" w:rsidP="002C18A8">
            <w:pPr>
              <w:keepNext/>
              <w:jc w:val="center"/>
              <w:rPr>
                <w:rFonts w:ascii="Arial Narrow" w:hAnsi="Arial Narrow"/>
                <w:b/>
                <w:sz w:val="20"/>
                <w:szCs w:val="20"/>
              </w:rPr>
            </w:pPr>
            <w:r w:rsidRPr="001C2075">
              <w:rPr>
                <w:rFonts w:ascii="Arial Narrow" w:hAnsi="Arial Narrow"/>
                <w:b/>
                <w:sz w:val="20"/>
                <w:szCs w:val="20"/>
              </w:rPr>
              <w:t>-0.09 (-0.16,-0.02)</w:t>
            </w:r>
          </w:p>
        </w:tc>
      </w:tr>
      <w:tr w:rsidR="00702518" w:rsidRPr="00FB7A6E" w:rsidTr="001C2075">
        <w:tc>
          <w:tcPr>
            <w:tcW w:w="5240" w:type="dxa"/>
            <w:tcBorders>
              <w:top w:val="single" w:sz="4" w:space="0" w:color="auto"/>
              <w:bottom w:val="nil"/>
            </w:tcBorders>
          </w:tcPr>
          <w:p w:rsidR="00702518" w:rsidRPr="00FB7A6E" w:rsidRDefault="00702518" w:rsidP="002C18A8">
            <w:pPr>
              <w:keepNext/>
              <w:jc w:val="left"/>
              <w:rPr>
                <w:rFonts w:ascii="Arial Narrow" w:hAnsi="Arial Narrow"/>
                <w:sz w:val="20"/>
                <w:szCs w:val="20"/>
              </w:rPr>
            </w:pPr>
            <w:r w:rsidRPr="00FB7A6E">
              <w:rPr>
                <w:rFonts w:ascii="Arial Narrow" w:hAnsi="Arial Narrow"/>
                <w:sz w:val="20"/>
                <w:szCs w:val="20"/>
              </w:rPr>
              <w:t>Medium dose ICS/LABA/LAMA vs medium dose ICS/LABA</w:t>
            </w:r>
          </w:p>
        </w:tc>
        <w:tc>
          <w:tcPr>
            <w:tcW w:w="1276" w:type="dxa"/>
            <w:tcBorders>
              <w:top w:val="single" w:sz="4" w:space="0" w:color="auto"/>
              <w:bottom w:val="nil"/>
            </w:tcBorders>
            <w:vAlign w:val="center"/>
          </w:tcPr>
          <w:p w:rsidR="00702518" w:rsidRPr="00FB7A6E" w:rsidRDefault="00702518" w:rsidP="002C18A8">
            <w:pPr>
              <w:keepNext/>
              <w:jc w:val="center"/>
              <w:rPr>
                <w:rFonts w:ascii="Arial Narrow" w:hAnsi="Arial Narrow"/>
                <w:sz w:val="20"/>
                <w:szCs w:val="20"/>
              </w:rPr>
            </w:pPr>
          </w:p>
        </w:tc>
        <w:tc>
          <w:tcPr>
            <w:tcW w:w="992" w:type="dxa"/>
            <w:tcBorders>
              <w:top w:val="single" w:sz="4" w:space="0" w:color="auto"/>
              <w:bottom w:val="nil"/>
            </w:tcBorders>
            <w:vAlign w:val="center"/>
          </w:tcPr>
          <w:p w:rsidR="00702518" w:rsidRPr="00FB7A6E" w:rsidRDefault="00702518" w:rsidP="002C18A8">
            <w:pPr>
              <w:keepNext/>
              <w:jc w:val="center"/>
              <w:rPr>
                <w:rFonts w:ascii="Arial Narrow" w:hAnsi="Arial Narrow"/>
                <w:sz w:val="20"/>
                <w:szCs w:val="20"/>
              </w:rPr>
            </w:pPr>
          </w:p>
        </w:tc>
        <w:tc>
          <w:tcPr>
            <w:tcW w:w="1446" w:type="dxa"/>
            <w:tcBorders>
              <w:top w:val="single" w:sz="4" w:space="0" w:color="auto"/>
              <w:bottom w:val="nil"/>
            </w:tcBorders>
            <w:vAlign w:val="center"/>
          </w:tcPr>
          <w:p w:rsidR="00702518" w:rsidRPr="00FB7A6E" w:rsidRDefault="00702518" w:rsidP="002C18A8">
            <w:pPr>
              <w:keepNext/>
              <w:jc w:val="center"/>
              <w:rPr>
                <w:rFonts w:ascii="Arial Narrow" w:hAnsi="Arial Narrow"/>
                <w:b/>
                <w:sz w:val="20"/>
                <w:szCs w:val="20"/>
              </w:rPr>
            </w:pPr>
          </w:p>
        </w:tc>
      </w:tr>
      <w:tr w:rsidR="00702518" w:rsidRPr="00FB7A6E" w:rsidTr="001C2075">
        <w:tc>
          <w:tcPr>
            <w:tcW w:w="5240" w:type="dxa"/>
            <w:tcBorders>
              <w:top w:val="nil"/>
              <w:bottom w:val="nil"/>
            </w:tcBorders>
            <w:vAlign w:val="center"/>
          </w:tcPr>
          <w:p w:rsidR="00702518" w:rsidRPr="00FB7A6E" w:rsidRDefault="00702518" w:rsidP="002C18A8">
            <w:pPr>
              <w:keepNext/>
              <w:ind w:left="112"/>
              <w:jc w:val="left"/>
              <w:rPr>
                <w:rFonts w:ascii="Arial Narrow" w:hAnsi="Arial Narrow"/>
                <w:sz w:val="20"/>
                <w:szCs w:val="20"/>
              </w:rPr>
            </w:pPr>
            <w:r w:rsidRPr="00FB7A6E">
              <w:rPr>
                <w:rFonts w:ascii="Arial Narrow" w:hAnsi="Arial Narrow"/>
                <w:sz w:val="20"/>
                <w:szCs w:val="20"/>
              </w:rPr>
              <w:t>MF/IND/GLY 80/150/50 D vs MF/IND 160/150 D; Iridium Wk26</w:t>
            </w:r>
          </w:p>
        </w:tc>
        <w:tc>
          <w:tcPr>
            <w:tcW w:w="1276" w:type="dxa"/>
            <w:tcBorders>
              <w:top w:val="nil"/>
              <w:bottom w:val="nil"/>
            </w:tcBorders>
            <w:vAlign w:val="center"/>
          </w:tcPr>
          <w:p w:rsidR="00702518" w:rsidRPr="00FB7A6E" w:rsidRDefault="00702518" w:rsidP="002C18A8">
            <w:pPr>
              <w:keepNext/>
              <w:jc w:val="center"/>
              <w:rPr>
                <w:rFonts w:ascii="Arial Narrow" w:hAnsi="Arial Narrow"/>
                <w:sz w:val="20"/>
                <w:szCs w:val="20"/>
              </w:rPr>
            </w:pPr>
            <w:r w:rsidRPr="00FB7A6E">
              <w:rPr>
                <w:rFonts w:ascii="Arial Narrow" w:hAnsi="Arial Narrow"/>
                <w:sz w:val="20"/>
                <w:szCs w:val="20"/>
              </w:rPr>
              <w:t>-0.97 (0.03)</w:t>
            </w:r>
          </w:p>
        </w:tc>
        <w:tc>
          <w:tcPr>
            <w:tcW w:w="992" w:type="dxa"/>
            <w:tcBorders>
              <w:top w:val="nil"/>
              <w:bottom w:val="nil"/>
            </w:tcBorders>
            <w:vAlign w:val="center"/>
          </w:tcPr>
          <w:p w:rsidR="00702518" w:rsidRPr="00FB7A6E" w:rsidRDefault="00702518" w:rsidP="002C18A8">
            <w:pPr>
              <w:keepNext/>
              <w:jc w:val="center"/>
              <w:rPr>
                <w:rFonts w:ascii="Arial Narrow" w:hAnsi="Arial Narrow"/>
                <w:sz w:val="20"/>
                <w:szCs w:val="20"/>
              </w:rPr>
            </w:pPr>
            <w:r w:rsidRPr="00FB7A6E">
              <w:rPr>
                <w:rFonts w:ascii="Arial Narrow" w:hAnsi="Arial Narrow"/>
                <w:sz w:val="20"/>
                <w:szCs w:val="20"/>
              </w:rPr>
              <w:t>-0.90 (0.03)</w:t>
            </w:r>
          </w:p>
        </w:tc>
        <w:tc>
          <w:tcPr>
            <w:tcW w:w="1446" w:type="dxa"/>
            <w:tcBorders>
              <w:top w:val="nil"/>
              <w:bottom w:val="nil"/>
            </w:tcBorders>
            <w:vAlign w:val="center"/>
          </w:tcPr>
          <w:p w:rsidR="00702518" w:rsidRPr="00FB7A6E" w:rsidRDefault="00702518" w:rsidP="002C18A8">
            <w:pPr>
              <w:keepNext/>
              <w:jc w:val="center"/>
              <w:rPr>
                <w:rFonts w:ascii="Arial Narrow" w:hAnsi="Arial Narrow"/>
                <w:bCs/>
                <w:sz w:val="20"/>
                <w:szCs w:val="20"/>
              </w:rPr>
            </w:pPr>
            <w:r w:rsidRPr="00FB7A6E">
              <w:rPr>
                <w:rFonts w:ascii="Arial Narrow" w:hAnsi="Arial Narrow"/>
                <w:bCs/>
                <w:sz w:val="20"/>
                <w:szCs w:val="20"/>
              </w:rPr>
              <w:t>-0.07 (-0.15,0.01)</w:t>
            </w:r>
          </w:p>
        </w:tc>
      </w:tr>
      <w:tr w:rsidR="00702518" w:rsidRPr="00FB7A6E" w:rsidTr="001C2075">
        <w:tc>
          <w:tcPr>
            <w:tcW w:w="5240" w:type="dxa"/>
            <w:tcBorders>
              <w:top w:val="single" w:sz="4" w:space="0" w:color="auto"/>
              <w:bottom w:val="nil"/>
            </w:tcBorders>
            <w:vAlign w:val="center"/>
          </w:tcPr>
          <w:p w:rsidR="00702518" w:rsidRPr="00FB7A6E" w:rsidRDefault="00702518" w:rsidP="004431CF">
            <w:pPr>
              <w:jc w:val="left"/>
              <w:rPr>
                <w:rFonts w:ascii="Arial Narrow" w:hAnsi="Arial Narrow"/>
                <w:sz w:val="20"/>
                <w:szCs w:val="20"/>
              </w:rPr>
            </w:pPr>
            <w:r w:rsidRPr="00FB7A6E">
              <w:rPr>
                <w:rFonts w:ascii="Arial Narrow" w:hAnsi="Arial Narrow"/>
                <w:sz w:val="20"/>
                <w:szCs w:val="20"/>
              </w:rPr>
              <w:t>High dose ICS/LABA/LAMA</w:t>
            </w:r>
          </w:p>
        </w:tc>
        <w:tc>
          <w:tcPr>
            <w:tcW w:w="1276" w:type="dxa"/>
            <w:tcBorders>
              <w:top w:val="single" w:sz="4" w:space="0" w:color="auto"/>
              <w:bottom w:val="nil"/>
            </w:tcBorders>
            <w:vAlign w:val="center"/>
          </w:tcPr>
          <w:p w:rsidR="00702518" w:rsidRPr="00FB7A6E" w:rsidRDefault="00702518" w:rsidP="004431CF">
            <w:pPr>
              <w:jc w:val="center"/>
              <w:rPr>
                <w:rFonts w:ascii="Arial Narrow" w:hAnsi="Arial Narrow"/>
                <w:sz w:val="20"/>
                <w:szCs w:val="20"/>
              </w:rPr>
            </w:pPr>
          </w:p>
        </w:tc>
        <w:tc>
          <w:tcPr>
            <w:tcW w:w="992" w:type="dxa"/>
            <w:tcBorders>
              <w:top w:val="single" w:sz="4" w:space="0" w:color="auto"/>
              <w:bottom w:val="nil"/>
            </w:tcBorders>
            <w:vAlign w:val="center"/>
          </w:tcPr>
          <w:p w:rsidR="00702518" w:rsidRPr="00FB7A6E" w:rsidRDefault="00702518" w:rsidP="004431CF">
            <w:pPr>
              <w:jc w:val="center"/>
              <w:rPr>
                <w:rFonts w:ascii="Arial Narrow" w:hAnsi="Arial Narrow"/>
                <w:sz w:val="20"/>
                <w:szCs w:val="20"/>
              </w:rPr>
            </w:pPr>
          </w:p>
        </w:tc>
        <w:tc>
          <w:tcPr>
            <w:tcW w:w="1446" w:type="dxa"/>
            <w:tcBorders>
              <w:top w:val="single" w:sz="4" w:space="0" w:color="auto"/>
              <w:bottom w:val="nil"/>
            </w:tcBorders>
            <w:vAlign w:val="center"/>
          </w:tcPr>
          <w:p w:rsidR="00702518" w:rsidRPr="00FB7A6E" w:rsidRDefault="00702518" w:rsidP="004431CF">
            <w:pPr>
              <w:jc w:val="center"/>
              <w:rPr>
                <w:rFonts w:ascii="Arial Narrow" w:hAnsi="Arial Narrow"/>
                <w:b/>
                <w:sz w:val="20"/>
                <w:szCs w:val="20"/>
              </w:rPr>
            </w:pPr>
          </w:p>
        </w:tc>
      </w:tr>
      <w:tr w:rsidR="00702518" w:rsidRPr="00FB7A6E" w:rsidTr="001C2075">
        <w:tc>
          <w:tcPr>
            <w:tcW w:w="5240" w:type="dxa"/>
            <w:tcBorders>
              <w:top w:val="nil"/>
              <w:bottom w:val="single" w:sz="4" w:space="0" w:color="auto"/>
            </w:tcBorders>
            <w:vAlign w:val="center"/>
          </w:tcPr>
          <w:p w:rsidR="00702518" w:rsidRPr="00FB7A6E" w:rsidRDefault="00702518" w:rsidP="004431CF">
            <w:pPr>
              <w:ind w:left="112"/>
              <w:jc w:val="left"/>
              <w:rPr>
                <w:rFonts w:ascii="Arial Narrow" w:hAnsi="Arial Narrow"/>
                <w:sz w:val="20"/>
                <w:szCs w:val="20"/>
              </w:rPr>
            </w:pPr>
            <w:r w:rsidRPr="00FB7A6E">
              <w:rPr>
                <w:rFonts w:ascii="Arial Narrow" w:hAnsi="Arial Narrow"/>
                <w:sz w:val="20"/>
                <w:szCs w:val="20"/>
              </w:rPr>
              <w:t>MF/IND/GLY 160/150/50 D vs MF/IND 320/150 D; Iridium Wk26</w:t>
            </w:r>
          </w:p>
        </w:tc>
        <w:tc>
          <w:tcPr>
            <w:tcW w:w="1276" w:type="dxa"/>
            <w:tcBorders>
              <w:top w:val="nil"/>
              <w:bottom w:val="single" w:sz="4" w:space="0" w:color="auto"/>
            </w:tcBorders>
            <w:vAlign w:val="center"/>
          </w:tcPr>
          <w:p w:rsidR="00702518" w:rsidRPr="00FB7A6E" w:rsidRDefault="00702518" w:rsidP="004431CF">
            <w:pPr>
              <w:jc w:val="center"/>
              <w:rPr>
                <w:rFonts w:ascii="Arial Narrow" w:hAnsi="Arial Narrow"/>
                <w:sz w:val="20"/>
                <w:szCs w:val="20"/>
              </w:rPr>
            </w:pPr>
            <w:r w:rsidRPr="00FB7A6E">
              <w:rPr>
                <w:rFonts w:ascii="Arial Narrow" w:hAnsi="Arial Narrow"/>
                <w:sz w:val="20"/>
                <w:szCs w:val="20"/>
              </w:rPr>
              <w:t>-0.98 (0.03)</w:t>
            </w:r>
          </w:p>
        </w:tc>
        <w:tc>
          <w:tcPr>
            <w:tcW w:w="992" w:type="dxa"/>
            <w:tcBorders>
              <w:top w:val="nil"/>
              <w:bottom w:val="single" w:sz="4" w:space="0" w:color="auto"/>
            </w:tcBorders>
            <w:vAlign w:val="center"/>
          </w:tcPr>
          <w:p w:rsidR="00702518" w:rsidRPr="00FB7A6E" w:rsidRDefault="00702518" w:rsidP="004431CF">
            <w:pPr>
              <w:jc w:val="center"/>
              <w:rPr>
                <w:rFonts w:ascii="Arial Narrow" w:hAnsi="Arial Narrow"/>
                <w:sz w:val="20"/>
                <w:szCs w:val="20"/>
              </w:rPr>
            </w:pPr>
            <w:r w:rsidRPr="00FB7A6E">
              <w:rPr>
                <w:rFonts w:ascii="Arial Narrow" w:hAnsi="Arial Narrow"/>
                <w:sz w:val="20"/>
                <w:szCs w:val="20"/>
              </w:rPr>
              <w:t>-0.99 (0.03)</w:t>
            </w:r>
          </w:p>
        </w:tc>
        <w:tc>
          <w:tcPr>
            <w:tcW w:w="1446" w:type="dxa"/>
            <w:tcBorders>
              <w:top w:val="nil"/>
              <w:bottom w:val="single" w:sz="4" w:space="0" w:color="auto"/>
            </w:tcBorders>
            <w:vAlign w:val="center"/>
          </w:tcPr>
          <w:p w:rsidR="00702518" w:rsidRPr="00FB7A6E" w:rsidRDefault="00702518" w:rsidP="004431CF">
            <w:pPr>
              <w:jc w:val="center"/>
              <w:rPr>
                <w:rFonts w:ascii="Arial Narrow" w:hAnsi="Arial Narrow"/>
                <w:bCs/>
                <w:sz w:val="20"/>
                <w:szCs w:val="20"/>
              </w:rPr>
            </w:pPr>
            <w:r w:rsidRPr="00FB7A6E">
              <w:rPr>
                <w:rFonts w:ascii="Arial Narrow" w:hAnsi="Arial Narrow"/>
                <w:bCs/>
                <w:sz w:val="20"/>
                <w:szCs w:val="20"/>
              </w:rPr>
              <w:t>0.01 (-0.07,0.09)</w:t>
            </w:r>
          </w:p>
        </w:tc>
      </w:tr>
    </w:tbl>
    <w:p w:rsidR="000F1E13" w:rsidRDefault="000F1E13" w:rsidP="000F1E13">
      <w:pPr>
        <w:pStyle w:val="TableFigureFooter"/>
        <w:spacing w:after="0"/>
      </w:pPr>
      <w:r>
        <w:t>Bold text indicates statistical significance at p&lt;0.05</w:t>
      </w:r>
      <w:r w:rsidR="001C2075">
        <w:t xml:space="preserve">, </w:t>
      </w:r>
    </w:p>
    <w:p w:rsidR="00702518" w:rsidRPr="00FB7A6E" w:rsidRDefault="00702518" w:rsidP="00702518">
      <w:pPr>
        <w:pStyle w:val="TableFigureFooter"/>
        <w:spacing w:after="0"/>
      </w:pPr>
      <w:r w:rsidRPr="00FB7A6E">
        <w:t xml:space="preserve">Abbreviations: FEV1=forced expiratory volume in one second; FF=fluticasone furoate; FP=fluticasone propionate; GLY=glycopyrronium; ICS=inhaled corticosteroid; IND=indacaterol; LABA=long-acting beta-agonist; LAMA=long-acting muscarinic </w:t>
      </w:r>
      <w:r w:rsidR="009326C0" w:rsidRPr="00FB7A6E">
        <w:t xml:space="preserve">receptor </w:t>
      </w:r>
      <w:r w:rsidRPr="00FB7A6E">
        <w:t>antagonist; MF=mometasone furoate; SAL=salmeterol; TIO=tiotropium; UMEC=umeclidinium; VI=vilanterol; wk=week; D=once daily; BD=twice daily;</w:t>
      </w:r>
    </w:p>
    <w:p w:rsidR="00702518" w:rsidRPr="00FB7A6E" w:rsidRDefault="00702518" w:rsidP="00702518">
      <w:pPr>
        <w:pStyle w:val="TableFigureFooter"/>
        <w:tabs>
          <w:tab w:val="left" w:pos="142"/>
        </w:tabs>
        <w:ind w:left="140" w:hanging="140"/>
      </w:pPr>
      <w:r w:rsidRPr="00FB7A6E">
        <w:t>#</w:t>
      </w:r>
      <w:r w:rsidRPr="00FB7A6E">
        <w:tab/>
        <w:t>TIO or matching placebo as add-on therapy to individual pre-trial maintenance asthma therapy consisting 800 to 1600 mcg budesonide equipotent dose ICS and LABA.</w:t>
      </w:r>
    </w:p>
    <w:p w:rsidR="00702518" w:rsidRDefault="00702518" w:rsidP="00702518">
      <w:pPr>
        <w:pStyle w:val="TableFigureFooter"/>
        <w:tabs>
          <w:tab w:val="left" w:pos="142"/>
        </w:tabs>
        <w:ind w:left="140" w:hanging="140"/>
      </w:pPr>
      <w:r w:rsidRPr="00FB7A6E">
        <w:t>^</w:t>
      </w:r>
      <w:r w:rsidRPr="00FB7A6E">
        <w:tab/>
        <w:t>FF/VI 100/25 D or FF/VI 200/25 D</w:t>
      </w:r>
    </w:p>
    <w:p w:rsidR="001C2075" w:rsidRPr="001C2075" w:rsidRDefault="001C2075" w:rsidP="00702518">
      <w:pPr>
        <w:pStyle w:val="TableFigureFooter"/>
        <w:tabs>
          <w:tab w:val="left" w:pos="142"/>
        </w:tabs>
        <w:ind w:left="140" w:hanging="140"/>
      </w:pPr>
      <w:r>
        <w:rPr>
          <w:vertAlign w:val="superscript"/>
        </w:rPr>
        <w:t>a</w:t>
      </w:r>
      <w:r>
        <w:t xml:space="preserve"> Compiled during the evaluation</w:t>
      </w:r>
    </w:p>
    <w:p w:rsidR="00702518" w:rsidRDefault="00702518" w:rsidP="00702518">
      <w:pPr>
        <w:pStyle w:val="TableFigureFooter"/>
        <w:tabs>
          <w:tab w:val="left" w:pos="0"/>
        </w:tabs>
      </w:pPr>
      <w:r w:rsidRPr="00FB7A6E">
        <w:t>Source: Table 2.28, p77 of the submission, Attachments 11 and 14 of the submission, Kerstjens et al 2012, and Table 4, tiotropium bromide PSD July 2015 PBAC meeting.</w:t>
      </w:r>
    </w:p>
    <w:p w:rsidR="009264BA" w:rsidRPr="00FB7A6E" w:rsidRDefault="009264BA" w:rsidP="00702518">
      <w:pPr>
        <w:pStyle w:val="TableFigureFooter"/>
        <w:tabs>
          <w:tab w:val="left" w:pos="0"/>
        </w:tabs>
      </w:pPr>
    </w:p>
    <w:p w:rsidR="00702518" w:rsidRPr="00FB7A6E" w:rsidRDefault="00702518" w:rsidP="00DD254D">
      <w:pPr>
        <w:pStyle w:val="3-BodyText"/>
        <w:rPr>
          <w:u w:val="single"/>
        </w:rPr>
      </w:pPr>
      <w:r w:rsidRPr="00FB7A6E">
        <w:rPr>
          <w:u w:val="single"/>
        </w:rPr>
        <w:t>Medium and high dose MF/IND/GLY versus high dose FP/SAL+TIO</w:t>
      </w:r>
    </w:p>
    <w:p w:rsidR="000F28C4" w:rsidRPr="00FB7A6E" w:rsidRDefault="000F28C4" w:rsidP="000F28C4">
      <w:pPr>
        <w:pStyle w:val="3-BodyText"/>
        <w:numPr>
          <w:ilvl w:val="0"/>
          <w:numId w:val="0"/>
        </w:numPr>
        <w:ind w:left="720"/>
      </w:pPr>
      <w:bookmarkStart w:id="26" w:name="_Hlk40088201"/>
      <w:r w:rsidRPr="00FB7A6E">
        <w:t>In Argon, non-inferiority between high dose and medium dose MF/IND/GLY versus high dose FP/SAL</w:t>
      </w:r>
      <w:r w:rsidR="006B54E6" w:rsidRPr="00FB7A6E">
        <w:t xml:space="preserve"> plus </w:t>
      </w:r>
      <w:r w:rsidRPr="00FB7A6E">
        <w:t xml:space="preserve">TIO was accepted, given the one-sided 97.5%CIs (-0.03 and </w:t>
      </w:r>
      <w:r w:rsidR="001C2075">
        <w:br/>
      </w:r>
      <w:r w:rsidRPr="00FB7A6E">
        <w:t xml:space="preserve">-0.14) for AQLQ total score were above the pre-specified non-inferiority margin </w:t>
      </w:r>
      <w:r w:rsidR="001C2075">
        <w:br/>
      </w:r>
      <w:r w:rsidR="008668C2">
        <w:t xml:space="preserve">(-0.25). </w:t>
      </w:r>
      <w:r w:rsidRPr="00FB7A6E">
        <w:t xml:space="preserve">The trial also found statistically significant differences across a number of secondary/exploratory outcomes, mainly in favour of high dose MF/IND/GLY, including trough FEV1, mean morning PEF, ACQ-7 and others (various lung function parameters, AQLQ responders, ACQ-5, SGRQ score, rate of moderate exacerbations, </w:t>
      </w:r>
      <w:r w:rsidR="00767B75" w:rsidRPr="00FB7A6E">
        <w:t>and percentage</w:t>
      </w:r>
      <w:r w:rsidRPr="00FB7A6E">
        <w:t xml:space="preserve"> days with no symptoms).</w:t>
      </w:r>
    </w:p>
    <w:bookmarkEnd w:id="26"/>
    <w:p w:rsidR="00702518" w:rsidRPr="00DB6C89" w:rsidRDefault="000F28C4" w:rsidP="000F28C4">
      <w:pPr>
        <w:pStyle w:val="3-BodyText"/>
        <w:numPr>
          <w:ilvl w:val="0"/>
          <w:numId w:val="0"/>
        </w:numPr>
        <w:ind w:left="720"/>
      </w:pPr>
      <w:r w:rsidRPr="00A07146">
        <w:t xml:space="preserve">The conclusion of non-inferiority between both doses of MF/IND/GLY and high dose FP/SAL plus TIO </w:t>
      </w:r>
      <w:r w:rsidR="007B67CA" w:rsidRPr="00A07146">
        <w:t xml:space="preserve">based </w:t>
      </w:r>
      <w:r w:rsidRPr="00A07146">
        <w:t>on AQLQ requires consi</w:t>
      </w:r>
      <w:r w:rsidR="008668C2">
        <w:t xml:space="preserve">deration (see Clinical claim). </w:t>
      </w:r>
      <w:r w:rsidRPr="00A07146">
        <w:t>In addition, t</w:t>
      </w:r>
      <w:r w:rsidR="00702518" w:rsidRPr="00A07146">
        <w:t>he</w:t>
      </w:r>
      <w:r w:rsidR="00702518" w:rsidRPr="00A07146">
        <w:rPr>
          <w:iCs/>
        </w:rPr>
        <w:t xml:space="preserve"> small but statistically significant differences reported in Argon in favour of MF/IND/GLY across some outcomes were unlike</w:t>
      </w:r>
      <w:r w:rsidR="008668C2">
        <w:rPr>
          <w:iCs/>
        </w:rPr>
        <w:t xml:space="preserve">ly to be clinically important. </w:t>
      </w:r>
      <w:r w:rsidR="00702518" w:rsidRPr="00A07146">
        <w:rPr>
          <w:iCs/>
        </w:rPr>
        <w:t xml:space="preserve">For example, an increase in FEV1 of 96 mL with high dose MF/IND/GLY is less than the MCID of 100 mL accepted by the PBAC in severe asthma and the differences in other </w:t>
      </w:r>
      <w:r w:rsidR="00702518" w:rsidRPr="00A07146">
        <w:rPr>
          <w:iCs/>
        </w:rPr>
        <w:lastRenderedPageBreak/>
        <w:t>outcomes (mean morning PEF, ACQ-7) are below the MCIDs identified in the submission.</w:t>
      </w:r>
      <w:r w:rsidR="00ED74F6">
        <w:rPr>
          <w:iCs/>
        </w:rPr>
        <w:t xml:space="preserve"> </w:t>
      </w:r>
      <w:r w:rsidR="009264BA" w:rsidRPr="00DB6C89">
        <w:t>T</w:t>
      </w:r>
      <w:r w:rsidR="00ED74F6" w:rsidRPr="00DB6C89">
        <w:t xml:space="preserve">he ESC </w:t>
      </w:r>
      <w:r w:rsidR="009264BA" w:rsidRPr="00DB6C89">
        <w:t xml:space="preserve">considered that, while unlikely to be clinically important differences, the results </w:t>
      </w:r>
      <w:r w:rsidR="00ED74F6" w:rsidRPr="00DB6C89">
        <w:t xml:space="preserve">for medium dose MF/IND/GLY versus high dose FP/SAL plus TIO favoured medium dose MF/IND/GLY for the objective secondary outcomes of lung function (e.g. FEV1 and PEF). </w:t>
      </w:r>
    </w:p>
    <w:p w:rsidR="00702518" w:rsidRPr="00FB7A6E" w:rsidRDefault="00702518" w:rsidP="00DD254D">
      <w:pPr>
        <w:pStyle w:val="3-BodyText"/>
        <w:rPr>
          <w:u w:val="single"/>
        </w:rPr>
      </w:pPr>
      <w:r w:rsidRPr="00FB7A6E">
        <w:rPr>
          <w:u w:val="single"/>
        </w:rPr>
        <w:t>Medium and high dose MF/IND/GLY versus medium and high dose MF/IND</w:t>
      </w:r>
    </w:p>
    <w:p w:rsidR="00702518" w:rsidRPr="00FB7A6E" w:rsidRDefault="00702518" w:rsidP="00702518">
      <w:pPr>
        <w:pStyle w:val="3-BodyText"/>
        <w:numPr>
          <w:ilvl w:val="0"/>
          <w:numId w:val="0"/>
        </w:numPr>
        <w:ind w:left="720"/>
      </w:pPr>
      <w:r w:rsidRPr="00FB7A6E">
        <w:t>In Iridium, results showed medium and high dose MF/IND/GLY had a significantly larger improvement in FEV1 and mean morning PEF compared to</w:t>
      </w:r>
      <w:r w:rsidR="00A66997">
        <w:t xml:space="preserve"> medium and high dose MF/IND</w:t>
      </w:r>
      <w:r w:rsidR="008668C2">
        <w:t xml:space="preserve">, respectively. </w:t>
      </w:r>
      <w:r w:rsidRPr="00FB7A6E">
        <w:t>There was no significant difference for the change in AQLQ or ACQ-7 across the treatment comparisons.</w:t>
      </w:r>
    </w:p>
    <w:p w:rsidR="00702518" w:rsidRPr="00DB6C89" w:rsidRDefault="00702518" w:rsidP="00DA3252">
      <w:pPr>
        <w:pStyle w:val="3-BodyText"/>
        <w:numPr>
          <w:ilvl w:val="0"/>
          <w:numId w:val="0"/>
        </w:numPr>
        <w:ind w:left="720"/>
        <w:rPr>
          <w:iCs/>
        </w:rPr>
      </w:pPr>
      <w:r w:rsidRPr="00A07146">
        <w:t xml:space="preserve">The incremental benefit in terms of FEV1 for triple therapy MF/IND/GLY versus dual therapy MF/IND (at corresponding doses of ICS) was </w:t>
      </w:r>
      <w:r w:rsidR="00935273" w:rsidRPr="00A07146">
        <w:t xml:space="preserve">below the MCID of 100 mL and was </w:t>
      </w:r>
      <w:r w:rsidR="00E95924" w:rsidRPr="00A07146">
        <w:t>described as ‘modest’ by the TGA evaluator</w:t>
      </w:r>
      <w:r w:rsidR="008668C2">
        <w:t xml:space="preserve">. </w:t>
      </w:r>
      <w:r w:rsidR="00935273" w:rsidRPr="00A07146">
        <w:t xml:space="preserve">The benefit was also </w:t>
      </w:r>
      <w:r w:rsidRPr="00A07146">
        <w:t xml:space="preserve">numerically smaller than the benefit demonstrated for add-on TIO in Kerstjens </w:t>
      </w:r>
      <w:r w:rsidR="00366AEA" w:rsidRPr="00A07146">
        <w:t xml:space="preserve">et al </w:t>
      </w:r>
      <w:r w:rsidRPr="00A07146">
        <w:t xml:space="preserve">2012 and triple therapy FF/VI/UMEC versus </w:t>
      </w:r>
      <w:r w:rsidR="008668C2">
        <w:t xml:space="preserve">dual therapy FF/VI in Captain. </w:t>
      </w:r>
      <w:r w:rsidRPr="00A07146">
        <w:t>The results for ACQ-7 suggested there was no clear benefit for MF/IND/GLY versus MF/IND</w:t>
      </w:r>
      <w:r w:rsidR="00935273" w:rsidRPr="00A07146">
        <w:t xml:space="preserve"> (across both doses)</w:t>
      </w:r>
      <w:r w:rsidRPr="00A07146">
        <w:t>, which was inconsistent with the other trials.</w:t>
      </w:r>
      <w:r w:rsidR="00ED7EF9">
        <w:t xml:space="preserve"> </w:t>
      </w:r>
      <w:r w:rsidR="00ED7EF9" w:rsidRPr="00DB6C89">
        <w:rPr>
          <w:iCs/>
        </w:rPr>
        <w:t xml:space="preserve">The ESC </w:t>
      </w:r>
      <w:r w:rsidR="00E6565B" w:rsidRPr="00DB6C89">
        <w:rPr>
          <w:iCs/>
        </w:rPr>
        <w:t>noted that Virchow et al 2019</w:t>
      </w:r>
      <w:r w:rsidR="00E04D03" w:rsidRPr="00DB6C89">
        <w:rPr>
          <w:rStyle w:val="FootnoteReference"/>
          <w:iCs/>
        </w:rPr>
        <w:footnoteReference w:id="4"/>
      </w:r>
      <w:r w:rsidR="00E6565B" w:rsidRPr="00DB6C89">
        <w:rPr>
          <w:iCs/>
        </w:rPr>
        <w:t xml:space="preserve"> reported a mean difference in trough F</w:t>
      </w:r>
      <w:r w:rsidR="001C2075" w:rsidRPr="00DB6C89">
        <w:rPr>
          <w:iCs/>
        </w:rPr>
        <w:t>EV1 of 0.073L (95% CI 0.03</w:t>
      </w:r>
      <w:r w:rsidR="00E6565B" w:rsidRPr="00DB6C89">
        <w:rPr>
          <w:iCs/>
        </w:rPr>
        <w:t xml:space="preserve">, 0.12) for </w:t>
      </w:r>
      <w:r w:rsidR="00E6565B" w:rsidRPr="00DB6C89">
        <w:rPr>
          <w:bCs/>
        </w:rPr>
        <w:t>beclometasone dipropionate with formoterol fumarate</w:t>
      </w:r>
      <w:r w:rsidR="00E6565B" w:rsidRPr="00DB6C89">
        <w:rPr>
          <w:iCs/>
        </w:rPr>
        <w:t xml:space="preserve"> and glycopyrronium </w:t>
      </w:r>
      <w:r w:rsidR="00A238BA" w:rsidRPr="00DB6C89">
        <w:rPr>
          <w:iCs/>
        </w:rPr>
        <w:t>(BEC/FOR/GLY) versus BEC/FOR</w:t>
      </w:r>
      <w:r w:rsidR="00E6565B" w:rsidRPr="00DB6C89">
        <w:rPr>
          <w:iCs/>
        </w:rPr>
        <w:t xml:space="preserve"> in adults with uncontrolled asthma. The ESC considered that the lung</w:t>
      </w:r>
      <w:r w:rsidR="00A238BA" w:rsidRPr="00DB6C89">
        <w:rPr>
          <w:iCs/>
        </w:rPr>
        <w:t xml:space="preserve"> function improvements for MF/IND/GLY </w:t>
      </w:r>
      <w:r w:rsidR="00ED7EF9" w:rsidRPr="00DB6C89">
        <w:rPr>
          <w:iCs/>
        </w:rPr>
        <w:t>were comparable with those demonstrated in other studies evaluating the benefit of LAMA in addition to LABA/ICS in similar patient populations</w:t>
      </w:r>
      <w:r w:rsidR="008A5055">
        <w:rPr>
          <w:iCs/>
        </w:rPr>
        <w:t>.</w:t>
      </w:r>
      <w:r w:rsidR="00ED7EF9" w:rsidRPr="00DB6C89">
        <w:rPr>
          <w:iCs/>
        </w:rPr>
        <w:t xml:space="preserve"> </w:t>
      </w:r>
    </w:p>
    <w:p w:rsidR="00D701F3" w:rsidRPr="005C360B" w:rsidRDefault="00E95924" w:rsidP="005C360B">
      <w:pPr>
        <w:pStyle w:val="3-BodyText"/>
        <w:numPr>
          <w:ilvl w:val="0"/>
          <w:numId w:val="0"/>
        </w:numPr>
        <w:ind w:left="720"/>
        <w:rPr>
          <w:iCs/>
        </w:rPr>
      </w:pPr>
      <w:r w:rsidRPr="00A07146">
        <w:t xml:space="preserve">The submission did not present </w:t>
      </w:r>
      <w:r w:rsidR="00FB78DA" w:rsidRPr="00A07146">
        <w:t xml:space="preserve">results for </w:t>
      </w:r>
      <w:r w:rsidRPr="00A07146">
        <w:t xml:space="preserve">the proportion of </w:t>
      </w:r>
      <w:r w:rsidR="00235946" w:rsidRPr="00A07146">
        <w:t xml:space="preserve">trough </w:t>
      </w:r>
      <w:r w:rsidRPr="00A07146">
        <w:t>FEV1 responders (</w:t>
      </w:r>
      <w:r w:rsidR="00461990" w:rsidRPr="00A07146">
        <w:t xml:space="preserve">patients with change from baseline </w:t>
      </w:r>
      <w:r w:rsidR="00461990" w:rsidRPr="00A07146">
        <w:rPr>
          <w:rFonts w:cstheme="minorHAnsi"/>
        </w:rPr>
        <w:t>≥</w:t>
      </w:r>
      <w:r w:rsidR="00461990" w:rsidRPr="00A07146">
        <w:t xml:space="preserve"> 100 mL)</w:t>
      </w:r>
      <w:r w:rsidR="00FB78DA" w:rsidRPr="00A07146">
        <w:t xml:space="preserve">, which may be of more relevance than the mean change in </w:t>
      </w:r>
      <w:r w:rsidR="00760CE2" w:rsidRPr="00A07146">
        <w:t xml:space="preserve">trough </w:t>
      </w:r>
      <w:r w:rsidR="008A5055">
        <w:t xml:space="preserve">FEV1 across all patients. </w:t>
      </w:r>
      <w:r w:rsidR="00FB78DA" w:rsidRPr="00A07146">
        <w:t xml:space="preserve">In severe asthma, </w:t>
      </w:r>
      <w:r w:rsidR="00461990" w:rsidRPr="00A07146">
        <w:t xml:space="preserve">add-on LAMA is one of a number of potential alternatives </w:t>
      </w:r>
      <w:r w:rsidR="00FB78DA" w:rsidRPr="00A07146">
        <w:t>and therefore non-responders are likely to trial alternative therapies.</w:t>
      </w:r>
      <w:r w:rsidR="005D28C8" w:rsidRPr="00DB6C89">
        <w:rPr>
          <w:iCs/>
        </w:rPr>
        <w:t xml:space="preserve"> </w:t>
      </w:r>
      <w:r w:rsidR="00D701F3" w:rsidRPr="00DB6C89">
        <w:t>The PSCR</w:t>
      </w:r>
      <w:r w:rsidR="005D28C8" w:rsidRPr="00DB6C89">
        <w:t xml:space="preserve"> </w:t>
      </w:r>
      <w:r w:rsidR="00D701F3" w:rsidRPr="00DB6C89">
        <w:t>provided information on the proportion of patients who achieved improvement of ≥100mL in trough FEV1 at Week 26 and 52 from Iridium</w:t>
      </w:r>
      <w:r w:rsidR="005D28C8" w:rsidRPr="00DB6C89">
        <w:t xml:space="preserve"> (Table 7</w:t>
      </w:r>
      <w:r w:rsidR="008A5055">
        <w:t xml:space="preserve">). </w:t>
      </w:r>
      <w:r w:rsidR="005D28C8" w:rsidRPr="00DB6C89">
        <w:t xml:space="preserve">The PSCR noted that </w:t>
      </w:r>
      <w:r w:rsidR="00134053" w:rsidRPr="00DB6C89">
        <w:t>a</w:t>
      </w:r>
      <w:r w:rsidR="00D701F3" w:rsidRPr="00DB6C89">
        <w:t>t Week 26 high dose MF/IND/GLY had higher proportion of responders compared wit</w:t>
      </w:r>
      <w:r w:rsidR="008A5055">
        <w:t xml:space="preserve">h high dose MF/IND and FP/SAL. </w:t>
      </w:r>
      <w:r w:rsidR="005D28C8" w:rsidRPr="00DB6C89">
        <w:t>The PSCR also noted m</w:t>
      </w:r>
      <w:r w:rsidR="00D701F3" w:rsidRPr="00DB6C89">
        <w:t>edium dose MF/IND/GLY had higher proportion of responders than bo</w:t>
      </w:r>
      <w:r w:rsidR="008A5055">
        <w:t xml:space="preserve">th doses of MF/IND and FP/SAL. </w:t>
      </w:r>
      <w:r w:rsidR="005D28C8" w:rsidRPr="00DB6C89">
        <w:t>The PSCR stated t</w:t>
      </w:r>
      <w:r w:rsidR="00D701F3" w:rsidRPr="00DB6C89">
        <w:t>here was no significant difference in the proportion of responders betwee</w:t>
      </w:r>
      <w:r w:rsidR="008A5055">
        <w:t xml:space="preserve">n the two doses of MF/IND/GLY. </w:t>
      </w:r>
      <w:r w:rsidR="005D28C8" w:rsidRPr="00DB6C89">
        <w:t>In addition, the PSCR noted t</w:t>
      </w:r>
      <w:r w:rsidR="00D701F3" w:rsidRPr="00DB6C89">
        <w:t>he results were similar at Week 52, except there was no significant difference between medium dose MF</w:t>
      </w:r>
      <w:r w:rsidR="008A5055">
        <w:t xml:space="preserve">/IND/GLY and high dose MF/IND. </w:t>
      </w:r>
      <w:r w:rsidR="00D701F3" w:rsidRPr="00DB6C89">
        <w:t>The</w:t>
      </w:r>
      <w:r w:rsidR="00584BC6" w:rsidRPr="00DB6C89">
        <w:t xml:space="preserve"> ESC considered the</w:t>
      </w:r>
      <w:r w:rsidR="00D701F3" w:rsidRPr="00DB6C89">
        <w:t xml:space="preserve"> results also indicate that the incremental benefit of triple therapy </w:t>
      </w:r>
      <w:r w:rsidR="00D701F3" w:rsidRPr="00DB6C89">
        <w:lastRenderedPageBreak/>
        <w:t>MF/IND/GLY versus dual therapy MF/IND in terms of proportion of responders at Week 26 was similar for medium and high dose ICS.</w:t>
      </w:r>
    </w:p>
    <w:p w:rsidR="00D701F3" w:rsidRPr="00801372" w:rsidRDefault="00D701F3" w:rsidP="00D701F3">
      <w:pPr>
        <w:keepNext/>
        <w:keepLines/>
        <w:rPr>
          <w:rFonts w:ascii="Arial Narrow" w:hAnsi="Arial Narrow"/>
          <w:b/>
          <w:sz w:val="20"/>
        </w:rPr>
      </w:pPr>
      <w:r w:rsidRPr="00801372">
        <w:rPr>
          <w:rFonts w:ascii="Arial Narrow" w:hAnsi="Arial Narrow"/>
          <w:b/>
          <w:sz w:val="20"/>
        </w:rPr>
        <w:t xml:space="preserve">Table 7: Proportion of patients with improvement of ≥100mL in trough FEV1 </w:t>
      </w:r>
      <w:r w:rsidR="005D28C8" w:rsidRPr="00801372">
        <w:rPr>
          <w:rFonts w:ascii="Arial Narrow" w:hAnsi="Arial Narrow"/>
          <w:b/>
          <w:sz w:val="20"/>
        </w:rPr>
        <w:t>at Week 26</w:t>
      </w:r>
      <w:r w:rsidRPr="00801372">
        <w:rPr>
          <w:rFonts w:ascii="Arial Narrow" w:hAnsi="Arial Narrow"/>
          <w:b/>
          <w:sz w:val="20"/>
        </w:rPr>
        <w:t xml:space="preserve"> and 52 from Iridium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48"/>
        <w:gridCol w:w="1417"/>
        <w:gridCol w:w="1243"/>
        <w:gridCol w:w="1446"/>
      </w:tblGrid>
      <w:tr w:rsidR="00D701F3" w:rsidRPr="00801372" w:rsidTr="00DE5884">
        <w:tc>
          <w:tcPr>
            <w:tcW w:w="4848" w:type="dxa"/>
            <w:tcBorders>
              <w:bottom w:val="single" w:sz="4" w:space="0" w:color="auto"/>
            </w:tcBorders>
            <w:shd w:val="clear" w:color="auto" w:fill="auto"/>
            <w:vAlign w:val="center"/>
          </w:tcPr>
          <w:p w:rsidR="00D701F3" w:rsidRPr="00801372" w:rsidRDefault="00D701F3" w:rsidP="00DE5884">
            <w:pPr>
              <w:keepNext/>
              <w:keepLines/>
              <w:rPr>
                <w:rFonts w:ascii="Arial Narrow" w:hAnsi="Arial Narrow"/>
                <w:b/>
                <w:sz w:val="20"/>
              </w:rPr>
            </w:pPr>
          </w:p>
        </w:tc>
        <w:tc>
          <w:tcPr>
            <w:tcW w:w="1417" w:type="dxa"/>
            <w:tcBorders>
              <w:bottom w:val="single" w:sz="4" w:space="0" w:color="auto"/>
            </w:tcBorders>
            <w:shd w:val="clear" w:color="auto" w:fill="auto"/>
            <w:vAlign w:val="center"/>
          </w:tcPr>
          <w:p w:rsidR="00D701F3" w:rsidRPr="00801372" w:rsidRDefault="00D701F3" w:rsidP="00DE5884">
            <w:pPr>
              <w:keepNext/>
              <w:keepLines/>
              <w:jc w:val="center"/>
              <w:rPr>
                <w:rFonts w:ascii="Arial Narrow" w:hAnsi="Arial Narrow"/>
                <w:b/>
                <w:sz w:val="20"/>
              </w:rPr>
            </w:pPr>
            <w:r w:rsidRPr="00801372">
              <w:rPr>
                <w:rFonts w:ascii="Arial Narrow" w:hAnsi="Arial Narrow"/>
                <w:b/>
                <w:sz w:val="20"/>
              </w:rPr>
              <w:t>ICS/LABA/LAMA</w:t>
            </w:r>
          </w:p>
        </w:tc>
        <w:tc>
          <w:tcPr>
            <w:tcW w:w="1243" w:type="dxa"/>
            <w:tcBorders>
              <w:bottom w:val="single" w:sz="4" w:space="0" w:color="auto"/>
            </w:tcBorders>
            <w:shd w:val="clear" w:color="auto" w:fill="auto"/>
            <w:vAlign w:val="center"/>
          </w:tcPr>
          <w:p w:rsidR="00D701F3" w:rsidRPr="00801372" w:rsidRDefault="00D701F3" w:rsidP="00DE5884">
            <w:pPr>
              <w:keepNext/>
              <w:keepLines/>
              <w:jc w:val="center"/>
              <w:rPr>
                <w:rFonts w:ascii="Arial Narrow" w:hAnsi="Arial Narrow"/>
                <w:b/>
                <w:sz w:val="20"/>
              </w:rPr>
            </w:pPr>
            <w:r w:rsidRPr="00801372">
              <w:rPr>
                <w:rFonts w:ascii="Arial Narrow" w:hAnsi="Arial Narrow"/>
                <w:b/>
                <w:sz w:val="20"/>
              </w:rPr>
              <w:t>ICS/LABA</w:t>
            </w:r>
          </w:p>
        </w:tc>
        <w:tc>
          <w:tcPr>
            <w:tcW w:w="1446" w:type="dxa"/>
            <w:tcBorders>
              <w:bottom w:val="single" w:sz="4" w:space="0" w:color="auto"/>
            </w:tcBorders>
            <w:shd w:val="clear" w:color="auto" w:fill="auto"/>
            <w:vAlign w:val="center"/>
          </w:tcPr>
          <w:p w:rsidR="00D701F3" w:rsidRPr="00801372" w:rsidRDefault="00D701F3" w:rsidP="00DE5884">
            <w:pPr>
              <w:keepNext/>
              <w:keepLines/>
              <w:jc w:val="center"/>
              <w:rPr>
                <w:rFonts w:ascii="Arial Narrow" w:hAnsi="Arial Narrow"/>
                <w:sz w:val="20"/>
              </w:rPr>
            </w:pPr>
            <w:r w:rsidRPr="00801372">
              <w:rPr>
                <w:rFonts w:ascii="Arial Narrow" w:hAnsi="Arial Narrow"/>
                <w:b/>
                <w:sz w:val="20"/>
              </w:rPr>
              <w:t>Odds Ratio (95%CI)</w:t>
            </w:r>
          </w:p>
        </w:tc>
      </w:tr>
      <w:tr w:rsidR="00D701F3" w:rsidRPr="00801372" w:rsidTr="00DE5884">
        <w:tc>
          <w:tcPr>
            <w:tcW w:w="8954" w:type="dxa"/>
            <w:gridSpan w:val="4"/>
            <w:tcBorders>
              <w:bottom w:val="nil"/>
            </w:tcBorders>
            <w:shd w:val="clear" w:color="auto" w:fill="auto"/>
            <w:vAlign w:val="center"/>
          </w:tcPr>
          <w:p w:rsidR="00D701F3" w:rsidRPr="00801372" w:rsidRDefault="00D701F3" w:rsidP="00DE5884">
            <w:pPr>
              <w:keepNext/>
              <w:keepLines/>
              <w:rPr>
                <w:rFonts w:ascii="Arial Narrow" w:hAnsi="Arial Narrow"/>
                <w:sz w:val="20"/>
              </w:rPr>
            </w:pPr>
            <w:r w:rsidRPr="00801372">
              <w:rPr>
                <w:rFonts w:ascii="Arial Narrow" w:hAnsi="Arial Narrow"/>
                <w:b/>
                <w:sz w:val="20"/>
              </w:rPr>
              <w:t>Improvement of ≥100mL in trough FEV1</w:t>
            </w:r>
          </w:p>
        </w:tc>
      </w:tr>
      <w:tr w:rsidR="00D701F3" w:rsidRPr="00801372" w:rsidTr="00DE5884">
        <w:tc>
          <w:tcPr>
            <w:tcW w:w="4848" w:type="dxa"/>
            <w:tcBorders>
              <w:top w:val="single" w:sz="4" w:space="0" w:color="auto"/>
              <w:bottom w:val="nil"/>
            </w:tcBorders>
            <w:shd w:val="clear" w:color="auto" w:fill="auto"/>
          </w:tcPr>
          <w:p w:rsidR="00D701F3" w:rsidRPr="00801372" w:rsidRDefault="00D701F3" w:rsidP="00DE5884">
            <w:pPr>
              <w:keepNext/>
              <w:keepLines/>
              <w:rPr>
                <w:rFonts w:ascii="Arial Narrow" w:hAnsi="Arial Narrow"/>
                <w:sz w:val="20"/>
              </w:rPr>
            </w:pPr>
            <w:r w:rsidRPr="00801372">
              <w:rPr>
                <w:rFonts w:ascii="Arial Narrow" w:hAnsi="Arial Narrow"/>
                <w:sz w:val="20"/>
              </w:rPr>
              <w:t>Medium dose ICS/LABA/LAMA vs ICS/LABA; Iridium Wk 26</w:t>
            </w:r>
          </w:p>
        </w:tc>
        <w:tc>
          <w:tcPr>
            <w:tcW w:w="1417" w:type="dxa"/>
            <w:tcBorders>
              <w:top w:val="single" w:sz="4" w:space="0" w:color="auto"/>
              <w:bottom w:val="nil"/>
            </w:tcBorders>
            <w:shd w:val="clear" w:color="auto" w:fill="auto"/>
            <w:vAlign w:val="center"/>
          </w:tcPr>
          <w:p w:rsidR="00D701F3" w:rsidRPr="00801372" w:rsidRDefault="00D701F3" w:rsidP="00DE5884">
            <w:pPr>
              <w:keepNext/>
              <w:keepLines/>
              <w:jc w:val="center"/>
              <w:rPr>
                <w:rFonts w:ascii="Arial Narrow" w:hAnsi="Arial Narrow"/>
                <w:sz w:val="20"/>
              </w:rPr>
            </w:pPr>
          </w:p>
        </w:tc>
        <w:tc>
          <w:tcPr>
            <w:tcW w:w="1243" w:type="dxa"/>
            <w:tcBorders>
              <w:top w:val="single" w:sz="4" w:space="0" w:color="auto"/>
              <w:bottom w:val="nil"/>
            </w:tcBorders>
            <w:shd w:val="clear" w:color="auto" w:fill="auto"/>
            <w:vAlign w:val="center"/>
          </w:tcPr>
          <w:p w:rsidR="00D701F3" w:rsidRPr="00801372" w:rsidRDefault="00D701F3" w:rsidP="00DE5884">
            <w:pPr>
              <w:keepNext/>
              <w:keepLines/>
              <w:jc w:val="center"/>
              <w:rPr>
                <w:rFonts w:ascii="Arial Narrow" w:hAnsi="Arial Narrow"/>
                <w:sz w:val="20"/>
              </w:rPr>
            </w:pPr>
          </w:p>
        </w:tc>
        <w:tc>
          <w:tcPr>
            <w:tcW w:w="1446" w:type="dxa"/>
            <w:tcBorders>
              <w:top w:val="single" w:sz="4" w:space="0" w:color="auto"/>
              <w:bottom w:val="nil"/>
            </w:tcBorders>
            <w:shd w:val="clear" w:color="auto" w:fill="auto"/>
            <w:vAlign w:val="center"/>
          </w:tcPr>
          <w:p w:rsidR="00D701F3" w:rsidRPr="00801372" w:rsidRDefault="00D701F3" w:rsidP="00DE5884">
            <w:pPr>
              <w:keepNext/>
              <w:keepLines/>
              <w:jc w:val="center"/>
              <w:rPr>
                <w:rFonts w:ascii="Arial Narrow" w:hAnsi="Arial Narrow"/>
                <w:sz w:val="20"/>
              </w:rPr>
            </w:pPr>
          </w:p>
        </w:tc>
      </w:tr>
      <w:tr w:rsidR="00D701F3" w:rsidRPr="00801372" w:rsidTr="00DE5884">
        <w:tc>
          <w:tcPr>
            <w:tcW w:w="4848" w:type="dxa"/>
            <w:tcBorders>
              <w:top w:val="nil"/>
              <w:bottom w:val="nil"/>
            </w:tcBorders>
            <w:shd w:val="clear" w:color="auto" w:fill="auto"/>
            <w:vAlign w:val="center"/>
          </w:tcPr>
          <w:p w:rsidR="00D701F3" w:rsidRPr="00801372" w:rsidRDefault="00D701F3" w:rsidP="00DE5884">
            <w:pPr>
              <w:keepNext/>
              <w:keepLines/>
              <w:ind w:left="112"/>
              <w:rPr>
                <w:rFonts w:ascii="Arial Narrow" w:hAnsi="Arial Narrow"/>
                <w:sz w:val="20"/>
              </w:rPr>
            </w:pPr>
            <w:r w:rsidRPr="00801372">
              <w:rPr>
                <w:rFonts w:ascii="Arial Narrow" w:hAnsi="Arial Narrow"/>
                <w:sz w:val="20"/>
              </w:rPr>
              <w:t>MF/IND/GLY 80/150/50 D vs MF/IND 160/150 D;</w:t>
            </w:r>
          </w:p>
        </w:tc>
        <w:tc>
          <w:tcPr>
            <w:tcW w:w="1417" w:type="dxa"/>
            <w:tcBorders>
              <w:top w:val="nil"/>
              <w:bottom w:val="nil"/>
            </w:tcBorders>
            <w:shd w:val="clear" w:color="auto" w:fill="auto"/>
            <w:vAlign w:val="center"/>
          </w:tcPr>
          <w:p w:rsidR="00D701F3" w:rsidRPr="00D8008D" w:rsidRDefault="00D8008D" w:rsidP="00DE5884">
            <w:pPr>
              <w:keepNext/>
              <w:keepLines/>
              <w:jc w:val="center"/>
              <w:rPr>
                <w:rFonts w:ascii="Arial Narrow" w:hAnsi="Arial Narrow"/>
                <w:sz w:val="20"/>
                <w:highlight w:val="black"/>
              </w:rPr>
            </w:pPr>
            <w:r>
              <w:rPr>
                <w:rFonts w:ascii="Arial Narrow" w:hAnsi="Arial Narrow"/>
                <w:noProof/>
                <w:color w:val="000000"/>
                <w:sz w:val="20"/>
                <w:highlight w:val="black"/>
              </w:rPr>
              <w:t>'''''''''''''''''''' '''''''''''''''</w:t>
            </w:r>
          </w:p>
        </w:tc>
        <w:tc>
          <w:tcPr>
            <w:tcW w:w="1243" w:type="dxa"/>
            <w:tcBorders>
              <w:top w:val="nil"/>
              <w:bottom w:val="nil"/>
            </w:tcBorders>
            <w:shd w:val="clear" w:color="auto" w:fill="auto"/>
            <w:vAlign w:val="center"/>
          </w:tcPr>
          <w:p w:rsidR="00D701F3" w:rsidRPr="00D8008D" w:rsidRDefault="00D8008D" w:rsidP="00DE5884">
            <w:pPr>
              <w:keepNext/>
              <w:keepLines/>
              <w:jc w:val="center"/>
              <w:rPr>
                <w:rFonts w:ascii="Arial Narrow" w:hAnsi="Arial Narrow"/>
                <w:sz w:val="20"/>
                <w:highlight w:val="black"/>
              </w:rPr>
            </w:pPr>
            <w:r>
              <w:rPr>
                <w:rFonts w:ascii="Arial Narrow" w:hAnsi="Arial Narrow"/>
                <w:noProof/>
                <w:color w:val="000000"/>
                <w:sz w:val="20"/>
                <w:highlight w:val="black"/>
              </w:rPr>
              <w:t>'''''''''''''''''' ''''''''''''</w:t>
            </w:r>
          </w:p>
        </w:tc>
        <w:tc>
          <w:tcPr>
            <w:tcW w:w="1446" w:type="dxa"/>
            <w:tcBorders>
              <w:top w:val="nil"/>
              <w:bottom w:val="nil"/>
            </w:tcBorders>
            <w:shd w:val="clear" w:color="auto" w:fill="auto"/>
            <w:vAlign w:val="center"/>
          </w:tcPr>
          <w:p w:rsidR="00D701F3" w:rsidRPr="00D8008D" w:rsidRDefault="00D8008D" w:rsidP="00DE5884">
            <w:pPr>
              <w:keepNext/>
              <w:keepLines/>
              <w:jc w:val="center"/>
              <w:rPr>
                <w:rFonts w:ascii="Arial Narrow" w:hAnsi="Arial Narrow"/>
                <w:b/>
                <w:sz w:val="20"/>
                <w:highlight w:val="black"/>
              </w:rPr>
            </w:pPr>
            <w:r>
              <w:rPr>
                <w:rFonts w:ascii="Arial Narrow" w:hAnsi="Arial Narrow"/>
                <w:b/>
                <w:noProof/>
                <w:color w:val="000000"/>
                <w:sz w:val="20"/>
                <w:highlight w:val="black"/>
              </w:rPr>
              <w:t>'''''''' ''''''''''''''''''''</w:t>
            </w:r>
          </w:p>
        </w:tc>
      </w:tr>
      <w:tr w:rsidR="00D701F3" w:rsidRPr="00801372" w:rsidTr="00DE5884">
        <w:tc>
          <w:tcPr>
            <w:tcW w:w="4848" w:type="dxa"/>
            <w:tcBorders>
              <w:top w:val="nil"/>
              <w:bottom w:val="nil"/>
            </w:tcBorders>
            <w:shd w:val="clear" w:color="auto" w:fill="auto"/>
            <w:vAlign w:val="center"/>
          </w:tcPr>
          <w:p w:rsidR="00D701F3" w:rsidRPr="00801372" w:rsidRDefault="00D701F3" w:rsidP="00DE5884">
            <w:pPr>
              <w:ind w:left="112"/>
              <w:rPr>
                <w:rFonts w:ascii="Arial Narrow" w:hAnsi="Arial Narrow"/>
                <w:sz w:val="20"/>
              </w:rPr>
            </w:pPr>
            <w:r w:rsidRPr="00801372">
              <w:rPr>
                <w:rFonts w:ascii="Arial Narrow" w:hAnsi="Arial Narrow"/>
                <w:sz w:val="20"/>
              </w:rPr>
              <w:t>MF/IND/GLY 80/150/50 D vs MF/IND 320/150 D;</w:t>
            </w:r>
          </w:p>
        </w:tc>
        <w:tc>
          <w:tcPr>
            <w:tcW w:w="1417" w:type="dxa"/>
            <w:tcBorders>
              <w:top w:val="nil"/>
              <w:bottom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243" w:type="dxa"/>
            <w:tcBorders>
              <w:top w:val="nil"/>
              <w:bottom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446" w:type="dxa"/>
            <w:tcBorders>
              <w:top w:val="nil"/>
              <w:bottom w:val="nil"/>
            </w:tcBorders>
            <w:shd w:val="clear" w:color="auto" w:fill="auto"/>
            <w:vAlign w:val="center"/>
          </w:tcPr>
          <w:p w:rsidR="00D701F3" w:rsidRPr="00D8008D" w:rsidRDefault="00D8008D" w:rsidP="00DE5884">
            <w:pPr>
              <w:jc w:val="center"/>
              <w:rPr>
                <w:rFonts w:ascii="Arial Narrow" w:hAnsi="Arial Narrow"/>
                <w:b/>
                <w:sz w:val="20"/>
                <w:highlight w:val="black"/>
              </w:rPr>
            </w:pPr>
            <w:r>
              <w:rPr>
                <w:rFonts w:ascii="Arial Narrow" w:hAnsi="Arial Narrow"/>
                <w:b/>
                <w:noProof/>
                <w:color w:val="000000"/>
                <w:sz w:val="20"/>
                <w:highlight w:val="black"/>
              </w:rPr>
              <w:t>''''''''' '''''''''''''''''''''</w:t>
            </w:r>
          </w:p>
        </w:tc>
      </w:tr>
      <w:tr w:rsidR="00D701F3" w:rsidRPr="00801372" w:rsidTr="00DE5884">
        <w:tc>
          <w:tcPr>
            <w:tcW w:w="4848" w:type="dxa"/>
            <w:tcBorders>
              <w:top w:val="nil"/>
              <w:bottom w:val="nil"/>
            </w:tcBorders>
            <w:shd w:val="clear" w:color="auto" w:fill="auto"/>
            <w:vAlign w:val="center"/>
          </w:tcPr>
          <w:p w:rsidR="00D701F3" w:rsidRPr="00801372" w:rsidRDefault="00D701F3" w:rsidP="00DE5884">
            <w:pPr>
              <w:ind w:left="112"/>
              <w:rPr>
                <w:rFonts w:ascii="Arial Narrow" w:hAnsi="Arial Narrow"/>
                <w:sz w:val="20"/>
              </w:rPr>
            </w:pPr>
            <w:r w:rsidRPr="00801372">
              <w:rPr>
                <w:rFonts w:ascii="Arial Narrow" w:hAnsi="Arial Narrow"/>
                <w:sz w:val="20"/>
              </w:rPr>
              <w:t>MF/IND/GLY 80/150/50 D vs FP/SAL 500/50 BD;</w:t>
            </w:r>
          </w:p>
        </w:tc>
        <w:tc>
          <w:tcPr>
            <w:tcW w:w="1417" w:type="dxa"/>
            <w:tcBorders>
              <w:top w:val="nil"/>
              <w:bottom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243" w:type="dxa"/>
            <w:tcBorders>
              <w:top w:val="nil"/>
              <w:bottom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446" w:type="dxa"/>
            <w:tcBorders>
              <w:top w:val="nil"/>
              <w:bottom w:val="nil"/>
            </w:tcBorders>
            <w:shd w:val="clear" w:color="auto" w:fill="auto"/>
            <w:vAlign w:val="center"/>
          </w:tcPr>
          <w:p w:rsidR="00D701F3" w:rsidRPr="00D8008D" w:rsidRDefault="00D8008D" w:rsidP="00DE5884">
            <w:pPr>
              <w:jc w:val="center"/>
              <w:rPr>
                <w:rFonts w:ascii="Arial Narrow" w:hAnsi="Arial Narrow"/>
                <w:b/>
                <w:sz w:val="20"/>
                <w:highlight w:val="black"/>
              </w:rPr>
            </w:pPr>
            <w:r>
              <w:rPr>
                <w:rFonts w:ascii="Arial Narrow" w:hAnsi="Arial Narrow"/>
                <w:b/>
                <w:noProof/>
                <w:color w:val="000000"/>
                <w:sz w:val="20"/>
                <w:highlight w:val="black"/>
              </w:rPr>
              <w:t>'''''''' ''''''''''' '''''''''''</w:t>
            </w:r>
          </w:p>
        </w:tc>
      </w:tr>
      <w:tr w:rsidR="00D701F3" w:rsidRPr="00801372" w:rsidTr="00DE5884">
        <w:tc>
          <w:tcPr>
            <w:tcW w:w="4848" w:type="dxa"/>
            <w:tcBorders>
              <w:top w:val="nil"/>
              <w:bottom w:val="nil"/>
            </w:tcBorders>
            <w:shd w:val="clear" w:color="auto" w:fill="auto"/>
            <w:vAlign w:val="center"/>
          </w:tcPr>
          <w:p w:rsidR="00D701F3" w:rsidRPr="00801372" w:rsidRDefault="00D701F3" w:rsidP="00DE5884">
            <w:pPr>
              <w:rPr>
                <w:rFonts w:ascii="Arial Narrow" w:hAnsi="Arial Narrow"/>
                <w:sz w:val="20"/>
              </w:rPr>
            </w:pPr>
            <w:r w:rsidRPr="00801372">
              <w:rPr>
                <w:rFonts w:ascii="Arial Narrow" w:hAnsi="Arial Narrow"/>
                <w:sz w:val="20"/>
              </w:rPr>
              <w:t>Medium dose ICS/LABA/LAMA vs ICS/LABA; Iridium Wk 52</w:t>
            </w:r>
          </w:p>
        </w:tc>
        <w:tc>
          <w:tcPr>
            <w:tcW w:w="1417" w:type="dxa"/>
            <w:tcBorders>
              <w:top w:val="nil"/>
              <w:bottom w:val="nil"/>
            </w:tcBorders>
            <w:shd w:val="clear" w:color="auto" w:fill="auto"/>
            <w:vAlign w:val="center"/>
          </w:tcPr>
          <w:p w:rsidR="00D701F3" w:rsidRPr="00D8008D" w:rsidRDefault="00D701F3" w:rsidP="00DE5884">
            <w:pPr>
              <w:jc w:val="center"/>
              <w:rPr>
                <w:rFonts w:ascii="Arial Narrow" w:hAnsi="Arial Narrow"/>
                <w:sz w:val="20"/>
              </w:rPr>
            </w:pPr>
          </w:p>
        </w:tc>
        <w:tc>
          <w:tcPr>
            <w:tcW w:w="1243" w:type="dxa"/>
            <w:tcBorders>
              <w:top w:val="nil"/>
              <w:bottom w:val="nil"/>
            </w:tcBorders>
            <w:shd w:val="clear" w:color="auto" w:fill="auto"/>
            <w:vAlign w:val="center"/>
          </w:tcPr>
          <w:p w:rsidR="00D701F3" w:rsidRPr="00D8008D" w:rsidRDefault="00D701F3" w:rsidP="00DE5884">
            <w:pPr>
              <w:jc w:val="center"/>
              <w:rPr>
                <w:rFonts w:ascii="Arial Narrow" w:hAnsi="Arial Narrow"/>
                <w:sz w:val="20"/>
              </w:rPr>
            </w:pPr>
          </w:p>
        </w:tc>
        <w:tc>
          <w:tcPr>
            <w:tcW w:w="1446" w:type="dxa"/>
            <w:tcBorders>
              <w:top w:val="nil"/>
              <w:bottom w:val="nil"/>
            </w:tcBorders>
            <w:shd w:val="clear" w:color="auto" w:fill="auto"/>
            <w:vAlign w:val="center"/>
          </w:tcPr>
          <w:p w:rsidR="00D701F3" w:rsidRPr="00D8008D" w:rsidRDefault="00D701F3" w:rsidP="00DE5884">
            <w:pPr>
              <w:jc w:val="center"/>
              <w:rPr>
                <w:rFonts w:ascii="Arial Narrow" w:hAnsi="Arial Narrow"/>
                <w:b/>
                <w:sz w:val="20"/>
              </w:rPr>
            </w:pPr>
          </w:p>
        </w:tc>
      </w:tr>
      <w:tr w:rsidR="00D701F3" w:rsidRPr="00801372" w:rsidTr="00DE5884">
        <w:tc>
          <w:tcPr>
            <w:tcW w:w="4848" w:type="dxa"/>
            <w:tcBorders>
              <w:top w:val="nil"/>
              <w:bottom w:val="nil"/>
            </w:tcBorders>
            <w:shd w:val="clear" w:color="auto" w:fill="auto"/>
            <w:vAlign w:val="center"/>
          </w:tcPr>
          <w:p w:rsidR="00D701F3" w:rsidRPr="00801372" w:rsidRDefault="00D701F3" w:rsidP="00DE5884">
            <w:pPr>
              <w:keepNext/>
              <w:keepLines/>
              <w:ind w:left="112"/>
              <w:rPr>
                <w:rFonts w:ascii="Arial Narrow" w:hAnsi="Arial Narrow"/>
                <w:sz w:val="20"/>
              </w:rPr>
            </w:pPr>
            <w:r w:rsidRPr="00801372">
              <w:rPr>
                <w:rFonts w:ascii="Arial Narrow" w:hAnsi="Arial Narrow"/>
                <w:sz w:val="20"/>
              </w:rPr>
              <w:t>MF/IND/GLY 80/150/50 D vs MF/IND 160/150 D;</w:t>
            </w:r>
          </w:p>
        </w:tc>
        <w:tc>
          <w:tcPr>
            <w:tcW w:w="1417" w:type="dxa"/>
            <w:tcBorders>
              <w:top w:val="nil"/>
              <w:bottom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243" w:type="dxa"/>
            <w:tcBorders>
              <w:top w:val="nil"/>
              <w:bottom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446" w:type="dxa"/>
            <w:tcBorders>
              <w:top w:val="nil"/>
              <w:bottom w:val="nil"/>
            </w:tcBorders>
            <w:shd w:val="clear" w:color="auto" w:fill="auto"/>
            <w:vAlign w:val="center"/>
          </w:tcPr>
          <w:p w:rsidR="00D701F3" w:rsidRPr="00D8008D" w:rsidRDefault="00D8008D" w:rsidP="00DE5884">
            <w:pPr>
              <w:jc w:val="center"/>
              <w:rPr>
                <w:rFonts w:ascii="Arial Narrow" w:hAnsi="Arial Narrow"/>
                <w:b/>
                <w:sz w:val="20"/>
                <w:highlight w:val="black"/>
              </w:rPr>
            </w:pPr>
            <w:r>
              <w:rPr>
                <w:rFonts w:ascii="Arial Narrow" w:hAnsi="Arial Narrow"/>
                <w:b/>
                <w:noProof/>
                <w:color w:val="000000"/>
                <w:sz w:val="20"/>
                <w:highlight w:val="black"/>
              </w:rPr>
              <w:t>'''''''''' '''''''''''''''''''''''</w:t>
            </w:r>
          </w:p>
        </w:tc>
      </w:tr>
      <w:tr w:rsidR="00D701F3" w:rsidRPr="00801372" w:rsidTr="00DE5884">
        <w:tc>
          <w:tcPr>
            <w:tcW w:w="4848" w:type="dxa"/>
            <w:tcBorders>
              <w:top w:val="nil"/>
              <w:bottom w:val="nil"/>
            </w:tcBorders>
            <w:shd w:val="clear" w:color="auto" w:fill="auto"/>
            <w:vAlign w:val="center"/>
          </w:tcPr>
          <w:p w:rsidR="00D701F3" w:rsidRPr="00801372" w:rsidRDefault="00D701F3" w:rsidP="00DE5884">
            <w:pPr>
              <w:ind w:left="112"/>
              <w:rPr>
                <w:rFonts w:ascii="Arial Narrow" w:hAnsi="Arial Narrow"/>
                <w:sz w:val="20"/>
              </w:rPr>
            </w:pPr>
            <w:r w:rsidRPr="00801372">
              <w:rPr>
                <w:rFonts w:ascii="Arial Narrow" w:hAnsi="Arial Narrow"/>
                <w:sz w:val="20"/>
              </w:rPr>
              <w:t>MF/IND/GLY 80/150/50 D vs MF/IND 320/150 D;</w:t>
            </w:r>
          </w:p>
        </w:tc>
        <w:tc>
          <w:tcPr>
            <w:tcW w:w="1417" w:type="dxa"/>
            <w:tcBorders>
              <w:top w:val="nil"/>
              <w:bottom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243" w:type="dxa"/>
            <w:tcBorders>
              <w:top w:val="nil"/>
              <w:bottom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446" w:type="dxa"/>
            <w:tcBorders>
              <w:top w:val="nil"/>
              <w:bottom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r>
      <w:tr w:rsidR="00D701F3" w:rsidRPr="00801372" w:rsidTr="00DE5884">
        <w:tc>
          <w:tcPr>
            <w:tcW w:w="4848" w:type="dxa"/>
            <w:tcBorders>
              <w:top w:val="nil"/>
            </w:tcBorders>
            <w:shd w:val="clear" w:color="auto" w:fill="auto"/>
            <w:vAlign w:val="center"/>
          </w:tcPr>
          <w:p w:rsidR="00D701F3" w:rsidRPr="00801372" w:rsidRDefault="00D701F3" w:rsidP="00DE5884">
            <w:pPr>
              <w:ind w:left="112"/>
              <w:rPr>
                <w:rFonts w:ascii="Arial Narrow" w:hAnsi="Arial Narrow"/>
                <w:sz w:val="20"/>
              </w:rPr>
            </w:pPr>
            <w:r w:rsidRPr="00801372">
              <w:rPr>
                <w:rFonts w:ascii="Arial Narrow" w:hAnsi="Arial Narrow"/>
                <w:sz w:val="20"/>
              </w:rPr>
              <w:t>MF/IND/GLY 80/150/50 D vs FP/SAL 500/50 BD;</w:t>
            </w:r>
          </w:p>
        </w:tc>
        <w:tc>
          <w:tcPr>
            <w:tcW w:w="1417" w:type="dxa"/>
            <w:tcBorders>
              <w:top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243" w:type="dxa"/>
            <w:tcBorders>
              <w:top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446" w:type="dxa"/>
            <w:tcBorders>
              <w:top w:val="nil"/>
            </w:tcBorders>
            <w:shd w:val="clear" w:color="auto" w:fill="auto"/>
            <w:vAlign w:val="center"/>
          </w:tcPr>
          <w:p w:rsidR="00D701F3" w:rsidRPr="00D8008D" w:rsidRDefault="00D8008D" w:rsidP="00DE5884">
            <w:pPr>
              <w:jc w:val="center"/>
              <w:rPr>
                <w:rFonts w:ascii="Arial Narrow" w:hAnsi="Arial Narrow"/>
                <w:b/>
                <w:sz w:val="20"/>
                <w:highlight w:val="black"/>
              </w:rPr>
            </w:pPr>
            <w:r>
              <w:rPr>
                <w:rFonts w:ascii="Arial Narrow" w:hAnsi="Arial Narrow"/>
                <w:b/>
                <w:noProof/>
                <w:color w:val="000000"/>
                <w:sz w:val="20"/>
                <w:highlight w:val="black"/>
              </w:rPr>
              <w:t>''''''''' '''''''''''''''''''''</w:t>
            </w:r>
          </w:p>
        </w:tc>
      </w:tr>
      <w:tr w:rsidR="00D701F3" w:rsidRPr="00801372" w:rsidTr="00DE5884">
        <w:tc>
          <w:tcPr>
            <w:tcW w:w="4848" w:type="dxa"/>
            <w:tcBorders>
              <w:bottom w:val="nil"/>
            </w:tcBorders>
            <w:shd w:val="clear" w:color="auto" w:fill="auto"/>
            <w:vAlign w:val="center"/>
          </w:tcPr>
          <w:p w:rsidR="00D701F3" w:rsidRPr="00801372" w:rsidRDefault="00D701F3" w:rsidP="00DE5884">
            <w:pPr>
              <w:rPr>
                <w:rFonts w:ascii="Arial Narrow" w:hAnsi="Arial Narrow"/>
                <w:sz w:val="20"/>
              </w:rPr>
            </w:pPr>
            <w:r w:rsidRPr="00801372">
              <w:rPr>
                <w:rFonts w:ascii="Arial Narrow" w:hAnsi="Arial Narrow"/>
                <w:sz w:val="20"/>
              </w:rPr>
              <w:t>High dose ICS/LABA/LAMA vs ICS/LABA; Iridium Wk 26</w:t>
            </w:r>
          </w:p>
        </w:tc>
        <w:tc>
          <w:tcPr>
            <w:tcW w:w="1417" w:type="dxa"/>
            <w:tcBorders>
              <w:bottom w:val="nil"/>
            </w:tcBorders>
            <w:shd w:val="clear" w:color="auto" w:fill="auto"/>
            <w:vAlign w:val="center"/>
          </w:tcPr>
          <w:p w:rsidR="00D701F3" w:rsidRPr="00D8008D" w:rsidRDefault="00D701F3" w:rsidP="00DE5884">
            <w:pPr>
              <w:jc w:val="center"/>
              <w:rPr>
                <w:rFonts w:ascii="Arial Narrow" w:hAnsi="Arial Narrow"/>
                <w:sz w:val="20"/>
              </w:rPr>
            </w:pPr>
          </w:p>
        </w:tc>
        <w:tc>
          <w:tcPr>
            <w:tcW w:w="1243" w:type="dxa"/>
            <w:tcBorders>
              <w:bottom w:val="nil"/>
            </w:tcBorders>
            <w:shd w:val="clear" w:color="auto" w:fill="auto"/>
            <w:vAlign w:val="center"/>
          </w:tcPr>
          <w:p w:rsidR="00D701F3" w:rsidRPr="00D8008D" w:rsidRDefault="00D701F3" w:rsidP="00DE5884">
            <w:pPr>
              <w:jc w:val="center"/>
              <w:rPr>
                <w:rFonts w:ascii="Arial Narrow" w:hAnsi="Arial Narrow"/>
                <w:sz w:val="20"/>
              </w:rPr>
            </w:pPr>
          </w:p>
        </w:tc>
        <w:tc>
          <w:tcPr>
            <w:tcW w:w="1446" w:type="dxa"/>
            <w:tcBorders>
              <w:bottom w:val="nil"/>
            </w:tcBorders>
            <w:shd w:val="clear" w:color="auto" w:fill="auto"/>
            <w:vAlign w:val="center"/>
          </w:tcPr>
          <w:p w:rsidR="00D701F3" w:rsidRPr="00D8008D" w:rsidRDefault="00D701F3" w:rsidP="00DE5884">
            <w:pPr>
              <w:jc w:val="center"/>
              <w:rPr>
                <w:rFonts w:ascii="Arial Narrow" w:hAnsi="Arial Narrow"/>
                <w:sz w:val="20"/>
              </w:rPr>
            </w:pPr>
          </w:p>
        </w:tc>
      </w:tr>
      <w:tr w:rsidR="00D701F3" w:rsidRPr="00801372" w:rsidTr="00DE5884">
        <w:tc>
          <w:tcPr>
            <w:tcW w:w="4848" w:type="dxa"/>
            <w:tcBorders>
              <w:top w:val="nil"/>
              <w:bottom w:val="nil"/>
            </w:tcBorders>
            <w:shd w:val="clear" w:color="auto" w:fill="auto"/>
            <w:vAlign w:val="center"/>
          </w:tcPr>
          <w:p w:rsidR="00D701F3" w:rsidRPr="00801372" w:rsidRDefault="00D701F3" w:rsidP="00DE5884">
            <w:pPr>
              <w:ind w:left="112"/>
              <w:rPr>
                <w:rFonts w:ascii="Arial Narrow" w:hAnsi="Arial Narrow"/>
                <w:sz w:val="20"/>
              </w:rPr>
            </w:pPr>
            <w:r w:rsidRPr="00801372">
              <w:rPr>
                <w:rFonts w:ascii="Arial Narrow" w:hAnsi="Arial Narrow"/>
                <w:sz w:val="20"/>
              </w:rPr>
              <w:t>MF/IND/GLY 160/150/50 D vs MF/IND 320/150 D;</w:t>
            </w:r>
          </w:p>
        </w:tc>
        <w:tc>
          <w:tcPr>
            <w:tcW w:w="1417" w:type="dxa"/>
            <w:tcBorders>
              <w:top w:val="nil"/>
              <w:bottom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243" w:type="dxa"/>
            <w:tcBorders>
              <w:top w:val="nil"/>
              <w:bottom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446" w:type="dxa"/>
            <w:tcBorders>
              <w:top w:val="nil"/>
              <w:bottom w:val="nil"/>
            </w:tcBorders>
            <w:shd w:val="clear" w:color="auto" w:fill="auto"/>
            <w:vAlign w:val="center"/>
          </w:tcPr>
          <w:p w:rsidR="00D701F3" w:rsidRPr="00D8008D" w:rsidRDefault="00D8008D" w:rsidP="00DE5884">
            <w:pPr>
              <w:jc w:val="center"/>
              <w:rPr>
                <w:rFonts w:ascii="Arial Narrow" w:hAnsi="Arial Narrow"/>
                <w:b/>
                <w:sz w:val="20"/>
                <w:highlight w:val="black"/>
              </w:rPr>
            </w:pPr>
            <w:r>
              <w:rPr>
                <w:rFonts w:ascii="Arial Narrow" w:hAnsi="Arial Narrow"/>
                <w:b/>
                <w:noProof/>
                <w:color w:val="000000"/>
                <w:sz w:val="20"/>
                <w:highlight w:val="black"/>
              </w:rPr>
              <w:t>''''''''' ''''''''''''''''''''''</w:t>
            </w:r>
          </w:p>
        </w:tc>
      </w:tr>
      <w:tr w:rsidR="00D701F3" w:rsidRPr="00801372" w:rsidTr="00DE5884">
        <w:tc>
          <w:tcPr>
            <w:tcW w:w="4848" w:type="dxa"/>
            <w:tcBorders>
              <w:top w:val="nil"/>
              <w:bottom w:val="nil"/>
            </w:tcBorders>
            <w:shd w:val="clear" w:color="auto" w:fill="auto"/>
            <w:vAlign w:val="center"/>
          </w:tcPr>
          <w:p w:rsidR="00D701F3" w:rsidRPr="00801372" w:rsidRDefault="00D701F3" w:rsidP="00DE5884">
            <w:pPr>
              <w:ind w:left="112"/>
              <w:rPr>
                <w:rFonts w:ascii="Arial Narrow" w:hAnsi="Arial Narrow"/>
                <w:sz w:val="20"/>
              </w:rPr>
            </w:pPr>
            <w:r w:rsidRPr="00801372">
              <w:rPr>
                <w:rFonts w:ascii="Arial Narrow" w:hAnsi="Arial Narrow"/>
                <w:sz w:val="20"/>
              </w:rPr>
              <w:t>MF/IND/GLY 160/150/50 D vs FP/SAL 500/50 BD;</w:t>
            </w:r>
          </w:p>
        </w:tc>
        <w:tc>
          <w:tcPr>
            <w:tcW w:w="1417" w:type="dxa"/>
            <w:tcBorders>
              <w:top w:val="nil"/>
              <w:bottom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243" w:type="dxa"/>
            <w:tcBorders>
              <w:top w:val="nil"/>
              <w:bottom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446" w:type="dxa"/>
            <w:tcBorders>
              <w:top w:val="nil"/>
              <w:bottom w:val="nil"/>
            </w:tcBorders>
            <w:shd w:val="clear" w:color="auto" w:fill="auto"/>
            <w:vAlign w:val="center"/>
          </w:tcPr>
          <w:p w:rsidR="00D701F3" w:rsidRPr="00D8008D" w:rsidRDefault="00D8008D" w:rsidP="00DE5884">
            <w:pPr>
              <w:jc w:val="center"/>
              <w:rPr>
                <w:rFonts w:ascii="Arial Narrow" w:hAnsi="Arial Narrow"/>
                <w:b/>
                <w:sz w:val="20"/>
                <w:highlight w:val="black"/>
              </w:rPr>
            </w:pPr>
            <w:r>
              <w:rPr>
                <w:rFonts w:ascii="Arial Narrow" w:hAnsi="Arial Narrow"/>
                <w:b/>
                <w:noProof/>
                <w:color w:val="000000"/>
                <w:sz w:val="20"/>
                <w:highlight w:val="black"/>
              </w:rPr>
              <w:t>'''''''' '''''''''''''''''''''</w:t>
            </w:r>
          </w:p>
        </w:tc>
      </w:tr>
      <w:tr w:rsidR="00D701F3" w:rsidRPr="00801372" w:rsidTr="00DE5884">
        <w:tc>
          <w:tcPr>
            <w:tcW w:w="4848" w:type="dxa"/>
            <w:tcBorders>
              <w:top w:val="nil"/>
              <w:bottom w:val="nil"/>
            </w:tcBorders>
            <w:shd w:val="clear" w:color="auto" w:fill="auto"/>
            <w:vAlign w:val="center"/>
          </w:tcPr>
          <w:p w:rsidR="00D701F3" w:rsidRPr="00801372" w:rsidRDefault="00D701F3" w:rsidP="00DE5884">
            <w:pPr>
              <w:rPr>
                <w:rFonts w:ascii="Arial Narrow" w:hAnsi="Arial Narrow"/>
                <w:sz w:val="20"/>
              </w:rPr>
            </w:pPr>
            <w:r w:rsidRPr="00801372">
              <w:rPr>
                <w:rFonts w:ascii="Arial Narrow" w:hAnsi="Arial Narrow"/>
                <w:sz w:val="20"/>
              </w:rPr>
              <w:t>High dose ICS/LABA/LAMA vs ICS/LABA; Iridium Wk 52</w:t>
            </w:r>
          </w:p>
        </w:tc>
        <w:tc>
          <w:tcPr>
            <w:tcW w:w="1417" w:type="dxa"/>
            <w:tcBorders>
              <w:top w:val="nil"/>
              <w:bottom w:val="nil"/>
            </w:tcBorders>
            <w:shd w:val="clear" w:color="auto" w:fill="auto"/>
            <w:vAlign w:val="center"/>
          </w:tcPr>
          <w:p w:rsidR="00D701F3" w:rsidRPr="00D8008D" w:rsidRDefault="00D701F3" w:rsidP="00DE5884">
            <w:pPr>
              <w:jc w:val="center"/>
              <w:rPr>
                <w:rFonts w:ascii="Arial Narrow" w:hAnsi="Arial Narrow"/>
                <w:sz w:val="20"/>
              </w:rPr>
            </w:pPr>
          </w:p>
        </w:tc>
        <w:tc>
          <w:tcPr>
            <w:tcW w:w="1243" w:type="dxa"/>
            <w:tcBorders>
              <w:top w:val="nil"/>
              <w:bottom w:val="nil"/>
            </w:tcBorders>
            <w:shd w:val="clear" w:color="auto" w:fill="auto"/>
            <w:vAlign w:val="center"/>
          </w:tcPr>
          <w:p w:rsidR="00D701F3" w:rsidRPr="00D8008D" w:rsidRDefault="00D701F3" w:rsidP="00DE5884">
            <w:pPr>
              <w:jc w:val="center"/>
              <w:rPr>
                <w:rFonts w:ascii="Arial Narrow" w:hAnsi="Arial Narrow"/>
                <w:sz w:val="20"/>
              </w:rPr>
            </w:pPr>
          </w:p>
        </w:tc>
        <w:tc>
          <w:tcPr>
            <w:tcW w:w="1446" w:type="dxa"/>
            <w:tcBorders>
              <w:top w:val="nil"/>
              <w:bottom w:val="nil"/>
            </w:tcBorders>
            <w:shd w:val="clear" w:color="auto" w:fill="auto"/>
            <w:vAlign w:val="center"/>
          </w:tcPr>
          <w:p w:rsidR="00D701F3" w:rsidRPr="00D8008D" w:rsidRDefault="00D701F3" w:rsidP="00DE5884">
            <w:pPr>
              <w:jc w:val="center"/>
              <w:rPr>
                <w:rFonts w:ascii="Arial Narrow" w:hAnsi="Arial Narrow"/>
                <w:b/>
                <w:sz w:val="20"/>
              </w:rPr>
            </w:pPr>
          </w:p>
        </w:tc>
      </w:tr>
      <w:tr w:rsidR="00D701F3" w:rsidRPr="00801372" w:rsidTr="00DE5884">
        <w:tc>
          <w:tcPr>
            <w:tcW w:w="4848" w:type="dxa"/>
            <w:tcBorders>
              <w:top w:val="nil"/>
              <w:bottom w:val="nil"/>
            </w:tcBorders>
            <w:shd w:val="clear" w:color="auto" w:fill="auto"/>
            <w:vAlign w:val="center"/>
          </w:tcPr>
          <w:p w:rsidR="00D701F3" w:rsidRPr="00801372" w:rsidRDefault="00D701F3" w:rsidP="00DE5884">
            <w:pPr>
              <w:ind w:left="112"/>
              <w:rPr>
                <w:rFonts w:ascii="Arial Narrow" w:hAnsi="Arial Narrow"/>
                <w:sz w:val="20"/>
              </w:rPr>
            </w:pPr>
            <w:r w:rsidRPr="00801372">
              <w:rPr>
                <w:rFonts w:ascii="Arial Narrow" w:hAnsi="Arial Narrow"/>
                <w:sz w:val="20"/>
              </w:rPr>
              <w:t>MF/IND/GLY 160/150/50 D vs MF/IND 320/150 D;</w:t>
            </w:r>
          </w:p>
        </w:tc>
        <w:tc>
          <w:tcPr>
            <w:tcW w:w="1417" w:type="dxa"/>
            <w:tcBorders>
              <w:top w:val="nil"/>
              <w:bottom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243" w:type="dxa"/>
            <w:tcBorders>
              <w:top w:val="nil"/>
              <w:bottom w:val="nil"/>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446" w:type="dxa"/>
            <w:tcBorders>
              <w:top w:val="nil"/>
              <w:bottom w:val="nil"/>
            </w:tcBorders>
            <w:shd w:val="clear" w:color="auto" w:fill="auto"/>
            <w:vAlign w:val="center"/>
          </w:tcPr>
          <w:p w:rsidR="00D701F3" w:rsidRPr="00D8008D" w:rsidRDefault="00D8008D" w:rsidP="00DE5884">
            <w:pPr>
              <w:jc w:val="center"/>
              <w:rPr>
                <w:rFonts w:ascii="Arial Narrow" w:hAnsi="Arial Narrow"/>
                <w:b/>
                <w:sz w:val="20"/>
                <w:highlight w:val="black"/>
              </w:rPr>
            </w:pPr>
            <w:r>
              <w:rPr>
                <w:rFonts w:ascii="Arial Narrow" w:hAnsi="Arial Narrow"/>
                <w:b/>
                <w:noProof/>
                <w:color w:val="000000"/>
                <w:sz w:val="20"/>
                <w:highlight w:val="black"/>
              </w:rPr>
              <w:t>''''''''' '''''''''''''''''''</w:t>
            </w:r>
          </w:p>
        </w:tc>
      </w:tr>
      <w:tr w:rsidR="00D701F3" w:rsidRPr="00801372" w:rsidTr="00DE5884">
        <w:tc>
          <w:tcPr>
            <w:tcW w:w="4848" w:type="dxa"/>
            <w:tcBorders>
              <w:top w:val="nil"/>
              <w:bottom w:val="single" w:sz="4" w:space="0" w:color="auto"/>
            </w:tcBorders>
            <w:shd w:val="clear" w:color="auto" w:fill="auto"/>
            <w:vAlign w:val="center"/>
          </w:tcPr>
          <w:p w:rsidR="00D701F3" w:rsidRPr="00801372" w:rsidRDefault="00D701F3" w:rsidP="00DE5884">
            <w:pPr>
              <w:ind w:left="112"/>
              <w:rPr>
                <w:rFonts w:ascii="Arial Narrow" w:hAnsi="Arial Narrow"/>
                <w:sz w:val="20"/>
              </w:rPr>
            </w:pPr>
            <w:r w:rsidRPr="00801372">
              <w:rPr>
                <w:rFonts w:ascii="Arial Narrow" w:hAnsi="Arial Narrow"/>
                <w:sz w:val="20"/>
              </w:rPr>
              <w:t>MF/IND/GLY 160/150/50 D vs FP/SAL 500/50 BD;</w:t>
            </w:r>
          </w:p>
        </w:tc>
        <w:tc>
          <w:tcPr>
            <w:tcW w:w="1417" w:type="dxa"/>
            <w:tcBorders>
              <w:top w:val="nil"/>
              <w:bottom w:val="single" w:sz="4" w:space="0" w:color="auto"/>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243" w:type="dxa"/>
            <w:tcBorders>
              <w:top w:val="nil"/>
              <w:bottom w:val="single" w:sz="4" w:space="0" w:color="auto"/>
            </w:tcBorders>
            <w:shd w:val="clear" w:color="auto" w:fill="auto"/>
            <w:vAlign w:val="center"/>
          </w:tcPr>
          <w:p w:rsidR="00D701F3" w:rsidRPr="00D8008D" w:rsidRDefault="00D8008D" w:rsidP="00DE5884">
            <w:pPr>
              <w:jc w:val="center"/>
              <w:rPr>
                <w:rFonts w:ascii="Arial Narrow" w:hAnsi="Arial Narrow"/>
                <w:sz w:val="20"/>
                <w:highlight w:val="black"/>
              </w:rPr>
            </w:pPr>
            <w:r>
              <w:rPr>
                <w:rFonts w:ascii="Arial Narrow" w:hAnsi="Arial Narrow"/>
                <w:noProof/>
                <w:color w:val="000000"/>
                <w:sz w:val="20"/>
                <w:highlight w:val="black"/>
              </w:rPr>
              <w:t>''''''''''''''''''''' '''''''''''''''</w:t>
            </w:r>
          </w:p>
        </w:tc>
        <w:tc>
          <w:tcPr>
            <w:tcW w:w="1446" w:type="dxa"/>
            <w:tcBorders>
              <w:top w:val="nil"/>
              <w:bottom w:val="single" w:sz="4" w:space="0" w:color="auto"/>
            </w:tcBorders>
            <w:shd w:val="clear" w:color="auto" w:fill="auto"/>
            <w:vAlign w:val="center"/>
          </w:tcPr>
          <w:p w:rsidR="00D701F3" w:rsidRPr="00D8008D" w:rsidRDefault="00D8008D" w:rsidP="00DE5884">
            <w:pPr>
              <w:jc w:val="center"/>
              <w:rPr>
                <w:rFonts w:ascii="Arial Narrow" w:hAnsi="Arial Narrow"/>
                <w:b/>
                <w:sz w:val="20"/>
                <w:highlight w:val="black"/>
              </w:rPr>
            </w:pPr>
            <w:r>
              <w:rPr>
                <w:rFonts w:ascii="Arial Narrow" w:hAnsi="Arial Narrow"/>
                <w:b/>
                <w:noProof/>
                <w:color w:val="000000"/>
                <w:sz w:val="20"/>
                <w:highlight w:val="black"/>
              </w:rPr>
              <w:t>''''''''' ''''''''''''''''''''</w:t>
            </w:r>
          </w:p>
        </w:tc>
      </w:tr>
    </w:tbl>
    <w:p w:rsidR="00D701F3" w:rsidRPr="00801372" w:rsidRDefault="00D701F3" w:rsidP="00D701F3">
      <w:pPr>
        <w:pStyle w:val="TableFigureFooter"/>
        <w:spacing w:after="0"/>
      </w:pPr>
      <w:r w:rsidRPr="00801372">
        <w:t>Bold text indicates statistical significance at p&lt;0.05</w:t>
      </w:r>
    </w:p>
    <w:p w:rsidR="00D701F3" w:rsidRPr="00801372" w:rsidRDefault="00D701F3" w:rsidP="00D701F3">
      <w:pPr>
        <w:pStyle w:val="TableFigureFooter"/>
        <w:spacing w:after="0"/>
      </w:pPr>
      <w:r w:rsidRPr="00801372">
        <w:t>Abbreviations: FEV1=forced expiratory volume in one second; FP=fluticasone propionate; GLY=glycopyrronium; ICS=inhaled corticosteroid; IND=indacaterol; LABA=long-acting beta-agonist; MF=mometasone furoate; SAL=salmeterol; wk=week; D=once daily; BD=twice daily;</w:t>
      </w:r>
    </w:p>
    <w:p w:rsidR="00366211" w:rsidRPr="003173BD" w:rsidRDefault="00D701F3" w:rsidP="003173BD">
      <w:pPr>
        <w:pStyle w:val="TableFigureFooter"/>
        <w:spacing w:after="0"/>
      </w:pPr>
      <w:r w:rsidRPr="00801372">
        <w:t>Source: Table 1, p4 of the PSCR</w:t>
      </w:r>
    </w:p>
    <w:p w:rsidR="00DD254D" w:rsidRPr="00FB7A6E" w:rsidRDefault="00DD254D" w:rsidP="00DD254D">
      <w:pPr>
        <w:pStyle w:val="4-SubsectionHeading"/>
      </w:pPr>
      <w:bookmarkStart w:id="27" w:name="_Toc22897642"/>
      <w:bookmarkStart w:id="28" w:name="_Toc40870063"/>
      <w:r w:rsidRPr="00FB7A6E">
        <w:t>Comparative harms</w:t>
      </w:r>
      <w:bookmarkEnd w:id="27"/>
      <w:bookmarkEnd w:id="28"/>
    </w:p>
    <w:p w:rsidR="00DD254D" w:rsidRPr="00A07146" w:rsidRDefault="00DD254D" w:rsidP="00DD254D">
      <w:pPr>
        <w:pStyle w:val="3-BodyText"/>
      </w:pPr>
      <w:r w:rsidRPr="00FB7A6E">
        <w:t>The submission presented safety outcomes to the end of the treatmen</w:t>
      </w:r>
      <w:r w:rsidR="008A5055">
        <w:t xml:space="preserve">t phases of Argon and Iridium. </w:t>
      </w:r>
      <w:r w:rsidRPr="00FB7A6E">
        <w:t>The incidence of AEs was similar betw</w:t>
      </w:r>
      <w:r w:rsidR="008A5055">
        <w:t xml:space="preserve">een treatment arms. </w:t>
      </w:r>
      <w:r w:rsidRPr="00A07146">
        <w:t>The proportion of patients with at least 1 AE was lower in Argon compared to Iridium due to the shorter safety follow-up of 24 weeks versus 52 weeks, respectively.</w:t>
      </w:r>
    </w:p>
    <w:p w:rsidR="00366211" w:rsidRPr="00A07146" w:rsidRDefault="00DD254D" w:rsidP="00E05813">
      <w:pPr>
        <w:pStyle w:val="3-BodyText"/>
      </w:pPr>
      <w:r w:rsidRPr="00A07146">
        <w:t>Overall, there were no significant safety issues identified for MF/IND/</w:t>
      </w:r>
      <w:r w:rsidR="008A5055">
        <w:t xml:space="preserve">GLY. </w:t>
      </w:r>
      <w:r w:rsidRPr="00A07146">
        <w:t>The proportion of patients reporting any AEs was comparable between MF/IND/GLY treatment arms (53%) and FP/SAL plus TIO (52%) in Argon, and between MF/IND/GLY (75%) and MF/IND tr</w:t>
      </w:r>
      <w:r w:rsidR="008A5055">
        <w:t xml:space="preserve">eatment arms (74%) in Iridium. </w:t>
      </w:r>
      <w:r w:rsidRPr="00A07146">
        <w:t>The most frequently reported serious AEs were related to infections and infestati</w:t>
      </w:r>
      <w:r w:rsidR="008A5055">
        <w:t xml:space="preserve">ons and respiratory disorders. </w:t>
      </w:r>
      <w:r w:rsidR="002F60D4" w:rsidRPr="00A07146">
        <w:t>One</w:t>
      </w:r>
      <w:r w:rsidRPr="00A07146">
        <w:t xml:space="preserve"> death was reported for FP/SAL plus TIO treatment group in Argon, however the death was not deemed as related to the trial treatments.</w:t>
      </w:r>
    </w:p>
    <w:p w:rsidR="00DD254D" w:rsidRPr="00FB7A6E" w:rsidRDefault="00DD254D" w:rsidP="00DD254D">
      <w:pPr>
        <w:pStyle w:val="4-SubsectionHeading"/>
      </w:pPr>
      <w:bookmarkStart w:id="29" w:name="_Toc22897643"/>
      <w:bookmarkStart w:id="30" w:name="_Toc40870064"/>
      <w:r w:rsidRPr="00FB7A6E">
        <w:t>Benefits/harms</w:t>
      </w:r>
      <w:bookmarkEnd w:id="29"/>
      <w:bookmarkEnd w:id="30"/>
    </w:p>
    <w:p w:rsidR="00DD254D" w:rsidRDefault="00DD254D" w:rsidP="00756174">
      <w:pPr>
        <w:pStyle w:val="3-BodyText"/>
      </w:pPr>
      <w:r w:rsidRPr="00A07146">
        <w:t xml:space="preserve">There were no clinically meaningful differences between MF/IND/GLY and FP/SAL plus </w:t>
      </w:r>
      <w:r w:rsidR="00756174" w:rsidRPr="00A07146">
        <w:t xml:space="preserve">TIO, at corresponding doses of ICS, </w:t>
      </w:r>
      <w:r w:rsidRPr="00A07146">
        <w:t>in efficacy and safety when used for the treatment of severe asthma.</w:t>
      </w:r>
    </w:p>
    <w:p w:rsidR="00DD254D" w:rsidRPr="00FB7A6E" w:rsidRDefault="00DD254D" w:rsidP="00DD254D">
      <w:pPr>
        <w:pStyle w:val="4-SubsectionHeading"/>
      </w:pPr>
      <w:bookmarkStart w:id="31" w:name="_Toc22897644"/>
      <w:bookmarkStart w:id="32" w:name="_Toc40870065"/>
      <w:r w:rsidRPr="00FB7A6E">
        <w:t>Clinical claim</w:t>
      </w:r>
      <w:bookmarkEnd w:id="31"/>
      <w:bookmarkEnd w:id="32"/>
    </w:p>
    <w:p w:rsidR="00DD254D" w:rsidRPr="00FB7A6E" w:rsidRDefault="00DD254D" w:rsidP="0035559C">
      <w:pPr>
        <w:pStyle w:val="3-BodyText"/>
      </w:pPr>
      <w:r w:rsidRPr="00FB7A6E">
        <w:t xml:space="preserve">Based </w:t>
      </w:r>
      <w:r w:rsidR="0035559C" w:rsidRPr="00FB7A6E">
        <w:t xml:space="preserve">primarily on the Argon trial, </w:t>
      </w:r>
      <w:r w:rsidRPr="00FB7A6E">
        <w:t>the submission described medium and high dose MF/IND/GLY as non-inferior in terms of effectiveness and safety compared with high dose FP/SAL plus TIO in patients with severe asthma:</w:t>
      </w:r>
    </w:p>
    <w:p w:rsidR="00DD254D" w:rsidRPr="00FB7A6E" w:rsidRDefault="00DD254D" w:rsidP="006831B2">
      <w:pPr>
        <w:pStyle w:val="3-BodyText"/>
        <w:numPr>
          <w:ilvl w:val="1"/>
          <w:numId w:val="7"/>
        </w:numPr>
        <w:ind w:left="993" w:hanging="294"/>
      </w:pPr>
      <w:r w:rsidRPr="00FB7A6E">
        <w:lastRenderedPageBreak/>
        <w:t>MF/IND/GLY 80/150/50 one actuation once daily is non-inferior to FP/SAL DPI 500/50 one actuation twice daily plus TIO 2.5 two actuations once daily;</w:t>
      </w:r>
    </w:p>
    <w:p w:rsidR="00DD254D" w:rsidRPr="00FB7A6E" w:rsidRDefault="00DD254D" w:rsidP="006831B2">
      <w:pPr>
        <w:pStyle w:val="3-BodyText"/>
        <w:numPr>
          <w:ilvl w:val="1"/>
          <w:numId w:val="7"/>
        </w:numPr>
        <w:ind w:left="993" w:hanging="294"/>
      </w:pPr>
      <w:r w:rsidRPr="00FB7A6E">
        <w:t>MF/IND/GLY 160/150/50 one actuation once daily is non-inferior to FP/SAL DPI 500/50 one actuation twice daily plus TIO 2.5 two actuations once daily;</w:t>
      </w:r>
    </w:p>
    <w:p w:rsidR="00DD254D" w:rsidRPr="00A07146" w:rsidRDefault="009F03BC" w:rsidP="0035559C">
      <w:pPr>
        <w:pStyle w:val="3-BodyText"/>
      </w:pPr>
      <w:r>
        <w:t xml:space="preserve">During the </w:t>
      </w:r>
      <w:r w:rsidR="0021570E">
        <w:t>evaluation,</w:t>
      </w:r>
      <w:r>
        <w:t xml:space="preserve"> t</w:t>
      </w:r>
      <w:r w:rsidR="00DD254D" w:rsidRPr="00A07146">
        <w:t xml:space="preserve">he clinical trial evidence presented in the submission </w:t>
      </w:r>
      <w:r>
        <w:t xml:space="preserve">was considered to </w:t>
      </w:r>
      <w:r w:rsidR="00DD254D" w:rsidRPr="00A07146">
        <w:t xml:space="preserve">support the claim of non-inferior </w:t>
      </w:r>
      <w:r w:rsidR="0035559C" w:rsidRPr="00A07146">
        <w:t>safety</w:t>
      </w:r>
      <w:r w:rsidR="009D7335" w:rsidRPr="00A07146">
        <w:t>. T</w:t>
      </w:r>
      <w:r w:rsidR="0035559C" w:rsidRPr="00A07146">
        <w:t>he claim of non-inferior effectiveness however, particularly</w:t>
      </w:r>
      <w:r w:rsidR="00DD254D" w:rsidRPr="00A07146">
        <w:t xml:space="preserve"> for the medium dose</w:t>
      </w:r>
      <w:r w:rsidR="0035559C" w:rsidRPr="00A07146">
        <w:t xml:space="preserve"> MF/IND/GLY versus high dose FP/SAL plus TIO</w:t>
      </w:r>
      <w:r w:rsidR="00160200" w:rsidRPr="00A07146">
        <w:t>,</w:t>
      </w:r>
      <w:r w:rsidR="0035559C" w:rsidRPr="00A07146">
        <w:t xml:space="preserve"> require</w:t>
      </w:r>
      <w:r>
        <w:t>d</w:t>
      </w:r>
      <w:r w:rsidR="0035559C" w:rsidRPr="00A07146">
        <w:t xml:space="preserve"> consideration</w:t>
      </w:r>
      <w:r w:rsidR="00DD254D" w:rsidRPr="00A07146">
        <w:t>:</w:t>
      </w:r>
    </w:p>
    <w:p w:rsidR="00DD254D" w:rsidRPr="00A07146" w:rsidRDefault="00DD254D" w:rsidP="006831B2">
      <w:pPr>
        <w:pStyle w:val="3-BodyText"/>
        <w:numPr>
          <w:ilvl w:val="1"/>
          <w:numId w:val="7"/>
        </w:numPr>
        <w:ind w:left="993" w:hanging="294"/>
      </w:pPr>
      <w:r w:rsidRPr="00A07146">
        <w:t xml:space="preserve">The Argon trial, on which the clinical claim </w:t>
      </w:r>
      <w:r w:rsidR="0035559C" w:rsidRPr="00584BC6">
        <w:t>i</w:t>
      </w:r>
      <w:r w:rsidRPr="00584BC6">
        <w:t>s</w:t>
      </w:r>
      <w:r w:rsidRPr="00A07146">
        <w:t xml:space="preserve"> based, was a</w:t>
      </w:r>
      <w:r w:rsidR="00ED74F6">
        <w:t xml:space="preserve"> partial</w:t>
      </w:r>
      <w:r w:rsidRPr="00A07146">
        <w:t xml:space="preserve"> open label trial </w:t>
      </w:r>
      <w:r w:rsidR="0035559C" w:rsidRPr="00A07146">
        <w:t xml:space="preserve">with a high risk of bias that </w:t>
      </w:r>
      <w:r w:rsidR="00ED74F6">
        <w:t xml:space="preserve">may </w:t>
      </w:r>
      <w:r w:rsidRPr="00A07146">
        <w:t>potentially favour MF/IND/GLY compared to FP/SAL</w:t>
      </w:r>
      <w:r w:rsidR="0034101E" w:rsidRPr="00A07146">
        <w:t xml:space="preserve"> plus </w:t>
      </w:r>
      <w:r w:rsidRPr="00D67089">
        <w:t>TIO.</w:t>
      </w:r>
      <w:r w:rsidR="000974C0">
        <w:t xml:space="preserve"> </w:t>
      </w:r>
    </w:p>
    <w:p w:rsidR="00DD254D" w:rsidRPr="00A07146" w:rsidRDefault="00DD254D" w:rsidP="006831B2">
      <w:pPr>
        <w:pStyle w:val="3-BodyText"/>
        <w:numPr>
          <w:ilvl w:val="1"/>
          <w:numId w:val="7"/>
        </w:numPr>
        <w:ind w:left="993" w:hanging="294"/>
      </w:pPr>
      <w:r w:rsidRPr="00A07146">
        <w:t>In practice, patients step up to triple therapy by adding a LAMA to the optimised ICS/LABA dose without concurrently adjusting the dose of ICS, but Argon does not provide evidence between different medium dose ICS/LABA/LAMA treatments for patients optimised on medium dose ICS/LABA (i.e. there is no medium dose FP/SAL plus TIO arm).</w:t>
      </w:r>
    </w:p>
    <w:p w:rsidR="00DD254D" w:rsidRPr="00A07146" w:rsidRDefault="00DD254D" w:rsidP="006831B2">
      <w:pPr>
        <w:pStyle w:val="3-BodyText"/>
        <w:numPr>
          <w:ilvl w:val="1"/>
          <w:numId w:val="7"/>
        </w:numPr>
        <w:ind w:left="993" w:hanging="294"/>
      </w:pPr>
      <w:r w:rsidRPr="00A07146">
        <w:t xml:space="preserve">The Argon trial showed that both doses of MF/IND/GLY met the non-inferiority margin for AQLQ versus high dose FP/SAL plus TIO; however, it </w:t>
      </w:r>
      <w:r w:rsidR="00137336" w:rsidRPr="00A07146">
        <w:t>wa</w:t>
      </w:r>
      <w:r w:rsidRPr="00A07146">
        <w:t xml:space="preserve">s unclear whether the AQLQ </w:t>
      </w:r>
      <w:r w:rsidR="00137336" w:rsidRPr="00A07146">
        <w:t>i</w:t>
      </w:r>
      <w:r w:rsidRPr="00A07146">
        <w:t>s adequately sensitive to detect small differences between the treatments in severe asthma and therefore support the conclusion of non-inferiority betwe</w:t>
      </w:r>
      <w:r w:rsidR="008A5055">
        <w:t xml:space="preserve">en the treatment alternatives. </w:t>
      </w:r>
      <w:r w:rsidRPr="00A07146">
        <w:t>For example, in the Iridium trial, there was no difference in AQLQ for patients treated with triple therapy ICS/LABA/LAMA</w:t>
      </w:r>
      <w:r w:rsidR="008A5055">
        <w:t xml:space="preserve"> versus dual therapy ICS/LABA. </w:t>
      </w:r>
      <w:r w:rsidRPr="00A07146">
        <w:t>The American Thoracic Society/European Respiratory Society Statement: Asthma Control and Exacerbations</w:t>
      </w:r>
      <w:r w:rsidRPr="00A07146">
        <w:rPr>
          <w:rStyle w:val="FootnoteReference"/>
        </w:rPr>
        <w:footnoteReference w:id="5"/>
      </w:r>
      <w:r w:rsidRPr="00A07146">
        <w:t xml:space="preserve"> describes AQLQ as providing complementary rather than direct information about asthma control or severity.</w:t>
      </w:r>
      <w:r w:rsidR="00F11402">
        <w:t xml:space="preserve"> </w:t>
      </w:r>
      <w:r w:rsidR="0043603A" w:rsidRPr="00DB6C89">
        <w:t>The PSCR argued that AQLQ is appropriate as a primary endpoint as it is a well-established instrument with good responsiveness</w:t>
      </w:r>
      <w:r w:rsidR="0043603A" w:rsidRPr="00DB6C89">
        <w:rPr>
          <w:vertAlign w:val="superscript"/>
        </w:rPr>
        <w:footnoteReference w:id="6"/>
      </w:r>
      <w:r w:rsidR="0043603A" w:rsidRPr="00DB6C89">
        <w:t xml:space="preserve"> and has been shown to correlate with measures of asthma control</w:t>
      </w:r>
      <w:r w:rsidR="0043603A" w:rsidRPr="00DB6C89">
        <w:rPr>
          <w:vertAlign w:val="superscript"/>
        </w:rPr>
        <w:footnoteReference w:id="7"/>
      </w:r>
      <w:r w:rsidR="0043603A" w:rsidRPr="00DB6C89">
        <w:rPr>
          <w:vertAlign w:val="superscript"/>
        </w:rPr>
        <w:t>,</w:t>
      </w:r>
      <w:r w:rsidR="0043603A" w:rsidRPr="00DB6C89">
        <w:rPr>
          <w:vertAlign w:val="superscript"/>
        </w:rPr>
        <w:footnoteReference w:id="8"/>
      </w:r>
      <w:r w:rsidR="0043603A" w:rsidRPr="00DB6C89">
        <w:t>.</w:t>
      </w:r>
      <w:r w:rsidR="0043603A" w:rsidRPr="00DB6C89">
        <w:rPr>
          <w:rFonts w:ascii="Sabon" w:hAnsi="Sabon"/>
          <w:sz w:val="22"/>
        </w:rPr>
        <w:t xml:space="preserve"> </w:t>
      </w:r>
      <w:r w:rsidR="00F11402" w:rsidRPr="00DB6C89">
        <w:t xml:space="preserve">The ESC considered AQLQ outcomes of the Argon trial to be subjective and at a high risk of bias due to the partial open label nature of the trial. </w:t>
      </w:r>
    </w:p>
    <w:p w:rsidR="00DD254D" w:rsidRPr="00A07146" w:rsidRDefault="002C15A2" w:rsidP="0098591B">
      <w:pPr>
        <w:pStyle w:val="3-BodyText"/>
      </w:pPr>
      <w:bookmarkStart w:id="33" w:name="_Hlk40088802"/>
      <w:r w:rsidRPr="00A07146">
        <w:t>Alternatively, it may be preferable to rely on Iridium (and other supportive trials)</w:t>
      </w:r>
      <w:r w:rsidR="008A5055">
        <w:t xml:space="preserve"> for decision-making purposes. </w:t>
      </w:r>
      <w:r w:rsidRPr="00A07146">
        <w:t xml:space="preserve">Based on that evidence, it may be more reasonable to </w:t>
      </w:r>
      <w:r w:rsidRPr="00A07146">
        <w:lastRenderedPageBreak/>
        <w:t xml:space="preserve">describe </w:t>
      </w:r>
      <w:r w:rsidR="00DD254D" w:rsidRPr="00A07146">
        <w:t xml:space="preserve">medium </w:t>
      </w:r>
      <w:r w:rsidR="0098591B" w:rsidRPr="00A07146">
        <w:t xml:space="preserve">and high </w:t>
      </w:r>
      <w:r w:rsidR="00DD254D" w:rsidRPr="00A07146">
        <w:t xml:space="preserve">dose MF/IND/GLY as </w:t>
      </w:r>
      <w:r w:rsidR="0098591B" w:rsidRPr="00A07146">
        <w:t xml:space="preserve">potentially </w:t>
      </w:r>
      <w:r w:rsidR="00DD254D" w:rsidRPr="00A07146">
        <w:t xml:space="preserve">being similar to medium </w:t>
      </w:r>
      <w:r w:rsidR="0098591B" w:rsidRPr="00A07146">
        <w:t xml:space="preserve">and high </w:t>
      </w:r>
      <w:r w:rsidR="00DD254D" w:rsidRPr="00A07146">
        <w:t>dose ICS/LABA</w:t>
      </w:r>
      <w:r w:rsidR="0034101E" w:rsidRPr="00A07146">
        <w:t xml:space="preserve"> </w:t>
      </w:r>
      <w:r w:rsidR="00DD254D" w:rsidRPr="00A07146">
        <w:t>+</w:t>
      </w:r>
      <w:r w:rsidR="0034101E" w:rsidRPr="00A07146">
        <w:t xml:space="preserve"> </w:t>
      </w:r>
      <w:r w:rsidR="00DD254D" w:rsidRPr="00A07146">
        <w:t>LAMA</w:t>
      </w:r>
      <w:r w:rsidR="0098591B" w:rsidRPr="00A07146">
        <w:t xml:space="preserve"> respectively, </w:t>
      </w:r>
      <w:r w:rsidR="00DD254D" w:rsidRPr="00A07146">
        <w:t>given:</w:t>
      </w:r>
      <w:bookmarkEnd w:id="33"/>
    </w:p>
    <w:p w:rsidR="00DD254D" w:rsidRPr="00A07146" w:rsidRDefault="00DD254D" w:rsidP="006831B2">
      <w:pPr>
        <w:pStyle w:val="3-BodyText"/>
        <w:numPr>
          <w:ilvl w:val="1"/>
          <w:numId w:val="7"/>
        </w:numPr>
        <w:ind w:left="993" w:hanging="294"/>
      </w:pPr>
      <w:r w:rsidRPr="00A07146">
        <w:t>Results from Iridium and Kerstjens</w:t>
      </w:r>
      <w:r w:rsidR="00366AEA" w:rsidRPr="00A07146">
        <w:t xml:space="preserve"> et al</w:t>
      </w:r>
      <w:r w:rsidRPr="00A07146">
        <w:t xml:space="preserve"> 2012, both double-blind trials, show that the incremental benefit </w:t>
      </w:r>
      <w:r w:rsidR="00220CE9" w:rsidRPr="00A07146">
        <w:t xml:space="preserve">in terms of trough FEV1 </w:t>
      </w:r>
      <w:r w:rsidRPr="00A07146">
        <w:t xml:space="preserve">of adding GLY to medium and high dose MF/IND was similar to </w:t>
      </w:r>
      <w:r w:rsidR="00B3088F" w:rsidRPr="00A07146">
        <w:t xml:space="preserve">but numerically smaller than </w:t>
      </w:r>
      <w:r w:rsidRPr="00A07146">
        <w:t>the benefit of adding TIO to medium and high dose ICS/LABA</w:t>
      </w:r>
      <w:r w:rsidR="00B3088F" w:rsidRPr="00A07146">
        <w:t xml:space="preserve"> (with the caveat that the </w:t>
      </w:r>
      <w:r w:rsidR="003841BE" w:rsidRPr="00A07146">
        <w:t>point estimates</w:t>
      </w:r>
      <w:r w:rsidR="00B3088F" w:rsidRPr="00A07146">
        <w:t xml:space="preserve"> w</w:t>
      </w:r>
      <w:r w:rsidR="003841BE" w:rsidRPr="00A07146">
        <w:t>ere</w:t>
      </w:r>
      <w:r w:rsidR="00B3088F" w:rsidRPr="00A07146">
        <w:t xml:space="preserve"> below the MCID)</w:t>
      </w:r>
      <w:r w:rsidRPr="00A07146">
        <w:t>; and</w:t>
      </w:r>
    </w:p>
    <w:p w:rsidR="00DD254D" w:rsidRDefault="00DD254D" w:rsidP="006831B2">
      <w:pPr>
        <w:pStyle w:val="3-BodyText"/>
        <w:numPr>
          <w:ilvl w:val="1"/>
          <w:numId w:val="7"/>
        </w:numPr>
        <w:ind w:left="993" w:hanging="294"/>
      </w:pPr>
      <w:r w:rsidRPr="00A07146">
        <w:t>The sponsor requested PBS listing of medium and high dose MF/IND in a separate submission to the PBAC, based on a cost-minimisation analysis to medium an</w:t>
      </w:r>
      <w:r w:rsidR="008A3F8A">
        <w:t>d high dose FP/SAL respectively</w:t>
      </w:r>
    </w:p>
    <w:p w:rsidR="00C83D66" w:rsidRPr="00C83D66" w:rsidRDefault="00C83D66" w:rsidP="008A3F8A">
      <w:pPr>
        <w:pStyle w:val="3-BodyText"/>
      </w:pPr>
      <w:r w:rsidRPr="00C83D66">
        <w:t xml:space="preserve">The PBAC considered the clinical claim that medium and high dose MF/IND/GLY are non-inferior </w:t>
      </w:r>
      <w:r w:rsidR="00F45DA9">
        <w:t xml:space="preserve">in effectiveness </w:t>
      </w:r>
      <w:r w:rsidRPr="00C83D66">
        <w:t>to high dose FP/SAL plus TIO to be uncertain for medium dose MF/IND/GLY and reasonable for high dose MF/IND/GLY.</w:t>
      </w:r>
    </w:p>
    <w:p w:rsidR="008A3F8A" w:rsidRDefault="008A3F8A" w:rsidP="00C83D66">
      <w:pPr>
        <w:pStyle w:val="3-BodyText"/>
      </w:pPr>
      <w:r w:rsidRPr="009F03BC">
        <w:t xml:space="preserve">The PBAC considered that the claim of </w:t>
      </w:r>
      <w:r w:rsidR="00F45DA9">
        <w:t>non-</w:t>
      </w:r>
      <w:r w:rsidRPr="009F03BC">
        <w:t>inferior comparative safety was reasonable.</w:t>
      </w:r>
    </w:p>
    <w:p w:rsidR="00DD254D" w:rsidRPr="00FB7A6E" w:rsidRDefault="00DD254D" w:rsidP="00DD254D">
      <w:pPr>
        <w:pStyle w:val="4-SubsectionHeading"/>
      </w:pPr>
      <w:bookmarkStart w:id="34" w:name="_Toc22897645"/>
      <w:bookmarkStart w:id="35" w:name="_Toc40870066"/>
      <w:r w:rsidRPr="00FB7A6E">
        <w:t>Economic analysis</w:t>
      </w:r>
      <w:bookmarkEnd w:id="34"/>
      <w:bookmarkEnd w:id="35"/>
      <w:r w:rsidRPr="00FB7A6E">
        <w:t xml:space="preserve"> </w:t>
      </w:r>
    </w:p>
    <w:p w:rsidR="00DD254D" w:rsidRPr="00FB7A6E" w:rsidRDefault="00DD254D" w:rsidP="00DD254D">
      <w:pPr>
        <w:pStyle w:val="3-BodyText"/>
        <w:rPr>
          <w:bCs/>
        </w:rPr>
      </w:pPr>
      <w:r w:rsidRPr="00FB7A6E">
        <w:rPr>
          <w:bCs/>
        </w:rPr>
        <w:t>The submission presented a cost-minimisation analysis based on AEMP (per day) between medium and high dose MF/IND/GLY and high dose FP/SAL</w:t>
      </w:r>
      <w:r w:rsidR="0034101E" w:rsidRPr="00FB7A6E">
        <w:rPr>
          <w:bCs/>
        </w:rPr>
        <w:t xml:space="preserve"> plus </w:t>
      </w:r>
      <w:r w:rsidRPr="00FB7A6E">
        <w:rPr>
          <w:bCs/>
        </w:rPr>
        <w:t>TIO. The analysis assumed no additional costs or cost-offsets.</w:t>
      </w:r>
    </w:p>
    <w:p w:rsidR="00DD254D" w:rsidRPr="00FB7A6E" w:rsidRDefault="00DD254D" w:rsidP="00DD254D">
      <w:pPr>
        <w:pStyle w:val="3-BodyText"/>
        <w:rPr>
          <w:bCs/>
        </w:rPr>
      </w:pPr>
      <w:r w:rsidRPr="00FB7A6E">
        <w:rPr>
          <w:bCs/>
        </w:rPr>
        <w:t>The submission proposed the following equi-effective doses based on trial evidence presented:</w:t>
      </w:r>
    </w:p>
    <w:p w:rsidR="00DD254D" w:rsidRPr="00FB7A6E" w:rsidRDefault="00DD254D" w:rsidP="006831B2">
      <w:pPr>
        <w:pStyle w:val="3-BodyText"/>
        <w:numPr>
          <w:ilvl w:val="1"/>
          <w:numId w:val="7"/>
        </w:numPr>
        <w:ind w:left="993" w:hanging="294"/>
        <w:rPr>
          <w:bCs/>
        </w:rPr>
      </w:pPr>
      <w:r w:rsidRPr="00FB7A6E">
        <w:rPr>
          <w:bCs/>
        </w:rPr>
        <w:t xml:space="preserve">MF/IND/GLY 80/150/50 </w:t>
      </w:r>
      <w:r w:rsidR="008F18A3" w:rsidRPr="00FB7A6E">
        <w:rPr>
          <w:bCs/>
        </w:rPr>
        <w:t xml:space="preserve">one </w:t>
      </w:r>
      <w:r w:rsidRPr="00FB7A6E">
        <w:rPr>
          <w:bCs/>
        </w:rPr>
        <w:t xml:space="preserve">actuation once daily = MF/IND/GLY 160/150/50 </w:t>
      </w:r>
      <w:r w:rsidR="008F18A3" w:rsidRPr="00FB7A6E">
        <w:rPr>
          <w:bCs/>
        </w:rPr>
        <w:t xml:space="preserve">one </w:t>
      </w:r>
      <w:r w:rsidRPr="00FB7A6E">
        <w:rPr>
          <w:bCs/>
        </w:rPr>
        <w:t xml:space="preserve">actuation once daily = FP/SAL 500/50 </w:t>
      </w:r>
      <w:r w:rsidR="008F18A3" w:rsidRPr="00FB7A6E">
        <w:rPr>
          <w:bCs/>
        </w:rPr>
        <w:t xml:space="preserve">one </w:t>
      </w:r>
      <w:r w:rsidRPr="00FB7A6E">
        <w:rPr>
          <w:bCs/>
        </w:rPr>
        <w:t>actuation twice daily + TIO 2.5 two actuations once daily.</w:t>
      </w:r>
    </w:p>
    <w:p w:rsidR="00B946C8" w:rsidRPr="00B946C8" w:rsidRDefault="00AB12AF" w:rsidP="00FE68E0">
      <w:pPr>
        <w:pStyle w:val="3-BodyText"/>
      </w:pPr>
      <w:r>
        <w:t>During the evaluation it was considered that the</w:t>
      </w:r>
      <w:r w:rsidR="001870A1" w:rsidRPr="00A07146">
        <w:t xml:space="preserve"> clinical evidence presented in the submission did not </w:t>
      </w:r>
      <w:r w:rsidR="001870A1" w:rsidRPr="004C020F">
        <w:t>adequately</w:t>
      </w:r>
      <w:r w:rsidR="001870A1" w:rsidRPr="00DB6C89">
        <w:t xml:space="preserve"> </w:t>
      </w:r>
      <w:r w:rsidR="001870A1" w:rsidRPr="00A07146">
        <w:t>support the nominated equi-effective dose between medium dose MF/IND/GLY and high dose FP/SAL plus TIO, and it may be more reasonable to describe medium dose MF/IND/GLY as being similar or equivalent to medium dose ICS/LABA</w:t>
      </w:r>
      <w:r w:rsidR="00882018" w:rsidRPr="00A07146">
        <w:t xml:space="preserve"> </w:t>
      </w:r>
      <w:r w:rsidR="001870A1" w:rsidRPr="00A07146">
        <w:t>+</w:t>
      </w:r>
      <w:r w:rsidR="00882018" w:rsidRPr="00A07146">
        <w:t xml:space="preserve"> </w:t>
      </w:r>
      <w:r w:rsidR="001870A1" w:rsidRPr="00A07146">
        <w:t xml:space="preserve">LAMA </w:t>
      </w:r>
      <w:r w:rsidR="001870A1" w:rsidRPr="00D67089">
        <w:t>products (see Clinical claim).</w:t>
      </w:r>
    </w:p>
    <w:p w:rsidR="00DD254D" w:rsidRPr="00A07146" w:rsidRDefault="00EB64CF" w:rsidP="0049712A">
      <w:pPr>
        <w:pStyle w:val="3-BodyText"/>
        <w:rPr>
          <w:bCs/>
        </w:rPr>
      </w:pPr>
      <w:r w:rsidRPr="00A07146">
        <w:t xml:space="preserve">In practice, medium dose </w:t>
      </w:r>
      <w:r w:rsidRPr="00A07146">
        <w:rPr>
          <w:bCs/>
        </w:rPr>
        <w:t xml:space="preserve">MF/IND/GLY </w:t>
      </w:r>
      <w:r w:rsidRPr="0043603A">
        <w:rPr>
          <w:bCs/>
        </w:rPr>
        <w:t xml:space="preserve">will </w:t>
      </w:r>
      <w:r w:rsidRPr="00A07146">
        <w:rPr>
          <w:bCs/>
        </w:rPr>
        <w:t>likely substitute for medium dose ICS/LABA</w:t>
      </w:r>
      <w:r w:rsidR="00882018" w:rsidRPr="00A07146">
        <w:rPr>
          <w:bCs/>
        </w:rPr>
        <w:t xml:space="preserve"> </w:t>
      </w:r>
      <w:r w:rsidRPr="00A07146">
        <w:rPr>
          <w:bCs/>
        </w:rPr>
        <w:t>+</w:t>
      </w:r>
      <w:r w:rsidR="00882018" w:rsidRPr="00A07146">
        <w:rPr>
          <w:bCs/>
        </w:rPr>
        <w:t xml:space="preserve"> </w:t>
      </w:r>
      <w:r w:rsidRPr="00A07146">
        <w:rPr>
          <w:bCs/>
        </w:rPr>
        <w:t>LAMA (800</w:t>
      </w:r>
      <w:r w:rsidR="00882018" w:rsidRPr="00A07146">
        <w:rPr>
          <w:bCs/>
        </w:rPr>
        <w:t xml:space="preserve"> </w:t>
      </w:r>
      <w:r w:rsidRPr="00A07146">
        <w:rPr>
          <w:bCs/>
        </w:rPr>
        <w:t>mcg budesonide per day or equivalent)</w:t>
      </w:r>
      <w:r w:rsidR="00377AE8" w:rsidRPr="00A07146">
        <w:rPr>
          <w:bCs/>
        </w:rPr>
        <w:t xml:space="preserve">, and high dose MF/IND/GLY </w:t>
      </w:r>
      <w:r w:rsidR="00C5539F" w:rsidRPr="0043603A">
        <w:rPr>
          <w:bCs/>
        </w:rPr>
        <w:t xml:space="preserve">would </w:t>
      </w:r>
      <w:r w:rsidR="00377AE8" w:rsidRPr="00A07146">
        <w:rPr>
          <w:bCs/>
        </w:rPr>
        <w:t>likely substitute for high dose ICS/LABA</w:t>
      </w:r>
      <w:r w:rsidR="008F5212" w:rsidRPr="00A07146">
        <w:rPr>
          <w:bCs/>
        </w:rPr>
        <w:t xml:space="preserve"> </w:t>
      </w:r>
      <w:r w:rsidR="00377AE8" w:rsidRPr="00A07146">
        <w:rPr>
          <w:bCs/>
        </w:rPr>
        <w:t>+</w:t>
      </w:r>
      <w:r w:rsidR="008F5212" w:rsidRPr="00A07146">
        <w:rPr>
          <w:bCs/>
        </w:rPr>
        <w:t xml:space="preserve"> </w:t>
      </w:r>
      <w:r w:rsidR="00377AE8" w:rsidRPr="00A07146">
        <w:rPr>
          <w:bCs/>
        </w:rPr>
        <w:t>LAMA</w:t>
      </w:r>
      <w:r w:rsidR="008A5055">
        <w:rPr>
          <w:bCs/>
        </w:rPr>
        <w:t xml:space="preserve">. </w:t>
      </w:r>
      <w:r w:rsidRPr="00A07146">
        <w:rPr>
          <w:bCs/>
        </w:rPr>
        <w:t xml:space="preserve">The submission explored this scenario as a sensitivity in the financial estimates, based on the dose relativities </w:t>
      </w:r>
      <w:r w:rsidR="00377AE8" w:rsidRPr="00A07146">
        <w:rPr>
          <w:bCs/>
        </w:rPr>
        <w:t>shown</w:t>
      </w:r>
      <w:r w:rsidRPr="00A07146">
        <w:rPr>
          <w:bCs/>
        </w:rPr>
        <w:t xml:space="preserve"> in Table </w:t>
      </w:r>
      <w:r w:rsidR="00D67089">
        <w:rPr>
          <w:bCs/>
        </w:rPr>
        <w:t>8</w:t>
      </w:r>
      <w:r w:rsidR="008A5055">
        <w:rPr>
          <w:bCs/>
        </w:rPr>
        <w:t xml:space="preserve">. </w:t>
      </w:r>
      <w:r w:rsidR="0049712A" w:rsidRPr="00A07146">
        <w:rPr>
          <w:bCs/>
        </w:rPr>
        <w:t>Corresponding dose relativities to MDI products were b</w:t>
      </w:r>
      <w:r w:rsidR="00DD254D" w:rsidRPr="00A07146">
        <w:rPr>
          <w:bCs/>
        </w:rPr>
        <w:t>ased on the Therapeutic Relativities.</w:t>
      </w:r>
    </w:p>
    <w:p w:rsidR="00DD254D" w:rsidRPr="0043603A" w:rsidRDefault="00DD254D" w:rsidP="00B72A80">
      <w:pPr>
        <w:pStyle w:val="ListBullet"/>
        <w:keepNext/>
        <w:keepLines/>
        <w:numPr>
          <w:ilvl w:val="0"/>
          <w:numId w:val="0"/>
        </w:numPr>
        <w:rPr>
          <w:rFonts w:ascii="Arial Narrow" w:hAnsi="Arial Narrow"/>
          <w:b/>
          <w:sz w:val="20"/>
          <w:szCs w:val="20"/>
        </w:rPr>
      </w:pPr>
      <w:r w:rsidRPr="0043603A">
        <w:rPr>
          <w:rFonts w:ascii="Arial Narrow" w:hAnsi="Arial Narrow"/>
          <w:b/>
          <w:sz w:val="20"/>
          <w:szCs w:val="20"/>
        </w:rPr>
        <w:lastRenderedPageBreak/>
        <w:t>Table</w:t>
      </w:r>
      <w:r w:rsidR="00DE3590" w:rsidRPr="0043603A">
        <w:rPr>
          <w:rFonts w:ascii="Arial Narrow" w:hAnsi="Arial Narrow"/>
          <w:b/>
          <w:sz w:val="20"/>
          <w:szCs w:val="20"/>
        </w:rPr>
        <w:t xml:space="preserve"> </w:t>
      </w:r>
      <w:r w:rsidR="000D72D7" w:rsidRPr="0043603A">
        <w:rPr>
          <w:rFonts w:ascii="Arial Narrow" w:hAnsi="Arial Narrow"/>
          <w:b/>
          <w:sz w:val="20"/>
          <w:szCs w:val="20"/>
        </w:rPr>
        <w:t>8</w:t>
      </w:r>
      <w:r w:rsidRPr="0043603A">
        <w:rPr>
          <w:rFonts w:ascii="Arial Narrow" w:hAnsi="Arial Narrow"/>
          <w:b/>
          <w:sz w:val="20"/>
          <w:szCs w:val="20"/>
        </w:rPr>
        <w:t>: Equi-potent ICS/LABA FDCs available on the PBS that provides 30 days of treatment</w:t>
      </w:r>
    </w:p>
    <w:tbl>
      <w:tblPr>
        <w:tblStyle w:val="TableGrid"/>
        <w:tblW w:w="5000" w:type="pct"/>
        <w:tblCellMar>
          <w:left w:w="28" w:type="dxa"/>
          <w:right w:w="28" w:type="dxa"/>
        </w:tblCellMar>
        <w:tblLook w:val="04A0" w:firstRow="1" w:lastRow="0" w:firstColumn="1" w:lastColumn="0" w:noHBand="0" w:noVBand="1"/>
        <w:tblCaption w:val="Table 8: Equi-potent ICS/LABA FDCs available on the PBS that provides 30 days of treatment"/>
      </w:tblPr>
      <w:tblGrid>
        <w:gridCol w:w="445"/>
        <w:gridCol w:w="4285"/>
        <w:gridCol w:w="4287"/>
      </w:tblGrid>
      <w:tr w:rsidR="00DD254D" w:rsidRPr="00FB7A6E" w:rsidTr="00F352F3">
        <w:trPr>
          <w:tblHeader/>
        </w:trPr>
        <w:tc>
          <w:tcPr>
            <w:tcW w:w="247" w:type="pct"/>
          </w:tcPr>
          <w:p w:rsidR="00DD254D" w:rsidRPr="00FB7A6E" w:rsidRDefault="00DD254D" w:rsidP="00B72A80">
            <w:pPr>
              <w:pStyle w:val="ListBullet"/>
              <w:keepNext/>
              <w:keepLines/>
              <w:numPr>
                <w:ilvl w:val="0"/>
                <w:numId w:val="0"/>
              </w:numPr>
              <w:jc w:val="center"/>
              <w:rPr>
                <w:rFonts w:ascii="Arial Narrow" w:hAnsi="Arial Narrow"/>
                <w:i/>
                <w:sz w:val="20"/>
                <w:szCs w:val="20"/>
              </w:rPr>
            </w:pPr>
          </w:p>
        </w:tc>
        <w:tc>
          <w:tcPr>
            <w:tcW w:w="2376" w:type="pct"/>
            <w:tcBorders>
              <w:bottom w:val="single" w:sz="4" w:space="0" w:color="auto"/>
            </w:tcBorders>
            <w:vAlign w:val="center"/>
          </w:tcPr>
          <w:p w:rsidR="00DD254D" w:rsidRPr="00A07146" w:rsidRDefault="00DD254D" w:rsidP="00B72A80">
            <w:pPr>
              <w:pStyle w:val="ListBullet"/>
              <w:keepNext/>
              <w:keepLines/>
              <w:numPr>
                <w:ilvl w:val="0"/>
                <w:numId w:val="0"/>
              </w:numPr>
              <w:jc w:val="center"/>
              <w:rPr>
                <w:rFonts w:ascii="Arial Narrow" w:hAnsi="Arial Narrow"/>
                <w:b/>
                <w:sz w:val="20"/>
                <w:szCs w:val="20"/>
              </w:rPr>
            </w:pPr>
            <w:r w:rsidRPr="00A07146">
              <w:rPr>
                <w:rFonts w:ascii="Arial Narrow" w:hAnsi="Arial Narrow"/>
                <w:b/>
                <w:sz w:val="20"/>
                <w:szCs w:val="20"/>
              </w:rPr>
              <w:t>“Medium” dose ICS/LABA FDCs, providing</w:t>
            </w:r>
          </w:p>
          <w:p w:rsidR="00DD254D" w:rsidRPr="00FB7A6E" w:rsidRDefault="00DD254D" w:rsidP="00B72A80">
            <w:pPr>
              <w:pStyle w:val="ListBullet"/>
              <w:keepNext/>
              <w:keepLines/>
              <w:numPr>
                <w:ilvl w:val="0"/>
                <w:numId w:val="0"/>
              </w:numPr>
              <w:jc w:val="center"/>
              <w:rPr>
                <w:rFonts w:ascii="Arial Narrow" w:hAnsi="Arial Narrow"/>
                <w:b/>
                <w:i/>
                <w:sz w:val="20"/>
                <w:szCs w:val="20"/>
              </w:rPr>
            </w:pPr>
            <w:r w:rsidRPr="00A07146">
              <w:rPr>
                <w:rFonts w:ascii="Arial Narrow" w:hAnsi="Arial Narrow"/>
                <w:b/>
                <w:sz w:val="20"/>
                <w:szCs w:val="20"/>
              </w:rPr>
              <w:t>800 mcg budesonide equi-potent per day for 30 days</w:t>
            </w:r>
          </w:p>
        </w:tc>
        <w:tc>
          <w:tcPr>
            <w:tcW w:w="2377" w:type="pct"/>
            <w:tcBorders>
              <w:bottom w:val="single" w:sz="4" w:space="0" w:color="auto"/>
            </w:tcBorders>
            <w:vAlign w:val="center"/>
          </w:tcPr>
          <w:p w:rsidR="00DD254D" w:rsidRPr="00A07146" w:rsidRDefault="00DD254D" w:rsidP="00B72A80">
            <w:pPr>
              <w:pStyle w:val="ListBullet"/>
              <w:keepNext/>
              <w:keepLines/>
              <w:numPr>
                <w:ilvl w:val="0"/>
                <w:numId w:val="0"/>
              </w:numPr>
              <w:jc w:val="center"/>
              <w:rPr>
                <w:rFonts w:ascii="Arial Narrow" w:hAnsi="Arial Narrow"/>
                <w:b/>
                <w:sz w:val="20"/>
                <w:szCs w:val="20"/>
              </w:rPr>
            </w:pPr>
            <w:r w:rsidRPr="00A07146">
              <w:rPr>
                <w:rFonts w:ascii="Arial Narrow" w:hAnsi="Arial Narrow"/>
                <w:b/>
                <w:sz w:val="20"/>
                <w:szCs w:val="20"/>
              </w:rPr>
              <w:t>“High” dose ICS/LABA FDCs, providing</w:t>
            </w:r>
          </w:p>
          <w:p w:rsidR="00DD254D" w:rsidRPr="00FB7A6E" w:rsidRDefault="00DD254D" w:rsidP="00B72A80">
            <w:pPr>
              <w:pStyle w:val="ListBullet"/>
              <w:keepNext/>
              <w:keepLines/>
              <w:numPr>
                <w:ilvl w:val="0"/>
                <w:numId w:val="0"/>
              </w:numPr>
              <w:jc w:val="center"/>
              <w:rPr>
                <w:rFonts w:ascii="Arial Narrow" w:hAnsi="Arial Narrow"/>
                <w:b/>
                <w:i/>
                <w:sz w:val="20"/>
                <w:szCs w:val="20"/>
              </w:rPr>
            </w:pPr>
            <w:r w:rsidRPr="00A07146">
              <w:rPr>
                <w:rFonts w:ascii="Arial Narrow" w:hAnsi="Arial Narrow"/>
                <w:b/>
                <w:sz w:val="20"/>
                <w:szCs w:val="20"/>
              </w:rPr>
              <w:t>1600 mcg budesonide equi-potent per day for 30 days</w:t>
            </w:r>
          </w:p>
        </w:tc>
      </w:tr>
      <w:tr w:rsidR="00DD254D" w:rsidRPr="00A07146" w:rsidTr="00B061AA">
        <w:tc>
          <w:tcPr>
            <w:tcW w:w="247" w:type="pct"/>
            <w:vMerge w:val="restart"/>
            <w:vAlign w:val="center"/>
          </w:tcPr>
          <w:p w:rsidR="00DD254D" w:rsidRPr="00A07146" w:rsidRDefault="00DD254D" w:rsidP="00B72A80">
            <w:pPr>
              <w:pStyle w:val="ListBullet"/>
              <w:keepNext/>
              <w:keepLines/>
              <w:numPr>
                <w:ilvl w:val="0"/>
                <w:numId w:val="0"/>
              </w:numPr>
              <w:jc w:val="left"/>
              <w:rPr>
                <w:rFonts w:ascii="Arial Narrow" w:hAnsi="Arial Narrow"/>
                <w:sz w:val="20"/>
                <w:szCs w:val="20"/>
              </w:rPr>
            </w:pPr>
            <w:r w:rsidRPr="00A07146">
              <w:rPr>
                <w:rFonts w:ascii="Arial Narrow" w:hAnsi="Arial Narrow"/>
                <w:sz w:val="20"/>
                <w:szCs w:val="20"/>
              </w:rPr>
              <w:t>DPI</w:t>
            </w:r>
          </w:p>
        </w:tc>
        <w:tc>
          <w:tcPr>
            <w:tcW w:w="2376" w:type="pct"/>
            <w:tcBorders>
              <w:bottom w:val="nil"/>
            </w:tcBorders>
            <w:vAlign w:val="center"/>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FP/SAL 250/50 BD (Seretide® Accuhaler®, 60)</w:t>
            </w:r>
          </w:p>
        </w:tc>
        <w:tc>
          <w:tcPr>
            <w:tcW w:w="2377" w:type="pct"/>
            <w:tcBorders>
              <w:bottom w:val="nil"/>
            </w:tcBorders>
            <w:vAlign w:val="center"/>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FP/SAL 500/50 BD (Seretide® Accuhaler®, 60)</w:t>
            </w:r>
          </w:p>
        </w:tc>
      </w:tr>
      <w:tr w:rsidR="00DD254D" w:rsidRPr="00A07146" w:rsidTr="00B061AA">
        <w:tc>
          <w:tcPr>
            <w:tcW w:w="247" w:type="pct"/>
            <w:vMerge/>
          </w:tcPr>
          <w:p w:rsidR="00DD254D" w:rsidRPr="00A07146" w:rsidRDefault="00DD254D" w:rsidP="00B72A80">
            <w:pPr>
              <w:pStyle w:val="ListBullet"/>
              <w:keepNext/>
              <w:keepLines/>
              <w:numPr>
                <w:ilvl w:val="0"/>
                <w:numId w:val="0"/>
              </w:numPr>
              <w:jc w:val="center"/>
              <w:rPr>
                <w:rFonts w:ascii="Arial Narrow" w:hAnsi="Arial Narrow"/>
                <w:sz w:val="20"/>
                <w:szCs w:val="20"/>
              </w:rPr>
            </w:pPr>
          </w:p>
        </w:tc>
        <w:tc>
          <w:tcPr>
            <w:tcW w:w="2376" w:type="pct"/>
            <w:tcBorders>
              <w:top w:val="nil"/>
              <w:bottom w:val="nil"/>
            </w:tcBorders>
            <w:vAlign w:val="center"/>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BUD/FOR 200/6 2 BD (Symbicort® Turbuhaler®, 120)</w:t>
            </w:r>
          </w:p>
        </w:tc>
        <w:tc>
          <w:tcPr>
            <w:tcW w:w="2377" w:type="pct"/>
            <w:tcBorders>
              <w:top w:val="nil"/>
              <w:bottom w:val="nil"/>
            </w:tcBorders>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BUD/FOR 400/12 2 BD (Symbicort® Turbuhaler®, 120)</w:t>
            </w:r>
          </w:p>
        </w:tc>
      </w:tr>
      <w:tr w:rsidR="00DD254D" w:rsidRPr="00A07146" w:rsidTr="00B061AA">
        <w:tc>
          <w:tcPr>
            <w:tcW w:w="247" w:type="pct"/>
            <w:vMerge/>
          </w:tcPr>
          <w:p w:rsidR="00DD254D" w:rsidRPr="00A07146" w:rsidRDefault="00DD254D" w:rsidP="00B72A80">
            <w:pPr>
              <w:pStyle w:val="ListBullet"/>
              <w:keepNext/>
              <w:keepLines/>
              <w:numPr>
                <w:ilvl w:val="0"/>
                <w:numId w:val="0"/>
              </w:numPr>
              <w:jc w:val="center"/>
              <w:rPr>
                <w:rFonts w:ascii="Arial Narrow" w:hAnsi="Arial Narrow"/>
                <w:sz w:val="20"/>
                <w:szCs w:val="20"/>
              </w:rPr>
            </w:pPr>
          </w:p>
        </w:tc>
        <w:tc>
          <w:tcPr>
            <w:tcW w:w="2376" w:type="pct"/>
            <w:tcBorders>
              <w:top w:val="nil"/>
              <w:bottom w:val="single" w:sz="4" w:space="0" w:color="auto"/>
            </w:tcBorders>
            <w:vAlign w:val="center"/>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FF/VI 100/25 D (Breo® Ellipta®, 30)</w:t>
            </w:r>
          </w:p>
        </w:tc>
        <w:tc>
          <w:tcPr>
            <w:tcW w:w="2377" w:type="pct"/>
            <w:tcBorders>
              <w:top w:val="nil"/>
              <w:bottom w:val="single" w:sz="4" w:space="0" w:color="auto"/>
            </w:tcBorders>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FF/VI 200/25 D (Breo® Ellipta®, 30)</w:t>
            </w:r>
          </w:p>
        </w:tc>
      </w:tr>
      <w:tr w:rsidR="00DD254D" w:rsidRPr="00A07146" w:rsidTr="00B061AA">
        <w:tc>
          <w:tcPr>
            <w:tcW w:w="247" w:type="pct"/>
            <w:tcBorders>
              <w:bottom w:val="single" w:sz="4" w:space="0" w:color="auto"/>
            </w:tcBorders>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DPI caps</w:t>
            </w:r>
          </w:p>
        </w:tc>
        <w:tc>
          <w:tcPr>
            <w:tcW w:w="2376" w:type="pct"/>
            <w:tcBorders>
              <w:top w:val="nil"/>
              <w:bottom w:val="single" w:sz="4" w:space="0" w:color="auto"/>
            </w:tcBorders>
            <w:vAlign w:val="center"/>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MF/IND 160/150 D (Atectura® Breezhaler®, 30)*</w:t>
            </w:r>
          </w:p>
        </w:tc>
        <w:tc>
          <w:tcPr>
            <w:tcW w:w="2377" w:type="pct"/>
            <w:tcBorders>
              <w:top w:val="nil"/>
              <w:bottom w:val="single" w:sz="4" w:space="0" w:color="auto"/>
            </w:tcBorders>
            <w:vAlign w:val="center"/>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MF/IND 320/150 D (Atectura® Breezhaler®, 30)*</w:t>
            </w:r>
          </w:p>
        </w:tc>
      </w:tr>
      <w:tr w:rsidR="00DD254D" w:rsidRPr="00A07146" w:rsidTr="00B061AA">
        <w:tc>
          <w:tcPr>
            <w:tcW w:w="247" w:type="pct"/>
            <w:vMerge w:val="restart"/>
            <w:vAlign w:val="center"/>
          </w:tcPr>
          <w:p w:rsidR="00DD254D" w:rsidRPr="00A07146" w:rsidRDefault="00DD254D" w:rsidP="00B72A80">
            <w:pPr>
              <w:pStyle w:val="ListBullet"/>
              <w:keepNext/>
              <w:keepLines/>
              <w:numPr>
                <w:ilvl w:val="0"/>
                <w:numId w:val="0"/>
              </w:numPr>
              <w:jc w:val="left"/>
              <w:rPr>
                <w:rFonts w:ascii="Arial Narrow" w:hAnsi="Arial Narrow"/>
                <w:sz w:val="20"/>
                <w:szCs w:val="20"/>
              </w:rPr>
            </w:pPr>
            <w:r w:rsidRPr="00A07146">
              <w:rPr>
                <w:rFonts w:ascii="Arial Narrow" w:hAnsi="Arial Narrow"/>
                <w:sz w:val="20"/>
                <w:szCs w:val="20"/>
              </w:rPr>
              <w:t>MDI</w:t>
            </w:r>
          </w:p>
        </w:tc>
        <w:tc>
          <w:tcPr>
            <w:tcW w:w="2376" w:type="pct"/>
            <w:tcBorders>
              <w:top w:val="single" w:sz="4" w:space="0" w:color="auto"/>
              <w:bottom w:val="nil"/>
            </w:tcBorders>
            <w:vAlign w:val="center"/>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FP/SAL 125/25 2 BD (Seretide®, 120)</w:t>
            </w:r>
          </w:p>
        </w:tc>
        <w:tc>
          <w:tcPr>
            <w:tcW w:w="2377" w:type="pct"/>
            <w:tcBorders>
              <w:top w:val="single" w:sz="4" w:space="0" w:color="auto"/>
              <w:bottom w:val="nil"/>
            </w:tcBorders>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FP/SAL 250/50 2 BD (Seretide®, 120)</w:t>
            </w:r>
          </w:p>
        </w:tc>
      </w:tr>
      <w:tr w:rsidR="00DD254D" w:rsidRPr="00A07146" w:rsidTr="00B061AA">
        <w:tc>
          <w:tcPr>
            <w:tcW w:w="247" w:type="pct"/>
            <w:vMerge/>
          </w:tcPr>
          <w:p w:rsidR="00DD254D" w:rsidRPr="00A07146" w:rsidRDefault="00DD254D" w:rsidP="00B72A80">
            <w:pPr>
              <w:pStyle w:val="ListBullet"/>
              <w:keepNext/>
              <w:keepLines/>
              <w:numPr>
                <w:ilvl w:val="0"/>
                <w:numId w:val="0"/>
              </w:numPr>
              <w:jc w:val="center"/>
              <w:rPr>
                <w:rFonts w:ascii="Arial Narrow" w:hAnsi="Arial Narrow"/>
                <w:sz w:val="20"/>
                <w:szCs w:val="20"/>
                <w:u w:val="single"/>
              </w:rPr>
            </w:pPr>
          </w:p>
        </w:tc>
        <w:tc>
          <w:tcPr>
            <w:tcW w:w="2376" w:type="pct"/>
            <w:tcBorders>
              <w:top w:val="nil"/>
              <w:bottom w:val="nil"/>
            </w:tcBorders>
            <w:vAlign w:val="center"/>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BUD/FOR 100/3 4 BD (Symbicort® Rapihaler®, 240)</w:t>
            </w:r>
          </w:p>
        </w:tc>
        <w:tc>
          <w:tcPr>
            <w:tcW w:w="2377" w:type="pct"/>
            <w:tcBorders>
              <w:top w:val="nil"/>
              <w:bottom w:val="nil"/>
            </w:tcBorders>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BUD/FOR 200/6 4 BD (Symbicort® Rapihaler®, 240)</w:t>
            </w:r>
          </w:p>
        </w:tc>
      </w:tr>
      <w:tr w:rsidR="00DD254D" w:rsidRPr="00A07146" w:rsidTr="00B061AA">
        <w:tc>
          <w:tcPr>
            <w:tcW w:w="247" w:type="pct"/>
            <w:vMerge/>
          </w:tcPr>
          <w:p w:rsidR="00DD254D" w:rsidRPr="00A07146" w:rsidRDefault="00DD254D" w:rsidP="00B72A80">
            <w:pPr>
              <w:pStyle w:val="ListBullet"/>
              <w:keepNext/>
              <w:keepLines/>
              <w:numPr>
                <w:ilvl w:val="0"/>
                <w:numId w:val="0"/>
              </w:numPr>
              <w:jc w:val="center"/>
              <w:rPr>
                <w:rFonts w:ascii="Arial Narrow" w:hAnsi="Arial Narrow"/>
                <w:sz w:val="20"/>
                <w:szCs w:val="20"/>
                <w:u w:val="single"/>
              </w:rPr>
            </w:pPr>
          </w:p>
        </w:tc>
        <w:tc>
          <w:tcPr>
            <w:tcW w:w="2376" w:type="pct"/>
            <w:tcBorders>
              <w:top w:val="nil"/>
              <w:bottom w:val="nil"/>
            </w:tcBorders>
            <w:vAlign w:val="center"/>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FP/FOR 125/5 2 BD (Flutiform®, 120)</w:t>
            </w:r>
          </w:p>
        </w:tc>
        <w:tc>
          <w:tcPr>
            <w:tcW w:w="2377" w:type="pct"/>
            <w:tcBorders>
              <w:top w:val="nil"/>
              <w:bottom w:val="nil"/>
            </w:tcBorders>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FP/FOR 250/10 2 BD (Flutiform®, 120)</w:t>
            </w:r>
          </w:p>
        </w:tc>
      </w:tr>
      <w:tr w:rsidR="00DD254D" w:rsidRPr="00A07146" w:rsidTr="00B061AA">
        <w:tc>
          <w:tcPr>
            <w:tcW w:w="247" w:type="pct"/>
            <w:vMerge/>
          </w:tcPr>
          <w:p w:rsidR="00DD254D" w:rsidRPr="00A07146" w:rsidRDefault="00DD254D" w:rsidP="00B72A80">
            <w:pPr>
              <w:pStyle w:val="ListBullet"/>
              <w:keepNext/>
              <w:keepLines/>
              <w:numPr>
                <w:ilvl w:val="0"/>
                <w:numId w:val="0"/>
              </w:numPr>
              <w:jc w:val="center"/>
              <w:rPr>
                <w:rFonts w:ascii="Arial Narrow" w:hAnsi="Arial Narrow"/>
                <w:sz w:val="20"/>
                <w:szCs w:val="20"/>
                <w:u w:val="single"/>
              </w:rPr>
            </w:pPr>
          </w:p>
        </w:tc>
        <w:tc>
          <w:tcPr>
            <w:tcW w:w="2376" w:type="pct"/>
            <w:tcBorders>
              <w:top w:val="nil"/>
            </w:tcBorders>
            <w:vAlign w:val="center"/>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BEC/FOR 100/6 2 BD (Fostair®, 120)*</w:t>
            </w:r>
          </w:p>
        </w:tc>
        <w:tc>
          <w:tcPr>
            <w:tcW w:w="2377" w:type="pct"/>
            <w:tcBorders>
              <w:top w:val="nil"/>
            </w:tcBorders>
          </w:tcPr>
          <w:p w:rsidR="00DD254D" w:rsidRPr="00A07146" w:rsidRDefault="00DD254D" w:rsidP="00B72A80">
            <w:pPr>
              <w:pStyle w:val="ListBullet"/>
              <w:keepNext/>
              <w:keepLines/>
              <w:numPr>
                <w:ilvl w:val="0"/>
                <w:numId w:val="0"/>
              </w:numPr>
              <w:jc w:val="center"/>
              <w:rPr>
                <w:rFonts w:ascii="Arial Narrow" w:hAnsi="Arial Narrow"/>
                <w:sz w:val="20"/>
                <w:szCs w:val="20"/>
              </w:rPr>
            </w:pPr>
            <w:r w:rsidRPr="00A07146">
              <w:rPr>
                <w:rFonts w:ascii="Arial Narrow" w:hAnsi="Arial Narrow"/>
                <w:sz w:val="20"/>
                <w:szCs w:val="20"/>
              </w:rPr>
              <w:t>-</w:t>
            </w:r>
          </w:p>
        </w:tc>
      </w:tr>
    </w:tbl>
    <w:p w:rsidR="00DD254D" w:rsidRPr="00FB7A6E" w:rsidRDefault="00DD254D" w:rsidP="00B72A80">
      <w:pPr>
        <w:pStyle w:val="TableFigureFooter"/>
        <w:keepNext/>
        <w:keepLines/>
        <w:spacing w:after="0"/>
      </w:pPr>
      <w:r w:rsidRPr="00A07146">
        <w:rPr>
          <w:szCs w:val="18"/>
        </w:rPr>
        <w:t xml:space="preserve">Abbreviations: </w:t>
      </w:r>
      <w:r w:rsidR="00864B21">
        <w:t>BEC=beclomet</w:t>
      </w:r>
      <w:r w:rsidRPr="00FB7A6E">
        <w:t>asone; BUD=budesonide; DPI=dry powder inhaler; FOR=formoterol; FF=fluticasone furoate; FP=fluticasone propionate; IND=indacaterol; MDI=metered dose inhaler; MF=mometasone furoate; SAL=salmeterol; VI=vilanterol; D=once daily; BD=twice daily;</w:t>
      </w:r>
    </w:p>
    <w:p w:rsidR="00DD254D" w:rsidRPr="00A07146" w:rsidRDefault="00DD254D" w:rsidP="00DD254D">
      <w:pPr>
        <w:pStyle w:val="ListBullet"/>
        <w:numPr>
          <w:ilvl w:val="0"/>
          <w:numId w:val="0"/>
        </w:numPr>
        <w:ind w:left="142" w:hanging="142"/>
        <w:rPr>
          <w:rFonts w:ascii="Arial Narrow" w:hAnsi="Arial Narrow"/>
          <w:sz w:val="18"/>
          <w:szCs w:val="18"/>
        </w:rPr>
      </w:pPr>
      <w:r w:rsidRPr="00A07146">
        <w:rPr>
          <w:rFonts w:ascii="Arial Narrow" w:hAnsi="Arial Narrow"/>
          <w:sz w:val="18"/>
          <w:szCs w:val="18"/>
        </w:rPr>
        <w:t>*</w:t>
      </w:r>
      <w:r w:rsidRPr="00A07146">
        <w:rPr>
          <w:rFonts w:ascii="Arial Narrow" w:hAnsi="Arial Narrow"/>
          <w:sz w:val="18"/>
          <w:szCs w:val="18"/>
        </w:rPr>
        <w:tab/>
        <w:t>PBS listing</w:t>
      </w:r>
      <w:r w:rsidR="00AF6179" w:rsidRPr="00A07146">
        <w:rPr>
          <w:rFonts w:ascii="Arial Narrow" w:hAnsi="Arial Narrow"/>
          <w:sz w:val="18"/>
          <w:szCs w:val="18"/>
        </w:rPr>
        <w:t xml:space="preserve"> of Fostair® FDC containing BEC/FOR </w:t>
      </w:r>
      <w:r w:rsidR="008F5212" w:rsidRPr="00A07146">
        <w:rPr>
          <w:rFonts w:ascii="Arial Narrow" w:hAnsi="Arial Narrow"/>
          <w:sz w:val="18"/>
          <w:szCs w:val="18"/>
        </w:rPr>
        <w:t xml:space="preserve">and Atectura® Breezhaler® containing MF/IND </w:t>
      </w:r>
      <w:r w:rsidR="00AF6179" w:rsidRPr="00A07146">
        <w:rPr>
          <w:rFonts w:ascii="Arial Narrow" w:hAnsi="Arial Narrow"/>
          <w:sz w:val="18"/>
          <w:szCs w:val="18"/>
        </w:rPr>
        <w:t>will be considered by the PBAC</w:t>
      </w:r>
      <w:r w:rsidRPr="00A07146">
        <w:rPr>
          <w:rFonts w:ascii="Arial Narrow" w:hAnsi="Arial Narrow"/>
          <w:sz w:val="18"/>
          <w:szCs w:val="18"/>
        </w:rPr>
        <w:t xml:space="preserve"> at the July 2020 meeting.</w:t>
      </w:r>
    </w:p>
    <w:p w:rsidR="00DD254D" w:rsidRPr="00FB7A6E" w:rsidRDefault="00DD254D" w:rsidP="00DD254D">
      <w:pPr>
        <w:pStyle w:val="TableFigureFooter"/>
      </w:pPr>
      <w:r w:rsidRPr="00FB7A6E">
        <w:t xml:space="preserve">Source: </w:t>
      </w:r>
      <w:r w:rsidRPr="00A07146">
        <w:rPr>
          <w:szCs w:val="18"/>
        </w:rPr>
        <w:t>compiled during the evaluation from the GINA guidelines, the Therapeutic Relativity Sheets and pbs.gov.au</w:t>
      </w:r>
    </w:p>
    <w:p w:rsidR="008F5212" w:rsidRPr="00A07146" w:rsidRDefault="00B12922" w:rsidP="00373F9B">
      <w:pPr>
        <w:pStyle w:val="3-BodyText"/>
        <w:rPr>
          <w:bCs/>
        </w:rPr>
      </w:pPr>
      <w:r w:rsidRPr="00A07146">
        <w:rPr>
          <w:bCs/>
        </w:rPr>
        <w:t xml:space="preserve">The PBAC </w:t>
      </w:r>
      <w:r w:rsidR="005842C9">
        <w:rPr>
          <w:bCs/>
        </w:rPr>
        <w:t>considered</w:t>
      </w:r>
      <w:r w:rsidRPr="00A07146">
        <w:rPr>
          <w:bCs/>
        </w:rPr>
        <w:t xml:space="preserve"> two </w:t>
      </w:r>
      <w:r w:rsidR="00373F9B" w:rsidRPr="00A07146">
        <w:rPr>
          <w:bCs/>
        </w:rPr>
        <w:t xml:space="preserve">submissions for new </w:t>
      </w:r>
      <w:r w:rsidRPr="00A07146">
        <w:rPr>
          <w:bCs/>
        </w:rPr>
        <w:t xml:space="preserve">ICS/LABA FDCs at the July 2020 meeting, including </w:t>
      </w:r>
      <w:r w:rsidR="0034101E" w:rsidRPr="00A07146">
        <w:rPr>
          <w:bCs/>
        </w:rPr>
        <w:t>Atectura® Breezhaler® dry powder capsules for inhalation containing MF/IND</w:t>
      </w:r>
      <w:r w:rsidRPr="00A07146">
        <w:rPr>
          <w:bCs/>
        </w:rPr>
        <w:t xml:space="preserve"> and </w:t>
      </w:r>
      <w:r w:rsidR="008F5212" w:rsidRPr="00A07146">
        <w:rPr>
          <w:bCs/>
        </w:rPr>
        <w:t>Fostair®</w:t>
      </w:r>
      <w:r w:rsidRPr="00A07146">
        <w:rPr>
          <w:bCs/>
        </w:rPr>
        <w:t xml:space="preserve"> </w:t>
      </w:r>
      <w:r w:rsidR="008F5212" w:rsidRPr="00A07146">
        <w:rPr>
          <w:bCs/>
        </w:rPr>
        <w:t>MDI contai</w:t>
      </w:r>
      <w:r w:rsidR="00864B21" w:rsidRPr="00A07146">
        <w:rPr>
          <w:bCs/>
        </w:rPr>
        <w:t xml:space="preserve">ning extra-fine </w:t>
      </w:r>
      <w:r w:rsidR="00A82B86">
        <w:rPr>
          <w:bCs/>
        </w:rPr>
        <w:t>BEC/FOR</w:t>
      </w:r>
      <w:r w:rsidR="008A5055">
        <w:rPr>
          <w:bCs/>
        </w:rPr>
        <w:t xml:space="preserve">. </w:t>
      </w:r>
      <w:r w:rsidR="008F5212" w:rsidRPr="00A07146">
        <w:rPr>
          <w:bCs/>
        </w:rPr>
        <w:t xml:space="preserve">Hence, </w:t>
      </w:r>
      <w:r w:rsidRPr="00A07146">
        <w:rPr>
          <w:bCs/>
        </w:rPr>
        <w:t xml:space="preserve">both of these products may be </w:t>
      </w:r>
      <w:r w:rsidR="008F5212" w:rsidRPr="00A07146">
        <w:rPr>
          <w:bCs/>
        </w:rPr>
        <w:t>potential near market comparator</w:t>
      </w:r>
      <w:r w:rsidRPr="00A07146">
        <w:rPr>
          <w:bCs/>
        </w:rPr>
        <w:t>s</w:t>
      </w:r>
      <w:r w:rsidR="008F5212" w:rsidRPr="00A07146">
        <w:rPr>
          <w:bCs/>
        </w:rPr>
        <w:t xml:space="preserve"> for </w:t>
      </w:r>
      <w:r w:rsidRPr="00A07146">
        <w:rPr>
          <w:bCs/>
        </w:rPr>
        <w:t xml:space="preserve">the ICS/LABA components of </w:t>
      </w:r>
      <w:r w:rsidR="008F5212" w:rsidRPr="00A07146">
        <w:rPr>
          <w:bCs/>
        </w:rPr>
        <w:t>MF/IND/GLY</w:t>
      </w:r>
      <w:r w:rsidRPr="00A07146">
        <w:rPr>
          <w:bCs/>
        </w:rPr>
        <w:t xml:space="preserve"> (shown in Table </w:t>
      </w:r>
      <w:r w:rsidR="000D72D7">
        <w:rPr>
          <w:bCs/>
        </w:rPr>
        <w:t>8</w:t>
      </w:r>
      <w:r w:rsidRPr="00A07146">
        <w:rPr>
          <w:bCs/>
        </w:rPr>
        <w:t>)</w:t>
      </w:r>
      <w:r w:rsidR="008F5212" w:rsidRPr="00A07146">
        <w:rPr>
          <w:bCs/>
        </w:rPr>
        <w:t>.</w:t>
      </w:r>
    </w:p>
    <w:p w:rsidR="002463DA" w:rsidRPr="00FB7A6E" w:rsidRDefault="00377AE8" w:rsidP="001925CA">
      <w:pPr>
        <w:pStyle w:val="3-BodyText"/>
        <w:rPr>
          <w:bCs/>
        </w:rPr>
      </w:pPr>
      <w:r w:rsidRPr="00FB7A6E">
        <w:rPr>
          <w:bCs/>
        </w:rPr>
        <w:t>The cost-min</w:t>
      </w:r>
      <w:r w:rsidR="00A202F0" w:rsidRPr="00FB7A6E">
        <w:rPr>
          <w:bCs/>
        </w:rPr>
        <w:t>i</w:t>
      </w:r>
      <w:r w:rsidRPr="00FB7A6E">
        <w:rPr>
          <w:bCs/>
        </w:rPr>
        <w:t xml:space="preserve">misation analysis </w:t>
      </w:r>
      <w:r w:rsidR="00154E9B" w:rsidRPr="00FB7A6E">
        <w:rPr>
          <w:bCs/>
        </w:rPr>
        <w:t xml:space="preserve">presented in the submission </w:t>
      </w:r>
      <w:r w:rsidRPr="00FB7A6E">
        <w:rPr>
          <w:bCs/>
        </w:rPr>
        <w:t>showed that the requested price for medium and high dose MF/IND/GLY (DPMQ = $</w:t>
      </w:r>
      <w:r w:rsidR="00D8008D">
        <w:rPr>
          <w:bCs/>
          <w:noProof/>
          <w:color w:val="000000"/>
          <w:highlight w:val="black"/>
        </w:rPr>
        <w:t>''''''''''''</w:t>
      </w:r>
      <w:r w:rsidRPr="00FB7A6E">
        <w:rPr>
          <w:bCs/>
        </w:rPr>
        <w:t xml:space="preserve">) was more than the cost </w:t>
      </w:r>
      <w:r w:rsidR="00DD254D" w:rsidRPr="00FB7A6E">
        <w:rPr>
          <w:bCs/>
        </w:rPr>
        <w:t>equivalent price for high dose FP/SAL DPI plus TIO (DPMQ = $92.77)</w:t>
      </w:r>
      <w:r w:rsidRPr="00FB7A6E">
        <w:rPr>
          <w:bCs/>
        </w:rPr>
        <w:t xml:space="preserve"> at current prices, but </w:t>
      </w:r>
      <w:r w:rsidR="00DD254D" w:rsidRPr="00FB7A6E">
        <w:rPr>
          <w:bCs/>
        </w:rPr>
        <w:t xml:space="preserve">less than the cost equivalent price </w:t>
      </w:r>
      <w:r w:rsidRPr="00FB7A6E">
        <w:rPr>
          <w:bCs/>
        </w:rPr>
        <w:t>in February 2020</w:t>
      </w:r>
      <w:r w:rsidR="00DD254D" w:rsidRPr="00FB7A6E">
        <w:rPr>
          <w:bCs/>
        </w:rPr>
        <w:t xml:space="preserve"> (DPMQ = $103.10)</w:t>
      </w:r>
      <w:r w:rsidR="00154E9B" w:rsidRPr="00FB7A6E">
        <w:rPr>
          <w:rStyle w:val="FootnoteReference"/>
          <w:bCs/>
        </w:rPr>
        <w:footnoteReference w:id="9"/>
      </w:r>
      <w:r w:rsidR="00DD254D" w:rsidRPr="00FB7A6E">
        <w:rPr>
          <w:bCs/>
        </w:rPr>
        <w:t>.</w:t>
      </w:r>
      <w:r w:rsidR="008A5055">
        <w:rPr>
          <w:bCs/>
        </w:rPr>
        <w:t xml:space="preserve"> </w:t>
      </w:r>
      <w:r w:rsidR="00154E9B" w:rsidRPr="00FB7A6E">
        <w:rPr>
          <w:bCs/>
        </w:rPr>
        <w:t xml:space="preserve">The sponsor argued a small price advantage was justified given evidence from the Argon trial showed high dose MF/IND/GLY was statistically better than high dose FP/SAL </w:t>
      </w:r>
      <w:r w:rsidR="00D2660C" w:rsidRPr="00FB7A6E">
        <w:rPr>
          <w:bCs/>
        </w:rPr>
        <w:t xml:space="preserve">plus </w:t>
      </w:r>
      <w:r w:rsidR="00154E9B" w:rsidRPr="00FB7A6E">
        <w:rPr>
          <w:bCs/>
        </w:rPr>
        <w:t>TIO for a number of secondary outcomes.</w:t>
      </w:r>
    </w:p>
    <w:p w:rsidR="00DA330E" w:rsidRPr="00FB7A6E" w:rsidRDefault="003D3158" w:rsidP="008139CC">
      <w:pPr>
        <w:pStyle w:val="3-BodyText"/>
      </w:pPr>
      <w:r>
        <w:t xml:space="preserve">During the evaluation the </w:t>
      </w:r>
      <w:r w:rsidR="00DD254D" w:rsidRPr="00A07146">
        <w:t xml:space="preserve">requested price advantage was </w:t>
      </w:r>
      <w:r>
        <w:t xml:space="preserve">considered </w:t>
      </w:r>
      <w:r w:rsidR="00DD254D" w:rsidRPr="00A07146">
        <w:t xml:space="preserve">not justified given the submission did not provide any evidence that MF/IND/GLY provides any patient relevant improvement in compliance, efficacy or safety </w:t>
      </w:r>
      <w:r w:rsidR="008A5055">
        <w:t xml:space="preserve">over the nominated comparator. </w:t>
      </w:r>
      <w:r w:rsidR="00187640" w:rsidRPr="00DB6C89">
        <w:t xml:space="preserve">The ESC considered that </w:t>
      </w:r>
      <w:r w:rsidR="00187640">
        <w:t>t</w:t>
      </w:r>
      <w:r w:rsidR="00DA330E" w:rsidRPr="00A07146">
        <w:t>he comparisons presented in Argon likely favoured MF/IND/GLY and the magnitude of the effects reported were unlike</w:t>
      </w:r>
      <w:r w:rsidR="008A5055">
        <w:t xml:space="preserve">ly to be clinically important. </w:t>
      </w:r>
      <w:r w:rsidR="00DA330E" w:rsidRPr="00A07146">
        <w:t xml:space="preserve">In addition, </w:t>
      </w:r>
      <w:r w:rsidR="00187640" w:rsidRPr="00DB6C89">
        <w:t xml:space="preserve">the ESC </w:t>
      </w:r>
      <w:r w:rsidR="00D01A98">
        <w:t xml:space="preserve">considered </w:t>
      </w:r>
      <w:r w:rsidR="00187640" w:rsidRPr="00DB6C89">
        <w:t xml:space="preserve">that </w:t>
      </w:r>
      <w:r w:rsidR="00DA330E" w:rsidRPr="00A07146">
        <w:t>any potential difference for one strength cannot reasonably support a price advantage for both strengths.</w:t>
      </w:r>
      <w:r w:rsidR="008139CC">
        <w:t xml:space="preserve"> </w:t>
      </w:r>
      <w:r w:rsidR="00D01A98">
        <w:rPr>
          <w:bCs/>
        </w:rPr>
        <w:t>The ESC</w:t>
      </w:r>
      <w:r w:rsidR="00D01A98" w:rsidRPr="00DB6C89">
        <w:rPr>
          <w:bCs/>
        </w:rPr>
        <w:t xml:space="preserve"> </w:t>
      </w:r>
      <w:r w:rsidR="00D01A98">
        <w:rPr>
          <w:bCs/>
        </w:rPr>
        <w:t>agreed with the evaluation</w:t>
      </w:r>
      <w:r w:rsidR="00D01A98" w:rsidRPr="00DB6C89">
        <w:rPr>
          <w:bCs/>
        </w:rPr>
        <w:t xml:space="preserve"> that the requested price premium over high dose FP/SAL plus TIO was not adequately justified.</w:t>
      </w:r>
    </w:p>
    <w:p w:rsidR="00FE2F78" w:rsidRPr="00A07146" w:rsidRDefault="00FE2F78" w:rsidP="00FE2F78">
      <w:pPr>
        <w:pStyle w:val="3-BodyText"/>
        <w:rPr>
          <w:iCs/>
        </w:rPr>
      </w:pPr>
      <w:r w:rsidRPr="00A07146">
        <w:rPr>
          <w:bCs/>
        </w:rPr>
        <w:t xml:space="preserve">The PBAC guidelines </w:t>
      </w:r>
      <w:r w:rsidR="004A5852" w:rsidRPr="00A07146">
        <w:rPr>
          <w:bCs/>
        </w:rPr>
        <w:t xml:space="preserve">(v5) </w:t>
      </w:r>
      <w:r w:rsidRPr="00A07146">
        <w:rPr>
          <w:bCs/>
        </w:rPr>
        <w:t>state that the pricing of a combination product would normally be no greater than the sum of its ind</w:t>
      </w:r>
      <w:r w:rsidR="008A5055">
        <w:rPr>
          <w:bCs/>
        </w:rPr>
        <w:t xml:space="preserve">ividual components. </w:t>
      </w:r>
      <w:r w:rsidRPr="00A07146">
        <w:rPr>
          <w:bCs/>
        </w:rPr>
        <w:t xml:space="preserve">In recommending the triple ICS/LABA/LAMA FDC Trelegy® Ellipta® (FF/VI/UMEC) for COPD, the PBAC considered that the </w:t>
      </w:r>
      <w:r w:rsidR="005140D4" w:rsidRPr="00A07146">
        <w:rPr>
          <w:bCs/>
        </w:rPr>
        <w:t>‘</w:t>
      </w:r>
      <w:r w:rsidRPr="00A07146">
        <w:rPr>
          <w:bCs/>
        </w:rPr>
        <w:t xml:space="preserve">the ceiling price of Trelegy (or any other fixed combination of </w:t>
      </w:r>
      <w:r w:rsidRPr="00A07146">
        <w:rPr>
          <w:bCs/>
        </w:rPr>
        <w:lastRenderedPageBreak/>
        <w:t>triple therapy of LAMA/LABA/ICS) should be no greater than the lowest priced combination of any listed components of the triple therapy</w:t>
      </w:r>
      <w:r w:rsidR="005140D4" w:rsidRPr="00A07146">
        <w:rPr>
          <w:bCs/>
        </w:rPr>
        <w:t>’</w:t>
      </w:r>
      <w:r w:rsidRPr="00A07146">
        <w:rPr>
          <w:bCs/>
        </w:rPr>
        <w:t xml:space="preserve"> (paragraphs 7.6 to 7.8, fluticasone furoate with umeclidinium and vilanterol FDC, PSD December 2017 PBAC meeting)</w:t>
      </w:r>
      <w:r w:rsidR="003D3158">
        <w:rPr>
          <w:bCs/>
        </w:rPr>
        <w:t>.</w:t>
      </w:r>
    </w:p>
    <w:p w:rsidR="00DD254D" w:rsidRPr="00A07146" w:rsidRDefault="00DD254D" w:rsidP="00DD254D">
      <w:pPr>
        <w:pStyle w:val="3-BodyText"/>
        <w:rPr>
          <w:bCs/>
          <w:iCs/>
        </w:rPr>
      </w:pPr>
      <w:r w:rsidRPr="00A07146">
        <w:rPr>
          <w:bCs/>
          <w:iCs/>
        </w:rPr>
        <w:t>Based on cost equivalent prices for all combinations of loose medium and high dose ICS/LABA FDCs plus LAMA available on the PBS, that provide 800</w:t>
      </w:r>
      <w:r w:rsidR="00B50EB6" w:rsidRPr="00A07146">
        <w:rPr>
          <w:bCs/>
          <w:iCs/>
        </w:rPr>
        <w:t xml:space="preserve"> </w:t>
      </w:r>
      <w:r w:rsidRPr="00A07146">
        <w:rPr>
          <w:bCs/>
          <w:iCs/>
        </w:rPr>
        <w:t>mcg and 1600</w:t>
      </w:r>
      <w:r w:rsidR="00B50EB6" w:rsidRPr="00A07146">
        <w:rPr>
          <w:bCs/>
          <w:iCs/>
        </w:rPr>
        <w:t xml:space="preserve"> </w:t>
      </w:r>
      <w:r w:rsidRPr="00A07146">
        <w:rPr>
          <w:bCs/>
          <w:iCs/>
        </w:rPr>
        <w:t>mcg budesonide per day or equivalent for 30 days of treatment respectively</w:t>
      </w:r>
      <w:r w:rsidR="00187640">
        <w:rPr>
          <w:bCs/>
          <w:iCs/>
        </w:rPr>
        <w:t xml:space="preserve"> (see Table 8</w:t>
      </w:r>
      <w:r w:rsidR="007A415B" w:rsidRPr="00A07146">
        <w:rPr>
          <w:bCs/>
          <w:iCs/>
        </w:rPr>
        <w:t xml:space="preserve"> above)</w:t>
      </w:r>
      <w:r w:rsidRPr="00A07146">
        <w:rPr>
          <w:bCs/>
          <w:iCs/>
        </w:rPr>
        <w:t>:</w:t>
      </w:r>
    </w:p>
    <w:p w:rsidR="00DD254D" w:rsidRPr="00A07146" w:rsidRDefault="00DD254D" w:rsidP="006831B2">
      <w:pPr>
        <w:pStyle w:val="3-BodyText"/>
        <w:numPr>
          <w:ilvl w:val="1"/>
          <w:numId w:val="7"/>
        </w:numPr>
        <w:ind w:left="993" w:hanging="294"/>
        <w:rPr>
          <w:iCs/>
        </w:rPr>
      </w:pPr>
      <w:r w:rsidRPr="00A07146">
        <w:rPr>
          <w:iCs/>
        </w:rPr>
        <w:t>The least costly combination of any listed high dose ICS/LABA + LAMA products on the PBS results in a cost-equivalent DPMQ of $91.06</w:t>
      </w:r>
      <w:r w:rsidR="00D26960" w:rsidRPr="00A07146">
        <w:rPr>
          <w:iCs/>
        </w:rPr>
        <w:t xml:space="preserve"> (FP/FOR 250/10 plus TIO 2.5)</w:t>
      </w:r>
      <w:r w:rsidRPr="00A07146">
        <w:rPr>
          <w:iCs/>
        </w:rPr>
        <w:t xml:space="preserve">, which is </w:t>
      </w:r>
      <w:r w:rsidR="00D8008D">
        <w:rPr>
          <w:iCs/>
          <w:noProof/>
          <w:color w:val="000000"/>
          <w:highlight w:val="black"/>
        </w:rPr>
        <w:t>'''''''</w:t>
      </w:r>
      <w:r w:rsidRPr="00A07146">
        <w:rPr>
          <w:iCs/>
        </w:rPr>
        <w:t>% less than the requested DPMQ of $</w:t>
      </w:r>
      <w:r w:rsidR="00D8008D">
        <w:rPr>
          <w:iCs/>
          <w:noProof/>
          <w:color w:val="000000"/>
          <w:highlight w:val="black"/>
        </w:rPr>
        <w:t>''''''''''''</w:t>
      </w:r>
      <w:r w:rsidRPr="00A07146">
        <w:rPr>
          <w:iCs/>
        </w:rPr>
        <w:t>.</w:t>
      </w:r>
    </w:p>
    <w:p w:rsidR="00C11977" w:rsidRDefault="00DD254D" w:rsidP="006831B2">
      <w:pPr>
        <w:pStyle w:val="3-BodyText"/>
        <w:numPr>
          <w:ilvl w:val="1"/>
          <w:numId w:val="7"/>
        </w:numPr>
        <w:ind w:left="993" w:hanging="294"/>
        <w:rPr>
          <w:iCs/>
        </w:rPr>
      </w:pPr>
      <w:r w:rsidRPr="00A07146">
        <w:rPr>
          <w:iCs/>
        </w:rPr>
        <w:t>The least costly combination of any listed medium dose ICS/LABA + LAMA products on the PBS results in a cost-equivalent DPMQ of $76.14</w:t>
      </w:r>
      <w:r w:rsidR="00D26960" w:rsidRPr="00A07146">
        <w:rPr>
          <w:iCs/>
        </w:rPr>
        <w:t xml:space="preserve"> (FP/FOR 125/5 plus TIO 2.5)</w:t>
      </w:r>
      <w:r w:rsidRPr="00A07146">
        <w:rPr>
          <w:iCs/>
        </w:rPr>
        <w:t xml:space="preserve">, which is </w:t>
      </w:r>
      <w:r w:rsidR="00D8008D">
        <w:rPr>
          <w:iCs/>
          <w:noProof/>
          <w:color w:val="000000"/>
          <w:highlight w:val="black"/>
        </w:rPr>
        <w:t>''''''''</w:t>
      </w:r>
      <w:r w:rsidRPr="00A07146">
        <w:rPr>
          <w:iCs/>
        </w:rPr>
        <w:t xml:space="preserve">% less than the requested DPMQ of </w:t>
      </w:r>
      <w:r w:rsidR="00A76FA2">
        <w:rPr>
          <w:iCs/>
        </w:rPr>
        <w:t>$</w:t>
      </w:r>
      <w:r w:rsidR="00D8008D">
        <w:rPr>
          <w:iCs/>
          <w:noProof/>
          <w:color w:val="000000"/>
          <w:highlight w:val="black"/>
        </w:rPr>
        <w:t>''''''''''</w:t>
      </w:r>
      <w:r w:rsidRPr="00A07146">
        <w:rPr>
          <w:iCs/>
        </w:rPr>
        <w:t>.</w:t>
      </w:r>
    </w:p>
    <w:p w:rsidR="00DB4F68" w:rsidRDefault="00DB4F68" w:rsidP="00DB4F68">
      <w:pPr>
        <w:pStyle w:val="3-BodyText"/>
        <w:numPr>
          <w:ilvl w:val="0"/>
          <w:numId w:val="0"/>
        </w:numPr>
        <w:ind w:left="699"/>
        <w:rPr>
          <w:iCs/>
        </w:rPr>
      </w:pPr>
      <w:r w:rsidRPr="00E05813">
        <w:t xml:space="preserve">Under Section 101(3B) of the </w:t>
      </w:r>
      <w:r w:rsidRPr="004E45B0">
        <w:rPr>
          <w:i/>
        </w:rPr>
        <w:t>National Health Act (1953),</w:t>
      </w:r>
      <w:r w:rsidRPr="00E05813">
        <w:t xml:space="preserve"> the PBAC cannot recommend listing a therapy at a price that is substantially more costly than an alternative therapy unless it is satisfied that the therapy provides, for some patients, a significant improvement in efficacy or reduction in toxicity.</w:t>
      </w:r>
    </w:p>
    <w:p w:rsidR="00A71000" w:rsidRPr="00841701" w:rsidRDefault="00A71000" w:rsidP="00841701">
      <w:pPr>
        <w:pStyle w:val="3-BodyText"/>
      </w:pPr>
      <w:r w:rsidRPr="00841701">
        <w:t xml:space="preserve">The </w:t>
      </w:r>
      <w:r w:rsidR="00841701" w:rsidRPr="00841701">
        <w:t>p</w:t>
      </w:r>
      <w:r w:rsidRPr="00841701">
        <w:t xml:space="preserve">re-PBAC </w:t>
      </w:r>
      <w:r w:rsidR="00A76FA2">
        <w:t>r</w:t>
      </w:r>
      <w:r w:rsidRPr="00841701">
        <w:t xml:space="preserve">esponse </w:t>
      </w:r>
      <w:r w:rsidR="0063426E" w:rsidRPr="00841701">
        <w:t xml:space="preserve">proposed a revised </w:t>
      </w:r>
      <w:r w:rsidR="00A76FA2">
        <w:t>DPMQ of $</w:t>
      </w:r>
      <w:r w:rsidR="00D8008D">
        <w:rPr>
          <w:noProof/>
          <w:color w:val="000000"/>
          <w:highlight w:val="black"/>
        </w:rPr>
        <w:t>'''''''''''</w:t>
      </w:r>
      <w:r w:rsidR="00A76FA2">
        <w:t xml:space="preserve"> (AEMP $</w:t>
      </w:r>
      <w:r w:rsidR="00D8008D">
        <w:rPr>
          <w:noProof/>
          <w:color w:val="000000"/>
          <w:highlight w:val="black"/>
        </w:rPr>
        <w:t>''''''''''</w:t>
      </w:r>
      <w:r w:rsidR="00A76FA2">
        <w:t>).</w:t>
      </w:r>
      <w:r w:rsidR="0063426E" w:rsidRPr="00841701">
        <w:t xml:space="preserve"> </w:t>
      </w:r>
    </w:p>
    <w:p w:rsidR="00DD254D" w:rsidRPr="00FB7A6E" w:rsidRDefault="00DD254D" w:rsidP="00DD254D">
      <w:pPr>
        <w:pStyle w:val="4-SubsectionHeading"/>
      </w:pPr>
      <w:bookmarkStart w:id="36" w:name="_Toc22897646"/>
      <w:bookmarkStart w:id="37" w:name="_Toc40870067"/>
      <w:r w:rsidRPr="00FB7A6E">
        <w:t>Drug cost/patient/year</w:t>
      </w:r>
      <w:bookmarkEnd w:id="36"/>
      <w:bookmarkEnd w:id="37"/>
    </w:p>
    <w:p w:rsidR="00613D1D" w:rsidRPr="00FB7A6E" w:rsidRDefault="00613D1D" w:rsidP="00613D1D">
      <w:pPr>
        <w:pStyle w:val="3-BodyText"/>
        <w:rPr>
          <w:snapToGrid/>
        </w:rPr>
      </w:pPr>
      <w:r w:rsidRPr="00FB7A6E">
        <w:rPr>
          <w:snapToGrid/>
        </w:rPr>
        <w:t xml:space="preserve">The annual cost of MF/IND/GLY per patient </w:t>
      </w:r>
      <w:r w:rsidRPr="00187640">
        <w:rPr>
          <w:snapToGrid/>
        </w:rPr>
        <w:t>was</w:t>
      </w:r>
      <w:r w:rsidRPr="00187640">
        <w:t xml:space="preserve"> </w:t>
      </w:r>
      <w:r>
        <w:rPr>
          <w:snapToGrid/>
        </w:rPr>
        <w:t>$</w:t>
      </w:r>
      <w:r w:rsidR="00D8008D">
        <w:rPr>
          <w:noProof/>
          <w:snapToGrid/>
          <w:color w:val="000000"/>
          <w:highlight w:val="black"/>
        </w:rPr>
        <w:t>'''''''''''''''''</w:t>
      </w:r>
      <w:r w:rsidRPr="00FB7A6E">
        <w:rPr>
          <w:snapToGrid/>
        </w:rPr>
        <w:t xml:space="preserve"> for either med</w:t>
      </w:r>
      <w:r w:rsidR="00625FD9">
        <w:rPr>
          <w:snapToGrid/>
        </w:rPr>
        <w:t xml:space="preserve">ium or high dose formulations. </w:t>
      </w:r>
      <w:r w:rsidRPr="00FB7A6E">
        <w:rPr>
          <w:snapToGrid/>
        </w:rPr>
        <w:t>These calculations assume</w:t>
      </w:r>
      <w:r w:rsidRPr="00187640">
        <w:rPr>
          <w:snapToGrid/>
        </w:rPr>
        <w:t>d</w:t>
      </w:r>
      <w:r w:rsidRPr="00FB7A6E">
        <w:rPr>
          <w:snapToGrid/>
        </w:rPr>
        <w:t xml:space="preserve"> 12.18 scripts per year at the requested DPMQs ($</w:t>
      </w:r>
      <w:r w:rsidR="00D8008D">
        <w:rPr>
          <w:noProof/>
          <w:snapToGrid/>
          <w:color w:val="000000"/>
          <w:highlight w:val="black"/>
        </w:rPr>
        <w:t>''''''''''</w:t>
      </w:r>
      <w:r w:rsidRPr="00FB7A6E">
        <w:rPr>
          <w:snapToGrid/>
        </w:rPr>
        <w:t>).</w:t>
      </w:r>
    </w:p>
    <w:p w:rsidR="00DD254D" w:rsidRPr="00FB7A6E" w:rsidRDefault="00DD254D" w:rsidP="00DD254D">
      <w:pPr>
        <w:pStyle w:val="4-SubsectionHeading"/>
      </w:pPr>
      <w:bookmarkStart w:id="38" w:name="_Toc22897647"/>
      <w:bookmarkStart w:id="39" w:name="_Toc40870068"/>
      <w:r w:rsidRPr="00FB7A6E">
        <w:t>Estimated PBS usage &amp; financial implications</w:t>
      </w:r>
      <w:bookmarkEnd w:id="38"/>
      <w:bookmarkEnd w:id="39"/>
    </w:p>
    <w:p w:rsidR="00DD254D" w:rsidRPr="00FB7A6E" w:rsidRDefault="00934E79" w:rsidP="00934E79">
      <w:pPr>
        <w:pStyle w:val="3-BodyText"/>
      </w:pPr>
      <w:r w:rsidRPr="00934E79">
        <w:t>This submission was not considered by DUSC</w:t>
      </w:r>
      <w:r w:rsidR="008A5055">
        <w:t xml:space="preserve">. </w:t>
      </w:r>
      <w:r w:rsidR="00DD254D" w:rsidRPr="00FB7A6E">
        <w:t>The estimated financial impact of the proposed listing assumed a market share approach with high</w:t>
      </w:r>
      <w:r w:rsidR="00333E0E" w:rsidRPr="00FB7A6E">
        <w:t xml:space="preserve"> dose</w:t>
      </w:r>
      <w:r w:rsidR="00DD254D" w:rsidRPr="00FB7A6E">
        <w:t xml:space="preserve"> ICS/LABA FDC </w:t>
      </w:r>
      <w:r w:rsidR="00333E0E" w:rsidRPr="00FB7A6E">
        <w:t>(</w:t>
      </w:r>
      <w:r w:rsidR="00DD254D" w:rsidRPr="00FB7A6E">
        <w:t>DPI</w:t>
      </w:r>
      <w:r w:rsidR="00333E0E" w:rsidRPr="00FB7A6E">
        <w:t xml:space="preserve"> products only)</w:t>
      </w:r>
      <w:r w:rsidR="00DD254D" w:rsidRPr="00FB7A6E">
        <w:t xml:space="preserve"> + LAMA products av</w:t>
      </w:r>
      <w:r w:rsidR="008A5055">
        <w:t xml:space="preserve">ailable on the PBS for asthma. </w:t>
      </w:r>
      <w:r w:rsidR="00DD254D" w:rsidRPr="00FB7A6E">
        <w:t>Substitution with medium dose ICS/LABA FDCs + LAMA was presented as a sensitivity analysis.</w:t>
      </w:r>
    </w:p>
    <w:p w:rsidR="00DD254D" w:rsidRPr="00FB7A6E" w:rsidRDefault="00DD254D" w:rsidP="00DD254D">
      <w:pPr>
        <w:pStyle w:val="3-BodyText"/>
      </w:pPr>
      <w:r w:rsidRPr="003C73D9">
        <w:t xml:space="preserve">Table </w:t>
      </w:r>
      <w:r w:rsidR="000D72D7" w:rsidRPr="003C73D9">
        <w:t>9</w:t>
      </w:r>
      <w:r w:rsidR="000D72D7" w:rsidRPr="00FB7A6E">
        <w:t xml:space="preserve"> </w:t>
      </w:r>
      <w:r w:rsidRPr="00FB7A6E">
        <w:t>summarises the key inputs used in the financial estimates.</w:t>
      </w:r>
    </w:p>
    <w:p w:rsidR="00DD254D" w:rsidRPr="00FB7A6E" w:rsidRDefault="00DD254D" w:rsidP="002C18A8">
      <w:pPr>
        <w:pStyle w:val="TableFigureHeading"/>
        <w:rPr>
          <w:rStyle w:val="CommentReference"/>
          <w:b/>
          <w:szCs w:val="24"/>
        </w:rPr>
      </w:pPr>
      <w:r w:rsidRPr="003C73D9">
        <w:rPr>
          <w:rStyle w:val="CommentReference"/>
          <w:b/>
          <w:szCs w:val="24"/>
        </w:rPr>
        <w:lastRenderedPageBreak/>
        <w:t xml:space="preserve">Table </w:t>
      </w:r>
      <w:r w:rsidR="000D72D7" w:rsidRPr="003C73D9">
        <w:rPr>
          <w:rStyle w:val="CommentReference"/>
          <w:b/>
          <w:szCs w:val="24"/>
        </w:rPr>
        <w:t>9</w:t>
      </w:r>
      <w:r w:rsidRPr="003C73D9">
        <w:rPr>
          <w:rStyle w:val="CommentReference"/>
          <w:b/>
          <w:szCs w:val="24"/>
        </w:rPr>
        <w:t>:</w:t>
      </w:r>
      <w:r w:rsidRPr="00FB7A6E">
        <w:rPr>
          <w:rStyle w:val="CommentReference"/>
          <w:b/>
          <w:szCs w:val="24"/>
        </w:rPr>
        <w:t xml:space="preserve"> Key inputs for financial estimates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3"/>
        <w:gridCol w:w="3387"/>
        <w:gridCol w:w="4557"/>
      </w:tblGrid>
      <w:tr w:rsidR="00DD254D" w:rsidRPr="00FB7A6E" w:rsidTr="002C18A8">
        <w:trPr>
          <w:tblHeader/>
        </w:trPr>
        <w:tc>
          <w:tcPr>
            <w:tcW w:w="619" w:type="pct"/>
            <w:shd w:val="clear" w:color="auto" w:fill="auto"/>
            <w:vAlign w:val="center"/>
          </w:tcPr>
          <w:p w:rsidR="00DD254D" w:rsidRPr="00FB7A6E" w:rsidRDefault="00DD254D" w:rsidP="002C18A8">
            <w:pPr>
              <w:pStyle w:val="In-tableHeading"/>
              <w:rPr>
                <w:lang w:val="en-AU"/>
              </w:rPr>
            </w:pPr>
            <w:r w:rsidRPr="00FB7A6E">
              <w:rPr>
                <w:lang w:val="en-AU"/>
              </w:rPr>
              <w:t>Parameter</w:t>
            </w:r>
          </w:p>
        </w:tc>
        <w:tc>
          <w:tcPr>
            <w:tcW w:w="1868" w:type="pct"/>
            <w:shd w:val="clear" w:color="auto" w:fill="auto"/>
            <w:vAlign w:val="center"/>
          </w:tcPr>
          <w:p w:rsidR="00DD254D" w:rsidRPr="00FB7A6E" w:rsidRDefault="00DD254D" w:rsidP="002C18A8">
            <w:pPr>
              <w:pStyle w:val="In-tableHeading"/>
              <w:rPr>
                <w:lang w:val="en-AU"/>
              </w:rPr>
            </w:pPr>
            <w:r w:rsidRPr="00FB7A6E">
              <w:rPr>
                <w:lang w:val="en-AU"/>
              </w:rPr>
              <w:t>Value applied and source</w:t>
            </w:r>
          </w:p>
        </w:tc>
        <w:tc>
          <w:tcPr>
            <w:tcW w:w="2513" w:type="pct"/>
            <w:shd w:val="clear" w:color="auto" w:fill="auto"/>
            <w:vAlign w:val="center"/>
          </w:tcPr>
          <w:p w:rsidR="00DD254D" w:rsidRPr="00FB7A6E" w:rsidRDefault="00DD254D" w:rsidP="002C18A8">
            <w:pPr>
              <w:pStyle w:val="In-tableHeading"/>
              <w:rPr>
                <w:lang w:val="en-AU"/>
              </w:rPr>
            </w:pPr>
            <w:r w:rsidRPr="00FB7A6E">
              <w:rPr>
                <w:lang w:val="en-AU"/>
              </w:rPr>
              <w:t>Comment</w:t>
            </w:r>
          </w:p>
        </w:tc>
      </w:tr>
      <w:tr w:rsidR="00654CBC" w:rsidRPr="00FB7A6E" w:rsidTr="002C18A8">
        <w:tc>
          <w:tcPr>
            <w:tcW w:w="619" w:type="pct"/>
            <w:vAlign w:val="center"/>
          </w:tcPr>
          <w:p w:rsidR="00654CBC" w:rsidRPr="00FB7A6E" w:rsidRDefault="00654CBC" w:rsidP="002C18A8">
            <w:pPr>
              <w:pStyle w:val="TableText0"/>
            </w:pPr>
            <w:r w:rsidRPr="00FB7A6E">
              <w:t>Triple therapy market (scripts)</w:t>
            </w:r>
          </w:p>
        </w:tc>
        <w:tc>
          <w:tcPr>
            <w:tcW w:w="1868" w:type="pct"/>
            <w:vAlign w:val="center"/>
          </w:tcPr>
          <w:p w:rsidR="00654CBC" w:rsidRPr="00FB7A6E" w:rsidRDefault="00654CBC" w:rsidP="002C18A8">
            <w:pPr>
              <w:pStyle w:val="TableText0"/>
            </w:pPr>
            <w:r w:rsidRPr="00FB7A6E">
              <w:t>2019:</w:t>
            </w:r>
          </w:p>
          <w:p w:rsidR="00654CBC" w:rsidRPr="00FB7A6E" w:rsidRDefault="00654CBC" w:rsidP="006831B2">
            <w:pPr>
              <w:pStyle w:val="TableText0"/>
              <w:numPr>
                <w:ilvl w:val="0"/>
                <w:numId w:val="4"/>
              </w:numPr>
              <w:ind w:left="346" w:hanging="233"/>
            </w:pPr>
            <w:r w:rsidRPr="00FB7A6E">
              <w:t>351,413 scripts of ICS/LABA</w:t>
            </w:r>
          </w:p>
          <w:p w:rsidR="00654CBC" w:rsidRDefault="00654CBC" w:rsidP="006831B2">
            <w:pPr>
              <w:pStyle w:val="TableText0"/>
              <w:numPr>
                <w:ilvl w:val="0"/>
                <w:numId w:val="4"/>
              </w:numPr>
              <w:ind w:left="346" w:hanging="233"/>
            </w:pPr>
            <w:r w:rsidRPr="00FB7A6E">
              <w:t>351,413 scripts of LAMA</w:t>
            </w:r>
          </w:p>
          <w:p w:rsidR="00654CBC" w:rsidRPr="00FB7A6E" w:rsidRDefault="00654CBC" w:rsidP="002C18A8">
            <w:pPr>
              <w:pStyle w:val="TableText0"/>
            </w:pPr>
            <w:r>
              <w:t xml:space="preserve">Source: </w:t>
            </w:r>
            <w:r w:rsidRPr="00FB7A6E">
              <w:t>PBS statistics for tiotropium (item 11043F) Jan 2019 to Dec 2019, as a proxy for ICS/LABA and LAMA scripts.</w:t>
            </w:r>
          </w:p>
        </w:tc>
        <w:tc>
          <w:tcPr>
            <w:tcW w:w="2513" w:type="pct"/>
            <w:vAlign w:val="center"/>
          </w:tcPr>
          <w:p w:rsidR="00654CBC" w:rsidRPr="00FB7A6E" w:rsidRDefault="00654CBC" w:rsidP="002C18A8">
            <w:pPr>
              <w:pStyle w:val="TableText0"/>
            </w:pPr>
          </w:p>
          <w:p w:rsidR="00654CBC" w:rsidRPr="00FB7A6E" w:rsidRDefault="00654CBC" w:rsidP="002C18A8">
            <w:pPr>
              <w:pStyle w:val="TableText0"/>
              <w:rPr>
                <w:i/>
                <w:iCs/>
              </w:rPr>
            </w:pPr>
            <w:r w:rsidRPr="00A07146">
              <w:rPr>
                <w:iCs/>
              </w:rPr>
              <w:t>Reasonable. Item 11043F is restricted to triple therapy in combination with ICS/LABA.</w:t>
            </w:r>
          </w:p>
        </w:tc>
      </w:tr>
      <w:tr w:rsidR="00DD254D" w:rsidRPr="00FB7A6E" w:rsidTr="002C18A8">
        <w:tc>
          <w:tcPr>
            <w:tcW w:w="619" w:type="pct"/>
            <w:shd w:val="clear" w:color="auto" w:fill="auto"/>
            <w:vAlign w:val="center"/>
          </w:tcPr>
          <w:p w:rsidR="00DD254D" w:rsidRPr="00FB7A6E" w:rsidRDefault="00DD254D" w:rsidP="002C18A8">
            <w:pPr>
              <w:pStyle w:val="TableText0"/>
            </w:pPr>
            <w:r w:rsidRPr="00FB7A6E">
              <w:t>Annual growth of triple therapy market (scripts)</w:t>
            </w:r>
          </w:p>
        </w:tc>
        <w:tc>
          <w:tcPr>
            <w:tcW w:w="1868" w:type="pct"/>
            <w:shd w:val="clear" w:color="auto" w:fill="auto"/>
            <w:vAlign w:val="center"/>
          </w:tcPr>
          <w:p w:rsidR="00DD254D" w:rsidRPr="00FB7A6E" w:rsidRDefault="00DD254D" w:rsidP="002C18A8">
            <w:pPr>
              <w:pStyle w:val="TableText0"/>
            </w:pPr>
            <w:r w:rsidRPr="00FB7A6E">
              <w:t>2020: 10%</w:t>
            </w:r>
          </w:p>
          <w:p w:rsidR="00DD254D" w:rsidRPr="00FB7A6E" w:rsidRDefault="00DD254D" w:rsidP="002C18A8">
            <w:pPr>
              <w:pStyle w:val="TableText0"/>
            </w:pPr>
            <w:r w:rsidRPr="00FB7A6E">
              <w:t>Yr 1 (2021): 8%</w:t>
            </w:r>
          </w:p>
          <w:p w:rsidR="00DD254D" w:rsidRPr="00FB7A6E" w:rsidRDefault="00DD254D" w:rsidP="002C18A8">
            <w:pPr>
              <w:pStyle w:val="TableText0"/>
            </w:pPr>
            <w:r w:rsidRPr="00FB7A6E">
              <w:t>Yrs 2 to 6 (2022 to 2026): 5%</w:t>
            </w:r>
          </w:p>
          <w:p w:rsidR="00DD254D" w:rsidRPr="00FB7A6E" w:rsidRDefault="00DD254D" w:rsidP="002C18A8">
            <w:pPr>
              <w:pStyle w:val="TableText0"/>
            </w:pPr>
            <w:r w:rsidRPr="00FB7A6E">
              <w:t>Source: Assumption based on PBS statistics</w:t>
            </w:r>
            <w:r w:rsidR="008A5055">
              <w:t xml:space="preserve"> for tiotropium (item 11043F). </w:t>
            </w:r>
            <w:r w:rsidRPr="00FB7A6E">
              <w:t>Growth of 99.8% in 2018 and 12.9% in 2019.</w:t>
            </w:r>
          </w:p>
        </w:tc>
        <w:tc>
          <w:tcPr>
            <w:tcW w:w="2513" w:type="pct"/>
            <w:shd w:val="clear" w:color="auto" w:fill="auto"/>
            <w:vAlign w:val="center"/>
          </w:tcPr>
          <w:p w:rsidR="00DD254D" w:rsidRPr="00FB7A6E" w:rsidRDefault="008A5055" w:rsidP="002C18A8">
            <w:pPr>
              <w:pStyle w:val="TableText0"/>
            </w:pPr>
            <w:r>
              <w:rPr>
                <w:iCs/>
              </w:rPr>
              <w:t xml:space="preserve">Reasonable. </w:t>
            </w:r>
            <w:r w:rsidR="00DD254D" w:rsidRPr="00A07146">
              <w:rPr>
                <w:iCs/>
              </w:rPr>
              <w:t>Growth of triple therapy is likely to slow over time but remain positive.</w:t>
            </w:r>
          </w:p>
        </w:tc>
      </w:tr>
      <w:tr w:rsidR="00DD254D" w:rsidRPr="00A07146" w:rsidTr="002C18A8">
        <w:tc>
          <w:tcPr>
            <w:tcW w:w="619" w:type="pct"/>
            <w:shd w:val="clear" w:color="auto" w:fill="auto"/>
            <w:vAlign w:val="center"/>
          </w:tcPr>
          <w:p w:rsidR="00DD254D" w:rsidRPr="00A07146" w:rsidRDefault="00DD254D" w:rsidP="002C18A8">
            <w:pPr>
              <w:pStyle w:val="TableText0"/>
            </w:pPr>
            <w:r w:rsidRPr="00A07146">
              <w:t>Substitution rate for ICS/LABA FDC + LAMA</w:t>
            </w:r>
          </w:p>
        </w:tc>
        <w:tc>
          <w:tcPr>
            <w:tcW w:w="1868" w:type="pct"/>
            <w:vAlign w:val="center"/>
          </w:tcPr>
          <w:p w:rsidR="004A5E8C" w:rsidRPr="00A07146" w:rsidRDefault="00DD254D" w:rsidP="002C18A8">
            <w:pPr>
              <w:pStyle w:val="TableText0"/>
            </w:pPr>
            <w:r w:rsidRPr="00A07146">
              <w:t>Each MF/IND/GLY script would substitute: 1 ICS/LABA FDC script, and 1 LAMA script</w:t>
            </w:r>
            <w:r w:rsidR="004A5E8C" w:rsidRPr="00A07146">
              <w:t>, with proportional substitution based on the projected market share of the individual products.</w:t>
            </w:r>
          </w:p>
          <w:p w:rsidR="00DD254D" w:rsidRPr="00A07146" w:rsidRDefault="00DD254D" w:rsidP="002C18A8">
            <w:pPr>
              <w:pStyle w:val="TableText0"/>
            </w:pPr>
          </w:p>
          <w:p w:rsidR="00DD254D" w:rsidRPr="00A07146" w:rsidRDefault="00DD254D" w:rsidP="002C18A8">
            <w:pPr>
              <w:pStyle w:val="TableText0"/>
              <w:rPr>
                <w:iCs/>
              </w:rPr>
            </w:pPr>
            <w:r w:rsidRPr="00A07146">
              <w:rPr>
                <w:iCs/>
              </w:rPr>
              <w:t>Assumed dose relativities</w:t>
            </w:r>
          </w:p>
          <w:tbl>
            <w:tblPr>
              <w:tblStyle w:val="TableGrid"/>
              <w:tblW w:w="3033" w:type="dxa"/>
              <w:tblLayout w:type="fixed"/>
              <w:tblCellMar>
                <w:left w:w="85" w:type="dxa"/>
                <w:right w:w="85" w:type="dxa"/>
              </w:tblCellMar>
              <w:tblLook w:val="04A0" w:firstRow="1" w:lastRow="0" w:firstColumn="1" w:lastColumn="0" w:noHBand="0" w:noVBand="1"/>
              <w:tblCaption w:val="Assumed dose relativities"/>
            </w:tblPr>
            <w:tblGrid>
              <w:gridCol w:w="1332"/>
              <w:gridCol w:w="567"/>
              <w:gridCol w:w="567"/>
              <w:gridCol w:w="567"/>
            </w:tblGrid>
            <w:tr w:rsidR="00DD254D" w:rsidRPr="00A07146" w:rsidTr="00F352F3">
              <w:trPr>
                <w:tblHeader/>
              </w:trPr>
              <w:tc>
                <w:tcPr>
                  <w:tcW w:w="1332" w:type="dxa"/>
                  <w:vAlign w:val="center"/>
                </w:tcPr>
                <w:p w:rsidR="00DD254D" w:rsidRPr="00A07146" w:rsidRDefault="00DD254D" w:rsidP="002C18A8">
                  <w:pPr>
                    <w:keepNext/>
                    <w:ind w:left="-57"/>
                    <w:contextualSpacing/>
                    <w:jc w:val="left"/>
                    <w:rPr>
                      <w:rFonts w:ascii="Arial Narrow" w:hAnsi="Arial Narrow"/>
                      <w:b/>
                      <w:bCs/>
                      <w:iCs/>
                      <w:sz w:val="18"/>
                      <w:szCs w:val="18"/>
                    </w:rPr>
                  </w:pPr>
                </w:p>
              </w:tc>
              <w:tc>
                <w:tcPr>
                  <w:tcW w:w="567" w:type="dxa"/>
                  <w:vAlign w:val="center"/>
                </w:tcPr>
                <w:p w:rsidR="00DD254D" w:rsidRPr="00A07146" w:rsidRDefault="00DD254D" w:rsidP="002C18A8">
                  <w:pPr>
                    <w:keepNext/>
                    <w:ind w:left="-57"/>
                    <w:contextualSpacing/>
                    <w:jc w:val="left"/>
                    <w:rPr>
                      <w:rFonts w:ascii="Arial Narrow" w:hAnsi="Arial Narrow"/>
                      <w:b/>
                      <w:bCs/>
                      <w:iCs/>
                      <w:sz w:val="18"/>
                      <w:szCs w:val="18"/>
                    </w:rPr>
                  </w:pPr>
                  <w:r w:rsidRPr="00A07146">
                    <w:rPr>
                      <w:rFonts w:ascii="Arial Narrow" w:hAnsi="Arial Narrow"/>
                      <w:b/>
                      <w:bCs/>
                      <w:iCs/>
                      <w:sz w:val="18"/>
                      <w:szCs w:val="18"/>
                    </w:rPr>
                    <w:t>Dose</w:t>
                  </w:r>
                </w:p>
              </w:tc>
              <w:tc>
                <w:tcPr>
                  <w:tcW w:w="567" w:type="dxa"/>
                  <w:vAlign w:val="center"/>
                </w:tcPr>
                <w:p w:rsidR="00DD254D" w:rsidRPr="00A07146" w:rsidRDefault="00DD254D" w:rsidP="002C18A8">
                  <w:pPr>
                    <w:keepNext/>
                    <w:ind w:left="-57"/>
                    <w:contextualSpacing/>
                    <w:jc w:val="left"/>
                    <w:rPr>
                      <w:rFonts w:ascii="Arial Narrow" w:hAnsi="Arial Narrow"/>
                      <w:b/>
                      <w:bCs/>
                      <w:iCs/>
                      <w:sz w:val="18"/>
                      <w:szCs w:val="18"/>
                    </w:rPr>
                  </w:pPr>
                  <w:r w:rsidRPr="00A07146">
                    <w:rPr>
                      <w:rFonts w:ascii="Arial Narrow" w:hAnsi="Arial Narrow"/>
                      <w:b/>
                      <w:bCs/>
                      <w:iCs/>
                      <w:sz w:val="18"/>
                      <w:szCs w:val="18"/>
                    </w:rPr>
                    <w:t>Sub rate</w:t>
                  </w:r>
                </w:p>
              </w:tc>
              <w:tc>
                <w:tcPr>
                  <w:tcW w:w="567" w:type="dxa"/>
                  <w:vAlign w:val="center"/>
                </w:tcPr>
                <w:p w:rsidR="00DD254D" w:rsidRPr="00A07146" w:rsidRDefault="00DD254D" w:rsidP="002C18A8">
                  <w:pPr>
                    <w:keepNext/>
                    <w:ind w:left="-57"/>
                    <w:contextualSpacing/>
                    <w:jc w:val="left"/>
                    <w:rPr>
                      <w:rFonts w:ascii="Arial Narrow" w:hAnsi="Arial Narrow"/>
                      <w:b/>
                      <w:bCs/>
                      <w:iCs/>
                      <w:sz w:val="18"/>
                      <w:szCs w:val="18"/>
                    </w:rPr>
                  </w:pPr>
                  <w:r w:rsidRPr="00A07146">
                    <w:rPr>
                      <w:rFonts w:ascii="Arial Narrow" w:hAnsi="Arial Narrow"/>
                      <w:b/>
                      <w:bCs/>
                      <w:iCs/>
                      <w:sz w:val="18"/>
                      <w:szCs w:val="18"/>
                    </w:rPr>
                    <w:t>Base case</w:t>
                  </w:r>
                </w:p>
              </w:tc>
            </w:tr>
            <w:tr w:rsidR="00DD254D" w:rsidRPr="00A07146" w:rsidTr="00B061AA">
              <w:tc>
                <w:tcPr>
                  <w:tcW w:w="3033" w:type="dxa"/>
                  <w:gridSpan w:val="4"/>
                  <w:vAlign w:val="center"/>
                </w:tcPr>
                <w:p w:rsidR="00DD254D" w:rsidRPr="00A07146" w:rsidRDefault="00DD254D" w:rsidP="002C18A8">
                  <w:pPr>
                    <w:keepNext/>
                    <w:ind w:left="-57" w:right="-227"/>
                    <w:contextualSpacing/>
                    <w:jc w:val="left"/>
                    <w:rPr>
                      <w:rFonts w:ascii="Arial Narrow" w:hAnsi="Arial Narrow"/>
                      <w:b/>
                      <w:bCs/>
                      <w:iCs/>
                      <w:sz w:val="18"/>
                      <w:szCs w:val="18"/>
                    </w:rPr>
                  </w:pPr>
                  <w:r w:rsidRPr="00A07146">
                    <w:rPr>
                      <w:rFonts w:ascii="Arial Narrow" w:hAnsi="Arial Narrow"/>
                      <w:b/>
                      <w:iCs/>
                      <w:sz w:val="20"/>
                      <w:szCs w:val="20"/>
                    </w:rPr>
                    <w:t>LAMA</w:t>
                  </w:r>
                </w:p>
              </w:tc>
            </w:tr>
            <w:tr w:rsidR="00DD254D" w:rsidRPr="00A07146" w:rsidTr="00B061AA">
              <w:tc>
                <w:tcPr>
                  <w:tcW w:w="1332" w:type="dxa"/>
                  <w:vAlign w:val="center"/>
                </w:tcPr>
                <w:p w:rsidR="00DD254D" w:rsidRPr="00A07146" w:rsidRDefault="00DD254D" w:rsidP="002C18A8">
                  <w:pPr>
                    <w:keepNext/>
                    <w:ind w:left="-57"/>
                    <w:contextualSpacing/>
                    <w:jc w:val="left"/>
                    <w:rPr>
                      <w:rFonts w:ascii="Arial Narrow" w:hAnsi="Arial Narrow"/>
                      <w:b/>
                      <w:bCs/>
                      <w:iCs/>
                      <w:sz w:val="18"/>
                      <w:szCs w:val="18"/>
                    </w:rPr>
                  </w:pPr>
                  <w:r w:rsidRPr="00A07146">
                    <w:rPr>
                      <w:rFonts w:ascii="Arial Narrow" w:hAnsi="Arial Narrow"/>
                      <w:bCs/>
                      <w:iCs/>
                      <w:sz w:val="20"/>
                      <w:szCs w:val="20"/>
                    </w:rPr>
                    <w:t>TIO 2.5</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2 D</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1 : 1</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Yes</w:t>
                  </w:r>
                </w:p>
              </w:tc>
            </w:tr>
            <w:tr w:rsidR="00DD254D" w:rsidRPr="00A07146" w:rsidTr="00B061AA">
              <w:tc>
                <w:tcPr>
                  <w:tcW w:w="3033" w:type="dxa"/>
                  <w:gridSpan w:val="4"/>
                  <w:vAlign w:val="center"/>
                </w:tcPr>
                <w:p w:rsidR="00DD254D" w:rsidRPr="00A07146" w:rsidRDefault="00DD254D" w:rsidP="002C18A8">
                  <w:pPr>
                    <w:keepNext/>
                    <w:ind w:left="-57" w:right="-227"/>
                    <w:contextualSpacing/>
                    <w:jc w:val="left"/>
                    <w:rPr>
                      <w:rFonts w:ascii="Arial Narrow" w:hAnsi="Arial Narrow"/>
                      <w:b/>
                      <w:iCs/>
                      <w:sz w:val="20"/>
                      <w:szCs w:val="20"/>
                    </w:rPr>
                  </w:pPr>
                  <w:r w:rsidRPr="00A07146">
                    <w:rPr>
                      <w:rFonts w:ascii="Arial Narrow" w:hAnsi="Arial Narrow"/>
                      <w:b/>
                      <w:iCs/>
                      <w:sz w:val="20"/>
                      <w:szCs w:val="20"/>
                    </w:rPr>
                    <w:t>High dose ICS / LABA FDC</w:t>
                  </w:r>
                </w:p>
                <w:p w:rsidR="00DD254D" w:rsidRPr="00A07146" w:rsidRDefault="00DD254D" w:rsidP="002C18A8">
                  <w:pPr>
                    <w:keepNext/>
                    <w:ind w:left="-57" w:right="-227"/>
                    <w:contextualSpacing/>
                    <w:jc w:val="left"/>
                    <w:rPr>
                      <w:rFonts w:ascii="Arial Narrow" w:hAnsi="Arial Narrow"/>
                      <w:b/>
                      <w:iCs/>
                      <w:sz w:val="20"/>
                      <w:szCs w:val="20"/>
                    </w:rPr>
                  </w:pPr>
                  <w:r w:rsidRPr="00A07146">
                    <w:rPr>
                      <w:rFonts w:ascii="Arial Narrow" w:hAnsi="Arial Narrow"/>
                      <w:b/>
                      <w:iCs/>
                      <w:sz w:val="20"/>
                      <w:szCs w:val="20"/>
                    </w:rPr>
                    <w:t>(BUD 1600 mcg / day or equivalent)</w:t>
                  </w:r>
                </w:p>
              </w:tc>
            </w:tr>
            <w:tr w:rsidR="00DD254D" w:rsidRPr="00A07146" w:rsidTr="00B061AA">
              <w:tc>
                <w:tcPr>
                  <w:tcW w:w="1332"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FP/SAL 500/50</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BD</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1 : 1</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Yes</w:t>
                  </w:r>
                </w:p>
              </w:tc>
            </w:tr>
            <w:tr w:rsidR="00DD254D" w:rsidRPr="00A07146" w:rsidTr="00B061AA">
              <w:tc>
                <w:tcPr>
                  <w:tcW w:w="1332"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BUD/FOR 400/12</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2 BD</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1 : 1:</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Yes</w:t>
                  </w:r>
                </w:p>
              </w:tc>
            </w:tr>
            <w:tr w:rsidR="00DD254D" w:rsidRPr="00A07146" w:rsidTr="00B061AA">
              <w:tc>
                <w:tcPr>
                  <w:tcW w:w="1332"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FF/VI 200/25</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D</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1 : 1</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Yes</w:t>
                  </w:r>
                </w:p>
              </w:tc>
            </w:tr>
            <w:tr w:rsidR="00DD254D" w:rsidRPr="00A07146" w:rsidTr="00B061AA">
              <w:tc>
                <w:tcPr>
                  <w:tcW w:w="3033" w:type="dxa"/>
                  <w:gridSpan w:val="4"/>
                  <w:vAlign w:val="center"/>
                </w:tcPr>
                <w:p w:rsidR="00DD254D" w:rsidRPr="00A07146" w:rsidRDefault="00DD254D" w:rsidP="002C18A8">
                  <w:pPr>
                    <w:keepNext/>
                    <w:ind w:left="-57" w:right="-227"/>
                    <w:contextualSpacing/>
                    <w:jc w:val="left"/>
                    <w:rPr>
                      <w:rFonts w:ascii="Arial Narrow" w:hAnsi="Arial Narrow"/>
                      <w:b/>
                      <w:iCs/>
                      <w:sz w:val="20"/>
                      <w:szCs w:val="20"/>
                    </w:rPr>
                  </w:pPr>
                  <w:r w:rsidRPr="00A07146">
                    <w:rPr>
                      <w:rFonts w:ascii="Arial Narrow" w:hAnsi="Arial Narrow"/>
                      <w:b/>
                      <w:iCs/>
                      <w:sz w:val="20"/>
                      <w:szCs w:val="20"/>
                    </w:rPr>
                    <w:t>Medium dose ICS / LABA FDC</w:t>
                  </w:r>
                </w:p>
                <w:p w:rsidR="00DD254D" w:rsidRPr="00A07146" w:rsidRDefault="00DD254D" w:rsidP="002C18A8">
                  <w:pPr>
                    <w:keepNext/>
                    <w:ind w:left="-57" w:right="-227"/>
                    <w:contextualSpacing/>
                    <w:jc w:val="left"/>
                    <w:rPr>
                      <w:rFonts w:ascii="Arial Narrow" w:hAnsi="Arial Narrow"/>
                      <w:b/>
                      <w:iCs/>
                      <w:sz w:val="20"/>
                      <w:szCs w:val="20"/>
                    </w:rPr>
                  </w:pPr>
                  <w:r w:rsidRPr="00A07146">
                    <w:rPr>
                      <w:rFonts w:ascii="Arial Narrow" w:hAnsi="Arial Narrow"/>
                      <w:b/>
                      <w:iCs/>
                      <w:sz w:val="20"/>
                      <w:szCs w:val="20"/>
                    </w:rPr>
                    <w:t xml:space="preserve">(BUD 800 mcg / day or equivalent) </w:t>
                  </w:r>
                </w:p>
              </w:tc>
            </w:tr>
            <w:tr w:rsidR="00DD254D" w:rsidRPr="00A07146" w:rsidTr="00B061AA">
              <w:tc>
                <w:tcPr>
                  <w:tcW w:w="1332"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FP/SAL 250/50</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BD</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1 : 1</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No</w:t>
                  </w:r>
                </w:p>
              </w:tc>
            </w:tr>
            <w:tr w:rsidR="00DD254D" w:rsidRPr="00A07146" w:rsidTr="00B061AA">
              <w:tc>
                <w:tcPr>
                  <w:tcW w:w="1332"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BUD/FOR 200/12</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2 BD</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1 : 1</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No</w:t>
                  </w:r>
                </w:p>
              </w:tc>
            </w:tr>
            <w:tr w:rsidR="00DD254D" w:rsidRPr="00A07146" w:rsidTr="00B061AA">
              <w:tc>
                <w:tcPr>
                  <w:tcW w:w="1332"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FF/VI 100/25</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D</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1 : 1</w:t>
                  </w:r>
                </w:p>
              </w:tc>
              <w:tc>
                <w:tcPr>
                  <w:tcW w:w="567" w:type="dxa"/>
                  <w:vAlign w:val="center"/>
                </w:tcPr>
                <w:p w:rsidR="00DD254D" w:rsidRPr="00A07146" w:rsidRDefault="00DD254D" w:rsidP="002C18A8">
                  <w:pPr>
                    <w:keepNext/>
                    <w:ind w:left="-57" w:right="-227"/>
                    <w:contextualSpacing/>
                    <w:jc w:val="left"/>
                    <w:rPr>
                      <w:rFonts w:ascii="Arial Narrow" w:hAnsi="Arial Narrow"/>
                      <w:bCs/>
                      <w:iCs/>
                      <w:sz w:val="20"/>
                      <w:szCs w:val="20"/>
                    </w:rPr>
                  </w:pPr>
                  <w:r w:rsidRPr="00A07146">
                    <w:rPr>
                      <w:rFonts w:ascii="Arial Narrow" w:hAnsi="Arial Narrow"/>
                      <w:bCs/>
                      <w:iCs/>
                      <w:sz w:val="20"/>
                      <w:szCs w:val="20"/>
                    </w:rPr>
                    <w:t>No</w:t>
                  </w:r>
                </w:p>
              </w:tc>
            </w:tr>
          </w:tbl>
          <w:p w:rsidR="004A5E8C" w:rsidRPr="00A07146" w:rsidRDefault="004A5E8C" w:rsidP="002C18A8">
            <w:pPr>
              <w:pStyle w:val="TableText0"/>
            </w:pPr>
          </w:p>
        </w:tc>
        <w:tc>
          <w:tcPr>
            <w:tcW w:w="2513" w:type="pct"/>
            <w:shd w:val="clear" w:color="auto" w:fill="auto"/>
            <w:vAlign w:val="center"/>
          </w:tcPr>
          <w:p w:rsidR="00DD254D" w:rsidRPr="00A07146" w:rsidRDefault="00DD254D" w:rsidP="002C18A8">
            <w:pPr>
              <w:pStyle w:val="TableText0"/>
            </w:pPr>
            <w:r w:rsidRPr="00A07146">
              <w:t xml:space="preserve">The assumed dose relativities </w:t>
            </w:r>
            <w:r w:rsidR="00596508" w:rsidRPr="009A3C03">
              <w:t>were</w:t>
            </w:r>
            <w:r w:rsidR="00596508" w:rsidRPr="00A07146">
              <w:t xml:space="preserve"> </w:t>
            </w:r>
            <w:r w:rsidRPr="00A07146">
              <w:t xml:space="preserve">consistent with the Therapeutic Relativity </w:t>
            </w:r>
            <w:r w:rsidR="008A5055">
              <w:t>Sheets and clinical guidelines.</w:t>
            </w:r>
            <w:r w:rsidRPr="00A07146">
              <w:t xml:space="preserve"> However, the assumption that medium and high dose MF/IND/GLY would only substitute for high dose ICS/LABA + LAMA in the b</w:t>
            </w:r>
            <w:r w:rsidR="008A5055">
              <w:t xml:space="preserve">ase case was poorly justified. </w:t>
            </w:r>
            <w:r w:rsidRPr="00A07146">
              <w:t>A sensitivity analysis with substitution from medium dose ICS/LABA + LAMA showed that the model was highly sensitive to this assumption.</w:t>
            </w:r>
          </w:p>
        </w:tc>
      </w:tr>
      <w:tr w:rsidR="00DD254D" w:rsidRPr="00A07146" w:rsidTr="002C18A8">
        <w:tc>
          <w:tcPr>
            <w:tcW w:w="619" w:type="pct"/>
            <w:shd w:val="clear" w:color="auto" w:fill="auto"/>
            <w:vAlign w:val="center"/>
          </w:tcPr>
          <w:p w:rsidR="00DD254D" w:rsidRPr="00A07146" w:rsidRDefault="00DD254D" w:rsidP="00B061AA">
            <w:pPr>
              <w:pStyle w:val="TableText0"/>
              <w:keepNext w:val="0"/>
            </w:pPr>
            <w:r w:rsidRPr="00A07146">
              <w:t>Uptake rate (medium and high dose combined)</w:t>
            </w:r>
          </w:p>
        </w:tc>
        <w:tc>
          <w:tcPr>
            <w:tcW w:w="1868" w:type="pct"/>
            <w:shd w:val="clear" w:color="auto" w:fill="auto"/>
            <w:vAlign w:val="center"/>
          </w:tcPr>
          <w:p w:rsidR="00DD254D" w:rsidRPr="00A07146" w:rsidRDefault="00DD254D" w:rsidP="00B061AA">
            <w:pPr>
              <w:pStyle w:val="TableText0"/>
              <w:keepNext w:val="0"/>
            </w:pPr>
            <w:r w:rsidRPr="00A07146">
              <w:t>Yr 1: 23% increasing to Yr 6: 60%</w:t>
            </w:r>
          </w:p>
          <w:p w:rsidR="00DD254D" w:rsidRPr="00A07146" w:rsidRDefault="00DD254D" w:rsidP="00B061AA">
            <w:pPr>
              <w:pStyle w:val="TableText0"/>
              <w:keepNext w:val="0"/>
            </w:pPr>
            <w:r w:rsidRPr="00A07146">
              <w:t>Source: Yrs 1 to 2 based on the estimated uptake of Trelegy Ellipta® (PBS item 11379X) in COPD, as a</w:t>
            </w:r>
            <w:r w:rsidR="008A5055">
              <w:t xml:space="preserve"> proportion of LAMA/LABA FDCs. </w:t>
            </w:r>
            <w:r w:rsidRPr="00A07146">
              <w:t>Yrs 3 to 6 based on an assumption</w:t>
            </w:r>
          </w:p>
        </w:tc>
        <w:tc>
          <w:tcPr>
            <w:tcW w:w="2513" w:type="pct"/>
            <w:shd w:val="clear" w:color="auto" w:fill="auto"/>
            <w:vAlign w:val="center"/>
          </w:tcPr>
          <w:p w:rsidR="00DD254D" w:rsidRPr="00A07146" w:rsidRDefault="008A5055" w:rsidP="00727006">
            <w:pPr>
              <w:pStyle w:val="TableText0"/>
              <w:keepNext w:val="0"/>
            </w:pPr>
            <w:r>
              <w:t xml:space="preserve">Not reasonable. </w:t>
            </w:r>
            <w:r w:rsidR="00DD254D" w:rsidRPr="00A07146">
              <w:t xml:space="preserve">The methodology used </w:t>
            </w:r>
            <w:r w:rsidR="00727006" w:rsidRPr="009A3C03">
              <w:t>was</w:t>
            </w:r>
            <w:r w:rsidR="00DD254D" w:rsidRPr="00A07146">
              <w:t xml:space="preserve"> not precise given </w:t>
            </w:r>
            <w:r w:rsidR="00DD254D" w:rsidRPr="008B35C9">
              <w:t>there</w:t>
            </w:r>
            <w:r w:rsidR="00DD254D" w:rsidRPr="00A07146">
              <w:t xml:space="preserve"> is no requirement that LAMA/LABA FDCs must be used in combination with ICS for COPD (and therefore cannot prox</w:t>
            </w:r>
            <w:r>
              <w:t xml:space="preserve">y for triple therapy scripts). </w:t>
            </w:r>
            <w:r w:rsidR="00DD254D" w:rsidRPr="00A07146">
              <w:t xml:space="preserve">Patients treated with ICS/LABA may also be using triple therapy, which </w:t>
            </w:r>
            <w:r w:rsidR="00727006" w:rsidRPr="009A3C03">
              <w:t xml:space="preserve">were </w:t>
            </w:r>
            <w:r w:rsidR="00DD254D" w:rsidRPr="00A07146">
              <w:t>no</w:t>
            </w:r>
            <w:r>
              <w:t xml:space="preserve">t included in the denominator. </w:t>
            </w:r>
            <w:r w:rsidR="00DD254D" w:rsidRPr="00A07146">
              <w:t>Overall, the uptake rates based on this methodology (Yr 1 and Yr 2) could be over- or under-estimates of triple therapy FD</w:t>
            </w:r>
            <w:r>
              <w:t>C in the triple therapy market.</w:t>
            </w:r>
            <w:r w:rsidR="00DD254D" w:rsidRPr="00A07146">
              <w:t xml:space="preserve"> On face-value, the estimates seem</w:t>
            </w:r>
            <w:r w:rsidR="00596508" w:rsidRPr="009A3C03">
              <w:t>ed</w:t>
            </w:r>
            <w:r w:rsidR="00DD254D" w:rsidRPr="00A07146">
              <w:t xml:space="preserve"> low given reduced out-of-pocket costs to patients but the submission argued that some clinicians may </w:t>
            </w:r>
            <w:r w:rsidR="003253BA" w:rsidRPr="00A07146">
              <w:t>not prescribe a</w:t>
            </w:r>
            <w:r w:rsidR="00DD254D" w:rsidRPr="00A07146">
              <w:t xml:space="preserve"> triple FDC using three components not currently PBS-listed for asthma.</w:t>
            </w:r>
          </w:p>
        </w:tc>
      </w:tr>
      <w:tr w:rsidR="00DD254D" w:rsidRPr="00A07146" w:rsidTr="002C18A8">
        <w:tc>
          <w:tcPr>
            <w:tcW w:w="619" w:type="pct"/>
            <w:shd w:val="clear" w:color="auto" w:fill="auto"/>
            <w:vAlign w:val="center"/>
          </w:tcPr>
          <w:p w:rsidR="00DD254D" w:rsidRPr="00A07146" w:rsidRDefault="00DD254D" w:rsidP="00B061AA">
            <w:pPr>
              <w:pStyle w:val="TableText0"/>
              <w:keepNext w:val="0"/>
            </w:pPr>
            <w:r w:rsidRPr="00A07146">
              <w:t>Compliance rate</w:t>
            </w:r>
          </w:p>
          <w:p w:rsidR="00DD254D" w:rsidRPr="00A07146" w:rsidRDefault="00DD254D" w:rsidP="00B061AA">
            <w:pPr>
              <w:pStyle w:val="TableText0"/>
              <w:keepNext w:val="0"/>
            </w:pPr>
          </w:p>
        </w:tc>
        <w:tc>
          <w:tcPr>
            <w:tcW w:w="1868" w:type="pct"/>
            <w:shd w:val="clear" w:color="auto" w:fill="auto"/>
            <w:vAlign w:val="center"/>
          </w:tcPr>
          <w:p w:rsidR="00DD254D" w:rsidRPr="00A07146" w:rsidRDefault="00DD254D" w:rsidP="00B061AA">
            <w:pPr>
              <w:pStyle w:val="TableText0"/>
              <w:keepNext w:val="0"/>
            </w:pPr>
            <w:r w:rsidRPr="00A07146">
              <w:t>100%</w:t>
            </w:r>
          </w:p>
          <w:p w:rsidR="00DD254D" w:rsidRPr="00A07146" w:rsidRDefault="00DD254D" w:rsidP="00B061AA">
            <w:pPr>
              <w:pStyle w:val="TableText0"/>
              <w:keepNext w:val="0"/>
            </w:pPr>
            <w:r w:rsidRPr="00A07146">
              <w:t>Source: assumption</w:t>
            </w:r>
          </w:p>
        </w:tc>
        <w:tc>
          <w:tcPr>
            <w:tcW w:w="2513" w:type="pct"/>
            <w:shd w:val="clear" w:color="auto" w:fill="auto"/>
            <w:vAlign w:val="center"/>
          </w:tcPr>
          <w:p w:rsidR="00DD254D" w:rsidRPr="00A07146" w:rsidRDefault="00DD254D" w:rsidP="00596508">
            <w:pPr>
              <w:pStyle w:val="TableText0"/>
              <w:keepNext w:val="0"/>
            </w:pPr>
            <w:r w:rsidRPr="00A07146">
              <w:t xml:space="preserve">Compliance </w:t>
            </w:r>
            <w:r w:rsidRPr="009A3C03">
              <w:t>is</w:t>
            </w:r>
            <w:r w:rsidRPr="00A07146">
              <w:t xml:space="preserve"> likely less than 100%, and may improve with the proposed listing but assuming no difference in compliance is reasonable given the submission did not present any evidence of improved compliance with MF/IND/GLY over loose ICS/LABA + LAMA.</w:t>
            </w:r>
          </w:p>
        </w:tc>
      </w:tr>
    </w:tbl>
    <w:p w:rsidR="00DD254D" w:rsidRPr="00FB7A6E" w:rsidRDefault="00DD254D" w:rsidP="00DD254D">
      <w:pPr>
        <w:pStyle w:val="TableFigureFooter"/>
      </w:pPr>
      <w:r w:rsidRPr="00FB7A6E">
        <w:t>Abbreviations: BUD=budesonide; FOR=formoterol, FDC=fixed dose combination; FF=fluticasone furoate; FP=fluticasone propionate; ICS=inhaled corticosteroid; GLY=glycopyrronium; IND=indacaterol; LABA=long-acting beta2-agon</w:t>
      </w:r>
      <w:r w:rsidR="008A5055">
        <w:t>i</w:t>
      </w:r>
      <w:r w:rsidRPr="00FB7A6E">
        <w:t xml:space="preserve">st; LAMA=long-acting muscarinic </w:t>
      </w:r>
      <w:r w:rsidR="009326C0" w:rsidRPr="00FB7A6E">
        <w:t xml:space="preserve">receptor </w:t>
      </w:r>
      <w:r w:rsidRPr="00FB7A6E">
        <w:t>antagonist; MF=mometasone furoate; SAL=salmeterol; TIO=tiotropium; VI=vilanterol</w:t>
      </w:r>
    </w:p>
    <w:p w:rsidR="00DD254D" w:rsidRPr="00FB7A6E" w:rsidRDefault="00DD254D" w:rsidP="00DD254D">
      <w:pPr>
        <w:pStyle w:val="TableFigureFooter"/>
      </w:pPr>
      <w:r w:rsidRPr="00FB7A6E">
        <w:t>Source: Section 4 of the submission, Utilisation and cost model workbook.</w:t>
      </w:r>
    </w:p>
    <w:p w:rsidR="00DD254D" w:rsidRPr="00FB7A6E" w:rsidRDefault="00DD254D" w:rsidP="00DD254D">
      <w:pPr>
        <w:pStyle w:val="3-BodyText"/>
      </w:pPr>
      <w:r w:rsidRPr="003C73D9">
        <w:lastRenderedPageBreak/>
        <w:t xml:space="preserve">Table </w:t>
      </w:r>
      <w:r w:rsidR="000D72D7" w:rsidRPr="003C73D9">
        <w:t xml:space="preserve">10 </w:t>
      </w:r>
      <w:r w:rsidRPr="003C73D9">
        <w:t>summarises</w:t>
      </w:r>
      <w:r w:rsidRPr="00FB7A6E">
        <w:t xml:space="preserve"> the estimated use and financial impact of the</w:t>
      </w:r>
      <w:r w:rsidR="00FF1903">
        <w:t xml:space="preserve"> </w:t>
      </w:r>
      <w:r w:rsidRPr="00FB7A6E">
        <w:t>requested listing for MF/IND/GLY.</w:t>
      </w:r>
    </w:p>
    <w:p w:rsidR="00DD254D" w:rsidRPr="00FB7A6E" w:rsidRDefault="00DD254D" w:rsidP="00DD254D">
      <w:pPr>
        <w:pStyle w:val="TableFigureHeading"/>
      </w:pPr>
      <w:r w:rsidRPr="003C73D9">
        <w:t xml:space="preserve">Table </w:t>
      </w:r>
      <w:r w:rsidR="000D72D7" w:rsidRPr="003C73D9">
        <w:t>10</w:t>
      </w:r>
      <w:r w:rsidRPr="003C73D9">
        <w:t>:</w:t>
      </w:r>
      <w:r w:rsidRPr="00FB7A6E">
        <w:t xml:space="preserve"> </w:t>
      </w:r>
      <w:r w:rsidRPr="00FB7A6E">
        <w:rPr>
          <w:rStyle w:val="CommentReference"/>
          <w:b/>
          <w:szCs w:val="24"/>
        </w:rPr>
        <w:t>Estimated use and financial implications to the PBS/RPBS</w:t>
      </w:r>
      <w:r w:rsidR="00064F9C">
        <w:rPr>
          <w:rStyle w:val="CommentReference"/>
          <w:b/>
          <w:szCs w:val="24"/>
        </w:rPr>
        <w:t xml:space="preserve"> </w:t>
      </w:r>
    </w:p>
    <w:tbl>
      <w:tblPr>
        <w:tblW w:w="0" w:type="auto"/>
        <w:tblCellMar>
          <w:left w:w="28" w:type="dxa"/>
          <w:right w:w="28" w:type="dxa"/>
        </w:tblCellMar>
        <w:tblLook w:val="04A0" w:firstRow="1" w:lastRow="0" w:firstColumn="1" w:lastColumn="0" w:noHBand="0" w:noVBand="1"/>
      </w:tblPr>
      <w:tblGrid>
        <w:gridCol w:w="2669"/>
        <w:gridCol w:w="1053"/>
        <w:gridCol w:w="1060"/>
        <w:gridCol w:w="1055"/>
        <w:gridCol w:w="1060"/>
        <w:gridCol w:w="1060"/>
        <w:gridCol w:w="1060"/>
      </w:tblGrid>
      <w:tr w:rsidR="00DD254D" w:rsidRPr="00FB7A6E" w:rsidTr="00B061AA">
        <w:trPr>
          <w:tblHeader/>
        </w:trPr>
        <w:tc>
          <w:tcPr>
            <w:tcW w:w="2689" w:type="dxa"/>
            <w:tcBorders>
              <w:top w:val="single" w:sz="4" w:space="0" w:color="auto"/>
              <w:left w:val="single" w:sz="4" w:space="0" w:color="auto"/>
              <w:bottom w:val="single" w:sz="4" w:space="0" w:color="auto"/>
              <w:right w:val="single" w:sz="4" w:space="0" w:color="auto"/>
            </w:tcBorders>
          </w:tcPr>
          <w:p w:rsidR="00DD254D" w:rsidRPr="00FB7A6E" w:rsidRDefault="00DD254D" w:rsidP="00B061AA">
            <w:pPr>
              <w:pStyle w:val="TableFigureHeading"/>
              <w:jc w:val="center"/>
            </w:pPr>
          </w:p>
        </w:tc>
        <w:tc>
          <w:tcPr>
            <w:tcW w:w="1054" w:type="dxa"/>
            <w:tcBorders>
              <w:top w:val="single" w:sz="4" w:space="0" w:color="auto"/>
              <w:left w:val="single" w:sz="4" w:space="0" w:color="auto"/>
              <w:bottom w:val="single" w:sz="4" w:space="0" w:color="auto"/>
              <w:right w:val="single" w:sz="4" w:space="0" w:color="auto"/>
            </w:tcBorders>
            <w:vAlign w:val="center"/>
          </w:tcPr>
          <w:p w:rsidR="00DD254D" w:rsidRPr="00FB7A6E" w:rsidRDefault="00DD254D" w:rsidP="00B061AA">
            <w:pPr>
              <w:pStyle w:val="TableFigureHeading"/>
              <w:jc w:val="center"/>
            </w:pPr>
            <w:r w:rsidRPr="00FB7A6E">
              <w:rPr>
                <w:rFonts w:ascii="Arial" w:hAnsi="Arial"/>
                <w:color w:val="000000"/>
              </w:rPr>
              <w:t>Year 1</w:t>
            </w:r>
          </w:p>
        </w:tc>
        <w:tc>
          <w:tcPr>
            <w:tcW w:w="1055" w:type="dxa"/>
            <w:tcBorders>
              <w:top w:val="single" w:sz="4" w:space="0" w:color="auto"/>
              <w:left w:val="single" w:sz="4" w:space="0" w:color="auto"/>
              <w:bottom w:val="single" w:sz="4" w:space="0" w:color="auto"/>
              <w:right w:val="single" w:sz="4" w:space="0" w:color="auto"/>
            </w:tcBorders>
            <w:vAlign w:val="center"/>
          </w:tcPr>
          <w:p w:rsidR="00DD254D" w:rsidRPr="00FB7A6E" w:rsidRDefault="00DD254D" w:rsidP="00B061AA">
            <w:pPr>
              <w:pStyle w:val="TableFigureHeading"/>
              <w:jc w:val="center"/>
            </w:pPr>
            <w:r w:rsidRPr="00FB7A6E">
              <w:rPr>
                <w:rFonts w:ascii="Arial" w:hAnsi="Arial"/>
                <w:color w:val="000000"/>
              </w:rPr>
              <w:t>Year 2</w:t>
            </w:r>
          </w:p>
        </w:tc>
        <w:tc>
          <w:tcPr>
            <w:tcW w:w="1055" w:type="dxa"/>
            <w:tcBorders>
              <w:top w:val="single" w:sz="4" w:space="0" w:color="auto"/>
              <w:left w:val="single" w:sz="4" w:space="0" w:color="auto"/>
              <w:bottom w:val="single" w:sz="4" w:space="0" w:color="auto"/>
              <w:right w:val="single" w:sz="4" w:space="0" w:color="auto"/>
            </w:tcBorders>
            <w:vAlign w:val="center"/>
          </w:tcPr>
          <w:p w:rsidR="00DD254D" w:rsidRPr="00FB7A6E" w:rsidRDefault="00DD254D" w:rsidP="00B061AA">
            <w:pPr>
              <w:pStyle w:val="TableFigureHeading"/>
              <w:jc w:val="center"/>
            </w:pPr>
            <w:r w:rsidRPr="00FB7A6E">
              <w:rPr>
                <w:rFonts w:ascii="Arial" w:hAnsi="Arial"/>
                <w:color w:val="000000"/>
              </w:rPr>
              <w:t>Year 3</w:t>
            </w:r>
          </w:p>
        </w:tc>
        <w:tc>
          <w:tcPr>
            <w:tcW w:w="1054" w:type="dxa"/>
            <w:tcBorders>
              <w:top w:val="single" w:sz="4" w:space="0" w:color="auto"/>
              <w:left w:val="single" w:sz="4" w:space="0" w:color="auto"/>
              <w:bottom w:val="single" w:sz="4" w:space="0" w:color="auto"/>
              <w:right w:val="single" w:sz="4" w:space="0" w:color="auto"/>
            </w:tcBorders>
            <w:vAlign w:val="center"/>
          </w:tcPr>
          <w:p w:rsidR="00DD254D" w:rsidRPr="00FB7A6E" w:rsidRDefault="00DD254D" w:rsidP="00B061AA">
            <w:pPr>
              <w:pStyle w:val="TableFigureHeading"/>
              <w:jc w:val="center"/>
            </w:pPr>
            <w:r w:rsidRPr="00FB7A6E">
              <w:rPr>
                <w:rFonts w:ascii="Arial" w:hAnsi="Arial"/>
                <w:color w:val="000000"/>
              </w:rPr>
              <w:t>Year 4</w:t>
            </w:r>
          </w:p>
        </w:tc>
        <w:tc>
          <w:tcPr>
            <w:tcW w:w="1055" w:type="dxa"/>
            <w:tcBorders>
              <w:top w:val="single" w:sz="4" w:space="0" w:color="auto"/>
              <w:left w:val="single" w:sz="4" w:space="0" w:color="auto"/>
              <w:bottom w:val="single" w:sz="4" w:space="0" w:color="auto"/>
              <w:right w:val="single" w:sz="4" w:space="0" w:color="auto"/>
            </w:tcBorders>
            <w:vAlign w:val="center"/>
          </w:tcPr>
          <w:p w:rsidR="00DD254D" w:rsidRPr="00FB7A6E" w:rsidRDefault="00DD254D" w:rsidP="00B061AA">
            <w:pPr>
              <w:pStyle w:val="TableFigureHeading"/>
              <w:jc w:val="center"/>
            </w:pPr>
            <w:r w:rsidRPr="00FB7A6E">
              <w:rPr>
                <w:rFonts w:ascii="Arial" w:hAnsi="Arial"/>
                <w:color w:val="000000"/>
              </w:rPr>
              <w:t>Year 5</w:t>
            </w:r>
          </w:p>
        </w:tc>
        <w:tc>
          <w:tcPr>
            <w:tcW w:w="1055" w:type="dxa"/>
            <w:tcBorders>
              <w:top w:val="single" w:sz="4" w:space="0" w:color="auto"/>
              <w:left w:val="single" w:sz="4" w:space="0" w:color="auto"/>
              <w:bottom w:val="single" w:sz="4" w:space="0" w:color="auto"/>
              <w:right w:val="single" w:sz="4" w:space="0" w:color="auto"/>
            </w:tcBorders>
            <w:vAlign w:val="center"/>
          </w:tcPr>
          <w:p w:rsidR="00DD254D" w:rsidRPr="00FB7A6E" w:rsidRDefault="00DD254D" w:rsidP="00B061AA">
            <w:pPr>
              <w:pStyle w:val="TableFigureHeading"/>
              <w:jc w:val="center"/>
            </w:pPr>
            <w:r w:rsidRPr="00FB7A6E">
              <w:rPr>
                <w:rFonts w:ascii="Arial" w:hAnsi="Arial"/>
                <w:color w:val="000000"/>
              </w:rPr>
              <w:t>Year 6</w:t>
            </w:r>
          </w:p>
        </w:tc>
      </w:tr>
      <w:tr w:rsidR="00DD254D" w:rsidRPr="00FB7A6E" w:rsidTr="00B061AA">
        <w:trPr>
          <w:tblHeader/>
        </w:trPr>
        <w:tc>
          <w:tcPr>
            <w:tcW w:w="9017" w:type="dxa"/>
            <w:gridSpan w:val="7"/>
            <w:tcBorders>
              <w:top w:val="single" w:sz="4" w:space="0" w:color="auto"/>
              <w:left w:val="single" w:sz="4" w:space="0" w:color="auto"/>
              <w:bottom w:val="single" w:sz="4" w:space="0" w:color="auto"/>
              <w:right w:val="single" w:sz="4" w:space="0" w:color="auto"/>
            </w:tcBorders>
          </w:tcPr>
          <w:p w:rsidR="00DD254D" w:rsidRPr="00FB7A6E" w:rsidRDefault="00DD254D" w:rsidP="00B061AA">
            <w:pPr>
              <w:pStyle w:val="TableFigureHeading"/>
              <w:rPr>
                <w:color w:val="000000"/>
                <w:szCs w:val="18"/>
              </w:rPr>
            </w:pPr>
            <w:r w:rsidRPr="00FB7A6E">
              <w:rPr>
                <w:color w:val="000000"/>
                <w:szCs w:val="18"/>
              </w:rPr>
              <w:t>Estimation of use and financial impact of the proposed medicine PBS/RPBS</w:t>
            </w:r>
          </w:p>
        </w:tc>
      </w:tr>
      <w:tr w:rsidR="00DD254D" w:rsidRPr="00FB7A6E" w:rsidTr="00B061AA">
        <w:trPr>
          <w:tblHeader/>
        </w:trPr>
        <w:tc>
          <w:tcPr>
            <w:tcW w:w="2689" w:type="dxa"/>
            <w:tcBorders>
              <w:top w:val="single" w:sz="4" w:space="0" w:color="auto"/>
              <w:left w:val="single" w:sz="4" w:space="0" w:color="auto"/>
              <w:right w:val="single" w:sz="4" w:space="0" w:color="auto"/>
            </w:tcBorders>
          </w:tcPr>
          <w:p w:rsidR="00DD254D" w:rsidRPr="00FB7A6E" w:rsidRDefault="00DD254D" w:rsidP="00B061AA">
            <w:pPr>
              <w:pStyle w:val="TableFigureHeading"/>
              <w:rPr>
                <w:b w:val="0"/>
                <w:bCs w:val="0"/>
              </w:rPr>
            </w:pPr>
            <w:r w:rsidRPr="00FB7A6E">
              <w:rPr>
                <w:b w:val="0"/>
                <w:bCs w:val="0"/>
              </w:rPr>
              <w:t>MF/IND/GLY FDC</w:t>
            </w:r>
          </w:p>
        </w:tc>
        <w:tc>
          <w:tcPr>
            <w:tcW w:w="1054"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pPr>
          </w:p>
        </w:tc>
        <w:tc>
          <w:tcPr>
            <w:tcW w:w="1055"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pPr>
          </w:p>
        </w:tc>
        <w:tc>
          <w:tcPr>
            <w:tcW w:w="1055"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pPr>
          </w:p>
        </w:tc>
        <w:tc>
          <w:tcPr>
            <w:tcW w:w="1054"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pPr>
          </w:p>
        </w:tc>
        <w:tc>
          <w:tcPr>
            <w:tcW w:w="1055"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pPr>
          </w:p>
        </w:tc>
        <w:tc>
          <w:tcPr>
            <w:tcW w:w="1055"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pPr>
          </w:p>
        </w:tc>
      </w:tr>
      <w:tr w:rsidR="00DD254D" w:rsidRPr="00FB7A6E" w:rsidTr="00B061AA">
        <w:trPr>
          <w:tblHeader/>
        </w:trPr>
        <w:tc>
          <w:tcPr>
            <w:tcW w:w="2689" w:type="dxa"/>
            <w:tcBorders>
              <w:left w:val="single" w:sz="4" w:space="0" w:color="auto"/>
              <w:right w:val="single" w:sz="4" w:space="0" w:color="auto"/>
            </w:tcBorders>
          </w:tcPr>
          <w:p w:rsidR="00DD254D" w:rsidRPr="00FB7A6E" w:rsidRDefault="00DD254D" w:rsidP="00B061AA">
            <w:pPr>
              <w:pStyle w:val="TableFigureHeading"/>
              <w:ind w:left="112"/>
              <w:rPr>
                <w:b w:val="0"/>
                <w:bCs w:val="0"/>
              </w:rPr>
            </w:pPr>
            <w:r w:rsidRPr="00FB7A6E">
              <w:rPr>
                <w:b w:val="0"/>
                <w:bCs w:val="0"/>
              </w:rPr>
              <w:t>Total scripts</w:t>
            </w:r>
          </w:p>
        </w:tc>
        <w:tc>
          <w:tcPr>
            <w:tcW w:w="1054" w:type="dxa"/>
            <w:tcBorders>
              <w:left w:val="single" w:sz="4" w:space="0" w:color="auto"/>
              <w:right w:val="single" w:sz="4" w:space="0" w:color="auto"/>
            </w:tcBorders>
            <w:vAlign w:val="center"/>
          </w:tcPr>
          <w:p w:rsidR="00DD254D" w:rsidRPr="00D8008D" w:rsidRDefault="00D8008D" w:rsidP="00B061AA">
            <w:pPr>
              <w:pStyle w:val="TableText0"/>
              <w:jc w:val="center"/>
              <w:rPr>
                <w:rFonts w:ascii="Arial" w:hAnsi="Arial"/>
                <w:bCs w:val="0"/>
                <w:color w:val="000000"/>
                <w:highlight w:val="black"/>
              </w:rPr>
            </w:pPr>
            <w:r>
              <w:rPr>
                <w:bCs w:val="0"/>
                <w:noProof/>
                <w:color w:val="000000"/>
                <w:highlight w:val="black"/>
              </w:rPr>
              <w:t>''''''''''''''''</w:t>
            </w:r>
          </w:p>
        </w:tc>
        <w:tc>
          <w:tcPr>
            <w:tcW w:w="1055" w:type="dxa"/>
            <w:tcBorders>
              <w:left w:val="single" w:sz="4" w:space="0" w:color="auto"/>
              <w:right w:val="single" w:sz="4" w:space="0" w:color="auto"/>
            </w:tcBorders>
            <w:vAlign w:val="center"/>
          </w:tcPr>
          <w:p w:rsidR="00DD254D" w:rsidRPr="00D8008D" w:rsidRDefault="00D8008D" w:rsidP="00B061AA">
            <w:pPr>
              <w:pStyle w:val="TableText0"/>
              <w:jc w:val="center"/>
              <w:rPr>
                <w:rFonts w:ascii="Arial" w:hAnsi="Arial"/>
                <w:bCs w:val="0"/>
                <w:color w:val="000000"/>
                <w:highlight w:val="black"/>
              </w:rPr>
            </w:pPr>
            <w:r>
              <w:rPr>
                <w:bCs w:val="0"/>
                <w:noProof/>
                <w:color w:val="000000"/>
                <w:highlight w:val="black"/>
              </w:rPr>
              <w:t>''''''''''''''''''</w:t>
            </w:r>
          </w:p>
        </w:tc>
        <w:tc>
          <w:tcPr>
            <w:tcW w:w="1055" w:type="dxa"/>
            <w:tcBorders>
              <w:left w:val="single" w:sz="4" w:space="0" w:color="auto"/>
              <w:right w:val="single" w:sz="4" w:space="0" w:color="auto"/>
            </w:tcBorders>
            <w:vAlign w:val="center"/>
          </w:tcPr>
          <w:p w:rsidR="00DD254D" w:rsidRPr="00D8008D" w:rsidRDefault="00D8008D" w:rsidP="00B061AA">
            <w:pPr>
              <w:pStyle w:val="TableText0"/>
              <w:jc w:val="center"/>
              <w:rPr>
                <w:rFonts w:ascii="Arial" w:hAnsi="Arial"/>
                <w:bCs w:val="0"/>
                <w:color w:val="000000"/>
                <w:highlight w:val="black"/>
              </w:rPr>
            </w:pPr>
            <w:r>
              <w:rPr>
                <w:bCs w:val="0"/>
                <w:noProof/>
                <w:color w:val="000000"/>
                <w:highlight w:val="black"/>
              </w:rPr>
              <w:t>''''''''''''''''''''''</w:t>
            </w:r>
          </w:p>
        </w:tc>
        <w:tc>
          <w:tcPr>
            <w:tcW w:w="1054" w:type="dxa"/>
            <w:tcBorders>
              <w:left w:val="single" w:sz="4" w:space="0" w:color="auto"/>
              <w:right w:val="single" w:sz="4" w:space="0" w:color="auto"/>
            </w:tcBorders>
            <w:vAlign w:val="center"/>
          </w:tcPr>
          <w:p w:rsidR="00DD254D" w:rsidRPr="00D8008D" w:rsidRDefault="00D8008D" w:rsidP="00B061AA">
            <w:pPr>
              <w:pStyle w:val="TableText0"/>
              <w:jc w:val="center"/>
              <w:rPr>
                <w:rFonts w:ascii="Arial" w:hAnsi="Arial"/>
                <w:bCs w:val="0"/>
                <w:color w:val="000000"/>
                <w:highlight w:val="black"/>
              </w:rPr>
            </w:pPr>
            <w:r>
              <w:rPr>
                <w:bCs w:val="0"/>
                <w:noProof/>
                <w:color w:val="000000"/>
                <w:highlight w:val="black"/>
              </w:rPr>
              <w:t>''''''''''''''''''''</w:t>
            </w:r>
          </w:p>
        </w:tc>
        <w:tc>
          <w:tcPr>
            <w:tcW w:w="1055" w:type="dxa"/>
            <w:tcBorders>
              <w:left w:val="single" w:sz="4" w:space="0" w:color="auto"/>
              <w:right w:val="single" w:sz="4" w:space="0" w:color="auto"/>
            </w:tcBorders>
            <w:vAlign w:val="center"/>
          </w:tcPr>
          <w:p w:rsidR="00DD254D" w:rsidRPr="00D8008D" w:rsidRDefault="00D8008D" w:rsidP="00B061AA">
            <w:pPr>
              <w:pStyle w:val="TableText0"/>
              <w:jc w:val="center"/>
              <w:rPr>
                <w:rFonts w:ascii="Arial" w:hAnsi="Arial"/>
                <w:bCs w:val="0"/>
                <w:color w:val="000000"/>
                <w:highlight w:val="black"/>
              </w:rPr>
            </w:pPr>
            <w:r>
              <w:rPr>
                <w:bCs w:val="0"/>
                <w:noProof/>
                <w:color w:val="000000"/>
                <w:highlight w:val="black"/>
              </w:rPr>
              <w:t>''''''''''''''''''</w:t>
            </w:r>
          </w:p>
        </w:tc>
        <w:tc>
          <w:tcPr>
            <w:tcW w:w="1055" w:type="dxa"/>
            <w:tcBorders>
              <w:left w:val="single" w:sz="4" w:space="0" w:color="auto"/>
              <w:right w:val="single" w:sz="4" w:space="0" w:color="auto"/>
            </w:tcBorders>
            <w:vAlign w:val="center"/>
          </w:tcPr>
          <w:p w:rsidR="00DD254D" w:rsidRPr="00D8008D" w:rsidRDefault="00D8008D" w:rsidP="00B061AA">
            <w:pPr>
              <w:pStyle w:val="TableText0"/>
              <w:jc w:val="center"/>
              <w:rPr>
                <w:bCs w:val="0"/>
                <w:highlight w:val="black"/>
              </w:rPr>
            </w:pPr>
            <w:r>
              <w:rPr>
                <w:bCs w:val="0"/>
                <w:noProof/>
                <w:color w:val="000000"/>
                <w:highlight w:val="black"/>
              </w:rPr>
              <w:t>''''''''''''''''''''</w:t>
            </w:r>
          </w:p>
        </w:tc>
      </w:tr>
      <w:tr w:rsidR="00DD254D" w:rsidRPr="00FB7A6E" w:rsidTr="00B061AA">
        <w:trPr>
          <w:tblHeader/>
        </w:trPr>
        <w:tc>
          <w:tcPr>
            <w:tcW w:w="2689" w:type="dxa"/>
            <w:tcBorders>
              <w:left w:val="single" w:sz="4" w:space="0" w:color="auto"/>
              <w:right w:val="single" w:sz="4" w:space="0" w:color="auto"/>
            </w:tcBorders>
          </w:tcPr>
          <w:p w:rsidR="00DD254D" w:rsidRPr="00FB7A6E" w:rsidRDefault="00DD254D" w:rsidP="00B061AA">
            <w:pPr>
              <w:pStyle w:val="TableFigureHeading"/>
              <w:ind w:left="112"/>
              <w:rPr>
                <w:b w:val="0"/>
                <w:bCs w:val="0"/>
              </w:rPr>
            </w:pPr>
            <w:r w:rsidRPr="00FB7A6E">
              <w:rPr>
                <w:b w:val="0"/>
                <w:bCs w:val="0"/>
              </w:rPr>
              <w:t>PBS/RPBS cost</w:t>
            </w:r>
          </w:p>
        </w:tc>
        <w:tc>
          <w:tcPr>
            <w:tcW w:w="1054" w:type="dxa"/>
            <w:tcBorders>
              <w:left w:val="single" w:sz="4" w:space="0" w:color="auto"/>
              <w:right w:val="single" w:sz="4" w:space="0" w:color="auto"/>
            </w:tcBorders>
            <w:vAlign w:val="center"/>
          </w:tcPr>
          <w:p w:rsidR="00DD254D" w:rsidRPr="00FB7A6E" w:rsidRDefault="00DD254D" w:rsidP="00B061AA">
            <w:pPr>
              <w:pStyle w:val="TableFigureHeading"/>
              <w:jc w:val="center"/>
              <w:rPr>
                <w:b w:val="0"/>
                <w:bCs w:val="0"/>
              </w:rPr>
            </w:pPr>
            <w:r w:rsidRPr="00FB7A6E">
              <w:rPr>
                <w:b w:val="0"/>
                <w:bCs w:val="0"/>
              </w:rPr>
              <w:t>$</w:t>
            </w:r>
            <w:r w:rsidR="00D8008D">
              <w:rPr>
                <w:b w:val="0"/>
                <w:bCs w:val="0"/>
                <w:noProof/>
                <w:color w:val="000000"/>
                <w:highlight w:val="black"/>
              </w:rPr>
              <w:t>'''''''''''''''''''''''</w:t>
            </w:r>
          </w:p>
        </w:tc>
        <w:tc>
          <w:tcPr>
            <w:tcW w:w="1055" w:type="dxa"/>
            <w:tcBorders>
              <w:left w:val="single" w:sz="4" w:space="0" w:color="auto"/>
              <w:right w:val="single" w:sz="4" w:space="0" w:color="auto"/>
            </w:tcBorders>
            <w:vAlign w:val="center"/>
          </w:tcPr>
          <w:p w:rsidR="00DD254D" w:rsidRPr="00FB7A6E" w:rsidRDefault="00DD254D" w:rsidP="00B061AA">
            <w:pPr>
              <w:pStyle w:val="TableFigureHeading"/>
              <w:jc w:val="center"/>
              <w:rPr>
                <w:b w:val="0"/>
                <w:bCs w:val="0"/>
              </w:rPr>
            </w:pPr>
            <w:r w:rsidRPr="00FB7A6E">
              <w:rPr>
                <w:b w:val="0"/>
                <w:bCs w:val="0"/>
              </w:rPr>
              <w:t>$</w:t>
            </w:r>
            <w:r w:rsidR="00D8008D">
              <w:rPr>
                <w:b w:val="0"/>
                <w:bCs w:val="0"/>
                <w:noProof/>
                <w:color w:val="000000"/>
                <w:highlight w:val="black"/>
              </w:rPr>
              <w:t>''''''''''''''''''''''''''</w:t>
            </w:r>
          </w:p>
        </w:tc>
        <w:tc>
          <w:tcPr>
            <w:tcW w:w="1055" w:type="dxa"/>
            <w:tcBorders>
              <w:left w:val="single" w:sz="4" w:space="0" w:color="auto"/>
              <w:right w:val="single" w:sz="4" w:space="0" w:color="auto"/>
            </w:tcBorders>
            <w:vAlign w:val="center"/>
          </w:tcPr>
          <w:p w:rsidR="00DD254D" w:rsidRPr="00FB7A6E" w:rsidRDefault="00DD254D" w:rsidP="00B061AA">
            <w:pPr>
              <w:pStyle w:val="TableFigureHeading"/>
              <w:jc w:val="center"/>
              <w:rPr>
                <w:b w:val="0"/>
                <w:bCs w:val="0"/>
              </w:rPr>
            </w:pPr>
            <w:r w:rsidRPr="00FB7A6E">
              <w:rPr>
                <w:b w:val="0"/>
                <w:bCs w:val="0"/>
              </w:rPr>
              <w:t>$</w:t>
            </w:r>
            <w:r w:rsidR="00D8008D">
              <w:rPr>
                <w:b w:val="0"/>
                <w:bCs w:val="0"/>
                <w:noProof/>
                <w:color w:val="000000"/>
                <w:highlight w:val="black"/>
              </w:rPr>
              <w:t>''''''''''''''''''''''''''</w:t>
            </w:r>
          </w:p>
        </w:tc>
        <w:tc>
          <w:tcPr>
            <w:tcW w:w="1054" w:type="dxa"/>
            <w:tcBorders>
              <w:left w:val="single" w:sz="4" w:space="0" w:color="auto"/>
              <w:right w:val="single" w:sz="4" w:space="0" w:color="auto"/>
            </w:tcBorders>
            <w:vAlign w:val="center"/>
          </w:tcPr>
          <w:p w:rsidR="00DD254D" w:rsidRPr="00FB7A6E" w:rsidRDefault="00DD254D" w:rsidP="00B061AA">
            <w:pPr>
              <w:pStyle w:val="TableFigureHeading"/>
              <w:jc w:val="center"/>
              <w:rPr>
                <w:b w:val="0"/>
                <w:bCs w:val="0"/>
              </w:rPr>
            </w:pPr>
            <w:r w:rsidRPr="00FB7A6E">
              <w:rPr>
                <w:b w:val="0"/>
                <w:bCs w:val="0"/>
              </w:rPr>
              <w:t>$</w:t>
            </w:r>
            <w:r w:rsidR="00D8008D">
              <w:rPr>
                <w:b w:val="0"/>
                <w:bCs w:val="0"/>
                <w:noProof/>
                <w:color w:val="000000"/>
                <w:highlight w:val="black"/>
              </w:rPr>
              <w:t>'''''''''''''''''''''''''''''</w:t>
            </w:r>
          </w:p>
        </w:tc>
        <w:tc>
          <w:tcPr>
            <w:tcW w:w="1055" w:type="dxa"/>
            <w:tcBorders>
              <w:left w:val="single" w:sz="4" w:space="0" w:color="auto"/>
              <w:right w:val="single" w:sz="4" w:space="0" w:color="auto"/>
            </w:tcBorders>
            <w:vAlign w:val="center"/>
          </w:tcPr>
          <w:p w:rsidR="00DD254D" w:rsidRPr="00FB7A6E" w:rsidRDefault="00DD254D" w:rsidP="00B061AA">
            <w:pPr>
              <w:pStyle w:val="TableFigureHeading"/>
              <w:jc w:val="center"/>
              <w:rPr>
                <w:b w:val="0"/>
                <w:bCs w:val="0"/>
              </w:rPr>
            </w:pPr>
            <w:r w:rsidRPr="00FB7A6E">
              <w:rPr>
                <w:b w:val="0"/>
                <w:bCs w:val="0"/>
              </w:rPr>
              <w:t>$</w:t>
            </w:r>
            <w:r w:rsidR="00D8008D">
              <w:rPr>
                <w:b w:val="0"/>
                <w:bCs w:val="0"/>
                <w:noProof/>
                <w:color w:val="000000"/>
                <w:highlight w:val="black"/>
              </w:rPr>
              <w:t>'''''''''''''''''''''''''''''</w:t>
            </w:r>
          </w:p>
        </w:tc>
        <w:tc>
          <w:tcPr>
            <w:tcW w:w="1055" w:type="dxa"/>
            <w:tcBorders>
              <w:left w:val="single" w:sz="4" w:space="0" w:color="auto"/>
              <w:right w:val="single" w:sz="4" w:space="0" w:color="auto"/>
            </w:tcBorders>
            <w:vAlign w:val="center"/>
          </w:tcPr>
          <w:p w:rsidR="00DD254D" w:rsidRPr="00FB7A6E" w:rsidRDefault="00DD254D" w:rsidP="00B061AA">
            <w:pPr>
              <w:pStyle w:val="TableFigureHeading"/>
              <w:jc w:val="center"/>
              <w:rPr>
                <w:b w:val="0"/>
                <w:bCs w:val="0"/>
              </w:rPr>
            </w:pPr>
            <w:r w:rsidRPr="00FB7A6E">
              <w:rPr>
                <w:b w:val="0"/>
                <w:bCs w:val="0"/>
              </w:rPr>
              <w:t>$</w:t>
            </w:r>
            <w:r w:rsidR="00D8008D">
              <w:rPr>
                <w:b w:val="0"/>
                <w:bCs w:val="0"/>
                <w:noProof/>
                <w:color w:val="000000"/>
                <w:highlight w:val="black"/>
              </w:rPr>
              <w:t>'''''''''''''''''''''''''''''</w:t>
            </w:r>
          </w:p>
        </w:tc>
      </w:tr>
      <w:tr w:rsidR="00DD254D" w:rsidRPr="00FB7A6E" w:rsidTr="00B061AA">
        <w:trPr>
          <w:tblHeader/>
        </w:trPr>
        <w:tc>
          <w:tcPr>
            <w:tcW w:w="2689" w:type="dxa"/>
            <w:tcBorders>
              <w:left w:val="single" w:sz="4" w:space="0" w:color="auto"/>
              <w:bottom w:val="single" w:sz="4" w:space="0" w:color="auto"/>
              <w:right w:val="single" w:sz="4" w:space="0" w:color="auto"/>
            </w:tcBorders>
            <w:vAlign w:val="center"/>
          </w:tcPr>
          <w:p w:rsidR="00DD254D" w:rsidRPr="00FB7A6E" w:rsidRDefault="00DD254D" w:rsidP="00B061AA">
            <w:pPr>
              <w:pStyle w:val="TableFigureHeading"/>
              <w:ind w:left="112"/>
              <w:rPr>
                <w:b w:val="0"/>
                <w:bCs w:val="0"/>
              </w:rPr>
            </w:pPr>
            <w:r w:rsidRPr="00FB7A6E">
              <w:rPr>
                <w:b w:val="0"/>
                <w:bCs w:val="0"/>
              </w:rPr>
              <w:t>PBS/RPBS net cost (less copay)</w:t>
            </w:r>
          </w:p>
        </w:tc>
        <w:tc>
          <w:tcPr>
            <w:tcW w:w="1054" w:type="dxa"/>
            <w:tcBorders>
              <w:left w:val="single" w:sz="4" w:space="0" w:color="auto"/>
              <w:bottom w:val="single" w:sz="4" w:space="0" w:color="auto"/>
              <w:right w:val="single" w:sz="4" w:space="0" w:color="auto"/>
            </w:tcBorders>
            <w:vAlign w:val="center"/>
          </w:tcPr>
          <w:p w:rsidR="00DD254D" w:rsidRPr="00FB7A6E" w:rsidRDefault="00DD254D" w:rsidP="00B061AA">
            <w:pPr>
              <w:pStyle w:val="TableFigureHeading"/>
              <w:jc w:val="center"/>
              <w:rPr>
                <w:rFonts w:ascii="Arial" w:hAnsi="Arial"/>
                <w:b w:val="0"/>
                <w:bCs w:val="0"/>
                <w:color w:val="000000"/>
              </w:rPr>
            </w:pPr>
            <w:r w:rsidRPr="00FB7A6E">
              <w:rPr>
                <w:b w:val="0"/>
                <w:bCs w:val="0"/>
              </w:rPr>
              <w:t>$</w:t>
            </w:r>
            <w:r w:rsidR="00D8008D">
              <w:rPr>
                <w:b w:val="0"/>
                <w:bCs w:val="0"/>
                <w:noProof/>
                <w:color w:val="000000"/>
                <w:highlight w:val="black"/>
              </w:rPr>
              <w:t>'''''''''''''''''''''''''</w:t>
            </w:r>
          </w:p>
        </w:tc>
        <w:tc>
          <w:tcPr>
            <w:tcW w:w="1055" w:type="dxa"/>
            <w:tcBorders>
              <w:left w:val="single" w:sz="4" w:space="0" w:color="auto"/>
              <w:bottom w:val="single" w:sz="4" w:space="0" w:color="auto"/>
              <w:right w:val="single" w:sz="4" w:space="0" w:color="auto"/>
            </w:tcBorders>
            <w:vAlign w:val="center"/>
          </w:tcPr>
          <w:p w:rsidR="00DD254D" w:rsidRPr="00FB7A6E" w:rsidRDefault="00DD254D" w:rsidP="00B061AA">
            <w:pPr>
              <w:pStyle w:val="TableFigureHeading"/>
              <w:jc w:val="center"/>
              <w:rPr>
                <w:rFonts w:ascii="Arial" w:hAnsi="Arial"/>
                <w:b w:val="0"/>
                <w:bCs w:val="0"/>
                <w:color w:val="000000"/>
              </w:rPr>
            </w:pPr>
            <w:r w:rsidRPr="00FB7A6E">
              <w:rPr>
                <w:b w:val="0"/>
                <w:bCs w:val="0"/>
              </w:rPr>
              <w:t>$</w:t>
            </w:r>
            <w:r w:rsidR="00D8008D">
              <w:rPr>
                <w:b w:val="0"/>
                <w:bCs w:val="0"/>
                <w:noProof/>
                <w:color w:val="000000"/>
                <w:highlight w:val="black"/>
              </w:rPr>
              <w:t>'''''''''''''''''''''''''''</w:t>
            </w:r>
          </w:p>
        </w:tc>
        <w:tc>
          <w:tcPr>
            <w:tcW w:w="1055" w:type="dxa"/>
            <w:tcBorders>
              <w:left w:val="single" w:sz="4" w:space="0" w:color="auto"/>
              <w:bottom w:val="single" w:sz="4" w:space="0" w:color="auto"/>
              <w:right w:val="single" w:sz="4" w:space="0" w:color="auto"/>
            </w:tcBorders>
            <w:vAlign w:val="center"/>
          </w:tcPr>
          <w:p w:rsidR="00DD254D" w:rsidRPr="00FB7A6E" w:rsidRDefault="00DD254D" w:rsidP="00B061AA">
            <w:pPr>
              <w:pStyle w:val="TableFigureHeading"/>
              <w:jc w:val="center"/>
              <w:rPr>
                <w:rFonts w:ascii="Arial" w:hAnsi="Arial"/>
                <w:b w:val="0"/>
                <w:bCs w:val="0"/>
                <w:color w:val="000000"/>
              </w:rPr>
            </w:pPr>
            <w:r w:rsidRPr="00FB7A6E">
              <w:rPr>
                <w:b w:val="0"/>
                <w:bCs w:val="0"/>
              </w:rPr>
              <w:t>$</w:t>
            </w:r>
            <w:r w:rsidR="00D8008D">
              <w:rPr>
                <w:b w:val="0"/>
                <w:bCs w:val="0"/>
                <w:noProof/>
                <w:color w:val="000000"/>
                <w:highlight w:val="black"/>
              </w:rPr>
              <w:t>''''''''''''''''''''''''</w:t>
            </w:r>
          </w:p>
        </w:tc>
        <w:tc>
          <w:tcPr>
            <w:tcW w:w="1054" w:type="dxa"/>
            <w:tcBorders>
              <w:left w:val="single" w:sz="4" w:space="0" w:color="auto"/>
              <w:bottom w:val="single" w:sz="4" w:space="0" w:color="auto"/>
              <w:right w:val="single" w:sz="4" w:space="0" w:color="auto"/>
            </w:tcBorders>
            <w:vAlign w:val="center"/>
          </w:tcPr>
          <w:p w:rsidR="00DD254D" w:rsidRPr="00FB7A6E" w:rsidRDefault="00DD254D" w:rsidP="00B061AA">
            <w:pPr>
              <w:pStyle w:val="TableFigureHeading"/>
              <w:jc w:val="center"/>
              <w:rPr>
                <w:rFonts w:ascii="Arial" w:hAnsi="Arial"/>
                <w:b w:val="0"/>
                <w:bCs w:val="0"/>
                <w:color w:val="000000"/>
              </w:rPr>
            </w:pPr>
            <w:r w:rsidRPr="00FB7A6E">
              <w:rPr>
                <w:b w:val="0"/>
                <w:bCs w:val="0"/>
              </w:rPr>
              <w:t>$</w:t>
            </w:r>
            <w:r w:rsidR="00D8008D">
              <w:rPr>
                <w:b w:val="0"/>
                <w:bCs w:val="0"/>
                <w:noProof/>
                <w:color w:val="000000"/>
                <w:highlight w:val="black"/>
              </w:rPr>
              <w:t>''''''''''''''''''''''''''</w:t>
            </w:r>
          </w:p>
        </w:tc>
        <w:tc>
          <w:tcPr>
            <w:tcW w:w="1055" w:type="dxa"/>
            <w:tcBorders>
              <w:left w:val="single" w:sz="4" w:space="0" w:color="auto"/>
              <w:bottom w:val="single" w:sz="4" w:space="0" w:color="auto"/>
              <w:right w:val="single" w:sz="4" w:space="0" w:color="auto"/>
            </w:tcBorders>
            <w:vAlign w:val="center"/>
          </w:tcPr>
          <w:p w:rsidR="00DD254D" w:rsidRPr="00FB7A6E" w:rsidRDefault="00DD254D" w:rsidP="00B061AA">
            <w:pPr>
              <w:pStyle w:val="TableFigureHeading"/>
              <w:jc w:val="center"/>
              <w:rPr>
                <w:rFonts w:ascii="Arial" w:hAnsi="Arial"/>
                <w:b w:val="0"/>
                <w:bCs w:val="0"/>
                <w:color w:val="000000"/>
              </w:rPr>
            </w:pPr>
            <w:r w:rsidRPr="00FB7A6E">
              <w:rPr>
                <w:b w:val="0"/>
                <w:bCs w:val="0"/>
              </w:rPr>
              <w:t>$</w:t>
            </w:r>
            <w:r w:rsidR="00D8008D">
              <w:rPr>
                <w:b w:val="0"/>
                <w:bCs w:val="0"/>
                <w:noProof/>
                <w:color w:val="000000"/>
                <w:highlight w:val="black"/>
              </w:rPr>
              <w:t>''''''''''''''''''''''''''</w:t>
            </w:r>
          </w:p>
        </w:tc>
        <w:tc>
          <w:tcPr>
            <w:tcW w:w="1055" w:type="dxa"/>
            <w:tcBorders>
              <w:left w:val="single" w:sz="4" w:space="0" w:color="auto"/>
              <w:bottom w:val="single" w:sz="4" w:space="0" w:color="auto"/>
              <w:right w:val="single" w:sz="4" w:space="0" w:color="auto"/>
            </w:tcBorders>
            <w:vAlign w:val="center"/>
          </w:tcPr>
          <w:p w:rsidR="00DD254D" w:rsidRPr="00FB7A6E" w:rsidRDefault="00DD254D" w:rsidP="00B061AA">
            <w:pPr>
              <w:pStyle w:val="In-tableHeading"/>
              <w:jc w:val="center"/>
              <w:rPr>
                <w:b w:val="0"/>
                <w:lang w:val="en-AU"/>
              </w:rPr>
            </w:pPr>
            <w:r w:rsidRPr="00FB7A6E">
              <w:rPr>
                <w:b w:val="0"/>
                <w:lang w:val="en-AU"/>
              </w:rPr>
              <w:t>$</w:t>
            </w:r>
            <w:r w:rsidR="00D8008D">
              <w:rPr>
                <w:b w:val="0"/>
                <w:noProof/>
                <w:color w:val="000000"/>
                <w:highlight w:val="black"/>
                <w:lang w:val="en-AU"/>
              </w:rPr>
              <w:t>'''''''''''''''''''''''</w:t>
            </w:r>
          </w:p>
        </w:tc>
      </w:tr>
      <w:tr w:rsidR="00DD254D" w:rsidRPr="00FB7A6E" w:rsidTr="00B061AA">
        <w:trPr>
          <w:tblHeader/>
        </w:trPr>
        <w:tc>
          <w:tcPr>
            <w:tcW w:w="9017" w:type="dxa"/>
            <w:gridSpan w:val="7"/>
            <w:tcBorders>
              <w:left w:val="single" w:sz="4" w:space="0" w:color="auto"/>
              <w:bottom w:val="single" w:sz="4" w:space="0" w:color="auto"/>
              <w:right w:val="single" w:sz="4" w:space="0" w:color="auto"/>
            </w:tcBorders>
            <w:vAlign w:val="center"/>
          </w:tcPr>
          <w:p w:rsidR="00DD254D" w:rsidRPr="00FB7A6E" w:rsidRDefault="00DD254D" w:rsidP="00B061AA">
            <w:pPr>
              <w:pStyle w:val="TableFigureHeading"/>
              <w:rPr>
                <w:bCs w:val="0"/>
                <w:szCs w:val="20"/>
              </w:rPr>
            </w:pPr>
            <w:r w:rsidRPr="00FB7A6E">
              <w:rPr>
                <w:bCs w:val="0"/>
                <w:szCs w:val="20"/>
              </w:rPr>
              <w:t>Estimation of changes in use and financial impact of other comparators</w:t>
            </w:r>
          </w:p>
        </w:tc>
      </w:tr>
      <w:tr w:rsidR="00DD254D" w:rsidRPr="00FB7A6E" w:rsidTr="00B061AA">
        <w:tc>
          <w:tcPr>
            <w:tcW w:w="2689" w:type="dxa"/>
            <w:tcBorders>
              <w:top w:val="single" w:sz="4" w:space="0" w:color="auto"/>
              <w:left w:val="single" w:sz="4" w:space="0" w:color="auto"/>
              <w:right w:val="single" w:sz="4" w:space="0" w:color="auto"/>
            </w:tcBorders>
            <w:vAlign w:val="center"/>
          </w:tcPr>
          <w:p w:rsidR="00DD254D" w:rsidRPr="00FB7A6E" w:rsidRDefault="00DD254D" w:rsidP="00B061AA">
            <w:pPr>
              <w:jc w:val="left"/>
              <w:rPr>
                <w:rFonts w:ascii="Arial Narrow" w:hAnsi="Arial Narrow" w:cs="Times New Roman"/>
                <w:sz w:val="20"/>
                <w:szCs w:val="20"/>
              </w:rPr>
            </w:pPr>
            <w:r w:rsidRPr="00FB7A6E">
              <w:rPr>
                <w:rFonts w:ascii="Arial Narrow" w:hAnsi="Arial Narrow" w:cs="Times New Roman"/>
                <w:sz w:val="20"/>
                <w:szCs w:val="20"/>
              </w:rPr>
              <w:t>ICS/LABA FDC + LAMA</w:t>
            </w:r>
          </w:p>
        </w:tc>
        <w:tc>
          <w:tcPr>
            <w:tcW w:w="1054"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rPr>
                <w:bCs w:val="0"/>
              </w:rPr>
            </w:pPr>
          </w:p>
        </w:tc>
        <w:tc>
          <w:tcPr>
            <w:tcW w:w="1055"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rPr>
                <w:bCs w:val="0"/>
              </w:rPr>
            </w:pPr>
          </w:p>
        </w:tc>
        <w:tc>
          <w:tcPr>
            <w:tcW w:w="1055"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rPr>
                <w:bCs w:val="0"/>
              </w:rPr>
            </w:pPr>
          </w:p>
        </w:tc>
        <w:tc>
          <w:tcPr>
            <w:tcW w:w="1054"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rPr>
                <w:bCs w:val="0"/>
              </w:rPr>
            </w:pPr>
          </w:p>
        </w:tc>
        <w:tc>
          <w:tcPr>
            <w:tcW w:w="1055"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rPr>
                <w:bCs w:val="0"/>
              </w:rPr>
            </w:pPr>
          </w:p>
        </w:tc>
        <w:tc>
          <w:tcPr>
            <w:tcW w:w="1055"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rPr>
                <w:bCs w:val="0"/>
              </w:rPr>
            </w:pPr>
          </w:p>
        </w:tc>
      </w:tr>
      <w:tr w:rsidR="00DD254D" w:rsidRPr="00FB7A6E" w:rsidTr="00B061AA">
        <w:tc>
          <w:tcPr>
            <w:tcW w:w="2689" w:type="dxa"/>
            <w:tcBorders>
              <w:left w:val="single" w:sz="4" w:space="0" w:color="auto"/>
              <w:right w:val="single" w:sz="4" w:space="0" w:color="auto"/>
            </w:tcBorders>
            <w:vAlign w:val="center"/>
          </w:tcPr>
          <w:p w:rsidR="00DD254D" w:rsidRPr="00FB7A6E" w:rsidRDefault="00DD254D" w:rsidP="00B061AA">
            <w:pPr>
              <w:pStyle w:val="TableFigureHeading"/>
              <w:ind w:left="112"/>
              <w:rPr>
                <w:rFonts w:cs="Times New Roman"/>
                <w:b w:val="0"/>
                <w:bCs w:val="0"/>
                <w:szCs w:val="20"/>
              </w:rPr>
            </w:pPr>
            <w:r w:rsidRPr="00FB7A6E">
              <w:rPr>
                <w:b w:val="0"/>
                <w:bCs w:val="0"/>
              </w:rPr>
              <w:t>Total</w:t>
            </w:r>
            <w:r w:rsidRPr="00FB7A6E">
              <w:rPr>
                <w:rFonts w:cs="Times New Roman"/>
                <w:b w:val="0"/>
                <w:bCs w:val="0"/>
                <w:szCs w:val="20"/>
              </w:rPr>
              <w:t xml:space="preserve"> scripts</w:t>
            </w:r>
          </w:p>
        </w:tc>
        <w:tc>
          <w:tcPr>
            <w:tcW w:w="1054" w:type="dxa"/>
            <w:tcBorders>
              <w:left w:val="single" w:sz="4" w:space="0" w:color="auto"/>
              <w:right w:val="single" w:sz="4" w:space="0" w:color="auto"/>
            </w:tcBorders>
            <w:vAlign w:val="center"/>
          </w:tcPr>
          <w:p w:rsidR="00DD254D" w:rsidRPr="00D8008D" w:rsidRDefault="00D8008D" w:rsidP="00B061AA">
            <w:pPr>
              <w:pStyle w:val="TableText0"/>
              <w:jc w:val="center"/>
              <w:rPr>
                <w:bCs w:val="0"/>
                <w:highlight w:val="black"/>
              </w:rPr>
            </w:pPr>
            <w:r>
              <w:rPr>
                <w:bCs w:val="0"/>
                <w:noProof/>
                <w:color w:val="000000"/>
                <w:highlight w:val="black"/>
              </w:rPr>
              <w:t>''''''''''''''''''''''</w:t>
            </w:r>
          </w:p>
        </w:tc>
        <w:tc>
          <w:tcPr>
            <w:tcW w:w="1055" w:type="dxa"/>
            <w:tcBorders>
              <w:left w:val="single" w:sz="4" w:space="0" w:color="auto"/>
              <w:right w:val="single" w:sz="4" w:space="0" w:color="auto"/>
            </w:tcBorders>
            <w:vAlign w:val="center"/>
          </w:tcPr>
          <w:p w:rsidR="00DD254D" w:rsidRPr="00D8008D" w:rsidRDefault="00D8008D" w:rsidP="00B061AA">
            <w:pPr>
              <w:pStyle w:val="TableText0"/>
              <w:jc w:val="center"/>
              <w:rPr>
                <w:bCs w:val="0"/>
                <w:highlight w:val="black"/>
              </w:rPr>
            </w:pPr>
            <w:r>
              <w:rPr>
                <w:bCs w:val="0"/>
                <w:noProof/>
                <w:color w:val="000000"/>
                <w:highlight w:val="black"/>
              </w:rPr>
              <w:t>'''''''''''''''''''''''</w:t>
            </w:r>
          </w:p>
        </w:tc>
        <w:tc>
          <w:tcPr>
            <w:tcW w:w="1055" w:type="dxa"/>
            <w:tcBorders>
              <w:left w:val="single" w:sz="4" w:space="0" w:color="auto"/>
              <w:right w:val="single" w:sz="4" w:space="0" w:color="auto"/>
            </w:tcBorders>
            <w:vAlign w:val="center"/>
          </w:tcPr>
          <w:p w:rsidR="00DD254D" w:rsidRPr="00D8008D" w:rsidRDefault="00D8008D" w:rsidP="00B061AA">
            <w:pPr>
              <w:pStyle w:val="TableText0"/>
              <w:jc w:val="center"/>
              <w:rPr>
                <w:bCs w:val="0"/>
                <w:highlight w:val="black"/>
              </w:rPr>
            </w:pPr>
            <w:r>
              <w:rPr>
                <w:bCs w:val="0"/>
                <w:noProof/>
                <w:color w:val="000000"/>
                <w:highlight w:val="black"/>
              </w:rPr>
              <w:t>''''''''''''''''''''''</w:t>
            </w:r>
          </w:p>
        </w:tc>
        <w:tc>
          <w:tcPr>
            <w:tcW w:w="1054" w:type="dxa"/>
            <w:tcBorders>
              <w:left w:val="single" w:sz="4" w:space="0" w:color="auto"/>
              <w:right w:val="single" w:sz="4" w:space="0" w:color="auto"/>
            </w:tcBorders>
            <w:vAlign w:val="center"/>
          </w:tcPr>
          <w:p w:rsidR="00DD254D" w:rsidRPr="00D8008D" w:rsidRDefault="00D8008D" w:rsidP="00B061AA">
            <w:pPr>
              <w:pStyle w:val="TableText0"/>
              <w:jc w:val="center"/>
              <w:rPr>
                <w:bCs w:val="0"/>
                <w:highlight w:val="black"/>
              </w:rPr>
            </w:pPr>
            <w:r>
              <w:rPr>
                <w:bCs w:val="0"/>
                <w:noProof/>
                <w:color w:val="000000"/>
                <w:highlight w:val="black"/>
              </w:rPr>
              <w:t>'''''''''''''''''''</w:t>
            </w:r>
          </w:p>
        </w:tc>
        <w:tc>
          <w:tcPr>
            <w:tcW w:w="1055" w:type="dxa"/>
            <w:tcBorders>
              <w:left w:val="single" w:sz="4" w:space="0" w:color="auto"/>
              <w:right w:val="single" w:sz="4" w:space="0" w:color="auto"/>
            </w:tcBorders>
            <w:vAlign w:val="center"/>
          </w:tcPr>
          <w:p w:rsidR="00DD254D" w:rsidRPr="00D8008D" w:rsidRDefault="00D8008D" w:rsidP="00B061AA">
            <w:pPr>
              <w:pStyle w:val="TableText0"/>
              <w:jc w:val="center"/>
              <w:rPr>
                <w:bCs w:val="0"/>
                <w:highlight w:val="black"/>
              </w:rPr>
            </w:pPr>
            <w:r>
              <w:rPr>
                <w:bCs w:val="0"/>
                <w:noProof/>
                <w:color w:val="000000"/>
                <w:highlight w:val="black"/>
              </w:rPr>
              <w:t>'''''''''''''''''''''''</w:t>
            </w:r>
          </w:p>
        </w:tc>
        <w:tc>
          <w:tcPr>
            <w:tcW w:w="1055" w:type="dxa"/>
            <w:tcBorders>
              <w:left w:val="single" w:sz="4" w:space="0" w:color="auto"/>
              <w:right w:val="single" w:sz="4" w:space="0" w:color="auto"/>
            </w:tcBorders>
            <w:vAlign w:val="center"/>
          </w:tcPr>
          <w:p w:rsidR="00DD254D" w:rsidRPr="00D8008D" w:rsidRDefault="00D8008D" w:rsidP="00B061AA">
            <w:pPr>
              <w:pStyle w:val="TableText0"/>
              <w:jc w:val="center"/>
              <w:rPr>
                <w:bCs w:val="0"/>
                <w:highlight w:val="black"/>
              </w:rPr>
            </w:pPr>
            <w:r>
              <w:rPr>
                <w:bCs w:val="0"/>
                <w:noProof/>
                <w:color w:val="000000"/>
                <w:highlight w:val="black"/>
              </w:rPr>
              <w:t>'''''''''''''''''''''</w:t>
            </w:r>
          </w:p>
        </w:tc>
      </w:tr>
      <w:tr w:rsidR="00DD254D" w:rsidRPr="00FB7A6E" w:rsidTr="00B061AA">
        <w:tc>
          <w:tcPr>
            <w:tcW w:w="2689" w:type="dxa"/>
            <w:tcBorders>
              <w:left w:val="single" w:sz="4" w:space="0" w:color="auto"/>
              <w:bottom w:val="nil"/>
              <w:right w:val="single" w:sz="4" w:space="0" w:color="auto"/>
            </w:tcBorders>
            <w:vAlign w:val="center"/>
          </w:tcPr>
          <w:p w:rsidR="00DD254D" w:rsidRPr="00FB7A6E" w:rsidRDefault="00DD254D" w:rsidP="00B061AA">
            <w:pPr>
              <w:pStyle w:val="TableFigureHeading"/>
              <w:ind w:left="254"/>
              <w:rPr>
                <w:b w:val="0"/>
                <w:bCs w:val="0"/>
                <w:color w:val="808080" w:themeColor="background1" w:themeShade="80"/>
              </w:rPr>
            </w:pPr>
            <w:r w:rsidRPr="00FB7A6E">
              <w:rPr>
                <w:b w:val="0"/>
                <w:bCs w:val="0"/>
                <w:color w:val="808080" w:themeColor="background1" w:themeShade="80"/>
              </w:rPr>
              <w:t>FP/SAL 500/50</w:t>
            </w:r>
          </w:p>
        </w:tc>
        <w:tc>
          <w:tcPr>
            <w:tcW w:w="1054" w:type="dxa"/>
            <w:tcBorders>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4" w:type="dxa"/>
            <w:tcBorders>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left w:val="single" w:sz="4" w:space="0" w:color="auto"/>
              <w:bottom w:val="nil"/>
              <w:right w:val="single" w:sz="4" w:space="0" w:color="auto"/>
            </w:tcBorders>
          </w:tcPr>
          <w:p w:rsidR="00DD254D" w:rsidRPr="00D8008D" w:rsidRDefault="00D8008D" w:rsidP="00B061AA">
            <w:pPr>
              <w:pStyle w:val="TableText0"/>
              <w:jc w:val="center"/>
              <w:rPr>
                <w:color w:val="808080" w:themeColor="background1" w:themeShade="80"/>
                <w:highlight w:val="black"/>
              </w:rPr>
            </w:pPr>
            <w:r>
              <w:rPr>
                <w:noProof/>
                <w:color w:val="000000"/>
                <w:highlight w:val="black"/>
              </w:rPr>
              <w:t>''''''''''''''''</w:t>
            </w:r>
          </w:p>
        </w:tc>
      </w:tr>
      <w:tr w:rsidR="00DD254D" w:rsidRPr="00FB7A6E" w:rsidTr="00B061AA">
        <w:tc>
          <w:tcPr>
            <w:tcW w:w="2689" w:type="dxa"/>
            <w:tcBorders>
              <w:top w:val="nil"/>
              <w:left w:val="single" w:sz="4" w:space="0" w:color="auto"/>
              <w:bottom w:val="nil"/>
              <w:right w:val="single" w:sz="4" w:space="0" w:color="auto"/>
            </w:tcBorders>
            <w:vAlign w:val="center"/>
          </w:tcPr>
          <w:p w:rsidR="00DD254D" w:rsidRPr="00FB7A6E" w:rsidRDefault="00DD254D" w:rsidP="00B061AA">
            <w:pPr>
              <w:pStyle w:val="TableFigureHeading"/>
              <w:ind w:left="254"/>
              <w:rPr>
                <w:b w:val="0"/>
                <w:bCs w:val="0"/>
                <w:color w:val="808080" w:themeColor="background1" w:themeShade="80"/>
              </w:rPr>
            </w:pPr>
            <w:r w:rsidRPr="00FB7A6E">
              <w:rPr>
                <w:b w:val="0"/>
                <w:bCs w:val="0"/>
                <w:color w:val="808080" w:themeColor="background1" w:themeShade="80"/>
              </w:rPr>
              <w:t>BUD/FOR 400/12</w:t>
            </w:r>
          </w:p>
        </w:tc>
        <w:tc>
          <w:tcPr>
            <w:tcW w:w="1054" w:type="dxa"/>
            <w:tcBorders>
              <w:top w:val="nil"/>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top w:val="nil"/>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top w:val="nil"/>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4" w:type="dxa"/>
            <w:tcBorders>
              <w:top w:val="nil"/>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top w:val="nil"/>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top w:val="nil"/>
              <w:left w:val="single" w:sz="4" w:space="0" w:color="auto"/>
              <w:bottom w:val="nil"/>
              <w:right w:val="single" w:sz="4" w:space="0" w:color="auto"/>
            </w:tcBorders>
          </w:tcPr>
          <w:p w:rsidR="00DD254D" w:rsidRPr="00D8008D" w:rsidRDefault="00D8008D" w:rsidP="00B061AA">
            <w:pPr>
              <w:pStyle w:val="TableText0"/>
              <w:jc w:val="center"/>
              <w:rPr>
                <w:color w:val="808080" w:themeColor="background1" w:themeShade="80"/>
                <w:highlight w:val="black"/>
              </w:rPr>
            </w:pPr>
            <w:r>
              <w:rPr>
                <w:noProof/>
                <w:color w:val="000000"/>
                <w:highlight w:val="black"/>
              </w:rPr>
              <w:t>''''''''''''''''''</w:t>
            </w:r>
          </w:p>
        </w:tc>
      </w:tr>
      <w:tr w:rsidR="00DD254D" w:rsidRPr="00FB7A6E" w:rsidTr="00B061AA">
        <w:tc>
          <w:tcPr>
            <w:tcW w:w="2689" w:type="dxa"/>
            <w:tcBorders>
              <w:top w:val="nil"/>
              <w:left w:val="single" w:sz="4" w:space="0" w:color="auto"/>
              <w:bottom w:val="nil"/>
              <w:right w:val="single" w:sz="4" w:space="0" w:color="auto"/>
            </w:tcBorders>
            <w:vAlign w:val="center"/>
          </w:tcPr>
          <w:p w:rsidR="00DD254D" w:rsidRPr="00FB7A6E" w:rsidRDefault="00DD254D" w:rsidP="00B061AA">
            <w:pPr>
              <w:pStyle w:val="TableFigureHeading"/>
              <w:ind w:left="254"/>
              <w:rPr>
                <w:b w:val="0"/>
                <w:bCs w:val="0"/>
                <w:color w:val="808080" w:themeColor="background1" w:themeShade="80"/>
              </w:rPr>
            </w:pPr>
            <w:r w:rsidRPr="00FB7A6E">
              <w:rPr>
                <w:b w:val="0"/>
                <w:bCs w:val="0"/>
                <w:color w:val="808080" w:themeColor="background1" w:themeShade="80"/>
              </w:rPr>
              <w:t>FF/VIL 200/25</w:t>
            </w:r>
          </w:p>
        </w:tc>
        <w:tc>
          <w:tcPr>
            <w:tcW w:w="1054" w:type="dxa"/>
            <w:tcBorders>
              <w:top w:val="nil"/>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top w:val="nil"/>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top w:val="nil"/>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4" w:type="dxa"/>
            <w:tcBorders>
              <w:top w:val="nil"/>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top w:val="nil"/>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top w:val="nil"/>
              <w:left w:val="single" w:sz="4" w:space="0" w:color="auto"/>
              <w:bottom w:val="nil"/>
              <w:right w:val="single" w:sz="4" w:space="0" w:color="auto"/>
            </w:tcBorders>
          </w:tcPr>
          <w:p w:rsidR="00DD254D" w:rsidRPr="00D8008D" w:rsidRDefault="00D8008D" w:rsidP="00B061AA">
            <w:pPr>
              <w:pStyle w:val="TableText0"/>
              <w:jc w:val="center"/>
              <w:rPr>
                <w:color w:val="808080" w:themeColor="background1" w:themeShade="80"/>
                <w:highlight w:val="black"/>
              </w:rPr>
            </w:pPr>
            <w:r>
              <w:rPr>
                <w:noProof/>
                <w:color w:val="000000"/>
                <w:highlight w:val="black"/>
              </w:rPr>
              <w:t>'''''''''''''''''''''''</w:t>
            </w:r>
          </w:p>
        </w:tc>
      </w:tr>
      <w:tr w:rsidR="00DD254D" w:rsidRPr="00FB7A6E" w:rsidTr="00B061AA">
        <w:tc>
          <w:tcPr>
            <w:tcW w:w="2689" w:type="dxa"/>
            <w:tcBorders>
              <w:top w:val="nil"/>
              <w:left w:val="single" w:sz="4" w:space="0" w:color="auto"/>
              <w:bottom w:val="nil"/>
              <w:right w:val="single" w:sz="4" w:space="0" w:color="auto"/>
            </w:tcBorders>
            <w:vAlign w:val="center"/>
          </w:tcPr>
          <w:p w:rsidR="00DD254D" w:rsidRPr="00FB7A6E" w:rsidRDefault="00DD254D" w:rsidP="00B061AA">
            <w:pPr>
              <w:pStyle w:val="TableFigureHeading"/>
              <w:ind w:left="254"/>
              <w:rPr>
                <w:b w:val="0"/>
                <w:bCs w:val="0"/>
                <w:color w:val="808080" w:themeColor="background1" w:themeShade="80"/>
              </w:rPr>
            </w:pPr>
            <w:r w:rsidRPr="00FB7A6E">
              <w:rPr>
                <w:b w:val="0"/>
                <w:bCs w:val="0"/>
                <w:color w:val="808080" w:themeColor="background1" w:themeShade="80"/>
              </w:rPr>
              <w:t>TIO 2.5</w:t>
            </w:r>
          </w:p>
        </w:tc>
        <w:tc>
          <w:tcPr>
            <w:tcW w:w="1054" w:type="dxa"/>
            <w:tcBorders>
              <w:top w:val="nil"/>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top w:val="nil"/>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top w:val="nil"/>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4" w:type="dxa"/>
            <w:tcBorders>
              <w:top w:val="nil"/>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top w:val="nil"/>
              <w:left w:val="single" w:sz="4" w:space="0" w:color="auto"/>
              <w:bottom w:val="nil"/>
              <w:right w:val="single" w:sz="4" w:space="0" w:color="auto"/>
            </w:tcBorders>
          </w:tcPr>
          <w:p w:rsidR="00DD254D" w:rsidRPr="00D8008D" w:rsidRDefault="00D8008D" w:rsidP="00B061AA">
            <w:pPr>
              <w:pStyle w:val="TableText0"/>
              <w:jc w:val="center"/>
              <w:rPr>
                <w:rFonts w:cs="Times New Roman"/>
                <w:color w:val="808080" w:themeColor="background1" w:themeShade="80"/>
                <w:szCs w:val="20"/>
                <w:highlight w:val="black"/>
              </w:rPr>
            </w:pPr>
            <w:r>
              <w:rPr>
                <w:noProof/>
                <w:color w:val="000000"/>
                <w:highlight w:val="black"/>
              </w:rPr>
              <w:t>'''''''''''''''''''</w:t>
            </w:r>
          </w:p>
        </w:tc>
        <w:tc>
          <w:tcPr>
            <w:tcW w:w="1055" w:type="dxa"/>
            <w:tcBorders>
              <w:top w:val="nil"/>
              <w:left w:val="single" w:sz="4" w:space="0" w:color="auto"/>
              <w:bottom w:val="nil"/>
              <w:right w:val="single" w:sz="4" w:space="0" w:color="auto"/>
            </w:tcBorders>
          </w:tcPr>
          <w:p w:rsidR="00DD254D" w:rsidRPr="00D8008D" w:rsidRDefault="00D8008D" w:rsidP="00B061AA">
            <w:pPr>
              <w:pStyle w:val="TableText0"/>
              <w:jc w:val="center"/>
              <w:rPr>
                <w:color w:val="808080" w:themeColor="background1" w:themeShade="80"/>
                <w:highlight w:val="black"/>
              </w:rPr>
            </w:pPr>
            <w:r>
              <w:rPr>
                <w:noProof/>
                <w:color w:val="000000"/>
                <w:highlight w:val="black"/>
              </w:rPr>
              <w:t>'''''''''''''''''''''''</w:t>
            </w:r>
          </w:p>
        </w:tc>
      </w:tr>
      <w:tr w:rsidR="00DD254D" w:rsidRPr="00FB7A6E" w:rsidTr="00B061AA">
        <w:tc>
          <w:tcPr>
            <w:tcW w:w="2689" w:type="dxa"/>
            <w:tcBorders>
              <w:top w:val="nil"/>
              <w:left w:val="single" w:sz="4" w:space="0" w:color="auto"/>
              <w:bottom w:val="nil"/>
              <w:right w:val="single" w:sz="4" w:space="0" w:color="auto"/>
            </w:tcBorders>
          </w:tcPr>
          <w:p w:rsidR="00DD254D" w:rsidRPr="00FB7A6E" w:rsidRDefault="00DD254D" w:rsidP="00B061AA">
            <w:pPr>
              <w:pStyle w:val="TableFigureHeading"/>
              <w:ind w:left="112"/>
              <w:rPr>
                <w:b w:val="0"/>
                <w:bCs w:val="0"/>
              </w:rPr>
            </w:pPr>
            <w:r w:rsidRPr="00FB7A6E">
              <w:rPr>
                <w:b w:val="0"/>
                <w:bCs w:val="0"/>
              </w:rPr>
              <w:t>PBS/RPBS cost</w:t>
            </w:r>
          </w:p>
        </w:tc>
        <w:tc>
          <w:tcPr>
            <w:tcW w:w="1054" w:type="dxa"/>
            <w:tcBorders>
              <w:top w:val="nil"/>
              <w:left w:val="single" w:sz="4" w:space="0" w:color="auto"/>
              <w:bottom w:val="nil"/>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c>
          <w:tcPr>
            <w:tcW w:w="1055" w:type="dxa"/>
            <w:tcBorders>
              <w:top w:val="nil"/>
              <w:left w:val="single" w:sz="4" w:space="0" w:color="auto"/>
              <w:bottom w:val="nil"/>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c>
          <w:tcPr>
            <w:tcW w:w="1055" w:type="dxa"/>
            <w:tcBorders>
              <w:top w:val="nil"/>
              <w:left w:val="single" w:sz="4" w:space="0" w:color="auto"/>
              <w:bottom w:val="nil"/>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c>
          <w:tcPr>
            <w:tcW w:w="1054" w:type="dxa"/>
            <w:tcBorders>
              <w:top w:val="nil"/>
              <w:left w:val="single" w:sz="4" w:space="0" w:color="auto"/>
              <w:bottom w:val="nil"/>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c>
          <w:tcPr>
            <w:tcW w:w="1055" w:type="dxa"/>
            <w:tcBorders>
              <w:top w:val="nil"/>
              <w:left w:val="single" w:sz="4" w:space="0" w:color="auto"/>
              <w:bottom w:val="nil"/>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c>
          <w:tcPr>
            <w:tcW w:w="1055" w:type="dxa"/>
            <w:tcBorders>
              <w:top w:val="nil"/>
              <w:left w:val="single" w:sz="4" w:space="0" w:color="auto"/>
              <w:bottom w:val="nil"/>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r>
      <w:tr w:rsidR="00DD254D" w:rsidRPr="00FB7A6E" w:rsidTr="00B061AA">
        <w:tc>
          <w:tcPr>
            <w:tcW w:w="2689" w:type="dxa"/>
            <w:tcBorders>
              <w:top w:val="nil"/>
              <w:left w:val="single" w:sz="4" w:space="0" w:color="auto"/>
              <w:bottom w:val="nil"/>
              <w:right w:val="single" w:sz="4" w:space="0" w:color="auto"/>
            </w:tcBorders>
          </w:tcPr>
          <w:p w:rsidR="00DD254D" w:rsidRPr="00FB7A6E" w:rsidRDefault="00DD254D" w:rsidP="00B061AA">
            <w:pPr>
              <w:pStyle w:val="TableFigureHeading"/>
              <w:ind w:left="112"/>
              <w:rPr>
                <w:b w:val="0"/>
                <w:bCs w:val="0"/>
              </w:rPr>
            </w:pPr>
            <w:r w:rsidRPr="00FB7A6E">
              <w:rPr>
                <w:b w:val="0"/>
                <w:bCs w:val="0"/>
              </w:rPr>
              <w:t>PBS/RPBS net cost (less copay)</w:t>
            </w:r>
          </w:p>
        </w:tc>
        <w:tc>
          <w:tcPr>
            <w:tcW w:w="1054" w:type="dxa"/>
            <w:tcBorders>
              <w:top w:val="nil"/>
              <w:left w:val="single" w:sz="4" w:space="0" w:color="auto"/>
              <w:bottom w:val="nil"/>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c>
          <w:tcPr>
            <w:tcW w:w="1055" w:type="dxa"/>
            <w:tcBorders>
              <w:top w:val="nil"/>
              <w:left w:val="single" w:sz="4" w:space="0" w:color="auto"/>
              <w:bottom w:val="nil"/>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c>
          <w:tcPr>
            <w:tcW w:w="1055" w:type="dxa"/>
            <w:tcBorders>
              <w:top w:val="nil"/>
              <w:left w:val="single" w:sz="4" w:space="0" w:color="auto"/>
              <w:bottom w:val="nil"/>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c>
          <w:tcPr>
            <w:tcW w:w="1054" w:type="dxa"/>
            <w:tcBorders>
              <w:top w:val="nil"/>
              <w:left w:val="single" w:sz="4" w:space="0" w:color="auto"/>
              <w:bottom w:val="nil"/>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c>
          <w:tcPr>
            <w:tcW w:w="1055" w:type="dxa"/>
            <w:tcBorders>
              <w:top w:val="nil"/>
              <w:left w:val="single" w:sz="4" w:space="0" w:color="auto"/>
              <w:bottom w:val="nil"/>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c>
          <w:tcPr>
            <w:tcW w:w="1055" w:type="dxa"/>
            <w:tcBorders>
              <w:top w:val="nil"/>
              <w:left w:val="single" w:sz="4" w:space="0" w:color="auto"/>
              <w:bottom w:val="nil"/>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r>
      <w:tr w:rsidR="00DD254D" w:rsidRPr="00FB7A6E" w:rsidTr="00B061AA">
        <w:tc>
          <w:tcPr>
            <w:tcW w:w="9017" w:type="dxa"/>
            <w:gridSpan w:val="7"/>
            <w:tcBorders>
              <w:top w:val="single" w:sz="4" w:space="0" w:color="auto"/>
              <w:left w:val="single" w:sz="4" w:space="0" w:color="auto"/>
              <w:bottom w:val="single" w:sz="4" w:space="0" w:color="auto"/>
              <w:right w:val="single" w:sz="4" w:space="0" w:color="auto"/>
            </w:tcBorders>
            <w:vAlign w:val="center"/>
          </w:tcPr>
          <w:p w:rsidR="00DD254D" w:rsidRPr="00FB7A6E" w:rsidRDefault="00DD254D" w:rsidP="00B061AA">
            <w:pPr>
              <w:pStyle w:val="TableText0"/>
              <w:rPr>
                <w:b/>
                <w:szCs w:val="20"/>
              </w:rPr>
            </w:pPr>
            <w:r w:rsidRPr="00FB7A6E">
              <w:rPr>
                <w:b/>
                <w:szCs w:val="20"/>
              </w:rPr>
              <w:t>Estimated financial implications for the PBS/RPBS and the Health Budget*</w:t>
            </w:r>
          </w:p>
        </w:tc>
      </w:tr>
      <w:tr w:rsidR="00DD254D" w:rsidRPr="00FB7A6E" w:rsidTr="00B061AA">
        <w:tc>
          <w:tcPr>
            <w:tcW w:w="2689" w:type="dxa"/>
            <w:tcBorders>
              <w:top w:val="single" w:sz="4" w:space="0" w:color="auto"/>
              <w:left w:val="single" w:sz="4" w:space="0" w:color="auto"/>
              <w:right w:val="single" w:sz="4" w:space="0" w:color="auto"/>
            </w:tcBorders>
          </w:tcPr>
          <w:p w:rsidR="00DD254D" w:rsidRPr="00FB7A6E" w:rsidRDefault="00DD254D" w:rsidP="00B061AA">
            <w:pPr>
              <w:jc w:val="left"/>
              <w:rPr>
                <w:rFonts w:ascii="Arial Narrow" w:hAnsi="Arial Narrow" w:cs="Times New Roman"/>
                <w:sz w:val="20"/>
                <w:szCs w:val="20"/>
              </w:rPr>
            </w:pPr>
            <w:r w:rsidRPr="00FB7A6E">
              <w:rPr>
                <w:rFonts w:ascii="Arial Narrow" w:hAnsi="Arial Narrow" w:cs="Times New Roman"/>
                <w:sz w:val="20"/>
                <w:szCs w:val="20"/>
              </w:rPr>
              <w:t>PBS/RPBS cost</w:t>
            </w:r>
          </w:p>
        </w:tc>
        <w:tc>
          <w:tcPr>
            <w:tcW w:w="1054"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c>
          <w:tcPr>
            <w:tcW w:w="1055"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c>
          <w:tcPr>
            <w:tcW w:w="1055"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c>
          <w:tcPr>
            <w:tcW w:w="1054"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c>
          <w:tcPr>
            <w:tcW w:w="1055"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c>
          <w:tcPr>
            <w:tcW w:w="1055" w:type="dxa"/>
            <w:tcBorders>
              <w:top w:val="single" w:sz="4" w:space="0" w:color="auto"/>
              <w:left w:val="single" w:sz="4" w:space="0" w:color="auto"/>
              <w:right w:val="single" w:sz="4" w:space="0" w:color="auto"/>
            </w:tcBorders>
            <w:vAlign w:val="center"/>
          </w:tcPr>
          <w:p w:rsidR="00DD254D" w:rsidRPr="00FB7A6E" w:rsidRDefault="00DD254D" w:rsidP="00B061AA">
            <w:pPr>
              <w:pStyle w:val="TableText0"/>
              <w:jc w:val="center"/>
            </w:pPr>
            <w:r w:rsidRPr="00FB7A6E">
              <w:t>-$</w:t>
            </w:r>
            <w:r w:rsidR="00D8008D">
              <w:rPr>
                <w:noProof/>
                <w:color w:val="000000"/>
                <w:highlight w:val="black"/>
              </w:rPr>
              <w:t>''''''''''''''''''''''''</w:t>
            </w:r>
          </w:p>
        </w:tc>
      </w:tr>
      <w:tr w:rsidR="00DD254D" w:rsidRPr="00FB7A6E" w:rsidTr="00B061AA">
        <w:tc>
          <w:tcPr>
            <w:tcW w:w="2689" w:type="dxa"/>
            <w:tcBorders>
              <w:left w:val="single" w:sz="4" w:space="0" w:color="auto"/>
              <w:right w:val="single" w:sz="4" w:space="0" w:color="auto"/>
            </w:tcBorders>
          </w:tcPr>
          <w:p w:rsidR="00DD254D" w:rsidRPr="00FB7A6E" w:rsidRDefault="00DD254D" w:rsidP="00B061AA">
            <w:pPr>
              <w:pStyle w:val="TableFigureHeading"/>
              <w:ind w:left="112"/>
              <w:rPr>
                <w:rFonts w:cs="Times New Roman"/>
                <w:b w:val="0"/>
                <w:bCs w:val="0"/>
                <w:color w:val="808080" w:themeColor="background1" w:themeShade="80"/>
                <w:szCs w:val="20"/>
              </w:rPr>
            </w:pPr>
            <w:r w:rsidRPr="00FB7A6E">
              <w:rPr>
                <w:rFonts w:cs="Times New Roman"/>
                <w:b w:val="0"/>
                <w:bCs w:val="0"/>
                <w:color w:val="808080" w:themeColor="background1" w:themeShade="80"/>
                <w:szCs w:val="20"/>
              </w:rPr>
              <w:t>Co-payments</w:t>
            </w:r>
          </w:p>
        </w:tc>
        <w:tc>
          <w:tcPr>
            <w:tcW w:w="1054" w:type="dxa"/>
            <w:tcBorders>
              <w:left w:val="single" w:sz="4" w:space="0" w:color="auto"/>
              <w:right w:val="single" w:sz="4" w:space="0" w:color="auto"/>
            </w:tcBorders>
            <w:vAlign w:val="center"/>
          </w:tcPr>
          <w:p w:rsidR="00DD254D" w:rsidRPr="00FB7A6E" w:rsidRDefault="00DD254D" w:rsidP="00B061AA">
            <w:pPr>
              <w:pStyle w:val="TableText0"/>
              <w:jc w:val="center"/>
              <w:rPr>
                <w:color w:val="808080" w:themeColor="background1" w:themeShade="80"/>
              </w:rPr>
            </w:pPr>
            <w:r w:rsidRPr="00FB7A6E">
              <w:rPr>
                <w:color w:val="808080" w:themeColor="background1" w:themeShade="80"/>
              </w:rPr>
              <w:t>-$</w:t>
            </w:r>
            <w:r w:rsidR="00D8008D">
              <w:rPr>
                <w:noProof/>
                <w:color w:val="000000"/>
                <w:highlight w:val="black"/>
              </w:rPr>
              <w:t>''''''''''''''''''''</w:t>
            </w:r>
          </w:p>
        </w:tc>
        <w:tc>
          <w:tcPr>
            <w:tcW w:w="1055" w:type="dxa"/>
            <w:tcBorders>
              <w:left w:val="single" w:sz="4" w:space="0" w:color="auto"/>
              <w:right w:val="single" w:sz="4" w:space="0" w:color="auto"/>
            </w:tcBorders>
            <w:vAlign w:val="center"/>
          </w:tcPr>
          <w:p w:rsidR="00DD254D" w:rsidRPr="00FB7A6E" w:rsidRDefault="00DD254D" w:rsidP="00B061AA">
            <w:pPr>
              <w:pStyle w:val="TableText0"/>
              <w:jc w:val="center"/>
              <w:rPr>
                <w:color w:val="808080" w:themeColor="background1" w:themeShade="80"/>
              </w:rPr>
            </w:pPr>
            <w:r w:rsidRPr="00FB7A6E">
              <w:rPr>
                <w:color w:val="808080" w:themeColor="background1" w:themeShade="80"/>
              </w:rPr>
              <w:t>-$</w:t>
            </w:r>
            <w:r w:rsidR="00D8008D">
              <w:rPr>
                <w:noProof/>
                <w:color w:val="000000"/>
                <w:highlight w:val="black"/>
              </w:rPr>
              <w:t>'''''''''''''''''''''''</w:t>
            </w:r>
          </w:p>
        </w:tc>
        <w:tc>
          <w:tcPr>
            <w:tcW w:w="1055" w:type="dxa"/>
            <w:tcBorders>
              <w:left w:val="single" w:sz="4" w:space="0" w:color="auto"/>
              <w:right w:val="single" w:sz="4" w:space="0" w:color="auto"/>
            </w:tcBorders>
            <w:vAlign w:val="center"/>
          </w:tcPr>
          <w:p w:rsidR="00DD254D" w:rsidRPr="00FB7A6E" w:rsidRDefault="00DD254D" w:rsidP="00B061AA">
            <w:pPr>
              <w:pStyle w:val="TableText0"/>
              <w:jc w:val="center"/>
              <w:rPr>
                <w:color w:val="808080" w:themeColor="background1" w:themeShade="80"/>
              </w:rPr>
            </w:pPr>
            <w:r w:rsidRPr="00FB7A6E">
              <w:rPr>
                <w:color w:val="808080" w:themeColor="background1" w:themeShade="80"/>
              </w:rPr>
              <w:t>-$</w:t>
            </w:r>
            <w:r w:rsidR="00D8008D">
              <w:rPr>
                <w:noProof/>
                <w:color w:val="000000"/>
                <w:highlight w:val="black"/>
              </w:rPr>
              <w:t>'''''''''''''''''''''''</w:t>
            </w:r>
          </w:p>
        </w:tc>
        <w:tc>
          <w:tcPr>
            <w:tcW w:w="1054" w:type="dxa"/>
            <w:tcBorders>
              <w:left w:val="single" w:sz="4" w:space="0" w:color="auto"/>
              <w:right w:val="single" w:sz="4" w:space="0" w:color="auto"/>
            </w:tcBorders>
            <w:vAlign w:val="center"/>
          </w:tcPr>
          <w:p w:rsidR="00DD254D" w:rsidRPr="00FB7A6E" w:rsidRDefault="00DD254D" w:rsidP="00B061AA">
            <w:pPr>
              <w:pStyle w:val="TableText0"/>
              <w:jc w:val="center"/>
              <w:rPr>
                <w:color w:val="808080" w:themeColor="background1" w:themeShade="80"/>
              </w:rPr>
            </w:pPr>
            <w:r w:rsidRPr="00FB7A6E">
              <w:rPr>
                <w:color w:val="808080" w:themeColor="background1" w:themeShade="80"/>
              </w:rPr>
              <w:t>-$</w:t>
            </w:r>
            <w:r w:rsidR="00D8008D">
              <w:rPr>
                <w:noProof/>
                <w:color w:val="000000"/>
                <w:highlight w:val="black"/>
              </w:rPr>
              <w:t>''''''''''''''''''''''''''</w:t>
            </w:r>
          </w:p>
        </w:tc>
        <w:tc>
          <w:tcPr>
            <w:tcW w:w="1055" w:type="dxa"/>
            <w:tcBorders>
              <w:left w:val="single" w:sz="4" w:space="0" w:color="auto"/>
              <w:right w:val="single" w:sz="4" w:space="0" w:color="auto"/>
            </w:tcBorders>
            <w:vAlign w:val="center"/>
          </w:tcPr>
          <w:p w:rsidR="00DD254D" w:rsidRPr="00FB7A6E" w:rsidRDefault="00DD254D" w:rsidP="00B061AA">
            <w:pPr>
              <w:pStyle w:val="TableText0"/>
              <w:jc w:val="center"/>
              <w:rPr>
                <w:color w:val="808080" w:themeColor="background1" w:themeShade="80"/>
              </w:rPr>
            </w:pPr>
            <w:r w:rsidRPr="00FB7A6E">
              <w:rPr>
                <w:color w:val="808080" w:themeColor="background1" w:themeShade="80"/>
              </w:rPr>
              <w:t>-$</w:t>
            </w:r>
            <w:r w:rsidR="00D8008D">
              <w:rPr>
                <w:noProof/>
                <w:color w:val="000000"/>
                <w:highlight w:val="black"/>
              </w:rPr>
              <w:t>''''''''''''''''''''''''''</w:t>
            </w:r>
          </w:p>
        </w:tc>
        <w:tc>
          <w:tcPr>
            <w:tcW w:w="1055" w:type="dxa"/>
            <w:tcBorders>
              <w:left w:val="single" w:sz="4" w:space="0" w:color="auto"/>
              <w:right w:val="single" w:sz="4" w:space="0" w:color="auto"/>
            </w:tcBorders>
            <w:vAlign w:val="center"/>
          </w:tcPr>
          <w:p w:rsidR="00DD254D" w:rsidRPr="00FB7A6E" w:rsidRDefault="00DD254D" w:rsidP="00B061AA">
            <w:pPr>
              <w:pStyle w:val="TableText0"/>
              <w:jc w:val="center"/>
              <w:rPr>
                <w:color w:val="808080" w:themeColor="background1" w:themeShade="80"/>
              </w:rPr>
            </w:pPr>
            <w:r w:rsidRPr="00FB7A6E">
              <w:rPr>
                <w:color w:val="808080" w:themeColor="background1" w:themeShade="80"/>
              </w:rPr>
              <w:t>-$</w:t>
            </w:r>
            <w:r w:rsidR="00D8008D">
              <w:rPr>
                <w:noProof/>
                <w:color w:val="000000"/>
                <w:highlight w:val="black"/>
              </w:rPr>
              <w:t>'''''''''''''''''''''''''</w:t>
            </w:r>
          </w:p>
        </w:tc>
      </w:tr>
      <w:tr w:rsidR="00DD254D" w:rsidRPr="00FB7A6E" w:rsidTr="00B061AA">
        <w:tc>
          <w:tcPr>
            <w:tcW w:w="2689" w:type="dxa"/>
            <w:tcBorders>
              <w:left w:val="single" w:sz="4" w:space="0" w:color="auto"/>
              <w:bottom w:val="single" w:sz="4" w:space="0" w:color="auto"/>
              <w:right w:val="single" w:sz="4" w:space="0" w:color="auto"/>
            </w:tcBorders>
            <w:vAlign w:val="center"/>
          </w:tcPr>
          <w:p w:rsidR="00DD254D" w:rsidRPr="00FB7A6E" w:rsidRDefault="00DD254D" w:rsidP="00B061AA">
            <w:pPr>
              <w:jc w:val="left"/>
              <w:rPr>
                <w:rFonts w:ascii="Arial Narrow" w:hAnsi="Arial Narrow" w:cs="Times New Roman"/>
                <w:b/>
                <w:bCs/>
                <w:sz w:val="20"/>
                <w:szCs w:val="20"/>
              </w:rPr>
            </w:pPr>
            <w:r w:rsidRPr="00FB7A6E">
              <w:rPr>
                <w:rFonts w:ascii="Arial Narrow" w:hAnsi="Arial Narrow" w:cs="Times New Roman"/>
                <w:b/>
                <w:bCs/>
                <w:sz w:val="20"/>
                <w:szCs w:val="20"/>
              </w:rPr>
              <w:t>PBS/RPBS net cost (less copay)</w:t>
            </w:r>
          </w:p>
        </w:tc>
        <w:tc>
          <w:tcPr>
            <w:tcW w:w="1054" w:type="dxa"/>
            <w:tcBorders>
              <w:left w:val="single" w:sz="4" w:space="0" w:color="auto"/>
              <w:bottom w:val="single" w:sz="4" w:space="0" w:color="auto"/>
              <w:right w:val="single" w:sz="4" w:space="0" w:color="auto"/>
            </w:tcBorders>
            <w:vAlign w:val="center"/>
          </w:tcPr>
          <w:p w:rsidR="00DD254D" w:rsidRPr="00FB7A6E" w:rsidRDefault="00DD254D" w:rsidP="00B061AA">
            <w:pPr>
              <w:pStyle w:val="TableText0"/>
              <w:jc w:val="center"/>
            </w:pPr>
            <w:r w:rsidRPr="00FB7A6E">
              <w:rPr>
                <w:b/>
                <w:bCs w:val="0"/>
              </w:rPr>
              <w:t>-$</w:t>
            </w:r>
            <w:r w:rsidR="00D8008D">
              <w:rPr>
                <w:b/>
                <w:bCs w:val="0"/>
                <w:noProof/>
                <w:color w:val="000000"/>
                <w:highlight w:val="black"/>
              </w:rPr>
              <w:t>''''''''''''''''</w:t>
            </w:r>
          </w:p>
        </w:tc>
        <w:tc>
          <w:tcPr>
            <w:tcW w:w="1055" w:type="dxa"/>
            <w:tcBorders>
              <w:left w:val="single" w:sz="4" w:space="0" w:color="auto"/>
              <w:bottom w:val="single" w:sz="4" w:space="0" w:color="auto"/>
              <w:right w:val="single" w:sz="4" w:space="0" w:color="auto"/>
            </w:tcBorders>
            <w:vAlign w:val="center"/>
          </w:tcPr>
          <w:p w:rsidR="00DD254D" w:rsidRPr="00FB7A6E" w:rsidRDefault="00DD254D" w:rsidP="00B061AA">
            <w:pPr>
              <w:pStyle w:val="TableText0"/>
              <w:jc w:val="center"/>
            </w:pPr>
            <w:r w:rsidRPr="00FB7A6E">
              <w:rPr>
                <w:b/>
                <w:bCs w:val="0"/>
              </w:rPr>
              <w:t>-$</w:t>
            </w:r>
            <w:r w:rsidR="00D8008D">
              <w:rPr>
                <w:b/>
                <w:bCs w:val="0"/>
                <w:noProof/>
                <w:color w:val="000000"/>
                <w:highlight w:val="black"/>
              </w:rPr>
              <w:t>'''''''''''''''</w:t>
            </w:r>
          </w:p>
        </w:tc>
        <w:tc>
          <w:tcPr>
            <w:tcW w:w="1055" w:type="dxa"/>
            <w:tcBorders>
              <w:left w:val="single" w:sz="4" w:space="0" w:color="auto"/>
              <w:bottom w:val="single" w:sz="4" w:space="0" w:color="auto"/>
              <w:right w:val="single" w:sz="4" w:space="0" w:color="auto"/>
            </w:tcBorders>
            <w:vAlign w:val="center"/>
          </w:tcPr>
          <w:p w:rsidR="00DD254D" w:rsidRPr="00FB7A6E" w:rsidRDefault="00DD254D" w:rsidP="00B061AA">
            <w:pPr>
              <w:pStyle w:val="TableText0"/>
              <w:jc w:val="center"/>
            </w:pPr>
            <w:r w:rsidRPr="00FB7A6E">
              <w:rPr>
                <w:b/>
                <w:bCs w:val="0"/>
              </w:rPr>
              <w:t>-$</w:t>
            </w:r>
            <w:r w:rsidR="00D8008D">
              <w:rPr>
                <w:b/>
                <w:bCs w:val="0"/>
                <w:noProof/>
                <w:color w:val="000000"/>
                <w:highlight w:val="black"/>
              </w:rPr>
              <w:t>'''''''''''''''''</w:t>
            </w:r>
          </w:p>
        </w:tc>
        <w:tc>
          <w:tcPr>
            <w:tcW w:w="1054" w:type="dxa"/>
            <w:tcBorders>
              <w:left w:val="single" w:sz="4" w:space="0" w:color="auto"/>
              <w:bottom w:val="single" w:sz="4" w:space="0" w:color="auto"/>
              <w:right w:val="single" w:sz="4" w:space="0" w:color="auto"/>
            </w:tcBorders>
            <w:vAlign w:val="center"/>
          </w:tcPr>
          <w:p w:rsidR="00DD254D" w:rsidRPr="00FB7A6E" w:rsidRDefault="00DD254D" w:rsidP="00B061AA">
            <w:pPr>
              <w:pStyle w:val="TableText0"/>
              <w:jc w:val="center"/>
            </w:pPr>
            <w:r w:rsidRPr="00FB7A6E">
              <w:rPr>
                <w:b/>
                <w:bCs w:val="0"/>
              </w:rPr>
              <w:t>-$</w:t>
            </w:r>
            <w:r w:rsidR="00D8008D">
              <w:rPr>
                <w:b/>
                <w:bCs w:val="0"/>
                <w:noProof/>
                <w:color w:val="000000"/>
                <w:highlight w:val="black"/>
              </w:rPr>
              <w:t>'''''''''''''''</w:t>
            </w:r>
          </w:p>
        </w:tc>
        <w:tc>
          <w:tcPr>
            <w:tcW w:w="1055" w:type="dxa"/>
            <w:tcBorders>
              <w:left w:val="single" w:sz="4" w:space="0" w:color="auto"/>
              <w:bottom w:val="single" w:sz="4" w:space="0" w:color="auto"/>
              <w:right w:val="single" w:sz="4" w:space="0" w:color="auto"/>
            </w:tcBorders>
            <w:vAlign w:val="center"/>
          </w:tcPr>
          <w:p w:rsidR="00DD254D" w:rsidRPr="00FB7A6E" w:rsidRDefault="00DD254D" w:rsidP="00B061AA">
            <w:pPr>
              <w:pStyle w:val="TableText0"/>
              <w:jc w:val="center"/>
            </w:pPr>
            <w:r w:rsidRPr="00FB7A6E">
              <w:rPr>
                <w:b/>
                <w:bCs w:val="0"/>
              </w:rPr>
              <w:t>-$</w:t>
            </w:r>
            <w:r w:rsidR="00D8008D">
              <w:rPr>
                <w:b/>
                <w:bCs w:val="0"/>
                <w:noProof/>
                <w:color w:val="000000"/>
                <w:highlight w:val="black"/>
              </w:rPr>
              <w:t>'''''''''''''''''</w:t>
            </w:r>
          </w:p>
        </w:tc>
        <w:tc>
          <w:tcPr>
            <w:tcW w:w="1055" w:type="dxa"/>
            <w:tcBorders>
              <w:left w:val="single" w:sz="4" w:space="0" w:color="auto"/>
              <w:bottom w:val="single" w:sz="4" w:space="0" w:color="auto"/>
              <w:right w:val="single" w:sz="4" w:space="0" w:color="auto"/>
            </w:tcBorders>
            <w:vAlign w:val="center"/>
          </w:tcPr>
          <w:p w:rsidR="00DD254D" w:rsidRPr="00FB7A6E" w:rsidRDefault="00DD254D" w:rsidP="00B061AA">
            <w:pPr>
              <w:pStyle w:val="TableText0"/>
              <w:jc w:val="center"/>
            </w:pPr>
            <w:r w:rsidRPr="00FB7A6E">
              <w:rPr>
                <w:b/>
                <w:bCs w:val="0"/>
              </w:rPr>
              <w:t>-$</w:t>
            </w:r>
            <w:r w:rsidR="00D8008D">
              <w:rPr>
                <w:b/>
                <w:bCs w:val="0"/>
                <w:noProof/>
                <w:color w:val="000000"/>
                <w:highlight w:val="black"/>
              </w:rPr>
              <w:t>'''''''''''''''</w:t>
            </w:r>
          </w:p>
        </w:tc>
      </w:tr>
    </w:tbl>
    <w:p w:rsidR="00DD254D" w:rsidRPr="00FB7A6E" w:rsidRDefault="00DD254D" w:rsidP="00DD254D">
      <w:pPr>
        <w:pStyle w:val="TableFigureFooter"/>
      </w:pPr>
      <w:r w:rsidRPr="00FB7A6E">
        <w:t xml:space="preserve">Abbreviations: BUD=budesonide; FOR=formoterol; FDC=fixed dose combination; FF=fluticasone furoate; FP=fluticasone propionate; GLY=glycopyrronium; ICS=inhaled corticosteroid; IND=indacaterol; LABA=long-acting beta2-agonst; LAMA=long-acting muscarinic </w:t>
      </w:r>
      <w:r w:rsidR="009326C0" w:rsidRPr="00FB7A6E">
        <w:t xml:space="preserve">receptor </w:t>
      </w:r>
      <w:r w:rsidRPr="00FB7A6E">
        <w:t>antagonist; MF=mometasone furoate; SAL=salmeterol; TIO=tiotropium; VI=vilanterol;</w:t>
      </w:r>
    </w:p>
    <w:p w:rsidR="00DD254D" w:rsidRPr="00FB7A6E" w:rsidRDefault="00DD254D" w:rsidP="00DD254D">
      <w:pPr>
        <w:pStyle w:val="TableFigureFooter"/>
      </w:pPr>
      <w:r w:rsidRPr="00FB7A6E">
        <w:t>Source: Table 4.16, p120; Table 4.18, p123 of the submission; Utilisation and cost model workbook.</w:t>
      </w:r>
    </w:p>
    <w:p w:rsidR="00FF1903" w:rsidRPr="00FF1903" w:rsidRDefault="00FF1903" w:rsidP="00FF1903">
      <w:pPr>
        <w:pStyle w:val="TableFigureHeading"/>
        <w:rPr>
          <w:lang w:val="en-US" w:eastAsia="en-US"/>
        </w:rPr>
      </w:pPr>
    </w:p>
    <w:p w:rsidR="00DD254D" w:rsidRPr="00FB7A6E" w:rsidRDefault="00DD254D" w:rsidP="002340C8">
      <w:pPr>
        <w:pStyle w:val="3-BodyText"/>
      </w:pPr>
      <w:r w:rsidRPr="00FB7A6E">
        <w:t>At the requested price (DPMQ=$</w:t>
      </w:r>
      <w:r w:rsidR="00D8008D">
        <w:rPr>
          <w:noProof/>
          <w:color w:val="000000"/>
          <w:highlight w:val="black"/>
        </w:rPr>
        <w:t>''''''''''</w:t>
      </w:r>
      <w:r w:rsidRPr="00FB7A6E">
        <w:t>), the proposed listing of MF/IND/GLY was estimated to result in cost-savings to the PBS/RPBS over the first six years of listing. There would also be a reduction in the number of scripts processed by the DHS given two scripts is substituted for one script, but the number of Authority Required (STREAMLINED) scripts would remain unchanged.</w:t>
      </w:r>
      <w:r w:rsidR="002340C8">
        <w:t xml:space="preserve"> </w:t>
      </w:r>
    </w:p>
    <w:p w:rsidR="00DD254D" w:rsidRPr="00A07146" w:rsidRDefault="00DD254D" w:rsidP="00DD254D">
      <w:pPr>
        <w:pStyle w:val="3-BodyText"/>
      </w:pPr>
      <w:r w:rsidRPr="00A07146">
        <w:t xml:space="preserve">The estimated net cost savings to the PBS/RPBS </w:t>
      </w:r>
      <w:r w:rsidRPr="009A3C03">
        <w:t xml:space="preserve">is </w:t>
      </w:r>
      <w:r w:rsidRPr="00A07146">
        <w:t>driven by substitution with high dose FF/VI (200/25) + TIO (net cost = $94.06) because its net cost is higher than M</w:t>
      </w:r>
      <w:r w:rsidR="008A5055">
        <w:t>F/IND/GLY (net cost = $</w:t>
      </w:r>
      <w:r w:rsidR="00D8008D">
        <w:rPr>
          <w:noProof/>
          <w:color w:val="000000"/>
          <w:highlight w:val="black"/>
        </w:rPr>
        <w:t>''''''''''</w:t>
      </w:r>
      <w:r w:rsidR="008A5055">
        <w:t xml:space="preserve">). </w:t>
      </w:r>
      <w:r w:rsidRPr="00A07146">
        <w:t>In contrast, each unit substituted with high dose FP/SAL (500/50) + TIO ($83.83) and high dose BUD/FOR (400/12) + TIO ($86.11) result</w:t>
      </w:r>
      <w:r w:rsidRPr="009A3C03">
        <w:t>s</w:t>
      </w:r>
      <w:r w:rsidRPr="00A07146">
        <w:t xml:space="preserve"> in a net cost to the PBS/RPBS.</w:t>
      </w:r>
    </w:p>
    <w:p w:rsidR="00632A6B" w:rsidRPr="00A07146" w:rsidRDefault="006768EA" w:rsidP="00DD254D">
      <w:pPr>
        <w:pStyle w:val="3-BodyText"/>
      </w:pPr>
      <w:r w:rsidRPr="003C73D9">
        <w:t xml:space="preserve">Table </w:t>
      </w:r>
      <w:r w:rsidR="00902FB8">
        <w:t>1</w:t>
      </w:r>
      <w:r w:rsidR="00BD5637">
        <w:t>1</w:t>
      </w:r>
      <w:r w:rsidR="000D72D7" w:rsidRPr="00FB7A6E">
        <w:t xml:space="preserve"> </w:t>
      </w:r>
      <w:r w:rsidRPr="00FB7A6E">
        <w:t xml:space="preserve">summarises sensitivity analyses presented in the submission </w:t>
      </w:r>
      <w:r w:rsidR="00846A70" w:rsidRPr="00A07146">
        <w:t>(</w:t>
      </w:r>
      <w:r w:rsidRPr="00A07146">
        <w:rPr>
          <w:iCs/>
        </w:rPr>
        <w:t>and conducted during the evaluation</w:t>
      </w:r>
      <w:r w:rsidR="00846A70" w:rsidRPr="00A07146">
        <w:rPr>
          <w:iCs/>
        </w:rPr>
        <w:t>)</w:t>
      </w:r>
      <w:r w:rsidRPr="00A07146">
        <w:rPr>
          <w:iCs/>
        </w:rPr>
        <w:t>.</w:t>
      </w:r>
      <w:r w:rsidR="008A5055">
        <w:rPr>
          <w:iCs/>
        </w:rPr>
        <w:t xml:space="preserve"> </w:t>
      </w:r>
      <w:r w:rsidR="00846A70" w:rsidRPr="00A07146">
        <w:t xml:space="preserve">Substitution with ICS/LABA MDI products was not explored, but </w:t>
      </w:r>
      <w:r w:rsidR="00717806" w:rsidRPr="00A07146">
        <w:t>the unit costs for MDIs are generally similar to DPI products</w:t>
      </w:r>
      <w:r w:rsidR="00846A70" w:rsidRPr="00A07146">
        <w:t>.</w:t>
      </w:r>
    </w:p>
    <w:p w:rsidR="00632A6B" w:rsidRPr="00FB7A6E" w:rsidRDefault="00632A6B" w:rsidP="008B35C9">
      <w:pPr>
        <w:pStyle w:val="ListBullet"/>
        <w:keepNext/>
        <w:keepLines/>
        <w:numPr>
          <w:ilvl w:val="0"/>
          <w:numId w:val="0"/>
        </w:numPr>
        <w:rPr>
          <w:rFonts w:ascii="Arial Narrow" w:hAnsi="Arial Narrow"/>
          <w:b/>
          <w:bCs/>
          <w:sz w:val="20"/>
          <w:szCs w:val="20"/>
        </w:rPr>
      </w:pPr>
      <w:r w:rsidRPr="003C73D9">
        <w:rPr>
          <w:rFonts w:ascii="Arial Narrow" w:hAnsi="Arial Narrow"/>
          <w:b/>
          <w:bCs/>
          <w:sz w:val="20"/>
          <w:szCs w:val="20"/>
        </w:rPr>
        <w:lastRenderedPageBreak/>
        <w:t xml:space="preserve">Table </w:t>
      </w:r>
      <w:r w:rsidR="007F3835">
        <w:rPr>
          <w:rFonts w:ascii="Arial Narrow" w:hAnsi="Arial Narrow"/>
          <w:b/>
          <w:bCs/>
          <w:sz w:val="20"/>
          <w:szCs w:val="20"/>
        </w:rPr>
        <w:t>1</w:t>
      </w:r>
      <w:r w:rsidR="00BD5637">
        <w:rPr>
          <w:rFonts w:ascii="Arial Narrow" w:hAnsi="Arial Narrow"/>
          <w:b/>
          <w:bCs/>
          <w:sz w:val="20"/>
          <w:szCs w:val="20"/>
        </w:rPr>
        <w:t>1</w:t>
      </w:r>
      <w:r w:rsidRPr="00FB7A6E">
        <w:rPr>
          <w:rFonts w:ascii="Arial Narrow" w:hAnsi="Arial Narrow"/>
          <w:b/>
          <w:bCs/>
          <w:sz w:val="20"/>
          <w:szCs w:val="20"/>
        </w:rPr>
        <w:t>: Sensitivity analysis of the financial implications to the PBS/RPBS</w:t>
      </w:r>
    </w:p>
    <w:tbl>
      <w:tblPr>
        <w:tblStyle w:val="TableGrid"/>
        <w:tblW w:w="0" w:type="auto"/>
        <w:tblCellMar>
          <w:left w:w="57" w:type="dxa"/>
          <w:right w:w="57" w:type="dxa"/>
        </w:tblCellMar>
        <w:tblLook w:val="04A0" w:firstRow="1" w:lastRow="0" w:firstColumn="1" w:lastColumn="0" w:noHBand="0" w:noVBand="1"/>
        <w:tblCaption w:val="Table 11: Sensitivity analysis of the financial implications to the PBS/RPBS"/>
      </w:tblPr>
      <w:tblGrid>
        <w:gridCol w:w="7225"/>
        <w:gridCol w:w="1792"/>
      </w:tblGrid>
      <w:tr w:rsidR="00632A6B" w:rsidRPr="00FB7A6E" w:rsidTr="00F352F3">
        <w:trPr>
          <w:tblHeader/>
        </w:trPr>
        <w:tc>
          <w:tcPr>
            <w:tcW w:w="7225" w:type="dxa"/>
            <w:vAlign w:val="center"/>
          </w:tcPr>
          <w:p w:rsidR="00632A6B" w:rsidRPr="00FB7A6E" w:rsidRDefault="00632A6B" w:rsidP="008B35C9">
            <w:pPr>
              <w:pStyle w:val="ListBullet"/>
              <w:keepNext/>
              <w:keepLines/>
              <w:numPr>
                <w:ilvl w:val="0"/>
                <w:numId w:val="0"/>
              </w:numPr>
              <w:jc w:val="left"/>
              <w:rPr>
                <w:rFonts w:ascii="Arial Narrow" w:hAnsi="Arial Narrow"/>
                <w:b/>
                <w:bCs/>
                <w:sz w:val="20"/>
                <w:szCs w:val="20"/>
              </w:rPr>
            </w:pPr>
            <w:r w:rsidRPr="00FB7A6E">
              <w:rPr>
                <w:rFonts w:ascii="Arial Narrow" w:hAnsi="Arial Narrow"/>
                <w:b/>
                <w:bCs/>
                <w:sz w:val="20"/>
                <w:szCs w:val="20"/>
              </w:rPr>
              <w:t>Sensitivity analysis</w:t>
            </w:r>
          </w:p>
        </w:tc>
        <w:tc>
          <w:tcPr>
            <w:tcW w:w="1792" w:type="dxa"/>
            <w:vAlign w:val="center"/>
          </w:tcPr>
          <w:p w:rsidR="00632A6B" w:rsidRPr="00FB7A6E" w:rsidRDefault="00632A6B" w:rsidP="008B35C9">
            <w:pPr>
              <w:pStyle w:val="ListBullet"/>
              <w:keepNext/>
              <w:keepLines/>
              <w:numPr>
                <w:ilvl w:val="0"/>
                <w:numId w:val="0"/>
              </w:numPr>
              <w:jc w:val="center"/>
              <w:rPr>
                <w:rFonts w:ascii="Arial Narrow" w:hAnsi="Arial Narrow"/>
                <w:b/>
                <w:bCs/>
                <w:sz w:val="20"/>
                <w:szCs w:val="20"/>
              </w:rPr>
            </w:pPr>
            <w:r w:rsidRPr="00FB7A6E">
              <w:rPr>
                <w:rFonts w:ascii="Arial Narrow" w:hAnsi="Arial Narrow"/>
                <w:b/>
                <w:bCs/>
                <w:sz w:val="20"/>
                <w:szCs w:val="20"/>
              </w:rPr>
              <w:t>PBS/RPBS net cost (over 6 years)</w:t>
            </w:r>
          </w:p>
        </w:tc>
      </w:tr>
      <w:tr w:rsidR="00632A6B" w:rsidRPr="00FB7A6E" w:rsidTr="008860F0">
        <w:tc>
          <w:tcPr>
            <w:tcW w:w="7225" w:type="dxa"/>
            <w:tcBorders>
              <w:bottom w:val="single" w:sz="4" w:space="0" w:color="auto"/>
            </w:tcBorders>
          </w:tcPr>
          <w:p w:rsidR="00632A6B" w:rsidRPr="00FB7A6E" w:rsidRDefault="00632A6B" w:rsidP="008B35C9">
            <w:pPr>
              <w:pStyle w:val="ListBullet"/>
              <w:keepNext/>
              <w:keepLines/>
              <w:numPr>
                <w:ilvl w:val="0"/>
                <w:numId w:val="0"/>
              </w:numPr>
              <w:rPr>
                <w:rFonts w:ascii="Arial Narrow" w:hAnsi="Arial Narrow"/>
                <w:sz w:val="20"/>
                <w:szCs w:val="20"/>
              </w:rPr>
            </w:pPr>
            <w:r w:rsidRPr="00FB7A6E">
              <w:rPr>
                <w:rFonts w:ascii="Arial Narrow" w:hAnsi="Arial Narrow"/>
                <w:sz w:val="20"/>
                <w:szCs w:val="20"/>
              </w:rPr>
              <w:t>Base case</w:t>
            </w:r>
          </w:p>
        </w:tc>
        <w:tc>
          <w:tcPr>
            <w:tcW w:w="1792" w:type="dxa"/>
            <w:tcBorders>
              <w:bottom w:val="single" w:sz="4" w:space="0" w:color="auto"/>
            </w:tcBorders>
            <w:vAlign w:val="center"/>
          </w:tcPr>
          <w:p w:rsidR="00632A6B" w:rsidRPr="00D8008D" w:rsidRDefault="00D8008D" w:rsidP="008B35C9">
            <w:pPr>
              <w:pStyle w:val="ListBullet"/>
              <w:keepNext/>
              <w:keepLines/>
              <w:numPr>
                <w:ilvl w:val="0"/>
                <w:numId w:val="0"/>
              </w:numPr>
              <w:jc w:val="center"/>
              <w:rPr>
                <w:rFonts w:ascii="Arial Narrow" w:hAnsi="Arial Narrow"/>
                <w:b/>
                <w:bCs/>
                <w:sz w:val="20"/>
                <w:szCs w:val="20"/>
                <w:highlight w:val="black"/>
              </w:rPr>
            </w:pPr>
            <w:r>
              <w:rPr>
                <w:rFonts w:ascii="Arial Narrow" w:hAnsi="Arial Narrow"/>
                <w:b/>
                <w:bCs/>
                <w:noProof/>
                <w:color w:val="000000"/>
                <w:sz w:val="20"/>
                <w:szCs w:val="20"/>
                <w:highlight w:val="black"/>
              </w:rPr>
              <w:t>'''''''''''''''''''''''''</w:t>
            </w:r>
          </w:p>
        </w:tc>
      </w:tr>
      <w:tr w:rsidR="00632A6B" w:rsidRPr="00A07146" w:rsidTr="008860F0">
        <w:tc>
          <w:tcPr>
            <w:tcW w:w="7225" w:type="dxa"/>
            <w:tcBorders>
              <w:top w:val="single" w:sz="4" w:space="0" w:color="auto"/>
              <w:bottom w:val="nil"/>
            </w:tcBorders>
          </w:tcPr>
          <w:p w:rsidR="00632A6B" w:rsidRPr="00A07146" w:rsidRDefault="00632A6B" w:rsidP="008B35C9">
            <w:pPr>
              <w:pStyle w:val="ListBullet"/>
              <w:keepNext/>
              <w:keepLines/>
              <w:numPr>
                <w:ilvl w:val="0"/>
                <w:numId w:val="0"/>
              </w:numPr>
              <w:rPr>
                <w:rFonts w:ascii="Arial Narrow" w:hAnsi="Arial Narrow"/>
                <w:iCs/>
                <w:sz w:val="20"/>
                <w:szCs w:val="20"/>
              </w:rPr>
            </w:pPr>
            <w:r w:rsidRPr="00A07146">
              <w:rPr>
                <w:rFonts w:ascii="Arial Narrow" w:hAnsi="Arial Narrow"/>
                <w:iCs/>
                <w:sz w:val="20"/>
                <w:szCs w:val="20"/>
              </w:rPr>
              <w:t>Substitution rates</w:t>
            </w:r>
          </w:p>
        </w:tc>
        <w:tc>
          <w:tcPr>
            <w:tcW w:w="1792" w:type="dxa"/>
            <w:tcBorders>
              <w:top w:val="single" w:sz="4" w:space="0" w:color="auto"/>
              <w:bottom w:val="nil"/>
            </w:tcBorders>
            <w:vAlign w:val="center"/>
          </w:tcPr>
          <w:p w:rsidR="00632A6B" w:rsidRPr="00D8008D" w:rsidRDefault="00632A6B" w:rsidP="008B35C9">
            <w:pPr>
              <w:pStyle w:val="ListBullet"/>
              <w:keepNext/>
              <w:keepLines/>
              <w:numPr>
                <w:ilvl w:val="0"/>
                <w:numId w:val="0"/>
              </w:numPr>
              <w:jc w:val="center"/>
              <w:rPr>
                <w:rFonts w:ascii="Arial Narrow" w:hAnsi="Arial Narrow"/>
                <w:iCs/>
                <w:sz w:val="20"/>
                <w:szCs w:val="20"/>
              </w:rPr>
            </w:pPr>
          </w:p>
        </w:tc>
      </w:tr>
      <w:tr w:rsidR="00632A6B" w:rsidRPr="00A07146" w:rsidTr="008860F0">
        <w:tc>
          <w:tcPr>
            <w:tcW w:w="7225" w:type="dxa"/>
            <w:tcBorders>
              <w:top w:val="nil"/>
              <w:bottom w:val="nil"/>
            </w:tcBorders>
          </w:tcPr>
          <w:p w:rsidR="00632A6B" w:rsidRPr="00A07146" w:rsidRDefault="00632A6B" w:rsidP="008B35C9">
            <w:pPr>
              <w:pStyle w:val="ListBullet"/>
              <w:keepNext/>
              <w:keepLines/>
              <w:numPr>
                <w:ilvl w:val="0"/>
                <w:numId w:val="0"/>
              </w:numPr>
              <w:rPr>
                <w:rFonts w:ascii="Arial Narrow" w:hAnsi="Arial Narrow"/>
                <w:iCs/>
                <w:sz w:val="20"/>
                <w:szCs w:val="20"/>
              </w:rPr>
            </w:pPr>
            <w:r w:rsidRPr="00A07146">
              <w:rPr>
                <w:rFonts w:ascii="Arial Narrow" w:hAnsi="Arial Narrow"/>
                <w:iCs/>
                <w:sz w:val="20"/>
                <w:szCs w:val="20"/>
              </w:rPr>
              <w:t>100% substitution with least costly high dose ICS/LABA DPI + LAMA</w:t>
            </w:r>
          </w:p>
        </w:tc>
        <w:tc>
          <w:tcPr>
            <w:tcW w:w="1792" w:type="dxa"/>
            <w:tcBorders>
              <w:top w:val="nil"/>
              <w:bottom w:val="nil"/>
            </w:tcBorders>
            <w:vAlign w:val="center"/>
          </w:tcPr>
          <w:p w:rsidR="00632A6B" w:rsidRPr="00D8008D" w:rsidRDefault="00D8008D" w:rsidP="008B35C9">
            <w:pPr>
              <w:pStyle w:val="ListBullet"/>
              <w:keepNext/>
              <w:keepLines/>
              <w:numPr>
                <w:ilvl w:val="0"/>
                <w:numId w:val="0"/>
              </w:numPr>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632A6B" w:rsidRPr="00A07146" w:rsidTr="008860F0">
        <w:tc>
          <w:tcPr>
            <w:tcW w:w="7225" w:type="dxa"/>
            <w:tcBorders>
              <w:top w:val="nil"/>
              <w:bottom w:val="single" w:sz="4" w:space="0" w:color="auto"/>
            </w:tcBorders>
          </w:tcPr>
          <w:p w:rsidR="00632A6B" w:rsidRPr="00A07146" w:rsidRDefault="00632A6B" w:rsidP="008B35C9">
            <w:pPr>
              <w:pStyle w:val="ListBullet"/>
              <w:keepNext/>
              <w:keepLines/>
              <w:numPr>
                <w:ilvl w:val="0"/>
                <w:numId w:val="0"/>
              </w:numPr>
              <w:rPr>
                <w:rFonts w:ascii="Arial Narrow" w:hAnsi="Arial Narrow"/>
                <w:iCs/>
                <w:sz w:val="20"/>
                <w:szCs w:val="20"/>
              </w:rPr>
            </w:pPr>
            <w:r w:rsidRPr="00A07146">
              <w:rPr>
                <w:rFonts w:ascii="Arial Narrow" w:hAnsi="Arial Narrow"/>
                <w:iCs/>
                <w:sz w:val="20"/>
                <w:szCs w:val="20"/>
              </w:rPr>
              <w:t>100% substitution with most costly high dose ICS/LABA DPI + LAMA</w:t>
            </w:r>
          </w:p>
        </w:tc>
        <w:tc>
          <w:tcPr>
            <w:tcW w:w="1792" w:type="dxa"/>
            <w:tcBorders>
              <w:top w:val="nil"/>
              <w:bottom w:val="single" w:sz="4" w:space="0" w:color="auto"/>
            </w:tcBorders>
            <w:vAlign w:val="center"/>
          </w:tcPr>
          <w:p w:rsidR="00632A6B" w:rsidRPr="00D8008D" w:rsidRDefault="00D8008D" w:rsidP="008B35C9">
            <w:pPr>
              <w:pStyle w:val="ListBullet"/>
              <w:keepNext/>
              <w:keepLines/>
              <w:numPr>
                <w:ilvl w:val="0"/>
                <w:numId w:val="0"/>
              </w:numPr>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632A6B" w:rsidRPr="00FB7A6E" w:rsidTr="008860F0">
        <w:tc>
          <w:tcPr>
            <w:tcW w:w="7225" w:type="dxa"/>
            <w:tcBorders>
              <w:bottom w:val="nil"/>
            </w:tcBorders>
          </w:tcPr>
          <w:p w:rsidR="00632A6B" w:rsidRPr="00FB7A6E" w:rsidRDefault="00632A6B" w:rsidP="008B35C9">
            <w:pPr>
              <w:pStyle w:val="ListBullet"/>
              <w:keepNext/>
              <w:keepLines/>
              <w:numPr>
                <w:ilvl w:val="0"/>
                <w:numId w:val="0"/>
              </w:numPr>
              <w:rPr>
                <w:rFonts w:ascii="Arial Narrow" w:hAnsi="Arial Narrow"/>
                <w:sz w:val="20"/>
                <w:szCs w:val="20"/>
                <w:vertAlign w:val="superscript"/>
              </w:rPr>
            </w:pPr>
            <w:r w:rsidRPr="00FB7A6E">
              <w:rPr>
                <w:rFonts w:ascii="Arial Narrow" w:hAnsi="Arial Narrow"/>
                <w:sz w:val="20"/>
                <w:szCs w:val="20"/>
              </w:rPr>
              <w:t>Comparator including medium dose ICS/LABA FDCs (BUD 800mcg per day or equivalent)</w:t>
            </w:r>
            <w:r w:rsidRPr="00FB7A6E">
              <w:rPr>
                <w:rFonts w:ascii="Arial Narrow" w:hAnsi="Arial Narrow"/>
                <w:sz w:val="20"/>
                <w:szCs w:val="20"/>
                <w:vertAlign w:val="superscript"/>
              </w:rPr>
              <w:t>#</w:t>
            </w:r>
          </w:p>
        </w:tc>
        <w:tc>
          <w:tcPr>
            <w:tcW w:w="1792" w:type="dxa"/>
            <w:tcBorders>
              <w:bottom w:val="nil"/>
            </w:tcBorders>
            <w:vAlign w:val="center"/>
          </w:tcPr>
          <w:p w:rsidR="00632A6B" w:rsidRPr="00D8008D" w:rsidRDefault="00632A6B" w:rsidP="008B35C9">
            <w:pPr>
              <w:pStyle w:val="ListBullet"/>
              <w:keepNext/>
              <w:keepLines/>
              <w:numPr>
                <w:ilvl w:val="0"/>
                <w:numId w:val="0"/>
              </w:numPr>
              <w:jc w:val="center"/>
              <w:rPr>
                <w:rFonts w:ascii="Arial Narrow" w:hAnsi="Arial Narrow"/>
                <w:sz w:val="20"/>
                <w:szCs w:val="20"/>
              </w:rPr>
            </w:pPr>
          </w:p>
        </w:tc>
      </w:tr>
      <w:tr w:rsidR="00632A6B" w:rsidRPr="00A07146" w:rsidTr="008860F0">
        <w:tc>
          <w:tcPr>
            <w:tcW w:w="7225" w:type="dxa"/>
            <w:tcBorders>
              <w:top w:val="nil"/>
              <w:bottom w:val="nil"/>
            </w:tcBorders>
          </w:tcPr>
          <w:p w:rsidR="00632A6B" w:rsidRPr="00A07146" w:rsidRDefault="00632A6B" w:rsidP="008B35C9">
            <w:pPr>
              <w:pStyle w:val="ListBullet"/>
              <w:keepNext/>
              <w:keepLines/>
              <w:numPr>
                <w:ilvl w:val="0"/>
                <w:numId w:val="0"/>
              </w:numPr>
              <w:rPr>
                <w:rFonts w:ascii="Arial Narrow" w:hAnsi="Arial Narrow"/>
                <w:sz w:val="20"/>
                <w:szCs w:val="20"/>
              </w:rPr>
            </w:pPr>
            <w:r w:rsidRPr="00A07146">
              <w:rPr>
                <w:rFonts w:ascii="Arial Narrow" w:hAnsi="Arial Narrow"/>
                <w:sz w:val="20"/>
                <w:szCs w:val="20"/>
              </w:rPr>
              <w:t>ICS/LABA (90% high dose and 10% medium dose) + LAMA</w:t>
            </w:r>
          </w:p>
        </w:tc>
        <w:tc>
          <w:tcPr>
            <w:tcW w:w="1792" w:type="dxa"/>
            <w:tcBorders>
              <w:top w:val="nil"/>
              <w:bottom w:val="nil"/>
            </w:tcBorders>
            <w:vAlign w:val="center"/>
          </w:tcPr>
          <w:p w:rsidR="00632A6B" w:rsidRPr="00D8008D" w:rsidRDefault="00D8008D" w:rsidP="008B35C9">
            <w:pPr>
              <w:pStyle w:val="ListBullet"/>
              <w:keepNext/>
              <w:keepLines/>
              <w:numPr>
                <w:ilvl w:val="0"/>
                <w:numId w:val="0"/>
              </w:numPr>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632A6B" w:rsidRPr="00A07146" w:rsidTr="008860F0">
        <w:tc>
          <w:tcPr>
            <w:tcW w:w="7225" w:type="dxa"/>
            <w:tcBorders>
              <w:top w:val="nil"/>
              <w:bottom w:val="nil"/>
            </w:tcBorders>
          </w:tcPr>
          <w:p w:rsidR="00632A6B" w:rsidRPr="00A07146" w:rsidRDefault="00632A6B" w:rsidP="008B35C9">
            <w:pPr>
              <w:pStyle w:val="ListBullet"/>
              <w:keepNext/>
              <w:keepLines/>
              <w:numPr>
                <w:ilvl w:val="0"/>
                <w:numId w:val="0"/>
              </w:numPr>
              <w:rPr>
                <w:rFonts w:ascii="Arial Narrow" w:hAnsi="Arial Narrow"/>
                <w:iCs/>
                <w:sz w:val="20"/>
                <w:szCs w:val="20"/>
              </w:rPr>
            </w:pPr>
            <w:r w:rsidRPr="00A07146">
              <w:rPr>
                <w:rFonts w:ascii="Arial Narrow" w:hAnsi="Arial Narrow"/>
                <w:iCs/>
                <w:sz w:val="20"/>
                <w:szCs w:val="20"/>
              </w:rPr>
              <w:t>ICS/LABA (80% high dose and 20% medium dose) + LAMA</w:t>
            </w:r>
          </w:p>
        </w:tc>
        <w:tc>
          <w:tcPr>
            <w:tcW w:w="1792" w:type="dxa"/>
            <w:tcBorders>
              <w:top w:val="nil"/>
              <w:bottom w:val="nil"/>
            </w:tcBorders>
            <w:vAlign w:val="center"/>
          </w:tcPr>
          <w:p w:rsidR="00632A6B" w:rsidRPr="00D8008D" w:rsidRDefault="00D8008D" w:rsidP="008B35C9">
            <w:pPr>
              <w:pStyle w:val="ListBullet"/>
              <w:keepNext/>
              <w:keepLines/>
              <w:numPr>
                <w:ilvl w:val="0"/>
                <w:numId w:val="0"/>
              </w:numPr>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632A6B" w:rsidRPr="00A07146" w:rsidTr="008860F0">
        <w:tc>
          <w:tcPr>
            <w:tcW w:w="7225" w:type="dxa"/>
            <w:tcBorders>
              <w:top w:val="nil"/>
              <w:bottom w:val="single" w:sz="4" w:space="0" w:color="auto"/>
            </w:tcBorders>
          </w:tcPr>
          <w:p w:rsidR="00632A6B" w:rsidRPr="00A07146" w:rsidRDefault="00632A6B" w:rsidP="008B35C9">
            <w:pPr>
              <w:pStyle w:val="ListBullet"/>
              <w:keepNext/>
              <w:keepLines/>
              <w:numPr>
                <w:ilvl w:val="0"/>
                <w:numId w:val="0"/>
              </w:numPr>
              <w:rPr>
                <w:rFonts w:ascii="Arial Narrow" w:hAnsi="Arial Narrow"/>
                <w:iCs/>
                <w:sz w:val="20"/>
                <w:szCs w:val="20"/>
              </w:rPr>
            </w:pPr>
            <w:r w:rsidRPr="00A07146">
              <w:rPr>
                <w:rFonts w:ascii="Arial Narrow" w:hAnsi="Arial Narrow"/>
                <w:iCs/>
                <w:sz w:val="20"/>
                <w:szCs w:val="20"/>
              </w:rPr>
              <w:t>ICS/LABA (70% high dose and 30% medium dose) + LAMA</w:t>
            </w:r>
          </w:p>
        </w:tc>
        <w:tc>
          <w:tcPr>
            <w:tcW w:w="1792" w:type="dxa"/>
            <w:tcBorders>
              <w:top w:val="nil"/>
              <w:bottom w:val="single" w:sz="4" w:space="0" w:color="auto"/>
            </w:tcBorders>
            <w:vAlign w:val="center"/>
          </w:tcPr>
          <w:p w:rsidR="00632A6B" w:rsidRPr="00D8008D" w:rsidRDefault="00D8008D" w:rsidP="008B35C9">
            <w:pPr>
              <w:pStyle w:val="ListBullet"/>
              <w:keepNext/>
              <w:keepLines/>
              <w:numPr>
                <w:ilvl w:val="0"/>
                <w:numId w:val="0"/>
              </w:numPr>
              <w:jc w:val="center"/>
              <w:rPr>
                <w:rFonts w:ascii="Arial Narrow" w:hAnsi="Arial Narrow"/>
                <w:iCs/>
                <w:sz w:val="20"/>
                <w:szCs w:val="20"/>
                <w:highlight w:val="black"/>
              </w:rPr>
            </w:pPr>
            <w:r>
              <w:rPr>
                <w:rFonts w:ascii="Arial Narrow" w:hAnsi="Arial Narrow"/>
                <w:iCs/>
                <w:noProof/>
                <w:color w:val="000000"/>
                <w:sz w:val="20"/>
                <w:szCs w:val="20"/>
                <w:highlight w:val="black"/>
              </w:rPr>
              <w:t xml:space="preserve">'''''''''''''''''''''''' </w:t>
            </w:r>
          </w:p>
        </w:tc>
      </w:tr>
      <w:tr w:rsidR="00632A6B" w:rsidRPr="00FB7A6E" w:rsidTr="008860F0">
        <w:tc>
          <w:tcPr>
            <w:tcW w:w="7225" w:type="dxa"/>
            <w:tcBorders>
              <w:bottom w:val="nil"/>
            </w:tcBorders>
          </w:tcPr>
          <w:p w:rsidR="00632A6B" w:rsidRPr="00FB7A6E" w:rsidRDefault="00632A6B" w:rsidP="008B35C9">
            <w:pPr>
              <w:pStyle w:val="ListBullet"/>
              <w:keepNext/>
              <w:keepLines/>
              <w:numPr>
                <w:ilvl w:val="0"/>
                <w:numId w:val="0"/>
              </w:numPr>
              <w:rPr>
                <w:rFonts w:ascii="Arial Narrow" w:hAnsi="Arial Narrow"/>
                <w:sz w:val="20"/>
                <w:szCs w:val="20"/>
              </w:rPr>
            </w:pPr>
            <w:r w:rsidRPr="00FB7A6E">
              <w:rPr>
                <w:rFonts w:ascii="Arial Narrow" w:hAnsi="Arial Narrow"/>
                <w:sz w:val="20"/>
                <w:szCs w:val="20"/>
              </w:rPr>
              <w:t>Proportion use in patients with controlled asthma on ICS/LABA (same total number of scripts)</w:t>
            </w:r>
          </w:p>
        </w:tc>
        <w:tc>
          <w:tcPr>
            <w:tcW w:w="1792" w:type="dxa"/>
            <w:tcBorders>
              <w:bottom w:val="nil"/>
            </w:tcBorders>
            <w:vAlign w:val="center"/>
          </w:tcPr>
          <w:p w:rsidR="00632A6B" w:rsidRPr="00D8008D" w:rsidRDefault="00632A6B" w:rsidP="008B35C9">
            <w:pPr>
              <w:pStyle w:val="ListBullet"/>
              <w:keepNext/>
              <w:keepLines/>
              <w:numPr>
                <w:ilvl w:val="0"/>
                <w:numId w:val="0"/>
              </w:numPr>
              <w:jc w:val="center"/>
              <w:rPr>
                <w:rFonts w:ascii="Arial Narrow" w:hAnsi="Arial Narrow"/>
                <w:sz w:val="20"/>
                <w:szCs w:val="20"/>
              </w:rPr>
            </w:pPr>
          </w:p>
        </w:tc>
      </w:tr>
      <w:tr w:rsidR="00632A6B" w:rsidRPr="00A07146" w:rsidTr="008860F0">
        <w:tc>
          <w:tcPr>
            <w:tcW w:w="7225" w:type="dxa"/>
            <w:tcBorders>
              <w:top w:val="nil"/>
              <w:bottom w:val="nil"/>
            </w:tcBorders>
          </w:tcPr>
          <w:p w:rsidR="00632A6B" w:rsidRPr="00A07146" w:rsidRDefault="00632A6B" w:rsidP="008B35C9">
            <w:pPr>
              <w:pStyle w:val="ListBullet"/>
              <w:keepNext/>
              <w:keepLines/>
              <w:numPr>
                <w:ilvl w:val="0"/>
                <w:numId w:val="0"/>
              </w:numPr>
              <w:rPr>
                <w:rFonts w:ascii="Arial Narrow" w:hAnsi="Arial Narrow"/>
                <w:sz w:val="20"/>
                <w:szCs w:val="20"/>
              </w:rPr>
            </w:pPr>
            <w:r w:rsidRPr="00A07146">
              <w:rPr>
                <w:rFonts w:ascii="Arial Narrow" w:hAnsi="Arial Narrow"/>
                <w:sz w:val="20"/>
                <w:szCs w:val="20"/>
              </w:rPr>
              <w:t>10% substituting for ICS/LABA only</w:t>
            </w:r>
          </w:p>
        </w:tc>
        <w:tc>
          <w:tcPr>
            <w:tcW w:w="1792" w:type="dxa"/>
            <w:tcBorders>
              <w:top w:val="nil"/>
              <w:bottom w:val="nil"/>
            </w:tcBorders>
            <w:vAlign w:val="center"/>
          </w:tcPr>
          <w:p w:rsidR="00632A6B" w:rsidRPr="00D8008D" w:rsidRDefault="00D8008D" w:rsidP="008B35C9">
            <w:pPr>
              <w:pStyle w:val="ListBullet"/>
              <w:keepNext/>
              <w:keepLines/>
              <w:numPr>
                <w:ilvl w:val="0"/>
                <w:numId w:val="0"/>
              </w:numPr>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632A6B" w:rsidRPr="00A07146" w:rsidTr="008860F0">
        <w:tc>
          <w:tcPr>
            <w:tcW w:w="7225" w:type="dxa"/>
            <w:tcBorders>
              <w:top w:val="nil"/>
            </w:tcBorders>
          </w:tcPr>
          <w:p w:rsidR="00632A6B" w:rsidRPr="00A07146" w:rsidRDefault="00632A6B" w:rsidP="008B35C9">
            <w:pPr>
              <w:pStyle w:val="ListBullet"/>
              <w:keepNext/>
              <w:keepLines/>
              <w:numPr>
                <w:ilvl w:val="0"/>
                <w:numId w:val="0"/>
              </w:numPr>
              <w:rPr>
                <w:rFonts w:ascii="Arial Narrow" w:hAnsi="Arial Narrow"/>
                <w:iCs/>
                <w:sz w:val="20"/>
                <w:szCs w:val="20"/>
              </w:rPr>
            </w:pPr>
            <w:r w:rsidRPr="00A07146">
              <w:rPr>
                <w:rFonts w:ascii="Arial Narrow" w:hAnsi="Arial Narrow"/>
                <w:iCs/>
                <w:sz w:val="20"/>
                <w:szCs w:val="20"/>
              </w:rPr>
              <w:t>20% substituting for ICS/LABA only</w:t>
            </w:r>
          </w:p>
        </w:tc>
        <w:tc>
          <w:tcPr>
            <w:tcW w:w="1792" w:type="dxa"/>
            <w:tcBorders>
              <w:top w:val="nil"/>
            </w:tcBorders>
            <w:vAlign w:val="center"/>
          </w:tcPr>
          <w:p w:rsidR="00632A6B" w:rsidRPr="00D8008D" w:rsidRDefault="00D8008D" w:rsidP="008B35C9">
            <w:pPr>
              <w:pStyle w:val="ListBullet"/>
              <w:keepNext/>
              <w:keepLines/>
              <w:numPr>
                <w:ilvl w:val="0"/>
                <w:numId w:val="0"/>
              </w:numPr>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bl>
    <w:p w:rsidR="009B7166" w:rsidRPr="00FB7A6E" w:rsidRDefault="009B7166" w:rsidP="008B35C9">
      <w:pPr>
        <w:pStyle w:val="ListBullet"/>
        <w:keepNext/>
        <w:keepLines/>
        <w:numPr>
          <w:ilvl w:val="0"/>
          <w:numId w:val="0"/>
        </w:numPr>
        <w:tabs>
          <w:tab w:val="left" w:pos="142"/>
        </w:tabs>
        <w:rPr>
          <w:rFonts w:ascii="Arial Narrow" w:hAnsi="Arial Narrow"/>
          <w:sz w:val="18"/>
          <w:szCs w:val="18"/>
        </w:rPr>
      </w:pPr>
      <w:r w:rsidRPr="00FB7A6E">
        <w:rPr>
          <w:rFonts w:ascii="Arial Narrow" w:hAnsi="Arial Narrow"/>
          <w:sz w:val="18"/>
          <w:szCs w:val="18"/>
        </w:rPr>
        <w:t>Abbreviations: BUD=budesonide; DPI=dry powder inhaler; FF=fluticasone furoate; FOR=formoterol; ICS=inhaled corticosteroid; LABA=long-acting beta2-agonst; LAMA=long-acting muscarinic receptor antagonist;</w:t>
      </w:r>
      <w:r w:rsidRPr="00FB7A6E">
        <w:rPr>
          <w:rFonts w:ascii="Arial Narrow" w:hAnsi="Arial Narrow"/>
          <w:sz w:val="20"/>
        </w:rPr>
        <w:t xml:space="preserve"> </w:t>
      </w:r>
      <w:r w:rsidRPr="00FB7A6E">
        <w:rPr>
          <w:rFonts w:ascii="Arial Narrow" w:hAnsi="Arial Narrow"/>
          <w:sz w:val="18"/>
          <w:szCs w:val="18"/>
        </w:rPr>
        <w:t>VI=vilanterol;</w:t>
      </w:r>
    </w:p>
    <w:p w:rsidR="00632A6B" w:rsidRPr="00FB7A6E" w:rsidRDefault="00632A6B" w:rsidP="008B35C9">
      <w:pPr>
        <w:pStyle w:val="ListBullet"/>
        <w:keepNext/>
        <w:keepLines/>
        <w:numPr>
          <w:ilvl w:val="0"/>
          <w:numId w:val="0"/>
        </w:numPr>
        <w:tabs>
          <w:tab w:val="left" w:pos="142"/>
        </w:tabs>
        <w:rPr>
          <w:rFonts w:ascii="Arial Narrow" w:hAnsi="Arial Narrow"/>
          <w:sz w:val="18"/>
          <w:szCs w:val="18"/>
        </w:rPr>
      </w:pPr>
      <w:r w:rsidRPr="00FB7A6E">
        <w:rPr>
          <w:rFonts w:ascii="Arial Narrow" w:hAnsi="Arial Narrow"/>
          <w:sz w:val="18"/>
          <w:szCs w:val="18"/>
        </w:rPr>
        <w:t>#</w:t>
      </w:r>
      <w:r w:rsidRPr="00FB7A6E">
        <w:rPr>
          <w:rFonts w:ascii="Arial Narrow" w:hAnsi="Arial Narrow"/>
          <w:sz w:val="18"/>
          <w:szCs w:val="18"/>
        </w:rPr>
        <w:tab/>
        <w:t>The sensitivity analysis presented in the submission included a programming error, where the DPMQs for BUD/FOR 400/12 and FF/VIL 200/25 were switched with each other (see cells C41:C42 on “Sensitivity testing” worksheet in “Utilisation-and-cost-model.xlsm”)</w:t>
      </w:r>
    </w:p>
    <w:p w:rsidR="00632A6B" w:rsidRPr="00FB7A6E" w:rsidRDefault="00632A6B" w:rsidP="008B35C9">
      <w:pPr>
        <w:pStyle w:val="ListBullet"/>
        <w:keepNext/>
        <w:keepLines/>
        <w:numPr>
          <w:ilvl w:val="0"/>
          <w:numId w:val="0"/>
        </w:numPr>
        <w:rPr>
          <w:rFonts w:ascii="Arial Narrow" w:hAnsi="Arial Narrow"/>
          <w:sz w:val="18"/>
          <w:szCs w:val="18"/>
        </w:rPr>
      </w:pPr>
      <w:r w:rsidRPr="00FB7A6E">
        <w:rPr>
          <w:rFonts w:ascii="Arial Narrow" w:hAnsi="Arial Narrow"/>
          <w:sz w:val="18"/>
          <w:szCs w:val="18"/>
        </w:rPr>
        <w:t>Source: pp129-130 of the submission; ‘Sensitivity testing’ worksheet in “Utilisation-and-cost-model.xlsm”.</w:t>
      </w:r>
    </w:p>
    <w:p w:rsidR="00702518" w:rsidRPr="00FB7A6E" w:rsidRDefault="00702518" w:rsidP="00632A6B">
      <w:pPr>
        <w:pStyle w:val="ListBullet"/>
        <w:numPr>
          <w:ilvl w:val="0"/>
          <w:numId w:val="0"/>
        </w:numPr>
        <w:rPr>
          <w:rFonts w:ascii="Arial Narrow" w:hAnsi="Arial Narrow"/>
          <w:sz w:val="18"/>
          <w:szCs w:val="18"/>
        </w:rPr>
      </w:pPr>
    </w:p>
    <w:p w:rsidR="00DD254D" w:rsidRPr="00A07146" w:rsidRDefault="00DD254D" w:rsidP="00DD254D">
      <w:pPr>
        <w:pStyle w:val="3-BodyText"/>
      </w:pPr>
      <w:r w:rsidRPr="00A07146">
        <w:t xml:space="preserve">The financial </w:t>
      </w:r>
      <w:r w:rsidR="008A5A50" w:rsidRPr="00A07146">
        <w:t xml:space="preserve">estimates </w:t>
      </w:r>
      <w:r w:rsidR="00596508" w:rsidRPr="009A3C03">
        <w:t xml:space="preserve">were </w:t>
      </w:r>
      <w:r w:rsidRPr="00A07146">
        <w:t>sensitive to:</w:t>
      </w:r>
    </w:p>
    <w:p w:rsidR="00DD254D" w:rsidRPr="00A07146" w:rsidRDefault="00DD254D" w:rsidP="006831B2">
      <w:pPr>
        <w:pStyle w:val="3-BodyText"/>
        <w:numPr>
          <w:ilvl w:val="0"/>
          <w:numId w:val="5"/>
        </w:numPr>
      </w:pPr>
      <w:r w:rsidRPr="00A07146">
        <w:rPr>
          <w:snapToGrid/>
        </w:rPr>
        <w:t>The</w:t>
      </w:r>
      <w:r w:rsidR="008A5055">
        <w:t xml:space="preserve"> substitution rates.</w:t>
      </w:r>
      <w:r w:rsidRPr="00A07146">
        <w:t xml:space="preserve"> Assuming more substitution with less costly alternatives result</w:t>
      </w:r>
      <w:r w:rsidR="00C3598B" w:rsidRPr="009A3C03">
        <w:t>ed</w:t>
      </w:r>
      <w:r w:rsidRPr="00A07146">
        <w:t xml:space="preserve"> in a net cost to the PBS/RPBS, because the net cost of MF/IND/GLY </w:t>
      </w:r>
      <w:r w:rsidR="00C3598B" w:rsidRPr="009A3C03">
        <w:t xml:space="preserve">was </w:t>
      </w:r>
      <w:r w:rsidRPr="00A07146">
        <w:t>more than two of three included high dose ICS/LABA+LAMA comparators.</w:t>
      </w:r>
    </w:p>
    <w:p w:rsidR="00DD254D" w:rsidRPr="00A07146" w:rsidRDefault="00DD254D" w:rsidP="006831B2">
      <w:pPr>
        <w:pStyle w:val="3-BodyText"/>
        <w:numPr>
          <w:ilvl w:val="0"/>
          <w:numId w:val="5"/>
        </w:numPr>
      </w:pPr>
      <w:r w:rsidRPr="00A07146">
        <w:t xml:space="preserve">The assumption that medium and high dose MF/IND/GLY will only substitute </w:t>
      </w:r>
      <w:r w:rsidR="008A5055">
        <w:t xml:space="preserve">for high dose ICS/LABA + LAMA. </w:t>
      </w:r>
      <w:r w:rsidRPr="009A3C03">
        <w:t>Assuming</w:t>
      </w:r>
      <w:r w:rsidRPr="00DB6C89">
        <w:t xml:space="preserve"> </w:t>
      </w:r>
      <w:r w:rsidRPr="00A07146">
        <w:t xml:space="preserve">≥8% substitution with medium dose ICS/LABA + LAMA </w:t>
      </w:r>
      <w:r w:rsidR="00C3598B" w:rsidRPr="009A3C03">
        <w:t>resulted</w:t>
      </w:r>
      <w:r w:rsidR="00C3598B" w:rsidRPr="00A07146">
        <w:t xml:space="preserve"> </w:t>
      </w:r>
      <w:r w:rsidRPr="00A07146">
        <w:t xml:space="preserve">in a net cost to the PBS/RPBS (all else constant), because medium dose ICS/LABA FDCs </w:t>
      </w:r>
      <w:r w:rsidR="00C3598B" w:rsidRPr="009A3C03">
        <w:t xml:space="preserve">were </w:t>
      </w:r>
      <w:r w:rsidRPr="00A07146">
        <w:t>less costly than high dose ICS/LABA FDCs.</w:t>
      </w:r>
    </w:p>
    <w:p w:rsidR="000C7F50" w:rsidRDefault="00DD254D" w:rsidP="000C7F50">
      <w:pPr>
        <w:pStyle w:val="3-BodyText"/>
        <w:numPr>
          <w:ilvl w:val="0"/>
          <w:numId w:val="5"/>
        </w:numPr>
      </w:pPr>
      <w:r w:rsidRPr="00A07146">
        <w:t>Leakage</w:t>
      </w:r>
      <w:r w:rsidR="008A5055">
        <w:t xml:space="preserve"> into the dual therapy market. </w:t>
      </w:r>
      <w:r w:rsidRPr="009A3C03">
        <w:t>Assuming</w:t>
      </w:r>
      <w:r w:rsidRPr="00A07146">
        <w:t xml:space="preserve"> ≥3% use in patients controlled on dual therapy results in a net cost to the PBS/RPBS (all else constant), because dual therapy </w:t>
      </w:r>
      <w:r w:rsidR="00C3598B" w:rsidRPr="00DB6C89">
        <w:t>was</w:t>
      </w:r>
      <w:r w:rsidR="00C3598B" w:rsidRPr="00A07146">
        <w:t xml:space="preserve"> </w:t>
      </w:r>
      <w:r w:rsidRPr="00A07146">
        <w:t>less costly than triple therapy</w:t>
      </w:r>
      <w:r w:rsidR="002340C8">
        <w:t>.</w:t>
      </w:r>
    </w:p>
    <w:p w:rsidR="00DD254D" w:rsidRPr="00FB7A6E" w:rsidRDefault="00DD254D" w:rsidP="00DD254D">
      <w:pPr>
        <w:pStyle w:val="4-SubsectionHeading"/>
      </w:pPr>
      <w:bookmarkStart w:id="40" w:name="_Toc22897648"/>
      <w:bookmarkStart w:id="41" w:name="_Toc40870069"/>
      <w:r w:rsidRPr="00FB7A6E">
        <w:t>Quality Use of Medicines</w:t>
      </w:r>
      <w:bookmarkEnd w:id="40"/>
      <w:bookmarkEnd w:id="41"/>
    </w:p>
    <w:p w:rsidR="00DD254D" w:rsidRPr="00FB7A6E" w:rsidRDefault="00DD254D" w:rsidP="002B48D2">
      <w:pPr>
        <w:pStyle w:val="3-BodyText"/>
      </w:pPr>
      <w:r w:rsidRPr="00FB7A6E">
        <w:t>The submission did not report quality use of medic</w:t>
      </w:r>
      <w:r w:rsidR="008A5055">
        <w:t>ine information for MF/IND/GLY.</w:t>
      </w:r>
      <w:r w:rsidRPr="00FB7A6E">
        <w:t xml:space="preserve"> </w:t>
      </w:r>
      <w:r w:rsidR="00AD3453" w:rsidRPr="00A07146">
        <w:rPr>
          <w:iCs/>
        </w:rPr>
        <w:t>Neither IND nor</w:t>
      </w:r>
      <w:r w:rsidR="004A2415" w:rsidRPr="00A07146">
        <w:rPr>
          <w:iCs/>
        </w:rPr>
        <w:t xml:space="preserve"> GLY are currently included in the Australian Asthma Handbook or GINA guidelines</w:t>
      </w:r>
      <w:r w:rsidR="00AD3453" w:rsidRPr="00A07146">
        <w:rPr>
          <w:iCs/>
        </w:rPr>
        <w:t xml:space="preserve"> as treatments for asthma, but they are </w:t>
      </w:r>
      <w:r w:rsidR="002B48D2" w:rsidRPr="00A07146">
        <w:rPr>
          <w:iCs/>
        </w:rPr>
        <w:t xml:space="preserve">available on the PBS for COPD </w:t>
      </w:r>
      <w:r w:rsidR="00AD3453" w:rsidRPr="00A07146">
        <w:rPr>
          <w:iCs/>
        </w:rPr>
        <w:t xml:space="preserve">via the </w:t>
      </w:r>
      <w:r w:rsidRPr="00A07146">
        <w:t>Breezhaler® device</w:t>
      </w:r>
      <w:r w:rsidR="00AD3453" w:rsidRPr="00A07146">
        <w:t xml:space="preserve">: </w:t>
      </w:r>
      <w:r w:rsidRPr="00A07146">
        <w:t xml:space="preserve">Onbrez® containing IND, </w:t>
      </w:r>
      <w:r w:rsidR="0054579D" w:rsidRPr="00A07146">
        <w:t>Seebri® containing</w:t>
      </w:r>
      <w:r w:rsidR="002B48D2" w:rsidRPr="00A07146">
        <w:t xml:space="preserve"> GLY, </w:t>
      </w:r>
      <w:r w:rsidRPr="00A07146">
        <w:t>and Ultibro® FDC containing IND/GLY.</w:t>
      </w:r>
    </w:p>
    <w:p w:rsidR="009675BC" w:rsidRPr="00A07146" w:rsidRDefault="009675BC" w:rsidP="00206569">
      <w:pPr>
        <w:pStyle w:val="3-BodyText"/>
      </w:pPr>
      <w:r w:rsidRPr="00A07146">
        <w:t xml:space="preserve">There is potential </w:t>
      </w:r>
      <w:r w:rsidR="00373F9B" w:rsidRPr="00A07146">
        <w:t xml:space="preserve">that MF/IND/GLY could be </w:t>
      </w:r>
      <w:r w:rsidR="00206569" w:rsidRPr="00A07146">
        <w:t xml:space="preserve">inappropriately </w:t>
      </w:r>
      <w:r w:rsidR="000F1E13" w:rsidRPr="00A07146">
        <w:t xml:space="preserve">prescribed </w:t>
      </w:r>
      <w:r w:rsidR="00373F9B" w:rsidRPr="00A07146">
        <w:t>in children and adolescents</w:t>
      </w:r>
      <w:r w:rsidR="00206569" w:rsidRPr="00A07146">
        <w:t xml:space="preserve">, given </w:t>
      </w:r>
      <w:r w:rsidR="00373F9B" w:rsidRPr="00A07146">
        <w:t>triple therapy with ICS/LABA+TIO is PBS listed from 6 years of age</w:t>
      </w:r>
      <w:r w:rsidR="00206569" w:rsidRPr="00A07146">
        <w:t xml:space="preserve"> but listing of MF/IND/GLY is sought for adults</w:t>
      </w:r>
      <w:r w:rsidR="008A5055">
        <w:t>.</w:t>
      </w:r>
      <w:r w:rsidR="00373F9B" w:rsidRPr="00A07146">
        <w:t xml:space="preserve"> </w:t>
      </w:r>
      <w:r w:rsidR="00206569" w:rsidRPr="00A07146">
        <w:t xml:space="preserve">The draft PI </w:t>
      </w:r>
      <w:r w:rsidR="00C3598B" w:rsidRPr="00494956">
        <w:t xml:space="preserve">stated </w:t>
      </w:r>
      <w:r w:rsidR="00AA21B5" w:rsidRPr="00A07146">
        <w:t xml:space="preserve">that </w:t>
      </w:r>
      <w:r w:rsidR="00206569" w:rsidRPr="00A07146">
        <w:t>the safety and efficacy of MF/IND/GLY in patients aged below 18 years ha</w:t>
      </w:r>
      <w:r w:rsidR="00C3598B">
        <w:t>d</w:t>
      </w:r>
      <w:r w:rsidR="008A5055">
        <w:t xml:space="preserve"> not been established. </w:t>
      </w:r>
      <w:r w:rsidR="00206569" w:rsidRPr="00A07146">
        <w:t>For Atectura® Breezhaler® (MF/IND), the sponsor requested listing in patients 12 years and over.</w:t>
      </w:r>
      <w:r w:rsidR="007F31CD">
        <w:t xml:space="preserve"> </w:t>
      </w:r>
      <w:r w:rsidR="00566F44">
        <w:t xml:space="preserve">The PBAC considered that confirmation that a patient is aged 18 years and over as part of an </w:t>
      </w:r>
      <w:r w:rsidR="00566F44">
        <w:rPr>
          <w:iCs/>
        </w:rPr>
        <w:t>Authority Required (</w:t>
      </w:r>
      <w:r w:rsidR="00566F44" w:rsidRPr="00A07146">
        <w:rPr>
          <w:iCs/>
        </w:rPr>
        <w:t>Telephone/Electronic/Emergency</w:t>
      </w:r>
      <w:r w:rsidR="00566F44">
        <w:rPr>
          <w:iCs/>
        </w:rPr>
        <w:t xml:space="preserve">) listing may assist in minimising this potential quality use of medicines issue. </w:t>
      </w:r>
    </w:p>
    <w:p w:rsidR="00DD254D" w:rsidRPr="00A07146" w:rsidRDefault="00DD254D" w:rsidP="00353C1A">
      <w:pPr>
        <w:pStyle w:val="3-BodyText"/>
      </w:pPr>
      <w:r w:rsidRPr="00A07146">
        <w:lastRenderedPageBreak/>
        <w:t xml:space="preserve">In 2015, DUSC considered that given there </w:t>
      </w:r>
      <w:r w:rsidR="00C3598B" w:rsidRPr="00494956">
        <w:t xml:space="preserve">were </w:t>
      </w:r>
      <w:r w:rsidR="003A432E" w:rsidRPr="00A07146">
        <w:t>‘</w:t>
      </w:r>
      <w:r w:rsidRPr="00A07146">
        <w:t>already many different inhalers available which require different inhaler techniques… adding to the number of inhalers available can cause confusion and increases the likelihood of poor inhaler technique</w:t>
      </w:r>
      <w:r w:rsidR="003A432E" w:rsidRPr="00A07146">
        <w:t>’</w:t>
      </w:r>
      <w:r w:rsidRPr="00A07146">
        <w:t xml:space="preserve"> (</w:t>
      </w:r>
      <w:r w:rsidR="00B1662F" w:rsidRPr="00A07146">
        <w:t>t</w:t>
      </w:r>
      <w:r w:rsidRPr="00A07146">
        <w:t>iotropium</w:t>
      </w:r>
      <w:r w:rsidR="00B1662F" w:rsidRPr="00A07146">
        <w:t xml:space="preserve"> bromide,</w:t>
      </w:r>
      <w:r w:rsidRPr="00A07146">
        <w:t xml:space="preserve"> DUSC ADV July 2015</w:t>
      </w:r>
      <w:r w:rsidR="00B1662F" w:rsidRPr="00A07146">
        <w:t xml:space="preserve"> PBAC meeting</w:t>
      </w:r>
      <w:r w:rsidR="008A5055">
        <w:t xml:space="preserve">). </w:t>
      </w:r>
      <w:r w:rsidR="00353C1A" w:rsidRPr="00A07146">
        <w:t>For many patients, MF/IND/GLY would be the first asthma inhaler that require</w:t>
      </w:r>
      <w:r w:rsidR="00353C1A" w:rsidRPr="00494956">
        <w:t xml:space="preserve">s </w:t>
      </w:r>
      <w:r w:rsidR="00353C1A" w:rsidRPr="00A07146">
        <w:t>capsules to be loaded into the inhaler prior to use, wh</w:t>
      </w:r>
      <w:r w:rsidR="008A5055">
        <w:t xml:space="preserve">ich may add to this confusion. </w:t>
      </w:r>
      <w:r w:rsidR="00353C1A" w:rsidRPr="00A07146">
        <w:t>Unlike in COPD, there is only one other product listed for asthma that require capsules to be loaded into a device (Foradile® dry powder capsules containing formoterol), but it is rarely prescribed</w:t>
      </w:r>
      <w:r w:rsidR="00E25F18" w:rsidRPr="00A07146">
        <w:rPr>
          <w:rStyle w:val="FootnoteReference"/>
        </w:rPr>
        <w:footnoteReference w:id="10"/>
      </w:r>
      <w:r w:rsidR="008A5055">
        <w:t xml:space="preserve">. </w:t>
      </w:r>
      <w:r w:rsidR="00353C1A" w:rsidRPr="00A07146">
        <w:t xml:space="preserve">At the same time, a single inhaler has the potential to improve quality use of medicines compared to multiple </w:t>
      </w:r>
      <w:r w:rsidR="0021570E" w:rsidRPr="00A07146">
        <w:t>inhalers;</w:t>
      </w:r>
      <w:r w:rsidR="00353C1A" w:rsidRPr="00A07146">
        <w:t xml:space="preserve"> particularly given </w:t>
      </w:r>
      <w:r w:rsidR="00FE18DD" w:rsidRPr="00A07146">
        <w:t>correcting inhaler technique is a major factor for severe asthma management.</w:t>
      </w:r>
    </w:p>
    <w:p w:rsidR="00353C1A" w:rsidRDefault="00DD254D" w:rsidP="00FE18DD">
      <w:pPr>
        <w:pStyle w:val="3-BodyText"/>
      </w:pPr>
      <w:r w:rsidRPr="00A07146">
        <w:t xml:space="preserve">In 2017, DUSC considered </w:t>
      </w:r>
      <w:r w:rsidR="006E52A2" w:rsidRPr="00A07146">
        <w:t xml:space="preserve">that the PBS-listing of Trelegy® would mean that a product in an Ellipta® device would be available at all stages of the COPD stepwise management plan and </w:t>
      </w:r>
      <w:r w:rsidR="003A432E" w:rsidRPr="00A07146">
        <w:t>‘</w:t>
      </w:r>
      <w:r w:rsidRPr="00A07146">
        <w:t>[w]hile it may contribute to the correct use of the device, it may also facilitate more rapid escalation to triple therapy, which may not be warranted.</w:t>
      </w:r>
      <w:r w:rsidR="003A432E" w:rsidRPr="00A07146">
        <w:t>’</w:t>
      </w:r>
      <w:r w:rsidRPr="00A07146">
        <w:t xml:space="preserve"> (fluticasone furoate + umeclidinium + vilanterol </w:t>
      </w:r>
      <w:r w:rsidR="00CD13FA" w:rsidRPr="00A07146">
        <w:t xml:space="preserve">FDC, </w:t>
      </w:r>
      <w:r w:rsidRPr="00A07146">
        <w:t>DUSC ADV December 2017</w:t>
      </w:r>
      <w:r w:rsidR="00B1662F" w:rsidRPr="00A07146">
        <w:t xml:space="preserve"> PBAC meeting</w:t>
      </w:r>
      <w:r w:rsidR="008A5055">
        <w:t xml:space="preserve">). </w:t>
      </w:r>
      <w:r w:rsidRPr="00A07146">
        <w:t xml:space="preserve">Similarly, if Atectura® Breezhaler® (MF/IND) </w:t>
      </w:r>
      <w:r w:rsidR="0021570E" w:rsidRPr="00A07146">
        <w:t>were</w:t>
      </w:r>
      <w:r w:rsidRPr="00A07146">
        <w:t xml:space="preserve"> also recommended for listing at the July 2020 meeting, there would be a product in a Breezhaler® device available at Steps 3 to 5 of the </w:t>
      </w:r>
      <w:r w:rsidR="00AC7DF1" w:rsidRPr="00A07146">
        <w:t>clinical management algorithm</w:t>
      </w:r>
      <w:r w:rsidRPr="00A07146">
        <w:t>, which may prompt rapid step-up to triple therapy.</w:t>
      </w:r>
    </w:p>
    <w:p w:rsidR="00566F44" w:rsidRDefault="00057C26" w:rsidP="00057C26">
      <w:pPr>
        <w:pStyle w:val="3-BodyText"/>
      </w:pPr>
      <w:r w:rsidRPr="00DB6C89">
        <w:t xml:space="preserve">The ESC </w:t>
      </w:r>
      <w:r w:rsidR="001742DC" w:rsidRPr="00DB6C89">
        <w:t xml:space="preserve">considered that the stepwise approach to asthma therapy remained appropriate. The </w:t>
      </w:r>
      <w:r w:rsidR="00566F44">
        <w:t>PBAC</w:t>
      </w:r>
      <w:r w:rsidR="001742DC" w:rsidRPr="00DB6C89">
        <w:t xml:space="preserve"> </w:t>
      </w:r>
      <w:r w:rsidRPr="00DB6C89">
        <w:t xml:space="preserve">agreed with the </w:t>
      </w:r>
      <w:r w:rsidR="00566F44">
        <w:t xml:space="preserve">ESC and </w:t>
      </w:r>
      <w:r w:rsidR="00494956" w:rsidRPr="00DB6C89">
        <w:t>e</w:t>
      </w:r>
      <w:r w:rsidRPr="00DB6C89">
        <w:t xml:space="preserve">valuation that rapid escalation to triple therapy </w:t>
      </w:r>
      <w:r w:rsidR="00990E1B" w:rsidRPr="00DB6C89">
        <w:t>c</w:t>
      </w:r>
      <w:r w:rsidRPr="00DB6C89">
        <w:t>ould be a significant QUM issue if MF/IND/GLY were to be listed</w:t>
      </w:r>
      <w:r w:rsidR="001742DC" w:rsidRPr="00DB6C89">
        <w:t xml:space="preserve">, particularly if </w:t>
      </w:r>
      <w:r w:rsidRPr="00DB6C89">
        <w:t>MF/IND</w:t>
      </w:r>
      <w:r w:rsidR="001742DC" w:rsidRPr="00DB6C89">
        <w:t xml:space="preserve"> was listed as well</w:t>
      </w:r>
      <w:r w:rsidRPr="00DB6C89">
        <w:t xml:space="preserve">. </w:t>
      </w:r>
    </w:p>
    <w:p w:rsidR="00A4674A" w:rsidRDefault="004356F5" w:rsidP="00057C26">
      <w:pPr>
        <w:pStyle w:val="3-BodyText"/>
      </w:pPr>
      <w:r w:rsidRPr="00DB6C89">
        <w:t>Further, dosing confusion could occur given the dose of ICS in the medium dose MF/IND (160mcg) is numerically the same as the dose of ICS in the high dose MF/IND/GLY (160mcg) because of differences in the physicochemical properties of the two products.</w:t>
      </w:r>
      <w:r w:rsidR="00DD68C7">
        <w:t xml:space="preserve"> The pre-PBAC response argued that with the changes to the labelling of dosing required by the TGA, this confusion would be mitigated, as the delivered doses of MF/IND and MF/IND/GLY are different. </w:t>
      </w:r>
    </w:p>
    <w:p w:rsidR="00DD254D" w:rsidRPr="00FB7A6E" w:rsidRDefault="00DD254D" w:rsidP="00DD254D">
      <w:pPr>
        <w:pStyle w:val="4-SubsectionHeading"/>
      </w:pPr>
      <w:bookmarkStart w:id="42" w:name="_Toc22897649"/>
      <w:bookmarkStart w:id="43" w:name="_Toc40870070"/>
      <w:r w:rsidRPr="00FB7A6E">
        <w:t>Financial Management – Risk Sharing Arrangements</w:t>
      </w:r>
      <w:bookmarkEnd w:id="42"/>
      <w:bookmarkEnd w:id="43"/>
    </w:p>
    <w:p w:rsidR="00DD254D" w:rsidRPr="00FB7A6E" w:rsidRDefault="00795E31" w:rsidP="00DD254D">
      <w:pPr>
        <w:pStyle w:val="3-BodyText"/>
      </w:pPr>
      <w:r w:rsidRPr="00FB7A6E">
        <w:t>No risk sharing arr</w:t>
      </w:r>
      <w:r w:rsidR="008A5055">
        <w:t>angement was proposed.</w:t>
      </w:r>
      <w:r w:rsidRPr="00FB7A6E">
        <w:t xml:space="preserve"> The submission argued the proposed listing is not expected to expose the Commonwealth to any significantly greater risk or expenditure than that posed </w:t>
      </w:r>
      <w:r w:rsidR="008A5055">
        <w:t xml:space="preserve">by the currently listed drugs. </w:t>
      </w:r>
      <w:r w:rsidRPr="00FB7A6E">
        <w:t>Neither special pricing arrangement nor expenditure caps currently apply to any asthma product.</w:t>
      </w:r>
    </w:p>
    <w:p w:rsidR="00AD4753" w:rsidRDefault="000C7F50" w:rsidP="007F3835">
      <w:pPr>
        <w:pStyle w:val="3-BodyText"/>
      </w:pPr>
      <w:r>
        <w:t xml:space="preserve">During the </w:t>
      </w:r>
      <w:r w:rsidR="0021570E">
        <w:t>evaluation,</w:t>
      </w:r>
      <w:r>
        <w:t xml:space="preserve"> it was considered that a</w:t>
      </w:r>
      <w:r w:rsidR="00795E31" w:rsidRPr="00A07146">
        <w:t xml:space="preserve">s the first triple ICS/LABA/LAMA FDC available for asthma, there is a risk that clinicians may prescribe MF/IND/GLY to patients with less severe asthma (i.e. patients controlled on dual ICS/LABA FDC) with </w:t>
      </w:r>
      <w:r w:rsidR="008A5055">
        <w:t xml:space="preserve">financial implications. </w:t>
      </w:r>
      <w:r w:rsidR="00795E31" w:rsidRPr="00A07146">
        <w:t xml:space="preserve">The PBAC </w:t>
      </w:r>
      <w:r w:rsidR="00BD5637">
        <w:t xml:space="preserve">previously </w:t>
      </w:r>
      <w:r w:rsidR="00795E31" w:rsidRPr="00A07146">
        <w:t>considered a risk</w:t>
      </w:r>
      <w:r w:rsidR="00F440EB" w:rsidRPr="00A07146">
        <w:t xml:space="preserve"> </w:t>
      </w:r>
      <w:r w:rsidR="00795E31" w:rsidRPr="00A07146">
        <w:t xml:space="preserve">sharing arrangement was </w:t>
      </w:r>
      <w:r w:rsidR="00795E31" w:rsidRPr="00A07146">
        <w:lastRenderedPageBreak/>
        <w:t>appropriate for the first triple ICS/LABA/LAMA FDC in COPD (Trelegy® Ellipta®) for a similar reason (paragraph 6.64, fluticasone furoate with umeclidinium and vilanterol FDC, P</w:t>
      </w:r>
      <w:r w:rsidR="007F3835">
        <w:t>SD December 2017 PBAC meeting).</w:t>
      </w:r>
    </w:p>
    <w:p w:rsidR="008957B2" w:rsidRPr="007F3835" w:rsidRDefault="00A4674A" w:rsidP="007F3835">
      <w:pPr>
        <w:pStyle w:val="ListParagraph"/>
        <w:ind w:left="709"/>
        <w:rPr>
          <w:i/>
        </w:rPr>
      </w:pPr>
      <w:r w:rsidRPr="00525B39">
        <w:rPr>
          <w:i/>
        </w:rPr>
        <w:t>For more detail on PBAC’s view, see section 7 PBAC outcome.</w:t>
      </w:r>
    </w:p>
    <w:p w:rsidR="008957B2" w:rsidRPr="00D52702" w:rsidRDefault="008957B2" w:rsidP="003173BD">
      <w:pPr>
        <w:pStyle w:val="2-SectionHeading"/>
      </w:pPr>
      <w:r w:rsidRPr="00D52702">
        <w:t>PBAC Outcome</w:t>
      </w:r>
    </w:p>
    <w:p w:rsidR="007F1052" w:rsidRDefault="008957B2" w:rsidP="003E5EEF">
      <w:pPr>
        <w:pStyle w:val="3-BodyText"/>
        <w:rPr>
          <w:lang w:val="en-GB"/>
        </w:rPr>
      </w:pPr>
      <w:r w:rsidRPr="00525B39">
        <w:rPr>
          <w:lang w:val="en-GB"/>
        </w:rPr>
        <w:t xml:space="preserve">The PBAC </w:t>
      </w:r>
      <w:r w:rsidR="003E5EEF">
        <w:rPr>
          <w:lang w:val="en-GB"/>
        </w:rPr>
        <w:t xml:space="preserve">deferred </w:t>
      </w:r>
      <w:r w:rsidR="007F1052">
        <w:rPr>
          <w:lang w:val="en-GB"/>
        </w:rPr>
        <w:t xml:space="preserve">making a recommendation for the listing of </w:t>
      </w:r>
      <w:r w:rsidR="00B60952" w:rsidRPr="00B60952">
        <w:rPr>
          <w:lang w:val="en-GB"/>
        </w:rPr>
        <w:t xml:space="preserve">mometasone furoate (MF), with indacaterol acetate (IND), and glycopyrronium (GLY) </w:t>
      </w:r>
      <w:r w:rsidR="00B60952" w:rsidRPr="00B60952">
        <w:rPr>
          <w:bCs/>
          <w:lang w:val="en-GB"/>
        </w:rPr>
        <w:t>fixed dose combination (FDC)</w:t>
      </w:r>
      <w:r w:rsidR="00B60952" w:rsidRPr="00B60952">
        <w:rPr>
          <w:lang w:val="en-GB"/>
        </w:rPr>
        <w:t xml:space="preserve"> for maintenance therapy of severe asthma</w:t>
      </w:r>
      <w:r w:rsidR="00F23B80">
        <w:rPr>
          <w:lang w:val="en-GB"/>
        </w:rPr>
        <w:t xml:space="preserve"> as it was unclear if</w:t>
      </w:r>
      <w:r w:rsidR="007F1052">
        <w:rPr>
          <w:lang w:val="en-GB"/>
        </w:rPr>
        <w:t xml:space="preserve"> TGA registration would include medium dose MF/IND/GLY</w:t>
      </w:r>
      <w:r w:rsidR="00B60952" w:rsidRPr="00B60952">
        <w:rPr>
          <w:lang w:val="en-GB"/>
        </w:rPr>
        <w:t>.</w:t>
      </w:r>
      <w:r w:rsidR="00B60952">
        <w:rPr>
          <w:lang w:val="en-GB"/>
        </w:rPr>
        <w:t xml:space="preserve"> </w:t>
      </w:r>
      <w:r w:rsidR="007F1052">
        <w:rPr>
          <w:lang w:val="en-GB"/>
        </w:rPr>
        <w:t xml:space="preserve">However, the PBAC was of a mind to recommend the listing of high dose MF/IND/GLY for this indication on a cost-minimisation basis with the least </w:t>
      </w:r>
      <w:r w:rsidR="007F1052" w:rsidRPr="00EE11C8">
        <w:rPr>
          <w:rFonts w:cstheme="minorHAnsi"/>
          <w:bCs/>
        </w:rPr>
        <w:t xml:space="preserve">costly </w:t>
      </w:r>
      <w:r w:rsidR="00390C56">
        <w:rPr>
          <w:rFonts w:cstheme="minorHAnsi"/>
          <w:bCs/>
        </w:rPr>
        <w:t xml:space="preserve">combination of </w:t>
      </w:r>
      <w:r w:rsidR="007F1052">
        <w:rPr>
          <w:rFonts w:cstheme="minorHAnsi"/>
          <w:bCs/>
        </w:rPr>
        <w:t xml:space="preserve">high dose </w:t>
      </w:r>
      <w:r w:rsidR="007F1052" w:rsidRPr="00EE11C8">
        <w:rPr>
          <w:rFonts w:cstheme="minorHAnsi"/>
          <w:bCs/>
        </w:rPr>
        <w:t>inhaled corticosteroid (ICS) with long-acting beta2 agonist (LABA)</w:t>
      </w:r>
      <w:r w:rsidR="00390C56">
        <w:rPr>
          <w:rFonts w:cstheme="minorHAnsi"/>
          <w:bCs/>
        </w:rPr>
        <w:t xml:space="preserve"> FDC plus</w:t>
      </w:r>
      <w:r w:rsidR="007F1052">
        <w:rPr>
          <w:rFonts w:cstheme="minorHAnsi"/>
          <w:bCs/>
        </w:rPr>
        <w:t xml:space="preserve"> long-acting muscarini</w:t>
      </w:r>
      <w:r w:rsidR="00390C56">
        <w:rPr>
          <w:rFonts w:cstheme="minorHAnsi"/>
          <w:bCs/>
        </w:rPr>
        <w:t>c antagonist (LAMA)</w:t>
      </w:r>
      <w:r w:rsidR="007F1052">
        <w:rPr>
          <w:rFonts w:cstheme="minorHAnsi"/>
          <w:bCs/>
        </w:rPr>
        <w:t>.</w:t>
      </w:r>
    </w:p>
    <w:p w:rsidR="006D26DD" w:rsidRDefault="005303E1" w:rsidP="006D26DD">
      <w:pPr>
        <w:pStyle w:val="3-BodyText"/>
      </w:pPr>
      <w:r w:rsidRPr="006D26DD">
        <w:rPr>
          <w:lang w:val="en-GB"/>
        </w:rPr>
        <w:t>The PBAC noted the TGA delegate file note</w:t>
      </w:r>
      <w:r w:rsidR="0075485E">
        <w:rPr>
          <w:lang w:val="en-GB"/>
        </w:rPr>
        <w:t xml:space="preserve"> </w:t>
      </w:r>
      <w:r w:rsidRPr="006D26DD">
        <w:rPr>
          <w:lang w:val="en-GB"/>
        </w:rPr>
        <w:t xml:space="preserve">stating </w:t>
      </w:r>
      <w:r w:rsidR="006D26DD">
        <w:t>that the submitted data indicated a positive r</w:t>
      </w:r>
      <w:r w:rsidR="00542191">
        <w:t xml:space="preserve">isk-benefit profile of high dose MF/IND/GLY </w:t>
      </w:r>
      <w:r w:rsidR="006D26DD">
        <w:t xml:space="preserve">for the proposed use, but did not </w:t>
      </w:r>
      <w:r w:rsidR="00542191">
        <w:t>support the proposed used of medium dose MF/IND/GLY</w:t>
      </w:r>
      <w:r w:rsidR="006D26DD">
        <w:t xml:space="preserve">. </w:t>
      </w:r>
      <w:r w:rsidR="007E506D" w:rsidRPr="00C7089B">
        <w:t xml:space="preserve">The </w:t>
      </w:r>
      <w:r w:rsidR="00D909D5">
        <w:t xml:space="preserve">PBAC noted </w:t>
      </w:r>
      <w:r w:rsidR="007E506D" w:rsidRPr="00C7089B">
        <w:t xml:space="preserve">the </w:t>
      </w:r>
      <w:r w:rsidR="00C8305E">
        <w:t xml:space="preserve">registration </w:t>
      </w:r>
      <w:r w:rsidR="007E506D" w:rsidRPr="00C7089B">
        <w:t>application would be considered at the August 2020 Advisory Committee on Medicines (ACM) meeting.</w:t>
      </w:r>
    </w:p>
    <w:p w:rsidR="002430B1" w:rsidRPr="001F63DF" w:rsidRDefault="00C21DCC" w:rsidP="001F63DF">
      <w:pPr>
        <w:pStyle w:val="3-BodyText"/>
        <w:rPr>
          <w:lang w:val="en-GB"/>
        </w:rPr>
      </w:pPr>
      <w:r w:rsidRPr="006F7B10">
        <w:rPr>
          <w:lang w:val="en-GB"/>
        </w:rPr>
        <w:t xml:space="preserve">The PBAC noted the </w:t>
      </w:r>
      <w:r w:rsidR="00770E6D" w:rsidRPr="006F7B10">
        <w:rPr>
          <w:lang w:val="en-GB"/>
        </w:rPr>
        <w:t>nominat</w:t>
      </w:r>
      <w:r w:rsidR="009079B7">
        <w:rPr>
          <w:lang w:val="en-GB"/>
        </w:rPr>
        <w:t>ion of</w:t>
      </w:r>
      <w:r w:rsidR="00770E6D" w:rsidRPr="006F7B10">
        <w:rPr>
          <w:lang w:val="en-GB"/>
        </w:rPr>
        <w:t xml:space="preserve"> high</w:t>
      </w:r>
      <w:r w:rsidRPr="006F7B10">
        <w:rPr>
          <w:lang w:val="en-GB"/>
        </w:rPr>
        <w:t xml:space="preserve"> dose </w:t>
      </w:r>
      <w:r w:rsidR="00F23B80">
        <w:rPr>
          <w:lang w:val="en-GB"/>
        </w:rPr>
        <w:t>fluticasone propionate with salmeterol (</w:t>
      </w:r>
      <w:r w:rsidRPr="006F7B10">
        <w:rPr>
          <w:lang w:val="en-GB"/>
        </w:rPr>
        <w:t>FP/SAL</w:t>
      </w:r>
      <w:r w:rsidR="00F23B80">
        <w:rPr>
          <w:lang w:val="en-GB"/>
        </w:rPr>
        <w:t xml:space="preserve">) FDC </w:t>
      </w:r>
      <w:r w:rsidRPr="006F7B10">
        <w:rPr>
          <w:lang w:val="en-GB"/>
        </w:rPr>
        <w:t xml:space="preserve">plus </w:t>
      </w:r>
      <w:r w:rsidR="009F03BC">
        <w:rPr>
          <w:lang w:val="en-GB"/>
        </w:rPr>
        <w:t>tiotropium (</w:t>
      </w:r>
      <w:r w:rsidRPr="006F7B10">
        <w:rPr>
          <w:lang w:val="en-GB"/>
        </w:rPr>
        <w:t>TIO</w:t>
      </w:r>
      <w:r w:rsidR="009F03BC">
        <w:rPr>
          <w:lang w:val="en-GB"/>
        </w:rPr>
        <w:t>)</w:t>
      </w:r>
      <w:r w:rsidRPr="006F7B10">
        <w:rPr>
          <w:lang w:val="en-GB"/>
        </w:rPr>
        <w:t xml:space="preserve"> as the </w:t>
      </w:r>
      <w:r w:rsidR="00770E6D" w:rsidRPr="006F7B10">
        <w:rPr>
          <w:lang w:val="en-GB"/>
        </w:rPr>
        <w:t>primary comparator</w:t>
      </w:r>
      <w:r w:rsidR="000026C6" w:rsidRPr="006F7B10">
        <w:rPr>
          <w:lang w:val="en-GB"/>
        </w:rPr>
        <w:t xml:space="preserve"> </w:t>
      </w:r>
      <w:r w:rsidR="000E6D43">
        <w:rPr>
          <w:lang w:val="en-GB"/>
        </w:rPr>
        <w:t>for both medium and high dose MF/IND/GLY</w:t>
      </w:r>
      <w:r w:rsidR="001F63DF">
        <w:rPr>
          <w:lang w:val="en-GB"/>
        </w:rPr>
        <w:t xml:space="preserve"> and the submissions argument that the most likely replacements would be within dry powder inhaler (DPI) formulations</w:t>
      </w:r>
      <w:r w:rsidR="009079B7" w:rsidRPr="001F63DF">
        <w:rPr>
          <w:lang w:val="en-GB"/>
        </w:rPr>
        <w:t>. T</w:t>
      </w:r>
      <w:r w:rsidR="006F7B10" w:rsidRPr="001F63DF">
        <w:rPr>
          <w:lang w:val="en-GB"/>
        </w:rPr>
        <w:t xml:space="preserve">he PBAC </w:t>
      </w:r>
      <w:r w:rsidR="001F63DF" w:rsidRPr="001F63DF">
        <w:rPr>
          <w:lang w:val="en-GB"/>
        </w:rPr>
        <w:t>considered</w:t>
      </w:r>
      <w:r w:rsidR="009079B7" w:rsidRPr="001F63DF">
        <w:rPr>
          <w:lang w:val="en-GB"/>
        </w:rPr>
        <w:t xml:space="preserve"> that</w:t>
      </w:r>
      <w:r w:rsidR="005B3C22" w:rsidRPr="001F63DF">
        <w:rPr>
          <w:lang w:val="en-GB"/>
        </w:rPr>
        <w:t xml:space="preserve"> </w:t>
      </w:r>
      <w:r w:rsidR="009079B7" w:rsidRPr="001F63DF">
        <w:rPr>
          <w:lang w:val="en-GB"/>
        </w:rPr>
        <w:t xml:space="preserve">some </w:t>
      </w:r>
      <w:r w:rsidR="005B3C22" w:rsidRPr="001F63DF">
        <w:rPr>
          <w:lang w:val="en-GB"/>
        </w:rPr>
        <w:t>p</w:t>
      </w:r>
      <w:r w:rsidR="00041C5E" w:rsidRPr="001F63DF">
        <w:rPr>
          <w:lang w:val="en-GB"/>
        </w:rPr>
        <w:t xml:space="preserve">atients </w:t>
      </w:r>
      <w:r w:rsidR="009079B7" w:rsidRPr="001F63DF">
        <w:rPr>
          <w:lang w:val="en-GB"/>
        </w:rPr>
        <w:t>may</w:t>
      </w:r>
      <w:r w:rsidR="00D64A1D" w:rsidRPr="001F63DF">
        <w:rPr>
          <w:lang w:val="en-GB"/>
        </w:rPr>
        <w:t xml:space="preserve"> to step-</w:t>
      </w:r>
      <w:r w:rsidR="00041C5E" w:rsidRPr="001F63DF">
        <w:rPr>
          <w:lang w:val="en-GB"/>
        </w:rPr>
        <w:t>up from a medium dose ICS/LABA to a medium dose ICS/LABA plus LAMA, rather than to a high dose ICS/LABA LAMA</w:t>
      </w:r>
      <w:r w:rsidR="009079B7" w:rsidRPr="001F63DF">
        <w:rPr>
          <w:lang w:val="en-GB"/>
        </w:rPr>
        <w:t xml:space="preserve">. As such, the PBAC considered that </w:t>
      </w:r>
      <w:r w:rsidR="001F63DF" w:rsidRPr="001F63DF">
        <w:rPr>
          <w:lang w:val="en-GB"/>
        </w:rPr>
        <w:t>the appropriate</w:t>
      </w:r>
      <w:r w:rsidR="008D6FEA" w:rsidRPr="001F63DF">
        <w:rPr>
          <w:lang w:val="en-GB"/>
        </w:rPr>
        <w:t xml:space="preserve"> comparator </w:t>
      </w:r>
      <w:r w:rsidR="001F63DF" w:rsidRPr="001F63DF">
        <w:rPr>
          <w:lang w:val="en-GB"/>
        </w:rPr>
        <w:t xml:space="preserve">for each strength of MF/IND/GLY would be comparable doses of ICS/LABA </w:t>
      </w:r>
      <w:r w:rsidR="001F63DF">
        <w:rPr>
          <w:lang w:val="en-GB"/>
        </w:rPr>
        <w:t xml:space="preserve">FDC </w:t>
      </w:r>
      <w:r w:rsidR="001F63DF" w:rsidRPr="001F63DF">
        <w:rPr>
          <w:lang w:val="en-GB"/>
        </w:rPr>
        <w:t>plus LAMA</w:t>
      </w:r>
      <w:r w:rsidR="001F63DF">
        <w:rPr>
          <w:lang w:val="en-GB"/>
        </w:rPr>
        <w:t xml:space="preserve">. In addition, the PBAC </w:t>
      </w:r>
      <w:r w:rsidR="001F63DF" w:rsidRPr="001F63DF">
        <w:rPr>
          <w:lang w:val="en-GB"/>
        </w:rPr>
        <w:t xml:space="preserve">reaffirmed that DPI and </w:t>
      </w:r>
      <w:r w:rsidR="001F63DF" w:rsidRPr="00FB7A6E">
        <w:rPr>
          <w:snapToGrid/>
        </w:rPr>
        <w:t xml:space="preserve">metered dose inhalers </w:t>
      </w:r>
      <w:r w:rsidR="001F63DF">
        <w:rPr>
          <w:snapToGrid/>
        </w:rPr>
        <w:t>(</w:t>
      </w:r>
      <w:r w:rsidR="001F63DF" w:rsidRPr="001F63DF">
        <w:rPr>
          <w:lang w:val="en-GB"/>
        </w:rPr>
        <w:t>MDI</w:t>
      </w:r>
      <w:r w:rsidR="001F63DF">
        <w:rPr>
          <w:lang w:val="en-GB"/>
        </w:rPr>
        <w:t>)</w:t>
      </w:r>
      <w:r w:rsidR="001F63DF" w:rsidRPr="001F63DF">
        <w:rPr>
          <w:lang w:val="en-GB"/>
        </w:rPr>
        <w:t xml:space="preserve"> are relevant comparators for </w:t>
      </w:r>
      <w:r w:rsidR="008A5055">
        <w:rPr>
          <w:lang w:val="en-GB"/>
        </w:rPr>
        <w:t>each other (see paragraph 5.4).</w:t>
      </w:r>
      <w:r w:rsidR="006F7B10" w:rsidRPr="001F63DF">
        <w:rPr>
          <w:lang w:val="en-GB"/>
        </w:rPr>
        <w:t xml:space="preserve"> </w:t>
      </w:r>
    </w:p>
    <w:p w:rsidR="0070788A" w:rsidRPr="00E6327E" w:rsidRDefault="00C327B4" w:rsidP="008F3EF4">
      <w:pPr>
        <w:pStyle w:val="3-BodyText"/>
        <w:rPr>
          <w:lang w:val="en-GB"/>
        </w:rPr>
      </w:pPr>
      <w:r>
        <w:rPr>
          <w:lang w:val="en-GB"/>
        </w:rPr>
        <w:t xml:space="preserve">The PBAC noted </w:t>
      </w:r>
      <w:r w:rsidR="0070788A">
        <w:rPr>
          <w:lang w:val="en-GB"/>
        </w:rPr>
        <w:t xml:space="preserve">the </w:t>
      </w:r>
      <w:r w:rsidR="002A4E62">
        <w:rPr>
          <w:lang w:val="en-GB"/>
        </w:rPr>
        <w:t xml:space="preserve">primary evidence to support the clinical claim that </w:t>
      </w:r>
      <w:r w:rsidR="009F03BC">
        <w:rPr>
          <w:lang w:val="en-GB"/>
        </w:rPr>
        <w:t>both medium and high dose</w:t>
      </w:r>
      <w:r w:rsidR="002A4E62">
        <w:rPr>
          <w:lang w:val="en-GB"/>
        </w:rPr>
        <w:t xml:space="preserve"> MF/IND/GLY were non-inferior to </w:t>
      </w:r>
      <w:r w:rsidR="009F03BC">
        <w:rPr>
          <w:lang w:val="en-GB"/>
        </w:rPr>
        <w:t xml:space="preserve">high dose </w:t>
      </w:r>
      <w:r w:rsidR="002A4E62" w:rsidRPr="002A4E62">
        <w:rPr>
          <w:bCs/>
          <w:lang w:val="en-GB"/>
        </w:rPr>
        <w:t xml:space="preserve">FP/SAL plus TIO </w:t>
      </w:r>
      <w:r w:rsidR="00A83FF1">
        <w:rPr>
          <w:bCs/>
          <w:lang w:val="en-GB"/>
        </w:rPr>
        <w:t xml:space="preserve">was </w:t>
      </w:r>
      <w:r w:rsidR="005C1369">
        <w:rPr>
          <w:bCs/>
          <w:lang w:val="en-GB"/>
        </w:rPr>
        <w:t xml:space="preserve">from </w:t>
      </w:r>
      <w:r w:rsidR="00A83FF1">
        <w:rPr>
          <w:bCs/>
          <w:lang w:val="en-GB"/>
        </w:rPr>
        <w:t>the A</w:t>
      </w:r>
      <w:r w:rsidR="005C1369">
        <w:rPr>
          <w:bCs/>
          <w:lang w:val="en-GB"/>
        </w:rPr>
        <w:t>rgon</w:t>
      </w:r>
      <w:r w:rsidR="00A83FF1">
        <w:rPr>
          <w:bCs/>
          <w:lang w:val="en-GB"/>
        </w:rPr>
        <w:t xml:space="preserve"> trial</w:t>
      </w:r>
      <w:r w:rsidR="008F3EF4">
        <w:rPr>
          <w:bCs/>
          <w:lang w:val="en-GB"/>
        </w:rPr>
        <w:t>.</w:t>
      </w:r>
      <w:r w:rsidR="00FC5861">
        <w:rPr>
          <w:bCs/>
          <w:lang w:val="en-GB"/>
        </w:rPr>
        <w:t xml:space="preserve"> </w:t>
      </w:r>
      <w:r w:rsidR="008B00C1">
        <w:rPr>
          <w:bCs/>
          <w:lang w:val="en-GB"/>
        </w:rPr>
        <w:t xml:space="preserve">The PBAC considered the risk of bias in Argon to be high and to potentially favour MF/IND/GLY over FP/SAL plus TIO for the reasons outlined in paragraph 6.9. </w:t>
      </w:r>
      <w:r w:rsidR="00413E20">
        <w:rPr>
          <w:bCs/>
          <w:lang w:val="en-GB"/>
        </w:rPr>
        <w:t xml:space="preserve">The PBAC agreed with </w:t>
      </w:r>
      <w:r w:rsidR="008F3EF4">
        <w:rPr>
          <w:bCs/>
          <w:lang w:val="en-GB"/>
        </w:rPr>
        <w:t>ESC that</w:t>
      </w:r>
      <w:r w:rsidR="00A4148C">
        <w:rPr>
          <w:bCs/>
          <w:lang w:val="en-GB"/>
        </w:rPr>
        <w:t xml:space="preserve"> the primary outcome</w:t>
      </w:r>
      <w:r w:rsidR="005C1369">
        <w:rPr>
          <w:bCs/>
          <w:lang w:val="en-GB"/>
        </w:rPr>
        <w:t xml:space="preserve">, the </w:t>
      </w:r>
      <w:r w:rsidR="005C1369" w:rsidRPr="00FB7A6E">
        <w:t>Asthma Quality of Life Questionnaire</w:t>
      </w:r>
      <w:r w:rsidR="004C224B">
        <w:t xml:space="preserve"> (AQLQ)</w:t>
      </w:r>
      <w:r w:rsidR="005C1369">
        <w:t xml:space="preserve">, </w:t>
      </w:r>
      <w:r w:rsidR="00A4148C">
        <w:t xml:space="preserve">was </w:t>
      </w:r>
      <w:r w:rsidR="00413E20">
        <w:rPr>
          <w:bCs/>
          <w:lang w:val="en-GB"/>
        </w:rPr>
        <w:t>subjective and at a high risk of bias due to the partial open label nature of the trial</w:t>
      </w:r>
      <w:r w:rsidR="008F3EF4">
        <w:rPr>
          <w:bCs/>
          <w:lang w:val="en-GB"/>
        </w:rPr>
        <w:t>.</w:t>
      </w:r>
      <w:r w:rsidR="005C1369">
        <w:rPr>
          <w:bCs/>
          <w:lang w:val="en-GB"/>
        </w:rPr>
        <w:t xml:space="preserve"> </w:t>
      </w:r>
      <w:r w:rsidR="004C224B">
        <w:rPr>
          <w:bCs/>
          <w:lang w:val="en-GB"/>
        </w:rPr>
        <w:t>As such, t</w:t>
      </w:r>
      <w:r w:rsidR="008F3EF4">
        <w:rPr>
          <w:bCs/>
          <w:lang w:val="en-GB"/>
        </w:rPr>
        <w:t xml:space="preserve">he PBAC </w:t>
      </w:r>
      <w:r w:rsidR="004C224B">
        <w:rPr>
          <w:bCs/>
          <w:lang w:val="en-GB"/>
        </w:rPr>
        <w:t>considered the</w:t>
      </w:r>
      <w:r w:rsidR="00E6327E">
        <w:rPr>
          <w:bCs/>
          <w:lang w:val="en-GB"/>
        </w:rPr>
        <w:t xml:space="preserve"> </w:t>
      </w:r>
      <w:r w:rsidR="00552C26">
        <w:rPr>
          <w:bCs/>
          <w:lang w:val="en-GB"/>
        </w:rPr>
        <w:t xml:space="preserve">AQLQ results of </w:t>
      </w:r>
      <w:r w:rsidR="00E6327E">
        <w:rPr>
          <w:bCs/>
          <w:lang w:val="en-GB"/>
        </w:rPr>
        <w:t>A</w:t>
      </w:r>
      <w:r w:rsidR="002D262F">
        <w:rPr>
          <w:bCs/>
          <w:lang w:val="en-GB"/>
        </w:rPr>
        <w:t>rgon</w:t>
      </w:r>
      <w:r w:rsidR="00E6327E">
        <w:rPr>
          <w:bCs/>
          <w:lang w:val="en-GB"/>
        </w:rPr>
        <w:t xml:space="preserve"> trial </w:t>
      </w:r>
      <w:r w:rsidR="00552C26">
        <w:rPr>
          <w:bCs/>
          <w:lang w:val="en-GB"/>
        </w:rPr>
        <w:t xml:space="preserve">were not a reliable measure to inform </w:t>
      </w:r>
      <w:r w:rsidR="00E6327E">
        <w:rPr>
          <w:bCs/>
          <w:lang w:val="en-GB"/>
        </w:rPr>
        <w:t>the clinical claim.</w:t>
      </w:r>
      <w:r w:rsidR="00C83D66">
        <w:rPr>
          <w:bCs/>
          <w:lang w:val="en-GB"/>
        </w:rPr>
        <w:t xml:space="preserve"> </w:t>
      </w:r>
    </w:p>
    <w:p w:rsidR="00AF4F60" w:rsidRDefault="00832FE8" w:rsidP="00C83D66">
      <w:pPr>
        <w:pStyle w:val="3-BodyText"/>
      </w:pPr>
      <w:r>
        <w:rPr>
          <w:lang w:val="en-GB"/>
        </w:rPr>
        <w:t xml:space="preserve">The PBAC </w:t>
      </w:r>
      <w:r w:rsidR="008B00C1">
        <w:rPr>
          <w:lang w:val="en-GB"/>
        </w:rPr>
        <w:t xml:space="preserve">considered the risk of bias in the </w:t>
      </w:r>
      <w:r w:rsidRPr="00832FE8">
        <w:rPr>
          <w:lang w:val="en-GB"/>
        </w:rPr>
        <w:t xml:space="preserve">Iridium </w:t>
      </w:r>
      <w:r w:rsidR="008B00C1">
        <w:rPr>
          <w:lang w:val="en-GB"/>
        </w:rPr>
        <w:t>trial to be low</w:t>
      </w:r>
      <w:r w:rsidR="00A4148C">
        <w:t xml:space="preserve">. The PBAC noted the </w:t>
      </w:r>
      <w:r w:rsidR="00A4148C" w:rsidRPr="00FB7A6E">
        <w:t xml:space="preserve">results showed medium and high dose MF/IND/GLY had a significantly larger improvement in </w:t>
      </w:r>
      <w:r w:rsidR="00A4148C">
        <w:t xml:space="preserve">the primary outcome </w:t>
      </w:r>
      <w:r w:rsidR="001F65B1">
        <w:t>(</w:t>
      </w:r>
      <w:r w:rsidR="001F65B1" w:rsidRPr="00A07146">
        <w:t>trough forced expiratory volume in one second</w:t>
      </w:r>
      <w:r w:rsidR="001F65B1">
        <w:t xml:space="preserve"> </w:t>
      </w:r>
      <w:r w:rsidR="00A4148C">
        <w:t>(</w:t>
      </w:r>
      <w:r w:rsidR="00A4148C" w:rsidRPr="00A07146">
        <w:t>FEV1</w:t>
      </w:r>
      <w:r w:rsidR="002D262F">
        <w:t>)</w:t>
      </w:r>
      <w:r w:rsidR="001F65B1">
        <w:t>)</w:t>
      </w:r>
      <w:r w:rsidR="00A4148C" w:rsidRPr="00FB7A6E">
        <w:t xml:space="preserve"> compared to</w:t>
      </w:r>
      <w:r w:rsidR="00A4148C">
        <w:t xml:space="preserve"> medium and high dose MF/IND</w:t>
      </w:r>
      <w:r w:rsidR="00765240">
        <w:t xml:space="preserve">, respectively. The PBAC agreed with the ESC that, although </w:t>
      </w:r>
      <w:r w:rsidR="00CF647C">
        <w:t xml:space="preserve">the incremental benefit in terms of FEV1 was below the </w:t>
      </w:r>
      <w:r w:rsidR="001F65B1">
        <w:lastRenderedPageBreak/>
        <w:t>minimal clinically important difference (MCID)</w:t>
      </w:r>
      <w:r w:rsidR="00CF647C">
        <w:t xml:space="preserve"> of 100 mL</w:t>
      </w:r>
      <w:r w:rsidR="00765240">
        <w:t>, the lung function improvements for MF/IND/GLY were comparable with those demonstrated in other studies evaluating the benefit of LAMA in ad</w:t>
      </w:r>
      <w:r w:rsidR="003176FD">
        <w:t>dition to LABA/ICS (</w:t>
      </w:r>
      <w:r w:rsidRPr="003176FD">
        <w:rPr>
          <w:lang w:val="en-GB"/>
        </w:rPr>
        <w:t>Kerstjens et al 2012</w:t>
      </w:r>
      <w:r w:rsidR="003176FD">
        <w:rPr>
          <w:lang w:val="en-GB"/>
        </w:rPr>
        <w:t>). The PBAC considered t</w:t>
      </w:r>
      <w:r w:rsidR="00491780">
        <w:rPr>
          <w:lang w:val="en-GB"/>
        </w:rPr>
        <w:t>he incremental benefit of triple therapy MF/IND/GLY versus dual therapy MF/IND</w:t>
      </w:r>
      <w:r w:rsidR="003176FD">
        <w:rPr>
          <w:lang w:val="en-GB"/>
        </w:rPr>
        <w:t xml:space="preserve"> were further supported by </w:t>
      </w:r>
      <w:r w:rsidR="00491780">
        <w:rPr>
          <w:lang w:val="en-GB"/>
        </w:rPr>
        <w:t xml:space="preserve">the proportion of patients with improvement of </w:t>
      </w:r>
      <w:r w:rsidR="00491780">
        <w:rPr>
          <w:rFonts w:cstheme="minorHAnsi"/>
          <w:lang w:val="en-GB"/>
        </w:rPr>
        <w:t>≥</w:t>
      </w:r>
      <w:r w:rsidR="00491780">
        <w:rPr>
          <w:lang w:val="en-GB"/>
        </w:rPr>
        <w:t xml:space="preserve"> 100 mL in trough FEV1 </w:t>
      </w:r>
      <w:r w:rsidR="00EB55D9">
        <w:rPr>
          <w:lang w:val="en-GB"/>
        </w:rPr>
        <w:t xml:space="preserve">results </w:t>
      </w:r>
      <w:r w:rsidR="00491780">
        <w:rPr>
          <w:lang w:val="en-GB"/>
        </w:rPr>
        <w:t>reported in Iridium</w:t>
      </w:r>
      <w:r w:rsidR="00EB55D9">
        <w:rPr>
          <w:lang w:val="en-GB"/>
        </w:rPr>
        <w:t xml:space="preserve"> (see Table 7)</w:t>
      </w:r>
      <w:r w:rsidR="008A5055">
        <w:rPr>
          <w:lang w:val="en-GB"/>
        </w:rPr>
        <w:t>.</w:t>
      </w:r>
      <w:r w:rsidR="00491780">
        <w:rPr>
          <w:lang w:val="en-GB"/>
        </w:rPr>
        <w:t xml:space="preserve"> </w:t>
      </w:r>
      <w:r w:rsidR="00FC43E7">
        <w:t>The PBAC considered th</w:t>
      </w:r>
      <w:r w:rsidR="00C83D66">
        <w:t>ese data suggested</w:t>
      </w:r>
      <w:r w:rsidR="00C25107">
        <w:t xml:space="preserve"> </w:t>
      </w:r>
      <w:r w:rsidR="004A1A54">
        <w:t xml:space="preserve">that </w:t>
      </w:r>
      <w:r w:rsidR="00C25107">
        <w:t xml:space="preserve">medium dose MF/IND/GLY is comparable to medium dose ICS/LABA plus LAMA and high dose MF/IND/GLY is comparable to high dose ICS/LABA plus LAMA. </w:t>
      </w:r>
    </w:p>
    <w:p w:rsidR="00206D35" w:rsidRDefault="0032137D" w:rsidP="00E7506F">
      <w:pPr>
        <w:pStyle w:val="3-BodyText"/>
      </w:pPr>
      <w:r>
        <w:t xml:space="preserve">On balance, the PBAC considered the clinical claim that medium and high dose MF/IND/GLY is non-inferior to </w:t>
      </w:r>
      <w:r w:rsidR="00C83D66">
        <w:t xml:space="preserve">high dose </w:t>
      </w:r>
      <w:r w:rsidRPr="0032137D">
        <w:t xml:space="preserve">FP/SAL plus TIO </w:t>
      </w:r>
      <w:r>
        <w:t xml:space="preserve">to be uncertain for medium dose MF/IND/GLY and reasonable for high dose MF/IND/GLY. </w:t>
      </w:r>
    </w:p>
    <w:p w:rsidR="00642806" w:rsidRDefault="0032137D" w:rsidP="00C83D66">
      <w:pPr>
        <w:pStyle w:val="3-BodyText"/>
      </w:pPr>
      <w:r>
        <w:t>The PBAC noted the submission proposed an equal price for medium and high dose</w:t>
      </w:r>
      <w:r w:rsidR="004A1A54">
        <w:t xml:space="preserve"> MF/IND/GLY</w:t>
      </w:r>
      <w:r w:rsidR="00E95C4B">
        <w:t>, which was based on cost-</w:t>
      </w:r>
      <w:r>
        <w:t xml:space="preserve">minimisation with </w:t>
      </w:r>
      <w:r w:rsidR="00C83D66">
        <w:t xml:space="preserve">high dose </w:t>
      </w:r>
      <w:r>
        <w:t>FP/SAL plus</w:t>
      </w:r>
      <w:r w:rsidRPr="0032137D">
        <w:t xml:space="preserve"> TIO</w:t>
      </w:r>
      <w:r>
        <w:t xml:space="preserve"> with an additional </w:t>
      </w:r>
      <w:r w:rsidR="006A3E94">
        <w:t xml:space="preserve">price </w:t>
      </w:r>
      <w:r>
        <w:t>premium</w:t>
      </w:r>
      <w:r w:rsidR="00C83D66">
        <w:t>. The PBAC noted the price premium was</w:t>
      </w:r>
      <w:r>
        <w:t xml:space="preserve"> </w:t>
      </w:r>
      <w:r w:rsidR="006A3E94">
        <w:t>based on the clai</w:t>
      </w:r>
      <w:r w:rsidR="0082206F">
        <w:t>m that high dose MF/IND/GLY was statistically better</w:t>
      </w:r>
      <w:r w:rsidR="006A3E94">
        <w:t xml:space="preserve"> than</w:t>
      </w:r>
      <w:r w:rsidR="001F65B1">
        <w:t xml:space="preserve"> high dose</w:t>
      </w:r>
      <w:r w:rsidR="006A3E94">
        <w:t xml:space="preserve"> </w:t>
      </w:r>
      <w:r w:rsidR="006A3E94" w:rsidRPr="006A3E94">
        <w:t xml:space="preserve">FP/SAL plus TIO </w:t>
      </w:r>
      <w:r w:rsidR="0082206F">
        <w:t xml:space="preserve">for a number of secondary outcomes </w:t>
      </w:r>
      <w:r w:rsidR="006A3E94">
        <w:t>in the ARGON trial. The PBAC agreed with the ESC that the price premium for the high dose was</w:t>
      </w:r>
      <w:r w:rsidR="00FF0327">
        <w:t xml:space="preserve"> not</w:t>
      </w:r>
      <w:r w:rsidR="006A3E94">
        <w:t xml:space="preserve"> justified, as </w:t>
      </w:r>
      <w:r w:rsidR="00FF0327">
        <w:t xml:space="preserve">the </w:t>
      </w:r>
      <w:r w:rsidR="006A3E94">
        <w:t xml:space="preserve">ARGON trial had </w:t>
      </w:r>
      <w:r w:rsidR="00FF0327">
        <w:t xml:space="preserve">a </w:t>
      </w:r>
      <w:r w:rsidR="006A3E94">
        <w:t xml:space="preserve">high risk of bias in favour of MF/IND/GLY and </w:t>
      </w:r>
      <w:r w:rsidR="00FF0327">
        <w:t xml:space="preserve">the </w:t>
      </w:r>
      <w:r w:rsidR="006A3E94" w:rsidRPr="006A3E94">
        <w:t>magnitude of the effects reported were unlikely to be clinically important</w:t>
      </w:r>
      <w:r w:rsidR="006A3E94">
        <w:t xml:space="preserve">. </w:t>
      </w:r>
      <w:r w:rsidR="00642806">
        <w:t xml:space="preserve">The PBAC </w:t>
      </w:r>
      <w:r w:rsidR="00FF0327">
        <w:t>considered</w:t>
      </w:r>
      <w:r w:rsidR="00642806">
        <w:t xml:space="preserve"> </w:t>
      </w:r>
      <w:r w:rsidR="00FF0327">
        <w:t xml:space="preserve">that, if </w:t>
      </w:r>
      <w:r w:rsidR="002D7973">
        <w:t>recommended for listing on the PBS</w:t>
      </w:r>
      <w:r w:rsidR="00FF0327">
        <w:t xml:space="preserve">, </w:t>
      </w:r>
      <w:r w:rsidR="006A3E94">
        <w:t xml:space="preserve">medium and high dose </w:t>
      </w:r>
      <w:r w:rsidR="00FF0327">
        <w:t xml:space="preserve">MF/IND/GLY </w:t>
      </w:r>
      <w:r w:rsidR="006A3E94">
        <w:t>should be priced no higher than the lowest cost combination of resp</w:t>
      </w:r>
      <w:r w:rsidR="00E95C4B">
        <w:t>ective medium and high dose ICS</w:t>
      </w:r>
      <w:r w:rsidR="006A3E94">
        <w:t>/LABA plus LAMA</w:t>
      </w:r>
      <w:r w:rsidR="00642806">
        <w:t xml:space="preserve"> combinations</w:t>
      </w:r>
      <w:r w:rsidR="006A3E94">
        <w:t>.</w:t>
      </w:r>
    </w:p>
    <w:p w:rsidR="00EA0505" w:rsidRPr="00EE11C8" w:rsidRDefault="00EA0505" w:rsidP="00EA0505">
      <w:pPr>
        <w:pStyle w:val="3-BodyText"/>
      </w:pPr>
      <w:r>
        <w:t xml:space="preserve">The PBAC noted the concerns raised regarding the financial estimates sensitivity to substitution rates and the assumption that medium and high dose MF/IND/GLY will only substitute for high dose ICS/LABA plus LAMA. The PBAC considered that, if recommended for listing on the PBS, </w:t>
      </w:r>
      <w:r w:rsidRPr="00EE11C8">
        <w:t>the</w:t>
      </w:r>
      <w:r>
        <w:t>se concerns would be addressed by the Committee’s recommendation that it would be on a cost-minimisation basis against the least costly combination of ICS/LABA plus LAMA as outlined in paragraph 7.</w:t>
      </w:r>
      <w:r w:rsidR="00462BC1">
        <w:t>7</w:t>
      </w:r>
      <w:r>
        <w:t xml:space="preserve">. However, the PBAC remained concerned about the risk of </w:t>
      </w:r>
      <w:r w:rsidRPr="00A07146">
        <w:rPr>
          <w:iCs/>
        </w:rPr>
        <w:t>inappropriate use in patients with less severe asthma otherwise managed on ICS or ICS/LABA</w:t>
      </w:r>
      <w:r>
        <w:t>. T</w:t>
      </w:r>
      <w:r w:rsidRPr="00A07146">
        <w:rPr>
          <w:iCs/>
        </w:rPr>
        <w:t>he PBAC consider</w:t>
      </w:r>
      <w:r>
        <w:rPr>
          <w:iCs/>
        </w:rPr>
        <w:t>ed</w:t>
      </w:r>
      <w:r w:rsidRPr="00A07146">
        <w:rPr>
          <w:iCs/>
        </w:rPr>
        <w:t xml:space="preserve"> a higher restriction level (Authority Required – Telephone/Electronic</w:t>
      </w:r>
      <w:r>
        <w:rPr>
          <w:iCs/>
        </w:rPr>
        <w:t xml:space="preserve"> </w:t>
      </w:r>
      <w:r w:rsidRPr="00A07146">
        <w:rPr>
          <w:iCs/>
        </w:rPr>
        <w:t xml:space="preserve">/Emergency) </w:t>
      </w:r>
      <w:r>
        <w:rPr>
          <w:iCs/>
        </w:rPr>
        <w:t>would be</w:t>
      </w:r>
      <w:r w:rsidRPr="00A07146">
        <w:rPr>
          <w:iCs/>
        </w:rPr>
        <w:t xml:space="preserve"> </w:t>
      </w:r>
      <w:r>
        <w:rPr>
          <w:iCs/>
        </w:rPr>
        <w:t xml:space="preserve">appropriate </w:t>
      </w:r>
      <w:r w:rsidRPr="00A07146">
        <w:rPr>
          <w:iCs/>
        </w:rPr>
        <w:t xml:space="preserve">to minimise </w:t>
      </w:r>
      <w:r>
        <w:rPr>
          <w:iCs/>
        </w:rPr>
        <w:t>this risk.</w:t>
      </w:r>
    </w:p>
    <w:p w:rsidR="00E84659" w:rsidRPr="00C25107" w:rsidRDefault="00627361" w:rsidP="004A1A54">
      <w:pPr>
        <w:pStyle w:val="3-BodyText"/>
      </w:pPr>
      <w:r>
        <w:t xml:space="preserve">The PBAC advised it would finalise its advice on whether or not to recommend MF/IND/GLY at its next available opportunity following provision of the ACM advice and Delegate’s decision (if required) and clarity on whether the </w:t>
      </w:r>
      <w:r>
        <w:rPr>
          <w:lang w:val="en-GB"/>
        </w:rPr>
        <w:t>TGA registration would include medium dose MF/IND/GLY.</w:t>
      </w:r>
    </w:p>
    <w:p w:rsidR="008957B2" w:rsidRPr="00525B39" w:rsidRDefault="008957B2" w:rsidP="001D7D38">
      <w:pPr>
        <w:widowControl w:val="0"/>
        <w:contextualSpacing/>
        <w:rPr>
          <w:rFonts w:asciiTheme="minorHAnsi" w:hAnsiTheme="minorHAnsi"/>
          <w:b/>
          <w:bCs/>
          <w:snapToGrid w:val="0"/>
          <w:lang w:val="en-GB"/>
        </w:rPr>
      </w:pPr>
      <w:r w:rsidRPr="00525B39">
        <w:rPr>
          <w:rFonts w:asciiTheme="minorHAnsi" w:hAnsiTheme="minorHAnsi"/>
          <w:b/>
          <w:bCs/>
          <w:snapToGrid w:val="0"/>
          <w:lang w:val="en-GB"/>
        </w:rPr>
        <w:t>Outcome:</w:t>
      </w:r>
    </w:p>
    <w:p w:rsidR="00674950" w:rsidRDefault="001D7D38" w:rsidP="003173BD">
      <w:pPr>
        <w:rPr>
          <w:rFonts w:asciiTheme="minorHAnsi" w:hAnsiTheme="minorHAnsi"/>
          <w:bCs/>
          <w:snapToGrid w:val="0"/>
          <w:lang w:val="en-GB"/>
        </w:rPr>
      </w:pPr>
      <w:r>
        <w:rPr>
          <w:rFonts w:asciiTheme="minorHAnsi" w:hAnsiTheme="minorHAnsi"/>
          <w:bCs/>
          <w:snapToGrid w:val="0"/>
          <w:lang w:val="en-GB"/>
        </w:rPr>
        <w:t>D</w:t>
      </w:r>
      <w:r w:rsidR="008957B2" w:rsidRPr="00525B39">
        <w:rPr>
          <w:rFonts w:asciiTheme="minorHAnsi" w:hAnsiTheme="minorHAnsi"/>
          <w:bCs/>
          <w:snapToGrid w:val="0"/>
          <w:lang w:val="en-GB"/>
        </w:rPr>
        <w:t xml:space="preserve">eferred </w:t>
      </w:r>
      <w:bookmarkEnd w:id="4"/>
      <w:bookmarkEnd w:id="5"/>
      <w:bookmarkEnd w:id="6"/>
      <w:bookmarkEnd w:id="7"/>
      <w:bookmarkEnd w:id="8"/>
    </w:p>
    <w:p w:rsidR="00B77E73" w:rsidRDefault="00B77E73" w:rsidP="003173BD">
      <w:pPr>
        <w:rPr>
          <w:rFonts w:asciiTheme="minorHAnsi" w:hAnsiTheme="minorHAnsi"/>
          <w:bCs/>
          <w:snapToGrid w:val="0"/>
          <w:lang w:val="en-GB"/>
        </w:rPr>
      </w:pPr>
    </w:p>
    <w:p w:rsidR="00B77E73" w:rsidRDefault="00B77E73" w:rsidP="00B77E73">
      <w:pPr>
        <w:pStyle w:val="2-SectionHeading"/>
        <w:rPr>
          <w:color w:val="1F497D"/>
        </w:rPr>
      </w:pPr>
      <w:r w:rsidRPr="00C07617">
        <w:lastRenderedPageBreak/>
        <w:t>Context for Decision</w:t>
      </w:r>
    </w:p>
    <w:p w:rsidR="00B77E73" w:rsidRPr="007129F2" w:rsidRDefault="00B77E73" w:rsidP="00B77E73">
      <w:pPr>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77E73" w:rsidRPr="00C07617" w:rsidRDefault="00B77E73" w:rsidP="00B77E73">
      <w:pPr>
        <w:pStyle w:val="2-SectionHeading"/>
        <w:rPr>
          <w:b w:val="0"/>
        </w:rPr>
      </w:pPr>
      <w:r w:rsidRPr="00C07617" w:rsidDel="007129F2">
        <w:t xml:space="preserve"> </w:t>
      </w:r>
      <w:r>
        <w:t>Sponsor’s Comment</w:t>
      </w:r>
    </w:p>
    <w:p w:rsidR="00B77E73" w:rsidRDefault="001C7000" w:rsidP="003173BD">
      <w:pPr>
        <w:rPr>
          <w:rFonts w:asciiTheme="minorHAnsi" w:hAnsiTheme="minorHAnsi"/>
          <w:bCs/>
        </w:rPr>
      </w:pPr>
      <w:r w:rsidRPr="001C7000">
        <w:rPr>
          <w:rFonts w:asciiTheme="minorHAnsi" w:hAnsiTheme="minorHAnsi"/>
          <w:bCs/>
        </w:rPr>
        <w:t>During the TGA evaluation the recommendation was that the MF/IND/GLY doses be changed from metered dose to delivered dose levels and the PSD does not reflect this change. As such, it is important to note that the doses referenced in the PI and the packaging will reflect the following changes:  MF/IND/GLY 80/150/50 is now 68/114/46 and MF/IND/GLY 160/150/50 is now MF/IND/GLY 136/114/46.</w:t>
      </w:r>
    </w:p>
    <w:p w:rsidR="001A66F9" w:rsidRDefault="001A66F9">
      <w:pPr>
        <w:jc w:val="left"/>
        <w:rPr>
          <w:rFonts w:asciiTheme="minorHAnsi" w:hAnsiTheme="minorHAnsi"/>
          <w:bCs/>
        </w:rPr>
      </w:pPr>
      <w:r>
        <w:rPr>
          <w:rFonts w:asciiTheme="minorHAnsi" w:hAnsiTheme="minorHAnsi"/>
          <w:bCs/>
        </w:rPr>
        <w:br w:type="page"/>
      </w:r>
    </w:p>
    <w:p w:rsidR="001A66F9" w:rsidRPr="00073B4B" w:rsidRDefault="001A66F9" w:rsidP="001A66F9">
      <w:pPr>
        <w:widowControl w:val="0"/>
        <w:spacing w:before="120" w:after="160"/>
        <w:outlineLvl w:val="0"/>
        <w:rPr>
          <w:rFonts w:eastAsia="Calibri"/>
          <w:b/>
          <w:snapToGrid w:val="0"/>
          <w:color w:val="FF0000"/>
          <w:sz w:val="28"/>
          <w:szCs w:val="28"/>
          <w:lang w:eastAsia="en-US"/>
        </w:rPr>
      </w:pPr>
      <w:r w:rsidRPr="00073B4B">
        <w:rPr>
          <w:rFonts w:eastAsia="Calibri"/>
          <w:b/>
          <w:snapToGrid w:val="0"/>
          <w:color w:val="FF0000"/>
          <w:sz w:val="28"/>
          <w:szCs w:val="28"/>
          <w:lang w:eastAsia="en-US"/>
        </w:rPr>
        <w:lastRenderedPageBreak/>
        <w:t xml:space="preserve">Addendum to the </w:t>
      </w:r>
      <w:r>
        <w:rPr>
          <w:rFonts w:eastAsia="Calibri"/>
          <w:b/>
          <w:snapToGrid w:val="0"/>
          <w:color w:val="FF0000"/>
          <w:sz w:val="28"/>
          <w:szCs w:val="28"/>
          <w:lang w:eastAsia="en-US"/>
        </w:rPr>
        <w:t>July 2020</w:t>
      </w:r>
      <w:r w:rsidRPr="00073B4B">
        <w:rPr>
          <w:rFonts w:eastAsia="Calibri"/>
          <w:b/>
          <w:snapToGrid w:val="0"/>
          <w:color w:val="FF0000"/>
          <w:sz w:val="28"/>
          <w:szCs w:val="28"/>
          <w:lang w:eastAsia="en-US"/>
        </w:rPr>
        <w:t xml:space="preserve"> PBAC Minutes:</w:t>
      </w:r>
    </w:p>
    <w:p w:rsidR="001A66F9" w:rsidRPr="00702889" w:rsidRDefault="001A66F9" w:rsidP="001A66F9">
      <w:pPr>
        <w:pStyle w:val="PBACHeading1"/>
        <w:numPr>
          <w:ilvl w:val="0"/>
          <w:numId w:val="1"/>
        </w:numPr>
        <w:spacing w:after="120"/>
      </w:pPr>
      <w:r>
        <w:t>Background</w:t>
      </w:r>
    </w:p>
    <w:p w:rsidR="001A66F9" w:rsidRPr="007E7DCF" w:rsidRDefault="001A66F9" w:rsidP="001A66F9">
      <w:pPr>
        <w:pStyle w:val="3-BodyText"/>
        <w:rPr>
          <w:lang w:val="en-GB"/>
        </w:rPr>
      </w:pPr>
      <w:r>
        <w:rPr>
          <w:lang w:val="en-GB"/>
        </w:rPr>
        <w:t>At its July 2020 meeting, the</w:t>
      </w:r>
      <w:r w:rsidRPr="00525B39">
        <w:rPr>
          <w:lang w:val="en-GB"/>
        </w:rPr>
        <w:t xml:space="preserve"> PBAC </w:t>
      </w:r>
      <w:r>
        <w:rPr>
          <w:lang w:val="en-GB"/>
        </w:rPr>
        <w:t xml:space="preserve">deferred making a recommendation regarding the listing of </w:t>
      </w:r>
      <w:r w:rsidRPr="00B60952">
        <w:rPr>
          <w:lang w:val="en-GB"/>
        </w:rPr>
        <w:t xml:space="preserve">mometasone furoate (MF), with indacaterol acetate (IND), and glycopyrronium (GLY) </w:t>
      </w:r>
      <w:r w:rsidRPr="00B60952">
        <w:rPr>
          <w:bCs/>
          <w:lang w:val="en-GB"/>
        </w:rPr>
        <w:t>fixed dose combination (FDC)</w:t>
      </w:r>
      <w:r w:rsidRPr="00B60952">
        <w:rPr>
          <w:lang w:val="en-GB"/>
        </w:rPr>
        <w:t xml:space="preserve"> for maintenance therapy of severe asthma</w:t>
      </w:r>
      <w:r>
        <w:rPr>
          <w:lang w:val="en-GB"/>
        </w:rPr>
        <w:t xml:space="preserve"> as it was unclear if TGA registration would include medium dose MF/IND/GLY</w:t>
      </w:r>
      <w:r w:rsidRPr="00B60952">
        <w:rPr>
          <w:lang w:val="en-GB"/>
        </w:rPr>
        <w:t>.</w:t>
      </w:r>
      <w:r>
        <w:rPr>
          <w:lang w:val="en-GB"/>
        </w:rPr>
        <w:t xml:space="preserve"> However, the PBAC was of a mind to recommend the listing of high dose MF/IND/GLY for this indication on a cost-minimisation basis with the least </w:t>
      </w:r>
      <w:r w:rsidRPr="00EE11C8">
        <w:rPr>
          <w:rFonts w:cstheme="minorHAnsi"/>
          <w:bCs/>
        </w:rPr>
        <w:t xml:space="preserve">costly </w:t>
      </w:r>
      <w:r>
        <w:rPr>
          <w:rFonts w:cstheme="minorHAnsi"/>
          <w:bCs/>
        </w:rPr>
        <w:t xml:space="preserve">combination of high dose </w:t>
      </w:r>
      <w:r w:rsidRPr="00EE11C8">
        <w:rPr>
          <w:rFonts w:cstheme="minorHAnsi"/>
          <w:bCs/>
        </w:rPr>
        <w:t>inhaled corticosteroid (ICS) with long-acting beta2 agonist (LABA)</w:t>
      </w:r>
      <w:r>
        <w:rPr>
          <w:rFonts w:cstheme="minorHAnsi"/>
          <w:bCs/>
        </w:rPr>
        <w:t xml:space="preserve"> FDC plus long-acting muscarinic antagonist (LAMA).</w:t>
      </w:r>
    </w:p>
    <w:p w:rsidR="001A66F9" w:rsidRPr="00EB1203" w:rsidRDefault="001A66F9" w:rsidP="001A66F9">
      <w:pPr>
        <w:pStyle w:val="3-BodyText"/>
        <w:rPr>
          <w:lang w:val="en-GB"/>
        </w:rPr>
      </w:pPr>
      <w:r>
        <w:rPr>
          <w:lang w:val="en-GB"/>
        </w:rPr>
        <w:t xml:space="preserve">TGA approval for </w:t>
      </w:r>
      <w:r>
        <w:t>both medium dose MF/IND/GLY and high dose MF/IND/GLY</w:t>
      </w:r>
      <w:r>
        <w:rPr>
          <w:lang w:val="en-GB"/>
        </w:rPr>
        <w:t xml:space="preserve"> was granted on the 9 October 2020. </w:t>
      </w:r>
    </w:p>
    <w:p w:rsidR="001A66F9" w:rsidRDefault="001A66F9" w:rsidP="001A66F9">
      <w:pPr>
        <w:pStyle w:val="PBACHeading1"/>
        <w:numPr>
          <w:ilvl w:val="0"/>
          <w:numId w:val="1"/>
        </w:numPr>
        <w:spacing w:after="120"/>
      </w:pPr>
      <w:r>
        <w:t>PBAC Outcome</w:t>
      </w:r>
    </w:p>
    <w:p w:rsidR="001A66F9" w:rsidRPr="000115B7" w:rsidRDefault="001A66F9" w:rsidP="001A66F9">
      <w:pPr>
        <w:pStyle w:val="3-BodyText"/>
        <w:rPr>
          <w:rFonts w:cstheme="minorHAnsi"/>
          <w:bCs/>
        </w:rPr>
      </w:pPr>
      <w:r>
        <w:rPr>
          <w:rFonts w:cstheme="minorHAnsi"/>
          <w:bCs/>
        </w:rPr>
        <w:t xml:space="preserve">The PBAC recommended the </w:t>
      </w:r>
      <w:r w:rsidRPr="00FB7A6E">
        <w:t>Authority R</w:t>
      </w:r>
      <w:r>
        <w:t>equired (Telephone/Electronic/Emergency</w:t>
      </w:r>
      <w:r w:rsidRPr="00FB7A6E">
        <w:t>) listing</w:t>
      </w:r>
      <w:r>
        <w:t xml:space="preserve"> of </w:t>
      </w:r>
      <w:r w:rsidRPr="00B60952">
        <w:rPr>
          <w:lang w:val="en-GB"/>
        </w:rPr>
        <w:t xml:space="preserve">mometasone furoate (MF), with indacaterol acetate (IND), and glycopyrronium (GLY) </w:t>
      </w:r>
      <w:r w:rsidRPr="00B60952">
        <w:rPr>
          <w:bCs/>
          <w:lang w:val="en-GB"/>
        </w:rPr>
        <w:t>fixed dose combination (FDC)</w:t>
      </w:r>
      <w:r w:rsidRPr="00B60952">
        <w:rPr>
          <w:lang w:val="en-GB"/>
        </w:rPr>
        <w:t xml:space="preserve"> for maintenance therapy of severe asthma</w:t>
      </w:r>
      <w:r>
        <w:rPr>
          <w:lang w:val="en-GB"/>
        </w:rPr>
        <w:t xml:space="preserve">. Noting the TGA has registered both </w:t>
      </w:r>
      <w:r>
        <w:t xml:space="preserve">both medium dose MF/IND/GLY and high dose MF/IND/GLY for this indication, the PBAC was satisfied the remaining outstanding issues relating to this application were satisfactorily resolved. </w:t>
      </w:r>
    </w:p>
    <w:p w:rsidR="001A66F9" w:rsidRDefault="001A66F9" w:rsidP="001A66F9">
      <w:pPr>
        <w:pStyle w:val="3-BodyText"/>
      </w:pPr>
      <w:r>
        <w:t>The PBAC considered that medium and high dose MF/IND/GLY should be priced no higher than the lowest cost combination of respective medium and high dose ICS/LABA plus LAMA combinations.</w:t>
      </w:r>
    </w:p>
    <w:p w:rsidR="001A66F9" w:rsidRPr="001D47D2" w:rsidRDefault="001A66F9" w:rsidP="001A66F9">
      <w:pPr>
        <w:pStyle w:val="3-BodyText"/>
      </w:pPr>
      <w:r>
        <w:t xml:space="preserve">The PBAC remained concerned about the risk of </w:t>
      </w:r>
      <w:r w:rsidRPr="00A07146">
        <w:rPr>
          <w:iCs/>
        </w:rPr>
        <w:t>inappropriate use in patients with less severe asthma otherwise managed on ICS or ICS/LABA</w:t>
      </w:r>
      <w:r>
        <w:rPr>
          <w:iCs/>
        </w:rPr>
        <w:t xml:space="preserve"> and</w:t>
      </w:r>
      <w:r w:rsidRPr="00A07146">
        <w:rPr>
          <w:iCs/>
        </w:rPr>
        <w:t xml:space="preserve"> consider</w:t>
      </w:r>
      <w:r>
        <w:rPr>
          <w:iCs/>
        </w:rPr>
        <w:t>ed</w:t>
      </w:r>
      <w:r w:rsidRPr="00A07146">
        <w:rPr>
          <w:iCs/>
        </w:rPr>
        <w:t xml:space="preserve"> a higher restriction level (Authority Required – Telephone/Electronic</w:t>
      </w:r>
      <w:r>
        <w:rPr>
          <w:iCs/>
        </w:rPr>
        <w:t xml:space="preserve"> </w:t>
      </w:r>
      <w:r w:rsidRPr="00A07146">
        <w:rPr>
          <w:iCs/>
        </w:rPr>
        <w:t xml:space="preserve">/Emergency) </w:t>
      </w:r>
      <w:r>
        <w:rPr>
          <w:iCs/>
        </w:rPr>
        <w:t>would be</w:t>
      </w:r>
      <w:r w:rsidRPr="00A07146">
        <w:rPr>
          <w:iCs/>
        </w:rPr>
        <w:t xml:space="preserve"> </w:t>
      </w:r>
      <w:r>
        <w:rPr>
          <w:iCs/>
        </w:rPr>
        <w:t xml:space="preserve">appropriate </w:t>
      </w:r>
      <w:r w:rsidRPr="00A07146">
        <w:rPr>
          <w:iCs/>
        </w:rPr>
        <w:t xml:space="preserve">to minimise </w:t>
      </w:r>
      <w:r>
        <w:rPr>
          <w:iCs/>
        </w:rPr>
        <w:t>this risk.</w:t>
      </w:r>
    </w:p>
    <w:p w:rsidR="001A66F9" w:rsidRDefault="001A66F9" w:rsidP="001A66F9">
      <w:pPr>
        <w:pStyle w:val="3-BodyText"/>
      </w:pPr>
      <w:r w:rsidRPr="00D07519">
        <w:t xml:space="preserve">The PBAC recommended that </w:t>
      </w:r>
      <w:r>
        <w:t xml:space="preserve">MF/IND/GLY </w:t>
      </w:r>
      <w:r w:rsidRPr="00D07519">
        <w:t xml:space="preserve">should </w:t>
      </w:r>
      <w:r>
        <w:t xml:space="preserve">not </w:t>
      </w:r>
      <w:r w:rsidRPr="00D07519">
        <w:t xml:space="preserve">be treated as interchangeable on an individual </w:t>
      </w:r>
      <w:r>
        <w:t xml:space="preserve">patient basis with any other drugs. </w:t>
      </w:r>
    </w:p>
    <w:p w:rsidR="001A66F9" w:rsidRDefault="001A66F9" w:rsidP="001A66F9">
      <w:pPr>
        <w:pStyle w:val="3-BodyText"/>
      </w:pPr>
      <w:r>
        <w:t>The PBAC advised that MF/IND/GLY is suitable for prescribing by nurse practitioners.</w:t>
      </w:r>
    </w:p>
    <w:p w:rsidR="001A66F9" w:rsidRPr="00D07519" w:rsidRDefault="001A66F9" w:rsidP="001A66F9">
      <w:pPr>
        <w:pStyle w:val="3-BodyText"/>
        <w:rPr>
          <w:iCs/>
        </w:rPr>
      </w:pPr>
      <w:r w:rsidRPr="00D07519">
        <w:rPr>
          <w:iCs/>
        </w:rPr>
        <w:t>The PBAC recommended that the Early Supply Rule should apply.</w:t>
      </w:r>
    </w:p>
    <w:p w:rsidR="001A66F9" w:rsidRPr="00EE11C8" w:rsidRDefault="001A66F9" w:rsidP="001A66F9">
      <w:pPr>
        <w:pStyle w:val="3-BodyText"/>
        <w:rPr>
          <w:rFonts w:cstheme="minorHAnsi"/>
          <w:bCs/>
        </w:rPr>
      </w:pPr>
      <w:r w:rsidRPr="00EE11C8">
        <w:rPr>
          <w:rFonts w:cstheme="minorHAnsi"/>
          <w:bCs/>
        </w:rPr>
        <w:t>The PBAC noted that its recommendation was on a cost-minimisation basis and advised that, because</w:t>
      </w:r>
      <w:r w:rsidRPr="00EE11C8">
        <w:rPr>
          <w:rFonts w:cstheme="minorHAnsi"/>
          <w:bCs/>
          <w:snapToGrid/>
        </w:rPr>
        <w:t xml:space="preserve"> </w:t>
      </w:r>
      <w:r w:rsidRPr="00EE11C8">
        <w:rPr>
          <w:rFonts w:cstheme="minorHAnsi"/>
          <w:bCs/>
        </w:rPr>
        <w:t>MF/IND</w:t>
      </w:r>
      <w:r>
        <w:rPr>
          <w:rFonts w:cstheme="minorHAnsi"/>
          <w:bCs/>
        </w:rPr>
        <w:t>/GLY</w:t>
      </w:r>
      <w:r w:rsidRPr="00EE11C8">
        <w:rPr>
          <w:rFonts w:cstheme="minorHAnsi"/>
          <w:bCs/>
        </w:rPr>
        <w:t xml:space="preserve"> is not expected to provide a substantial and clinically relevant improvement in efficacy, or reduction of toxicity, over</w:t>
      </w:r>
      <w:r>
        <w:rPr>
          <w:rFonts w:cstheme="minorHAnsi"/>
          <w:bCs/>
        </w:rPr>
        <w:t xml:space="preserve"> FP/SAL plus TIO</w:t>
      </w:r>
      <w:r w:rsidRPr="00EE11C8">
        <w:rPr>
          <w:rFonts w:cstheme="minorHAnsi"/>
          <w:bCs/>
        </w:rPr>
        <w:t xml:space="preserve">, or not expected to address a high and urgent unmet clinical need given the presence of an alternative therapy, the criteria prescribed by the </w:t>
      </w:r>
      <w:r w:rsidRPr="00EE11C8">
        <w:rPr>
          <w:rFonts w:cstheme="minorHAnsi"/>
          <w:bCs/>
          <w:i/>
        </w:rPr>
        <w:t>National Health (Pharmaceuticals and Vaccines – Cost Recovery) Regulations 2009</w:t>
      </w:r>
      <w:r w:rsidRPr="00EE11C8">
        <w:rPr>
          <w:rFonts w:cstheme="minorHAnsi"/>
          <w:bCs/>
        </w:rPr>
        <w:t xml:space="preserve"> for Pricing Pathway A were not met.</w:t>
      </w:r>
    </w:p>
    <w:p w:rsidR="001A66F9" w:rsidRPr="00D07519" w:rsidRDefault="001A66F9" w:rsidP="001A66F9">
      <w:pPr>
        <w:pStyle w:val="3-BodyText"/>
        <w:rPr>
          <w:rFonts w:cstheme="minorHAnsi"/>
          <w:bCs/>
        </w:rPr>
      </w:pPr>
      <w:r w:rsidRPr="00EE11C8">
        <w:rPr>
          <w:rFonts w:cstheme="minorHAnsi"/>
          <w:bCs/>
        </w:rPr>
        <w:lastRenderedPageBreak/>
        <w:t>The PBAC noted that this submission is not eligible for an Independent Review, as it received a positive recommendation.</w:t>
      </w:r>
    </w:p>
    <w:p w:rsidR="001A66F9" w:rsidRPr="00BF660C" w:rsidRDefault="001A66F9" w:rsidP="001A66F9">
      <w:pPr>
        <w:spacing w:before="240"/>
        <w:rPr>
          <w:rFonts w:asciiTheme="minorHAnsi" w:hAnsiTheme="minorHAnsi"/>
          <w:b/>
          <w:bCs/>
          <w:lang w:val="en-GB"/>
        </w:rPr>
      </w:pPr>
      <w:r w:rsidRPr="00BF660C">
        <w:rPr>
          <w:rFonts w:asciiTheme="minorHAnsi" w:hAnsiTheme="minorHAnsi"/>
          <w:b/>
          <w:bCs/>
          <w:lang w:val="en-GB"/>
        </w:rPr>
        <w:t>Outcome:</w:t>
      </w:r>
    </w:p>
    <w:p w:rsidR="001A66F9" w:rsidRDefault="001A66F9" w:rsidP="001A66F9">
      <w:pPr>
        <w:rPr>
          <w:rFonts w:asciiTheme="minorHAnsi" w:hAnsiTheme="minorHAnsi"/>
          <w:bCs/>
          <w:lang w:val="en-GB"/>
        </w:rPr>
      </w:pPr>
      <w:r w:rsidRPr="00BF660C">
        <w:rPr>
          <w:rFonts w:asciiTheme="minorHAnsi" w:hAnsiTheme="minorHAnsi"/>
          <w:bCs/>
          <w:lang w:val="en-GB"/>
        </w:rPr>
        <w:t>Recommended</w:t>
      </w:r>
    </w:p>
    <w:p w:rsidR="001A66F9" w:rsidRDefault="001A66F9" w:rsidP="001A66F9">
      <w:pPr>
        <w:rPr>
          <w:rFonts w:asciiTheme="minorHAnsi" w:hAnsiTheme="minorHAnsi"/>
          <w:bCs/>
          <w:lang w:val="en-GB"/>
        </w:rPr>
      </w:pPr>
    </w:p>
    <w:p w:rsidR="001A66F9" w:rsidRDefault="001A66F9" w:rsidP="001A66F9">
      <w:pPr>
        <w:pStyle w:val="PBACHeading1"/>
        <w:numPr>
          <w:ilvl w:val="0"/>
          <w:numId w:val="1"/>
        </w:numPr>
        <w:spacing w:after="120"/>
      </w:pPr>
      <w:r>
        <w:t>Recommended listing</w:t>
      </w:r>
    </w:p>
    <w:p w:rsidR="001A66F9" w:rsidRPr="00F67A61" w:rsidRDefault="001A66F9" w:rsidP="001A66F9">
      <w:pPr>
        <w:rPr>
          <w:rFonts w:asciiTheme="minorHAnsi" w:hAnsiTheme="minorHAnsi"/>
          <w:bCs/>
          <w:lang w:val="en-GB"/>
        </w:rPr>
      </w:pPr>
      <w:r w:rsidRPr="00F67A61">
        <w:rPr>
          <w:rFonts w:asciiTheme="minorHAnsi" w:hAnsiTheme="minorHAnsi"/>
          <w:bCs/>
          <w:lang w:val="en-GB"/>
        </w:rPr>
        <w:t>Add new medicinal product as follows:</w:t>
      </w:r>
    </w:p>
    <w:p w:rsidR="001A66F9" w:rsidRDefault="001A66F9" w:rsidP="001A66F9"/>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851"/>
        <w:gridCol w:w="709"/>
        <w:gridCol w:w="850"/>
        <w:gridCol w:w="709"/>
        <w:gridCol w:w="2410"/>
      </w:tblGrid>
      <w:tr w:rsidR="001A66F9" w:rsidRPr="006504EF" w:rsidTr="00AE5F1F">
        <w:trPr>
          <w:cantSplit/>
          <w:trHeight w:val="471"/>
        </w:trPr>
        <w:tc>
          <w:tcPr>
            <w:tcW w:w="3397" w:type="dxa"/>
          </w:tcPr>
          <w:p w:rsidR="001A66F9" w:rsidRPr="006504EF" w:rsidRDefault="001A66F9" w:rsidP="00AE5F1F">
            <w:pPr>
              <w:keepNext/>
              <w:ind w:left="108"/>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t>Name, Restriction,</w:t>
            </w:r>
          </w:p>
          <w:p w:rsidR="001A66F9" w:rsidRPr="006504EF" w:rsidRDefault="001A66F9" w:rsidP="00AE5F1F">
            <w:pPr>
              <w:keepNext/>
              <w:ind w:left="108"/>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t>Manner of administration and form</w:t>
            </w:r>
          </w:p>
        </w:tc>
        <w:tc>
          <w:tcPr>
            <w:tcW w:w="851" w:type="dxa"/>
          </w:tcPr>
          <w:p w:rsidR="001A66F9" w:rsidRPr="006504EF" w:rsidRDefault="001A66F9" w:rsidP="00AE5F1F">
            <w:pPr>
              <w:keepNext/>
              <w:ind w:left="-108"/>
              <w:jc w:val="center"/>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t>PBS item code</w:t>
            </w:r>
          </w:p>
        </w:tc>
        <w:tc>
          <w:tcPr>
            <w:tcW w:w="709" w:type="dxa"/>
          </w:tcPr>
          <w:p w:rsidR="001A66F9" w:rsidRPr="006504EF" w:rsidRDefault="001A66F9" w:rsidP="00AE5F1F">
            <w:pPr>
              <w:keepNext/>
              <w:ind w:left="-108"/>
              <w:jc w:val="center"/>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t>Max. qty packs</w:t>
            </w:r>
          </w:p>
        </w:tc>
        <w:tc>
          <w:tcPr>
            <w:tcW w:w="850" w:type="dxa"/>
          </w:tcPr>
          <w:p w:rsidR="001A66F9" w:rsidRPr="006504EF" w:rsidRDefault="001A66F9" w:rsidP="00AE5F1F">
            <w:pPr>
              <w:keepNext/>
              <w:ind w:left="-108"/>
              <w:jc w:val="center"/>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t>Max. qty units</w:t>
            </w:r>
          </w:p>
        </w:tc>
        <w:tc>
          <w:tcPr>
            <w:tcW w:w="709" w:type="dxa"/>
          </w:tcPr>
          <w:p w:rsidR="001A66F9" w:rsidRPr="006504EF" w:rsidRDefault="001A66F9" w:rsidP="00AE5F1F">
            <w:pPr>
              <w:keepNext/>
              <w:ind w:left="-108"/>
              <w:jc w:val="center"/>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t>№.of</w:t>
            </w:r>
          </w:p>
          <w:p w:rsidR="001A66F9" w:rsidRPr="006504EF" w:rsidRDefault="001A66F9" w:rsidP="00AE5F1F">
            <w:pPr>
              <w:keepNext/>
              <w:ind w:left="-108"/>
              <w:jc w:val="center"/>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t>Rpts</w:t>
            </w:r>
          </w:p>
        </w:tc>
        <w:tc>
          <w:tcPr>
            <w:tcW w:w="2410" w:type="dxa"/>
          </w:tcPr>
          <w:p w:rsidR="001A66F9" w:rsidRPr="006504EF" w:rsidRDefault="001A66F9" w:rsidP="00AE5F1F">
            <w:pPr>
              <w:keepNext/>
              <w:jc w:val="left"/>
              <w:rPr>
                <w:rFonts w:ascii="Arial Narrow" w:eastAsia="Calibri" w:hAnsi="Arial Narrow"/>
                <w:b/>
                <w:color w:val="000000"/>
                <w:sz w:val="18"/>
                <w:szCs w:val="18"/>
                <w:lang w:val="fr-FR" w:eastAsia="en-US"/>
              </w:rPr>
            </w:pPr>
            <w:r>
              <w:rPr>
                <w:rFonts w:ascii="Arial Narrow" w:eastAsia="Calibri" w:hAnsi="Arial Narrow"/>
                <w:b/>
                <w:color w:val="000000"/>
                <w:sz w:val="18"/>
                <w:szCs w:val="18"/>
                <w:lang w:eastAsia="en-US"/>
              </w:rPr>
              <w:t>Available brands</w:t>
            </w:r>
          </w:p>
        </w:tc>
      </w:tr>
      <w:tr w:rsidR="001A66F9" w:rsidRPr="006504EF" w:rsidTr="00AE5F1F">
        <w:trPr>
          <w:cantSplit/>
          <w:trHeight w:val="761"/>
        </w:trPr>
        <w:tc>
          <w:tcPr>
            <w:tcW w:w="3397" w:type="dxa"/>
          </w:tcPr>
          <w:p w:rsidR="001A66F9" w:rsidRPr="006504EF" w:rsidRDefault="001A66F9" w:rsidP="00AE5F1F">
            <w:pPr>
              <w:keepNext/>
              <w:ind w:left="108"/>
              <w:jc w:val="left"/>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 xml:space="preserve">INDACATEROL  + GLYCOPYRRONIUM  + MOMETASONE </w:t>
            </w:r>
          </w:p>
          <w:p w:rsidR="001A66F9" w:rsidRPr="006504EF" w:rsidRDefault="001A66F9" w:rsidP="00AE5F1F">
            <w:pPr>
              <w:keepNext/>
              <w:ind w:left="108"/>
              <w:rPr>
                <w:rFonts w:ascii="Arial Narrow" w:eastAsia="Calibri" w:hAnsi="Arial Narrow"/>
                <w:color w:val="000000"/>
                <w:sz w:val="18"/>
                <w:szCs w:val="18"/>
                <w:lang w:eastAsia="en-US"/>
              </w:rPr>
            </w:pPr>
          </w:p>
          <w:p w:rsidR="001A66F9" w:rsidRPr="006504EF" w:rsidRDefault="001A66F9" w:rsidP="00AE5F1F">
            <w:pPr>
              <w:keepNext/>
              <w:ind w:left="108"/>
              <w:jc w:val="left"/>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 xml:space="preserve">indacaterol </w:t>
            </w:r>
            <w:r>
              <w:rPr>
                <w:rFonts w:ascii="Arial Narrow" w:eastAsia="Calibri" w:hAnsi="Arial Narrow"/>
                <w:color w:val="000000"/>
                <w:sz w:val="18"/>
                <w:szCs w:val="18"/>
                <w:lang w:eastAsia="en-US"/>
              </w:rPr>
              <w:t xml:space="preserve">114 </w:t>
            </w:r>
            <w:r w:rsidRPr="006504EF">
              <w:rPr>
                <w:rFonts w:ascii="Arial Narrow" w:eastAsia="Calibri" w:hAnsi="Arial Narrow"/>
                <w:color w:val="000000"/>
                <w:sz w:val="18"/>
                <w:szCs w:val="18"/>
                <w:lang w:eastAsia="en-US"/>
              </w:rPr>
              <w:t xml:space="preserve">microgram + glycopyrronium </w:t>
            </w:r>
            <w:r>
              <w:rPr>
                <w:rFonts w:ascii="Arial Narrow" w:eastAsia="Calibri" w:hAnsi="Arial Narrow"/>
                <w:color w:val="000000"/>
                <w:sz w:val="18"/>
                <w:szCs w:val="18"/>
                <w:lang w:eastAsia="en-US"/>
              </w:rPr>
              <w:t xml:space="preserve">46 </w:t>
            </w:r>
            <w:r w:rsidRPr="006504EF">
              <w:rPr>
                <w:rFonts w:ascii="Arial Narrow" w:eastAsia="Calibri" w:hAnsi="Arial Narrow"/>
                <w:color w:val="000000"/>
                <w:sz w:val="18"/>
                <w:szCs w:val="18"/>
                <w:lang w:eastAsia="en-US"/>
              </w:rPr>
              <w:t xml:space="preserve">microgram + mometasone furoate </w:t>
            </w:r>
            <w:r>
              <w:rPr>
                <w:rFonts w:ascii="Arial Narrow" w:eastAsia="Calibri" w:hAnsi="Arial Narrow"/>
                <w:color w:val="000000"/>
                <w:sz w:val="18"/>
                <w:szCs w:val="18"/>
                <w:lang w:eastAsia="en-US"/>
              </w:rPr>
              <w:t xml:space="preserve">68 </w:t>
            </w:r>
            <w:r w:rsidRPr="006504EF">
              <w:rPr>
                <w:rFonts w:ascii="Arial Narrow" w:eastAsia="Calibri" w:hAnsi="Arial Narrow"/>
                <w:color w:val="000000"/>
                <w:sz w:val="18"/>
                <w:szCs w:val="18"/>
                <w:lang w:eastAsia="en-US"/>
              </w:rPr>
              <w:t>microgram, powder for inhalation, 30 capsules</w:t>
            </w:r>
          </w:p>
        </w:tc>
        <w:tc>
          <w:tcPr>
            <w:tcW w:w="851" w:type="dxa"/>
          </w:tcPr>
          <w:p w:rsidR="001A66F9" w:rsidRPr="006504EF" w:rsidRDefault="001A66F9" w:rsidP="00AE5F1F">
            <w:pPr>
              <w:keepNext/>
              <w:ind w:left="-108"/>
              <w:jc w:val="center"/>
              <w:rPr>
                <w:rFonts w:ascii="Arial Narrow" w:eastAsia="Calibri" w:hAnsi="Arial Narrow"/>
                <w:color w:val="000000"/>
                <w:sz w:val="18"/>
                <w:szCs w:val="18"/>
                <w:lang w:eastAsia="en-US"/>
              </w:rPr>
            </w:pPr>
          </w:p>
          <w:p w:rsidR="001A66F9" w:rsidRPr="006504EF" w:rsidRDefault="001A66F9" w:rsidP="00AE5F1F">
            <w:pPr>
              <w:keepNext/>
              <w:ind w:left="-108"/>
              <w:jc w:val="center"/>
              <w:rPr>
                <w:rFonts w:ascii="Arial Narrow" w:eastAsia="Calibri" w:hAnsi="Arial Narrow"/>
                <w:color w:val="000000"/>
                <w:sz w:val="18"/>
                <w:szCs w:val="18"/>
                <w:lang w:eastAsia="en-US"/>
              </w:rPr>
            </w:pPr>
          </w:p>
          <w:p w:rsidR="001A66F9" w:rsidRPr="006504EF" w:rsidRDefault="001A66F9" w:rsidP="00AE5F1F">
            <w:pPr>
              <w:keepNext/>
              <w:ind w:left="-108"/>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NEW</w:t>
            </w:r>
          </w:p>
        </w:tc>
        <w:tc>
          <w:tcPr>
            <w:tcW w:w="709" w:type="dxa"/>
          </w:tcPr>
          <w:p w:rsidR="001A66F9" w:rsidRPr="006504EF" w:rsidRDefault="001A66F9" w:rsidP="00AE5F1F">
            <w:pPr>
              <w:keepNext/>
              <w:jc w:val="center"/>
              <w:rPr>
                <w:rFonts w:ascii="Arial Narrow" w:eastAsia="Calibri" w:hAnsi="Arial Narrow"/>
                <w:color w:val="000000"/>
                <w:sz w:val="18"/>
                <w:szCs w:val="18"/>
                <w:lang w:eastAsia="en-US"/>
              </w:rPr>
            </w:pPr>
          </w:p>
          <w:p w:rsidR="001A66F9" w:rsidRPr="006504EF" w:rsidRDefault="001A66F9" w:rsidP="00AE5F1F">
            <w:pPr>
              <w:keepNext/>
              <w:ind w:left="-108"/>
              <w:jc w:val="center"/>
              <w:rPr>
                <w:rFonts w:ascii="Arial Narrow" w:eastAsia="Calibri" w:hAnsi="Arial Narrow"/>
                <w:color w:val="000000"/>
                <w:sz w:val="18"/>
                <w:szCs w:val="18"/>
                <w:lang w:eastAsia="en-US"/>
              </w:rPr>
            </w:pPr>
          </w:p>
          <w:p w:rsidR="001A66F9" w:rsidRPr="006504EF" w:rsidRDefault="001A66F9" w:rsidP="00AE5F1F">
            <w:pPr>
              <w:keepNext/>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1</w:t>
            </w:r>
          </w:p>
        </w:tc>
        <w:tc>
          <w:tcPr>
            <w:tcW w:w="850" w:type="dxa"/>
          </w:tcPr>
          <w:p w:rsidR="001A66F9" w:rsidRPr="006504EF" w:rsidRDefault="001A66F9" w:rsidP="00AE5F1F">
            <w:pPr>
              <w:keepNext/>
              <w:ind w:left="-108"/>
              <w:jc w:val="center"/>
              <w:rPr>
                <w:rFonts w:ascii="Arial Narrow" w:eastAsia="Calibri" w:hAnsi="Arial Narrow"/>
                <w:color w:val="000000"/>
                <w:sz w:val="18"/>
                <w:szCs w:val="18"/>
                <w:lang w:eastAsia="en-US"/>
              </w:rPr>
            </w:pPr>
          </w:p>
          <w:p w:rsidR="001A66F9" w:rsidRPr="006504EF" w:rsidRDefault="001A66F9" w:rsidP="00AE5F1F">
            <w:pPr>
              <w:keepNext/>
              <w:jc w:val="left"/>
              <w:rPr>
                <w:rFonts w:ascii="Arial Narrow" w:eastAsia="Calibri" w:hAnsi="Arial Narrow"/>
                <w:color w:val="000000"/>
                <w:sz w:val="18"/>
                <w:szCs w:val="18"/>
                <w:lang w:eastAsia="en-US"/>
              </w:rPr>
            </w:pPr>
          </w:p>
          <w:p w:rsidR="001A66F9" w:rsidRPr="006504EF" w:rsidRDefault="001A66F9" w:rsidP="00AE5F1F">
            <w:pPr>
              <w:keepNext/>
              <w:ind w:left="-108"/>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30</w:t>
            </w:r>
          </w:p>
        </w:tc>
        <w:tc>
          <w:tcPr>
            <w:tcW w:w="709" w:type="dxa"/>
          </w:tcPr>
          <w:p w:rsidR="001A66F9" w:rsidRPr="006504EF" w:rsidRDefault="001A66F9" w:rsidP="00AE5F1F">
            <w:pPr>
              <w:keepNext/>
              <w:ind w:left="-108"/>
              <w:jc w:val="center"/>
              <w:rPr>
                <w:rFonts w:ascii="Arial Narrow" w:eastAsia="Calibri" w:hAnsi="Arial Narrow"/>
                <w:color w:val="000000"/>
                <w:sz w:val="18"/>
                <w:szCs w:val="18"/>
                <w:lang w:eastAsia="en-US"/>
              </w:rPr>
            </w:pPr>
          </w:p>
          <w:p w:rsidR="001A66F9" w:rsidRPr="006504EF" w:rsidRDefault="001A66F9" w:rsidP="00AE5F1F">
            <w:pPr>
              <w:keepNext/>
              <w:ind w:left="-108"/>
              <w:jc w:val="center"/>
              <w:rPr>
                <w:rFonts w:ascii="Arial Narrow" w:eastAsia="Calibri" w:hAnsi="Arial Narrow"/>
                <w:color w:val="000000"/>
                <w:sz w:val="18"/>
                <w:szCs w:val="18"/>
                <w:lang w:eastAsia="en-US"/>
              </w:rPr>
            </w:pPr>
          </w:p>
          <w:p w:rsidR="001A66F9" w:rsidRPr="006504EF" w:rsidRDefault="001A66F9" w:rsidP="00AE5F1F">
            <w:pPr>
              <w:keepNext/>
              <w:ind w:left="-108"/>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5</w:t>
            </w:r>
          </w:p>
          <w:p w:rsidR="001A66F9" w:rsidRPr="006504EF" w:rsidRDefault="001A66F9" w:rsidP="00AE5F1F">
            <w:pPr>
              <w:keepNext/>
              <w:jc w:val="left"/>
              <w:rPr>
                <w:rFonts w:ascii="Arial Narrow" w:eastAsia="Calibri" w:hAnsi="Arial Narrow"/>
                <w:color w:val="000000"/>
                <w:sz w:val="18"/>
                <w:szCs w:val="18"/>
                <w:lang w:eastAsia="en-US"/>
              </w:rPr>
            </w:pPr>
          </w:p>
        </w:tc>
        <w:tc>
          <w:tcPr>
            <w:tcW w:w="2410" w:type="dxa"/>
          </w:tcPr>
          <w:p w:rsidR="001A66F9" w:rsidRPr="006504EF" w:rsidRDefault="001A66F9" w:rsidP="00AE5F1F">
            <w:pPr>
              <w:keepNext/>
              <w:rPr>
                <w:rFonts w:ascii="Arial Narrow" w:eastAsia="Calibri" w:hAnsi="Arial Narrow"/>
                <w:color w:val="000000"/>
                <w:sz w:val="18"/>
                <w:szCs w:val="18"/>
                <w:lang w:eastAsia="en-US"/>
              </w:rPr>
            </w:pPr>
          </w:p>
          <w:p w:rsidR="001A66F9" w:rsidRPr="006504EF" w:rsidRDefault="001A66F9" w:rsidP="00AE5F1F">
            <w:pPr>
              <w:keepNext/>
              <w:rPr>
                <w:rFonts w:ascii="Arial Narrow" w:eastAsia="Calibri" w:hAnsi="Arial Narrow"/>
                <w:color w:val="000000"/>
                <w:sz w:val="18"/>
                <w:szCs w:val="18"/>
                <w:lang w:eastAsia="en-US"/>
              </w:rPr>
            </w:pPr>
          </w:p>
          <w:p w:rsidR="001A66F9" w:rsidRPr="00BC3B28" w:rsidRDefault="001A66F9" w:rsidP="00AE5F1F">
            <w:pPr>
              <w:keepNext/>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 xml:space="preserve">Enerzair Breezhaler </w:t>
            </w:r>
            <w:r>
              <w:rPr>
                <w:rFonts w:ascii="Arial Narrow" w:eastAsia="Calibri" w:hAnsi="Arial Narrow"/>
                <w:color w:val="000000"/>
                <w:sz w:val="18"/>
                <w:szCs w:val="18"/>
                <w:lang w:eastAsia="en-US"/>
              </w:rPr>
              <w:t>114/46/68</w:t>
            </w:r>
          </w:p>
          <w:p w:rsidR="001A66F9" w:rsidRPr="006504EF" w:rsidRDefault="001A66F9" w:rsidP="00AE5F1F">
            <w:pPr>
              <w:keepNext/>
              <w:jc w:val="left"/>
              <w:rPr>
                <w:rFonts w:ascii="Arial Narrow" w:eastAsia="Calibri" w:hAnsi="Arial Narrow"/>
                <w:color w:val="000000"/>
                <w:sz w:val="18"/>
                <w:szCs w:val="18"/>
                <w:lang w:eastAsia="en-US"/>
              </w:rPr>
            </w:pPr>
          </w:p>
        </w:tc>
      </w:tr>
      <w:tr w:rsidR="001A66F9" w:rsidRPr="006504EF" w:rsidTr="00AE5F1F">
        <w:trPr>
          <w:cantSplit/>
          <w:trHeight w:val="347"/>
        </w:trPr>
        <w:tc>
          <w:tcPr>
            <w:tcW w:w="3397" w:type="dxa"/>
          </w:tcPr>
          <w:p w:rsidR="001A66F9" w:rsidRPr="006504EF" w:rsidRDefault="001A66F9" w:rsidP="00AE5F1F">
            <w:pPr>
              <w:keepNext/>
              <w:ind w:left="108"/>
              <w:jc w:val="left"/>
              <w:rPr>
                <w:rFonts w:ascii="Arial Narrow" w:eastAsia="Calibri" w:hAnsi="Arial Narrow"/>
                <w:color w:val="000000"/>
                <w:sz w:val="18"/>
                <w:szCs w:val="18"/>
                <w:lang w:eastAsia="en-US"/>
              </w:rPr>
            </w:pPr>
            <w:r>
              <w:rPr>
                <w:rFonts w:ascii="Arial Narrow" w:eastAsia="Calibri" w:hAnsi="Arial Narrow"/>
                <w:color w:val="000000"/>
                <w:sz w:val="18"/>
                <w:szCs w:val="18"/>
                <w:lang w:eastAsia="en-US"/>
              </w:rPr>
              <w:t>indacaterol 114</w:t>
            </w:r>
            <w:r w:rsidRPr="003F284A">
              <w:rPr>
                <w:rFonts w:ascii="Arial Narrow" w:eastAsia="Calibri" w:hAnsi="Arial Narrow"/>
                <w:color w:val="000000"/>
                <w:sz w:val="18"/>
                <w:szCs w:val="18"/>
                <w:lang w:eastAsia="en-US"/>
              </w:rPr>
              <w:t xml:space="preserve"> </w:t>
            </w:r>
            <w:r w:rsidRPr="006504EF">
              <w:rPr>
                <w:rFonts w:ascii="Arial Narrow" w:eastAsia="Calibri" w:hAnsi="Arial Narrow"/>
                <w:color w:val="000000"/>
                <w:sz w:val="18"/>
                <w:szCs w:val="18"/>
                <w:lang w:eastAsia="en-US"/>
              </w:rPr>
              <w:t xml:space="preserve"> microgram + glycopyrronium </w:t>
            </w:r>
            <w:r>
              <w:rPr>
                <w:rFonts w:ascii="Arial Narrow" w:eastAsia="Calibri" w:hAnsi="Arial Narrow"/>
                <w:color w:val="000000"/>
                <w:sz w:val="18"/>
                <w:szCs w:val="18"/>
                <w:lang w:eastAsia="en-US"/>
              </w:rPr>
              <w:t xml:space="preserve">46 </w:t>
            </w:r>
            <w:r w:rsidRPr="006504EF">
              <w:rPr>
                <w:rFonts w:ascii="Arial Narrow" w:eastAsia="Calibri" w:hAnsi="Arial Narrow"/>
                <w:color w:val="000000"/>
                <w:sz w:val="18"/>
                <w:szCs w:val="18"/>
                <w:lang w:eastAsia="en-US"/>
              </w:rPr>
              <w:t xml:space="preserve">microgram + mometasone furoate </w:t>
            </w:r>
            <w:r>
              <w:rPr>
                <w:rFonts w:ascii="Arial Narrow" w:eastAsia="Calibri" w:hAnsi="Arial Narrow"/>
                <w:color w:val="000000"/>
                <w:sz w:val="18"/>
                <w:szCs w:val="18"/>
                <w:lang w:eastAsia="en-US"/>
              </w:rPr>
              <w:t xml:space="preserve">136 </w:t>
            </w:r>
            <w:r w:rsidRPr="006504EF">
              <w:rPr>
                <w:rFonts w:ascii="Arial Narrow" w:eastAsia="Calibri" w:hAnsi="Arial Narrow"/>
                <w:color w:val="000000"/>
                <w:sz w:val="18"/>
                <w:szCs w:val="18"/>
                <w:lang w:eastAsia="en-US"/>
              </w:rPr>
              <w:t>microgram, powder for inhalation, 30 capsules</w:t>
            </w:r>
          </w:p>
        </w:tc>
        <w:tc>
          <w:tcPr>
            <w:tcW w:w="851" w:type="dxa"/>
          </w:tcPr>
          <w:p w:rsidR="001A66F9" w:rsidRPr="006504EF" w:rsidRDefault="001A66F9" w:rsidP="00AE5F1F">
            <w:pPr>
              <w:keepNext/>
              <w:ind w:left="-108"/>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NEW</w:t>
            </w:r>
          </w:p>
        </w:tc>
        <w:tc>
          <w:tcPr>
            <w:tcW w:w="709" w:type="dxa"/>
          </w:tcPr>
          <w:p w:rsidR="001A66F9" w:rsidRPr="006504EF" w:rsidRDefault="001A66F9" w:rsidP="00AE5F1F">
            <w:pPr>
              <w:keepNext/>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1</w:t>
            </w:r>
          </w:p>
        </w:tc>
        <w:tc>
          <w:tcPr>
            <w:tcW w:w="850" w:type="dxa"/>
          </w:tcPr>
          <w:p w:rsidR="001A66F9" w:rsidRPr="006504EF" w:rsidRDefault="001A66F9" w:rsidP="00AE5F1F">
            <w:pPr>
              <w:keepNext/>
              <w:ind w:left="-108"/>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30</w:t>
            </w:r>
          </w:p>
        </w:tc>
        <w:tc>
          <w:tcPr>
            <w:tcW w:w="709" w:type="dxa"/>
          </w:tcPr>
          <w:p w:rsidR="001A66F9" w:rsidRPr="006504EF" w:rsidRDefault="001A66F9" w:rsidP="00AE5F1F">
            <w:pPr>
              <w:keepNext/>
              <w:ind w:left="-108"/>
              <w:jc w:val="center"/>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5</w:t>
            </w:r>
          </w:p>
        </w:tc>
        <w:tc>
          <w:tcPr>
            <w:tcW w:w="2410" w:type="dxa"/>
          </w:tcPr>
          <w:p w:rsidR="001A66F9" w:rsidRPr="00BC3B28" w:rsidRDefault="001A66F9" w:rsidP="00AE5F1F">
            <w:pPr>
              <w:keepNext/>
              <w:rPr>
                <w:rFonts w:ascii="Arial Narrow" w:eastAsia="Calibri" w:hAnsi="Arial Narrow"/>
                <w:color w:val="000000"/>
                <w:sz w:val="18"/>
                <w:szCs w:val="18"/>
                <w:lang w:eastAsia="en-US"/>
              </w:rPr>
            </w:pPr>
            <w:r w:rsidRPr="006504EF">
              <w:rPr>
                <w:rFonts w:ascii="Arial Narrow" w:eastAsia="Calibri" w:hAnsi="Arial Narrow"/>
                <w:color w:val="000000"/>
                <w:sz w:val="18"/>
                <w:szCs w:val="18"/>
                <w:lang w:eastAsia="en-US"/>
              </w:rPr>
              <w:t>Enerzair</w:t>
            </w:r>
            <w:r>
              <w:rPr>
                <w:rFonts w:ascii="Arial Narrow" w:eastAsia="Calibri" w:hAnsi="Arial Narrow"/>
                <w:color w:val="000000"/>
                <w:sz w:val="18"/>
                <w:szCs w:val="18"/>
                <w:lang w:eastAsia="en-US"/>
              </w:rPr>
              <w:t xml:space="preserve"> </w:t>
            </w:r>
            <w:r w:rsidRPr="006504EF">
              <w:rPr>
                <w:rFonts w:ascii="Arial Narrow" w:eastAsia="Calibri" w:hAnsi="Arial Narrow"/>
                <w:color w:val="000000"/>
                <w:sz w:val="18"/>
                <w:szCs w:val="18"/>
                <w:lang w:eastAsia="en-US"/>
              </w:rPr>
              <w:t xml:space="preserve">Breezhaler </w:t>
            </w:r>
            <w:r>
              <w:rPr>
                <w:rFonts w:ascii="Arial Narrow" w:eastAsia="Calibri" w:hAnsi="Arial Narrow"/>
                <w:color w:val="000000"/>
                <w:sz w:val="18"/>
                <w:szCs w:val="18"/>
                <w:lang w:eastAsia="en-US"/>
              </w:rPr>
              <w:t>114/68/136</w:t>
            </w:r>
          </w:p>
          <w:p w:rsidR="001A66F9" w:rsidRPr="006504EF" w:rsidRDefault="001A66F9" w:rsidP="00AE5F1F">
            <w:pPr>
              <w:keepNext/>
              <w:jc w:val="left"/>
              <w:rPr>
                <w:rFonts w:ascii="Arial Narrow" w:eastAsia="Calibri" w:hAnsi="Arial Narrow"/>
                <w:color w:val="000000"/>
                <w:sz w:val="18"/>
                <w:szCs w:val="18"/>
                <w:lang w:eastAsia="en-US"/>
              </w:rPr>
            </w:pPr>
          </w:p>
        </w:tc>
      </w:tr>
    </w:tbl>
    <w:p w:rsidR="001A66F9" w:rsidRPr="006504EF" w:rsidRDefault="001A66F9" w:rsidP="001A66F9">
      <w:pPr>
        <w:tabs>
          <w:tab w:val="left" w:pos="4570"/>
        </w:tabs>
        <w:spacing w:after="160" w:line="259" w:lineRule="auto"/>
        <w:jc w:val="left"/>
        <w:rPr>
          <w:rFonts w:ascii="Arial Narrow" w:eastAsia="Calibri" w:hAnsi="Arial Narrow" w:cs="Times New Roman"/>
          <w:b/>
          <w:color w:val="000000"/>
          <w:sz w:val="18"/>
          <w:szCs w:val="18"/>
          <w:lang w:eastAsia="en-US"/>
        </w:rPr>
      </w:pPr>
      <w:r>
        <w:rPr>
          <w:rFonts w:ascii="Arial Narrow" w:eastAsia="Calibri" w:hAnsi="Arial Narrow" w:cs="Times New Roman"/>
          <w:b/>
          <w:color w:val="000000"/>
          <w:sz w:val="18"/>
          <w:szCs w:val="18"/>
          <w:lang w:eastAsia="en-US"/>
        </w:rPr>
        <w:tab/>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7"/>
      </w:tblGrid>
      <w:tr w:rsidR="001A66F9" w:rsidRPr="006504EF" w:rsidTr="00AE5F1F">
        <w:trPr>
          <w:trHeight w:val="192"/>
        </w:trPr>
        <w:tc>
          <w:tcPr>
            <w:tcW w:w="5000" w:type="pct"/>
            <w:tcBorders>
              <w:top w:val="single" w:sz="4" w:space="0" w:color="auto"/>
              <w:left w:val="single" w:sz="4" w:space="0" w:color="auto"/>
              <w:bottom w:val="single" w:sz="4" w:space="0" w:color="auto"/>
              <w:right w:val="single" w:sz="4" w:space="0" w:color="auto"/>
            </w:tcBorders>
          </w:tcPr>
          <w:p w:rsidR="001A66F9" w:rsidRPr="006504EF" w:rsidRDefault="001A66F9" w:rsidP="00AE5F1F">
            <w:pPr>
              <w:rPr>
                <w:rFonts w:ascii="Arial Narrow" w:eastAsia="Calibri" w:hAnsi="Arial Narrow"/>
                <w:color w:val="000000"/>
                <w:sz w:val="18"/>
                <w:szCs w:val="18"/>
                <w:lang w:eastAsia="en-US"/>
              </w:rPr>
            </w:pPr>
            <w:r w:rsidRPr="006504EF">
              <w:rPr>
                <w:rFonts w:ascii="Arial Narrow" w:eastAsia="Calibri" w:hAnsi="Arial Narrow"/>
                <w:b/>
                <w:color w:val="000000"/>
                <w:sz w:val="18"/>
                <w:szCs w:val="18"/>
                <w:lang w:eastAsia="en-US"/>
              </w:rPr>
              <w:t xml:space="preserve">Category / Program:   </w:t>
            </w:r>
            <w:r w:rsidRPr="006504EF">
              <w:rPr>
                <w:rFonts w:ascii="Arial Narrow" w:eastAsia="Calibri" w:hAnsi="Arial Narrow"/>
                <w:color w:val="000000"/>
                <w:sz w:val="18"/>
                <w:szCs w:val="18"/>
                <w:lang w:eastAsia="en-US"/>
              </w:rPr>
              <w:t>GENERAL – General Schedule (Code GE)</w:t>
            </w:r>
          </w:p>
        </w:tc>
      </w:tr>
      <w:tr w:rsidR="001A66F9" w:rsidRPr="006504EF" w:rsidTr="00AE5F1F">
        <w:trPr>
          <w:trHeight w:val="224"/>
        </w:trPr>
        <w:tc>
          <w:tcPr>
            <w:tcW w:w="5000" w:type="pct"/>
            <w:tcBorders>
              <w:top w:val="single" w:sz="4" w:space="0" w:color="auto"/>
              <w:left w:val="single" w:sz="4" w:space="0" w:color="auto"/>
              <w:bottom w:val="single" w:sz="4" w:space="0" w:color="auto"/>
              <w:right w:val="single" w:sz="4" w:space="0" w:color="auto"/>
            </w:tcBorders>
          </w:tcPr>
          <w:p w:rsidR="001A66F9" w:rsidRPr="006504EF" w:rsidRDefault="001A66F9" w:rsidP="00AE5F1F">
            <w:pPr>
              <w:rPr>
                <w:rFonts w:ascii="Arial Narrow" w:eastAsia="Calibri" w:hAnsi="Arial Narrow"/>
                <w:color w:val="000000"/>
                <w:sz w:val="18"/>
                <w:szCs w:val="18"/>
                <w:lang w:eastAsia="en-US"/>
              </w:rPr>
            </w:pPr>
            <w:r w:rsidRPr="006504EF">
              <w:rPr>
                <w:rFonts w:ascii="Arial Narrow" w:eastAsia="Calibri" w:hAnsi="Arial Narrow"/>
                <w:b/>
                <w:color w:val="000000"/>
                <w:sz w:val="18"/>
                <w:szCs w:val="18"/>
                <w:lang w:eastAsia="en-US"/>
              </w:rPr>
              <w:t xml:space="preserve">Prescriber type:  </w:t>
            </w:r>
            <w:r w:rsidRPr="006504EF">
              <w:rPr>
                <w:rFonts w:ascii="Arial Narrow" w:eastAsia="Calibri" w:hAnsi="Arial Narrow"/>
                <w:color w:val="000000"/>
                <w:sz w:val="18"/>
                <w:szCs w:val="18"/>
                <w:lang w:eastAsia="en-US"/>
              </w:rPr>
              <w:fldChar w:fldCharType="begin">
                <w:ffData>
                  <w:name w:val=""/>
                  <w:enabled/>
                  <w:calcOnExit w:val="0"/>
                  <w:checkBox>
                    <w:sizeAuto/>
                    <w:default w:val="1"/>
                  </w:checkBox>
                </w:ffData>
              </w:fldChar>
            </w:r>
            <w:r w:rsidRPr="006504EF">
              <w:rPr>
                <w:rFonts w:ascii="Arial Narrow" w:eastAsia="Calibri" w:hAnsi="Arial Narrow"/>
                <w:color w:val="000000"/>
                <w:sz w:val="18"/>
                <w:szCs w:val="18"/>
                <w:lang w:eastAsia="en-US"/>
              </w:rPr>
              <w:instrText xml:space="preserve"> FORMCHECKBOX </w:instrText>
            </w:r>
            <w:r w:rsidR="00903593">
              <w:rPr>
                <w:rFonts w:ascii="Arial Narrow" w:eastAsia="Calibri" w:hAnsi="Arial Narrow"/>
                <w:color w:val="000000"/>
                <w:sz w:val="18"/>
                <w:szCs w:val="18"/>
                <w:lang w:eastAsia="en-US"/>
              </w:rPr>
            </w:r>
            <w:r w:rsidR="00903593">
              <w:rPr>
                <w:rFonts w:ascii="Arial Narrow" w:eastAsia="Calibri" w:hAnsi="Arial Narrow"/>
                <w:color w:val="000000"/>
                <w:sz w:val="18"/>
                <w:szCs w:val="18"/>
                <w:lang w:eastAsia="en-US"/>
              </w:rPr>
              <w:fldChar w:fldCharType="separate"/>
            </w:r>
            <w:r w:rsidRPr="006504EF">
              <w:rPr>
                <w:rFonts w:ascii="Arial Narrow" w:eastAsia="Calibri" w:hAnsi="Arial Narrow"/>
                <w:color w:val="000000"/>
                <w:sz w:val="18"/>
                <w:szCs w:val="18"/>
                <w:lang w:eastAsia="en-US"/>
              </w:rPr>
              <w:fldChar w:fldCharType="end"/>
            </w:r>
            <w:r w:rsidRPr="006504EF">
              <w:rPr>
                <w:rFonts w:ascii="Arial Narrow" w:eastAsia="Calibri" w:hAnsi="Arial Narrow"/>
                <w:color w:val="000000"/>
                <w:sz w:val="18"/>
                <w:szCs w:val="18"/>
                <w:lang w:eastAsia="en-US"/>
              </w:rPr>
              <w:t xml:space="preserve">Medical Practitioners  </w:t>
            </w:r>
            <w:r w:rsidRPr="00BC3B28">
              <w:rPr>
                <w:rFonts w:ascii="Arial Narrow" w:eastAsia="Calibri" w:hAnsi="Arial Narrow"/>
                <w:color w:val="000000"/>
                <w:sz w:val="18"/>
                <w:szCs w:val="18"/>
                <w:lang w:eastAsia="en-US"/>
              </w:rPr>
              <w:fldChar w:fldCharType="begin">
                <w:ffData>
                  <w:name w:val="Check3"/>
                  <w:enabled/>
                  <w:calcOnExit w:val="0"/>
                  <w:checkBox>
                    <w:sizeAuto/>
                    <w:default w:val="1"/>
                  </w:checkBox>
                </w:ffData>
              </w:fldChar>
            </w:r>
            <w:r w:rsidRPr="00BC3B28">
              <w:rPr>
                <w:rFonts w:ascii="Arial Narrow" w:eastAsia="Calibri" w:hAnsi="Arial Narrow"/>
                <w:color w:val="000000"/>
                <w:sz w:val="18"/>
                <w:szCs w:val="18"/>
                <w:lang w:eastAsia="en-US"/>
              </w:rPr>
              <w:instrText xml:space="preserve"> FORMCHECKBOX </w:instrText>
            </w:r>
            <w:r w:rsidR="00903593">
              <w:rPr>
                <w:rFonts w:ascii="Arial Narrow" w:eastAsia="Calibri" w:hAnsi="Arial Narrow"/>
                <w:color w:val="000000"/>
                <w:sz w:val="18"/>
                <w:szCs w:val="18"/>
                <w:lang w:eastAsia="en-US"/>
              </w:rPr>
            </w:r>
            <w:r w:rsidR="00903593">
              <w:rPr>
                <w:rFonts w:ascii="Arial Narrow" w:eastAsia="Calibri" w:hAnsi="Arial Narrow"/>
                <w:color w:val="000000"/>
                <w:sz w:val="18"/>
                <w:szCs w:val="18"/>
                <w:lang w:eastAsia="en-US"/>
              </w:rPr>
              <w:fldChar w:fldCharType="separate"/>
            </w:r>
            <w:r w:rsidRPr="00BC3B28">
              <w:rPr>
                <w:rFonts w:ascii="Arial Narrow" w:eastAsia="Calibri" w:hAnsi="Arial Narrow"/>
                <w:color w:val="000000"/>
                <w:sz w:val="18"/>
                <w:szCs w:val="18"/>
                <w:lang w:eastAsia="en-US"/>
              </w:rPr>
              <w:fldChar w:fldCharType="end"/>
            </w:r>
            <w:r w:rsidRPr="00BC3B28">
              <w:rPr>
                <w:rFonts w:ascii="Arial Narrow" w:eastAsia="Calibri" w:hAnsi="Arial Narrow"/>
                <w:color w:val="000000"/>
                <w:sz w:val="18"/>
                <w:szCs w:val="18"/>
                <w:lang w:eastAsia="en-US"/>
              </w:rPr>
              <w:t>Nurse practitioners</w:t>
            </w:r>
            <w:r w:rsidRPr="006504EF">
              <w:rPr>
                <w:rFonts w:ascii="Arial Narrow" w:eastAsia="Calibri" w:hAnsi="Arial Narrow"/>
                <w:color w:val="000000"/>
                <w:sz w:val="18"/>
                <w:szCs w:val="18"/>
                <w:lang w:eastAsia="en-US"/>
              </w:rPr>
              <w:t xml:space="preserve">  </w:t>
            </w:r>
          </w:p>
        </w:tc>
      </w:tr>
      <w:tr w:rsidR="001A66F9" w:rsidRPr="006504EF" w:rsidTr="00AE5F1F">
        <w:tc>
          <w:tcPr>
            <w:tcW w:w="5000" w:type="pct"/>
            <w:tcBorders>
              <w:top w:val="single" w:sz="4" w:space="0" w:color="auto"/>
              <w:left w:val="single" w:sz="4" w:space="0" w:color="auto"/>
              <w:bottom w:val="single" w:sz="4" w:space="0" w:color="auto"/>
              <w:right w:val="single" w:sz="4" w:space="0" w:color="auto"/>
            </w:tcBorders>
          </w:tcPr>
          <w:p w:rsidR="001A66F9" w:rsidRPr="006504EF" w:rsidRDefault="001A66F9" w:rsidP="00AE5F1F">
            <w:pPr>
              <w:rPr>
                <w:rFonts w:ascii="Arial Narrow" w:eastAsia="Calibri" w:hAnsi="Arial Narrow"/>
                <w:b/>
                <w:color w:val="000000"/>
                <w:sz w:val="18"/>
                <w:szCs w:val="18"/>
                <w:lang w:eastAsia="en-US"/>
              </w:rPr>
            </w:pPr>
            <w:r w:rsidRPr="006504EF">
              <w:rPr>
                <w:rFonts w:ascii="Arial Narrow" w:eastAsia="Calibri" w:hAnsi="Arial Narrow"/>
                <w:b/>
                <w:color w:val="000000"/>
                <w:sz w:val="18"/>
                <w:szCs w:val="18"/>
                <w:lang w:eastAsia="en-US"/>
              </w:rPr>
              <w:t xml:space="preserve">Restriction </w:t>
            </w:r>
            <w:r>
              <w:rPr>
                <w:rFonts w:ascii="Arial Narrow" w:eastAsia="Calibri" w:hAnsi="Arial Narrow"/>
                <w:b/>
                <w:color w:val="000000"/>
                <w:sz w:val="18"/>
                <w:szCs w:val="18"/>
                <w:lang w:eastAsia="en-US"/>
              </w:rPr>
              <w:t xml:space="preserve">type </w:t>
            </w:r>
            <w:r w:rsidRPr="006504EF">
              <w:rPr>
                <w:rFonts w:ascii="Arial Narrow" w:eastAsia="Calibri" w:hAnsi="Arial Narrow"/>
                <w:b/>
                <w:color w:val="000000"/>
                <w:sz w:val="18"/>
                <w:szCs w:val="18"/>
                <w:lang w:eastAsia="en-US"/>
              </w:rPr>
              <w:t xml:space="preserve">/ Method: </w:t>
            </w:r>
            <w:r w:rsidRPr="006504EF">
              <w:rPr>
                <w:rFonts w:ascii="Arial Narrow" w:eastAsia="Calibri" w:hAnsi="Arial Narrow"/>
                <w:color w:val="000000"/>
                <w:sz w:val="18"/>
                <w:szCs w:val="18"/>
                <w:lang w:eastAsia="en-US"/>
              </w:rPr>
              <w:fldChar w:fldCharType="begin">
                <w:ffData>
                  <w:name w:val=""/>
                  <w:enabled/>
                  <w:calcOnExit w:val="0"/>
                  <w:checkBox>
                    <w:sizeAuto/>
                    <w:default w:val="1"/>
                  </w:checkBox>
                </w:ffData>
              </w:fldChar>
            </w:r>
            <w:r w:rsidRPr="006504EF">
              <w:rPr>
                <w:rFonts w:ascii="Arial Narrow" w:eastAsia="Calibri" w:hAnsi="Arial Narrow"/>
                <w:color w:val="000000"/>
                <w:sz w:val="18"/>
                <w:szCs w:val="18"/>
                <w:lang w:eastAsia="en-US"/>
              </w:rPr>
              <w:instrText xml:space="preserve"> FORMCHECKBOX </w:instrText>
            </w:r>
            <w:r w:rsidR="00903593">
              <w:rPr>
                <w:rFonts w:ascii="Arial Narrow" w:eastAsia="Calibri" w:hAnsi="Arial Narrow"/>
                <w:color w:val="000000"/>
                <w:sz w:val="18"/>
                <w:szCs w:val="18"/>
                <w:lang w:eastAsia="en-US"/>
              </w:rPr>
            </w:r>
            <w:r w:rsidR="00903593">
              <w:rPr>
                <w:rFonts w:ascii="Arial Narrow" w:eastAsia="Calibri" w:hAnsi="Arial Narrow"/>
                <w:color w:val="000000"/>
                <w:sz w:val="18"/>
                <w:szCs w:val="18"/>
                <w:lang w:eastAsia="en-US"/>
              </w:rPr>
              <w:fldChar w:fldCharType="separate"/>
            </w:r>
            <w:r w:rsidRPr="006504EF">
              <w:rPr>
                <w:rFonts w:ascii="Arial Narrow" w:eastAsia="Calibri" w:hAnsi="Arial Narrow"/>
                <w:color w:val="000000"/>
                <w:sz w:val="18"/>
                <w:szCs w:val="18"/>
                <w:lang w:eastAsia="en-US"/>
              </w:rPr>
              <w:fldChar w:fldCharType="end"/>
            </w:r>
            <w:r w:rsidRPr="006504EF">
              <w:rPr>
                <w:rFonts w:ascii="Arial Narrow" w:eastAsia="Calibri" w:hAnsi="Arial Narrow"/>
                <w:color w:val="000000"/>
                <w:sz w:val="18"/>
                <w:szCs w:val="18"/>
                <w:lang w:eastAsia="en-US"/>
              </w:rPr>
              <w:t xml:space="preserve"> Authority Required – </w:t>
            </w:r>
            <w:r w:rsidRPr="001D47D2">
              <w:rPr>
                <w:rFonts w:ascii="Arial Narrow" w:eastAsia="Calibri" w:hAnsi="Arial Narrow"/>
                <w:color w:val="000000"/>
                <w:sz w:val="18"/>
                <w:szCs w:val="18"/>
                <w:lang w:eastAsia="en-US"/>
              </w:rPr>
              <w:t>Telephone/Electronic /Emergency</w:t>
            </w:r>
          </w:p>
        </w:tc>
      </w:tr>
      <w:tr w:rsidR="001A66F9" w:rsidRPr="006504EF" w:rsidTr="00AE5F1F">
        <w:tc>
          <w:tcPr>
            <w:tcW w:w="5000" w:type="pct"/>
            <w:tcBorders>
              <w:left w:val="single" w:sz="4" w:space="0" w:color="auto"/>
            </w:tcBorders>
            <w:vAlign w:val="center"/>
          </w:tcPr>
          <w:p w:rsidR="001A66F9" w:rsidRPr="006504EF" w:rsidRDefault="001A66F9" w:rsidP="00AE5F1F">
            <w:pPr>
              <w:jc w:val="left"/>
              <w:rPr>
                <w:rFonts w:ascii="Arial Narrow" w:hAnsi="Arial Narrow" w:cs="Times New Roman"/>
                <w:b/>
                <w:bCs/>
                <w:color w:val="000000"/>
                <w:sz w:val="18"/>
                <w:szCs w:val="18"/>
              </w:rPr>
            </w:pPr>
            <w:r w:rsidRPr="006504EF">
              <w:rPr>
                <w:rFonts w:ascii="Arial Narrow" w:hAnsi="Arial Narrow" w:cs="Times New Roman"/>
                <w:b/>
                <w:bCs/>
                <w:color w:val="000000"/>
                <w:sz w:val="18"/>
                <w:szCs w:val="18"/>
              </w:rPr>
              <w:t xml:space="preserve">Severity: </w:t>
            </w:r>
            <w:r w:rsidRPr="006504EF">
              <w:rPr>
                <w:rFonts w:ascii="Arial Narrow" w:hAnsi="Arial Narrow" w:cs="Times New Roman"/>
                <w:bCs/>
                <w:color w:val="000000"/>
                <w:sz w:val="18"/>
                <w:szCs w:val="18"/>
              </w:rPr>
              <w:t>Severe</w:t>
            </w:r>
          </w:p>
        </w:tc>
      </w:tr>
      <w:tr w:rsidR="001A66F9" w:rsidRPr="006504EF" w:rsidTr="00AE5F1F">
        <w:trPr>
          <w:trHeight w:val="178"/>
        </w:trPr>
        <w:tc>
          <w:tcPr>
            <w:tcW w:w="5000" w:type="pct"/>
            <w:tcBorders>
              <w:left w:val="single" w:sz="4" w:space="0" w:color="auto"/>
            </w:tcBorders>
            <w:vAlign w:val="center"/>
          </w:tcPr>
          <w:p w:rsidR="001A66F9" w:rsidRPr="006504EF" w:rsidRDefault="001A66F9" w:rsidP="00AE5F1F">
            <w:pPr>
              <w:jc w:val="left"/>
              <w:rPr>
                <w:rFonts w:ascii="Arial Narrow" w:hAnsi="Arial Narrow" w:cs="Times New Roman"/>
                <w:b/>
                <w:bCs/>
                <w:color w:val="000000"/>
                <w:sz w:val="18"/>
                <w:szCs w:val="18"/>
              </w:rPr>
            </w:pPr>
            <w:r w:rsidRPr="006504EF">
              <w:rPr>
                <w:rFonts w:ascii="Arial Narrow" w:hAnsi="Arial Narrow" w:cs="Times New Roman"/>
                <w:b/>
                <w:bCs/>
                <w:color w:val="000000"/>
                <w:sz w:val="18"/>
                <w:szCs w:val="18"/>
              </w:rPr>
              <w:t xml:space="preserve">Condition: </w:t>
            </w:r>
            <w:r w:rsidRPr="006504EF">
              <w:rPr>
                <w:rFonts w:ascii="Arial Narrow" w:hAnsi="Arial Narrow" w:cs="Times New Roman"/>
                <w:bCs/>
                <w:color w:val="000000"/>
                <w:sz w:val="18"/>
                <w:szCs w:val="18"/>
              </w:rPr>
              <w:t>asthma</w:t>
            </w:r>
          </w:p>
        </w:tc>
      </w:tr>
      <w:tr w:rsidR="001A66F9" w:rsidRPr="006504EF" w:rsidTr="00AE5F1F">
        <w:tc>
          <w:tcPr>
            <w:tcW w:w="5000" w:type="pct"/>
            <w:vAlign w:val="center"/>
            <w:hideMark/>
          </w:tcPr>
          <w:p w:rsidR="001A66F9" w:rsidRPr="006504EF" w:rsidRDefault="001A66F9" w:rsidP="00AE5F1F">
            <w:pPr>
              <w:jc w:val="left"/>
              <w:rPr>
                <w:rFonts w:ascii="Arial Narrow" w:hAnsi="Arial Narrow" w:cs="Times New Roman"/>
                <w:color w:val="000000"/>
                <w:sz w:val="18"/>
                <w:szCs w:val="18"/>
              </w:rPr>
            </w:pPr>
            <w:r w:rsidRPr="006504EF">
              <w:rPr>
                <w:rFonts w:ascii="Arial Narrow" w:hAnsi="Arial Narrow" w:cs="Times New Roman"/>
                <w:b/>
                <w:bCs/>
                <w:color w:val="000000"/>
                <w:sz w:val="18"/>
                <w:szCs w:val="18"/>
              </w:rPr>
              <w:t>Indication:</w:t>
            </w:r>
            <w:r w:rsidRPr="006504EF">
              <w:rPr>
                <w:rFonts w:ascii="Arial Narrow" w:hAnsi="Arial Narrow" w:cs="Times New Roman"/>
                <w:color w:val="000000"/>
                <w:sz w:val="18"/>
                <w:szCs w:val="18"/>
              </w:rPr>
              <w:t xml:space="preserve"> Severe asthma</w:t>
            </w:r>
          </w:p>
        </w:tc>
      </w:tr>
      <w:tr w:rsidR="001A66F9" w:rsidRPr="006504EF" w:rsidTr="00AE5F1F">
        <w:tc>
          <w:tcPr>
            <w:tcW w:w="5000" w:type="pct"/>
            <w:vAlign w:val="center"/>
            <w:hideMark/>
          </w:tcPr>
          <w:p w:rsidR="001A66F9" w:rsidRPr="006504EF" w:rsidRDefault="001A66F9" w:rsidP="00AE5F1F">
            <w:pPr>
              <w:jc w:val="left"/>
              <w:rPr>
                <w:rFonts w:ascii="Arial Narrow" w:hAnsi="Arial Narrow" w:cs="Times New Roman"/>
                <w:b/>
                <w:bCs/>
                <w:color w:val="000000"/>
                <w:sz w:val="18"/>
                <w:szCs w:val="18"/>
              </w:rPr>
            </w:pPr>
            <w:r w:rsidRPr="006504EF">
              <w:rPr>
                <w:rFonts w:ascii="Arial Narrow" w:hAnsi="Arial Narrow" w:cs="Times New Roman"/>
                <w:b/>
                <w:bCs/>
                <w:color w:val="000000"/>
                <w:sz w:val="18"/>
                <w:szCs w:val="18"/>
              </w:rPr>
              <w:t xml:space="preserve">Clinical criteria: </w:t>
            </w:r>
          </w:p>
        </w:tc>
      </w:tr>
      <w:tr w:rsidR="001A66F9" w:rsidRPr="006504EF" w:rsidTr="00AE5F1F">
        <w:tc>
          <w:tcPr>
            <w:tcW w:w="5000" w:type="pct"/>
            <w:vAlign w:val="center"/>
          </w:tcPr>
          <w:p w:rsidR="001A66F9" w:rsidRPr="006504EF" w:rsidRDefault="001A66F9" w:rsidP="00AE5F1F">
            <w:pPr>
              <w:jc w:val="left"/>
              <w:rPr>
                <w:rFonts w:ascii="Arial Narrow" w:hAnsi="Arial Narrow" w:cs="Times New Roman"/>
                <w:bCs/>
                <w:color w:val="000000"/>
                <w:sz w:val="18"/>
                <w:szCs w:val="18"/>
              </w:rPr>
            </w:pPr>
            <w:r w:rsidRPr="006504EF">
              <w:rPr>
                <w:rFonts w:ascii="Arial Narrow" w:hAnsi="Arial Narrow" w:cs="Times New Roman"/>
                <w:bCs/>
                <w:color w:val="000000"/>
                <w:sz w:val="18"/>
                <w:szCs w:val="18"/>
              </w:rPr>
              <w:t>Patient must have experienced at least one severe exacerbation, which has required documented use of systemic corticosteroids, in the previous 12 months while receiving optimised asthma therapy, despite formal assessment of and adherence to correct inhaler technique, which has been documented</w:t>
            </w:r>
            <w:r>
              <w:rPr>
                <w:rFonts w:ascii="Arial Narrow" w:hAnsi="Arial Narrow" w:cs="Times New Roman"/>
                <w:bCs/>
                <w:color w:val="000000"/>
                <w:sz w:val="18"/>
                <w:szCs w:val="18"/>
              </w:rPr>
              <w:t>.</w:t>
            </w:r>
          </w:p>
        </w:tc>
      </w:tr>
      <w:tr w:rsidR="001A66F9" w:rsidRPr="006504EF" w:rsidTr="00AE5F1F">
        <w:tc>
          <w:tcPr>
            <w:tcW w:w="5000" w:type="pct"/>
            <w:vAlign w:val="center"/>
            <w:hideMark/>
          </w:tcPr>
          <w:p w:rsidR="001A66F9" w:rsidRPr="006504EF" w:rsidRDefault="001A66F9" w:rsidP="00AE5F1F">
            <w:pPr>
              <w:jc w:val="left"/>
              <w:rPr>
                <w:rFonts w:ascii="Arial Narrow" w:hAnsi="Arial Narrow" w:cs="Times New Roman"/>
                <w:color w:val="000000"/>
                <w:sz w:val="18"/>
                <w:szCs w:val="18"/>
              </w:rPr>
            </w:pPr>
            <w:r w:rsidRPr="006504EF">
              <w:rPr>
                <w:rFonts w:ascii="Arial Narrow" w:hAnsi="Arial Narrow" w:cs="Times New Roman"/>
                <w:b/>
                <w:bCs/>
                <w:color w:val="000000"/>
                <w:sz w:val="18"/>
                <w:szCs w:val="18"/>
              </w:rPr>
              <w:t>Population criteria:</w:t>
            </w:r>
          </w:p>
        </w:tc>
      </w:tr>
      <w:tr w:rsidR="001A66F9" w:rsidRPr="006504EF" w:rsidTr="00AE5F1F">
        <w:tc>
          <w:tcPr>
            <w:tcW w:w="5000" w:type="pct"/>
            <w:vAlign w:val="center"/>
            <w:hideMark/>
          </w:tcPr>
          <w:p w:rsidR="001A66F9" w:rsidRPr="006504EF" w:rsidRDefault="001A66F9" w:rsidP="00AE5F1F">
            <w:pPr>
              <w:jc w:val="left"/>
              <w:rPr>
                <w:rFonts w:ascii="Arial Narrow" w:hAnsi="Arial Narrow" w:cs="Times New Roman"/>
                <w:color w:val="000000"/>
                <w:sz w:val="18"/>
                <w:szCs w:val="18"/>
              </w:rPr>
            </w:pPr>
            <w:r w:rsidRPr="006504EF">
              <w:rPr>
                <w:rFonts w:ascii="Arial Narrow" w:hAnsi="Arial Narrow" w:cs="Times New Roman"/>
                <w:color w:val="000000"/>
                <w:sz w:val="18"/>
                <w:szCs w:val="18"/>
              </w:rPr>
              <w:t>Patient must be aged 18 years or over</w:t>
            </w:r>
          </w:p>
        </w:tc>
      </w:tr>
      <w:tr w:rsidR="001A66F9" w:rsidRPr="006504EF" w:rsidTr="00AE5F1F">
        <w:tc>
          <w:tcPr>
            <w:tcW w:w="5000" w:type="pct"/>
            <w:vAlign w:val="center"/>
            <w:hideMark/>
          </w:tcPr>
          <w:p w:rsidR="001A66F9" w:rsidRPr="001D47D2" w:rsidRDefault="001A66F9" w:rsidP="00AE5F1F">
            <w:pPr>
              <w:jc w:val="left"/>
              <w:rPr>
                <w:rFonts w:ascii="Arial Narrow" w:hAnsi="Arial Narrow" w:cs="Times New Roman"/>
                <w:color w:val="000000"/>
                <w:sz w:val="18"/>
                <w:szCs w:val="18"/>
              </w:rPr>
            </w:pPr>
            <w:r w:rsidRPr="001D47D2">
              <w:rPr>
                <w:rFonts w:ascii="Arial Narrow" w:hAnsi="Arial Narrow" w:cs="Times New Roman"/>
                <w:b/>
                <w:bCs/>
                <w:color w:val="000000"/>
                <w:sz w:val="18"/>
                <w:szCs w:val="18"/>
              </w:rPr>
              <w:t xml:space="preserve">Prescribing Instructions: </w:t>
            </w:r>
            <w:r w:rsidRPr="001D47D2">
              <w:rPr>
                <w:rFonts w:ascii="Arial Narrow" w:hAnsi="Arial Narrow" w:cs="Times New Roman"/>
                <w:bCs/>
                <w:color w:val="000000"/>
                <w:sz w:val="18"/>
                <w:szCs w:val="18"/>
              </w:rPr>
              <w:t>Optimised asthma therapy includes adherence to the maintenance combination of an inhaled corticosteroid (at least 800 micrograms budesonide per day or equivalent) and a long acting beta-2 agonist.</w:t>
            </w:r>
          </w:p>
        </w:tc>
      </w:tr>
      <w:tr w:rsidR="001A66F9" w:rsidRPr="006504EF" w:rsidTr="00AE5F1F">
        <w:tc>
          <w:tcPr>
            <w:tcW w:w="5000" w:type="pct"/>
            <w:vAlign w:val="center"/>
          </w:tcPr>
          <w:p w:rsidR="001A66F9" w:rsidRPr="001D47D2" w:rsidRDefault="001A66F9" w:rsidP="00AE5F1F">
            <w:pPr>
              <w:jc w:val="left"/>
              <w:rPr>
                <w:rFonts w:ascii="Arial Narrow" w:hAnsi="Arial Narrow" w:cs="Times New Roman"/>
                <w:b/>
                <w:bCs/>
                <w:color w:val="000000"/>
                <w:sz w:val="18"/>
                <w:szCs w:val="18"/>
              </w:rPr>
            </w:pPr>
            <w:r w:rsidRPr="001D47D2">
              <w:rPr>
                <w:rFonts w:ascii="Arial Narrow" w:hAnsi="Arial Narrow" w:cs="Times New Roman"/>
                <w:b/>
                <w:bCs/>
                <w:color w:val="000000"/>
                <w:sz w:val="18"/>
                <w:szCs w:val="18"/>
              </w:rPr>
              <w:t xml:space="preserve">Administrative Advice: </w:t>
            </w:r>
            <w:r w:rsidRPr="001D47D2">
              <w:rPr>
                <w:rFonts w:ascii="Arial Narrow" w:hAnsi="Arial Narrow" w:cs="Times New Roman"/>
                <w:bCs/>
                <w:color w:val="000000"/>
                <w:sz w:val="18"/>
                <w:szCs w:val="18"/>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1A66F9" w:rsidRPr="006504EF" w:rsidTr="00AE5F1F">
        <w:tc>
          <w:tcPr>
            <w:tcW w:w="5000" w:type="pct"/>
            <w:vAlign w:val="center"/>
          </w:tcPr>
          <w:p w:rsidR="001A66F9" w:rsidRPr="001D47D2" w:rsidRDefault="001A66F9" w:rsidP="00AE5F1F">
            <w:pPr>
              <w:jc w:val="left"/>
              <w:rPr>
                <w:rFonts w:ascii="Arial Narrow" w:hAnsi="Arial Narrow" w:cs="Times New Roman"/>
                <w:b/>
                <w:bCs/>
                <w:color w:val="000000"/>
                <w:sz w:val="18"/>
                <w:szCs w:val="18"/>
              </w:rPr>
            </w:pPr>
            <w:r w:rsidRPr="001D47D2">
              <w:rPr>
                <w:rFonts w:ascii="Arial Narrow" w:hAnsi="Arial Narrow" w:cs="Times New Roman"/>
                <w:b/>
                <w:bCs/>
                <w:color w:val="000000"/>
                <w:sz w:val="18"/>
                <w:szCs w:val="18"/>
              </w:rPr>
              <w:t xml:space="preserve">Administrative Advice: </w:t>
            </w:r>
            <w:r w:rsidRPr="001D47D2">
              <w:rPr>
                <w:rFonts w:ascii="Arial Narrow" w:hAnsi="Arial Narrow" w:cs="Times New Roman"/>
                <w:bCs/>
                <w:color w:val="000000"/>
                <w:sz w:val="18"/>
                <w:szCs w:val="18"/>
              </w:rPr>
              <w:t>This drug is not PBS-subsidised for the treatment of chronic obstructive pulmonary disease (COPD)</w:t>
            </w:r>
            <w:r>
              <w:rPr>
                <w:rFonts w:ascii="Arial Narrow" w:hAnsi="Arial Narrow" w:cs="Times New Roman"/>
                <w:bCs/>
                <w:color w:val="000000"/>
                <w:sz w:val="18"/>
                <w:szCs w:val="18"/>
              </w:rPr>
              <w:t>.</w:t>
            </w:r>
          </w:p>
        </w:tc>
      </w:tr>
      <w:tr w:rsidR="001A66F9" w:rsidRPr="006504EF" w:rsidTr="00AE5F1F">
        <w:tc>
          <w:tcPr>
            <w:tcW w:w="5000" w:type="pct"/>
            <w:vAlign w:val="center"/>
          </w:tcPr>
          <w:p w:rsidR="001A66F9" w:rsidRPr="001D47D2" w:rsidRDefault="001A66F9" w:rsidP="00AE5F1F">
            <w:pPr>
              <w:jc w:val="left"/>
              <w:rPr>
                <w:rFonts w:ascii="Arial Narrow" w:hAnsi="Arial Narrow" w:cs="Times New Roman"/>
                <w:bCs/>
                <w:color w:val="000000"/>
                <w:sz w:val="18"/>
                <w:szCs w:val="18"/>
              </w:rPr>
            </w:pPr>
            <w:r w:rsidRPr="001D47D2">
              <w:rPr>
                <w:rFonts w:ascii="Arial Narrow" w:hAnsi="Arial Narrow" w:cs="Times New Roman"/>
                <w:b/>
                <w:bCs/>
                <w:color w:val="000000"/>
                <w:sz w:val="18"/>
                <w:szCs w:val="18"/>
              </w:rPr>
              <w:t>Administrative Advice:</w:t>
            </w:r>
            <w:r w:rsidRPr="001D47D2">
              <w:rPr>
                <w:rFonts w:ascii="Arial Narrow" w:hAnsi="Arial Narrow" w:cs="Times New Roman"/>
                <w:bCs/>
                <w:color w:val="000000"/>
                <w:sz w:val="18"/>
                <w:szCs w:val="18"/>
              </w:rPr>
              <w:t xml:space="preserve"> This product is not indicated for the initiation of treatment in asthma</w:t>
            </w:r>
            <w:r>
              <w:rPr>
                <w:rFonts w:ascii="Arial Narrow" w:hAnsi="Arial Narrow" w:cs="Times New Roman"/>
                <w:bCs/>
                <w:color w:val="000000"/>
                <w:sz w:val="18"/>
                <w:szCs w:val="18"/>
              </w:rPr>
              <w:t>.</w:t>
            </w:r>
          </w:p>
        </w:tc>
      </w:tr>
      <w:tr w:rsidR="001A66F9" w:rsidRPr="006504EF" w:rsidTr="00AE5F1F">
        <w:tc>
          <w:tcPr>
            <w:tcW w:w="5000" w:type="pct"/>
            <w:vAlign w:val="center"/>
          </w:tcPr>
          <w:p w:rsidR="001A66F9" w:rsidRPr="001D47D2" w:rsidRDefault="001A66F9" w:rsidP="00AE5F1F">
            <w:pPr>
              <w:jc w:val="left"/>
              <w:rPr>
                <w:rFonts w:ascii="Arial Narrow" w:hAnsi="Arial Narrow" w:cs="Times New Roman"/>
                <w:bCs/>
                <w:color w:val="000000"/>
                <w:sz w:val="18"/>
                <w:szCs w:val="18"/>
              </w:rPr>
            </w:pPr>
            <w:r w:rsidRPr="001D47D2">
              <w:rPr>
                <w:rFonts w:ascii="Arial Narrow" w:hAnsi="Arial Narrow" w:cs="Times New Roman"/>
                <w:b/>
                <w:bCs/>
                <w:color w:val="000000"/>
                <w:sz w:val="18"/>
                <w:szCs w:val="18"/>
              </w:rPr>
              <w:t>Administrative Advice:</w:t>
            </w:r>
            <w:r w:rsidRPr="001D47D2">
              <w:rPr>
                <w:rFonts w:ascii="Arial Narrow" w:hAnsi="Arial Narrow" w:cs="Times New Roman"/>
                <w:bCs/>
                <w:color w:val="000000"/>
                <w:sz w:val="18"/>
                <w:szCs w:val="18"/>
              </w:rPr>
              <w:t xml:space="preserve"> The treatment must not be used in combination with an ICS/LABA, LABA/LAMA or LAMA, LABA or ICS monotherapy</w:t>
            </w:r>
            <w:r>
              <w:rPr>
                <w:rFonts w:ascii="Arial Narrow" w:hAnsi="Arial Narrow" w:cs="Times New Roman"/>
                <w:bCs/>
                <w:color w:val="000000"/>
                <w:sz w:val="18"/>
                <w:szCs w:val="18"/>
              </w:rPr>
              <w:t>.</w:t>
            </w:r>
          </w:p>
        </w:tc>
      </w:tr>
      <w:tr w:rsidR="001A66F9" w:rsidRPr="006504EF" w:rsidTr="00AE5F1F">
        <w:tc>
          <w:tcPr>
            <w:tcW w:w="5000" w:type="pct"/>
            <w:vAlign w:val="center"/>
          </w:tcPr>
          <w:p w:rsidR="001A66F9" w:rsidRPr="001D47D2" w:rsidRDefault="001A66F9" w:rsidP="00AE5F1F">
            <w:pPr>
              <w:jc w:val="left"/>
              <w:rPr>
                <w:rFonts w:ascii="Arial Narrow" w:hAnsi="Arial Narrow" w:cs="Times New Roman"/>
                <w:bCs/>
                <w:color w:val="000000"/>
                <w:sz w:val="18"/>
                <w:szCs w:val="18"/>
              </w:rPr>
            </w:pPr>
            <w:r w:rsidRPr="001D47D2">
              <w:rPr>
                <w:rFonts w:ascii="Arial Narrow" w:hAnsi="Arial Narrow" w:cs="Times New Roman"/>
                <w:b/>
                <w:bCs/>
                <w:color w:val="000000"/>
                <w:sz w:val="18"/>
                <w:szCs w:val="18"/>
              </w:rPr>
              <w:t>Administrative Advice:</w:t>
            </w:r>
            <w:r w:rsidRPr="001D47D2">
              <w:rPr>
                <w:rFonts w:ascii="Arial Narrow" w:hAnsi="Arial Narrow" w:cs="Times New Roman"/>
                <w:bCs/>
                <w:color w:val="000000"/>
                <w:sz w:val="18"/>
                <w:szCs w:val="18"/>
              </w:rPr>
              <w:t xml:space="preserve"> A LAMA includes tiotropium, glycopyrronium, aclidinium or umeclidinium.</w:t>
            </w:r>
          </w:p>
        </w:tc>
      </w:tr>
      <w:tr w:rsidR="001A66F9" w:rsidRPr="006504EF" w:rsidTr="00AE5F1F">
        <w:tc>
          <w:tcPr>
            <w:tcW w:w="5000" w:type="pct"/>
            <w:vAlign w:val="center"/>
          </w:tcPr>
          <w:p w:rsidR="001A66F9" w:rsidRPr="001D47D2" w:rsidRDefault="001A66F9" w:rsidP="00AE5F1F">
            <w:pPr>
              <w:jc w:val="left"/>
              <w:rPr>
                <w:rFonts w:ascii="Arial Narrow" w:hAnsi="Arial Narrow" w:cs="Times New Roman"/>
                <w:bCs/>
                <w:color w:val="000000"/>
                <w:sz w:val="18"/>
                <w:szCs w:val="18"/>
              </w:rPr>
            </w:pPr>
            <w:r w:rsidRPr="001D47D2">
              <w:rPr>
                <w:rFonts w:ascii="Arial Narrow" w:hAnsi="Arial Narrow" w:cs="Times New Roman"/>
                <w:b/>
                <w:bCs/>
                <w:color w:val="000000"/>
                <w:sz w:val="18"/>
                <w:szCs w:val="18"/>
              </w:rPr>
              <w:t>Administrative Advice:</w:t>
            </w:r>
            <w:r w:rsidRPr="001D47D2">
              <w:rPr>
                <w:rFonts w:ascii="Arial Narrow" w:hAnsi="Arial Narrow" w:cs="Times New Roman"/>
                <w:bCs/>
                <w:color w:val="000000"/>
                <w:sz w:val="18"/>
                <w:szCs w:val="18"/>
              </w:rPr>
              <w:t xml:space="preserve"> A LABA includes olodaterol, indacaterol, salmeterol, formoterol or vilanterol.</w:t>
            </w:r>
          </w:p>
        </w:tc>
      </w:tr>
      <w:tr w:rsidR="001A66F9" w:rsidRPr="006504EF" w:rsidTr="00AE5F1F">
        <w:tc>
          <w:tcPr>
            <w:tcW w:w="5000" w:type="pct"/>
            <w:vAlign w:val="center"/>
          </w:tcPr>
          <w:p w:rsidR="001A66F9" w:rsidRPr="001D47D2" w:rsidRDefault="001A66F9" w:rsidP="00AE5F1F">
            <w:pPr>
              <w:jc w:val="left"/>
              <w:rPr>
                <w:rFonts w:ascii="Arial Narrow" w:hAnsi="Arial Narrow" w:cs="Times New Roman"/>
                <w:b/>
                <w:bCs/>
                <w:color w:val="000000"/>
                <w:sz w:val="18"/>
                <w:szCs w:val="18"/>
              </w:rPr>
            </w:pPr>
            <w:r w:rsidRPr="001D47D2">
              <w:rPr>
                <w:rFonts w:ascii="Arial Narrow" w:hAnsi="Arial Narrow" w:cs="Times New Roman"/>
                <w:b/>
                <w:bCs/>
                <w:color w:val="000000"/>
                <w:sz w:val="18"/>
                <w:szCs w:val="18"/>
              </w:rPr>
              <w:t xml:space="preserve">Administrative Advice: </w:t>
            </w:r>
            <w:r w:rsidRPr="001D47D2">
              <w:rPr>
                <w:rFonts w:ascii="Arial Narrow" w:hAnsi="Arial Narrow" w:cs="Times New Roman"/>
                <w:bCs/>
                <w:color w:val="000000"/>
                <w:sz w:val="18"/>
                <w:szCs w:val="18"/>
              </w:rPr>
              <w:t>An ICS includes fluticasone propionate, fluticasone furoate, budesonide, beclometasone or ciclesonide.</w:t>
            </w:r>
          </w:p>
        </w:tc>
      </w:tr>
    </w:tbl>
    <w:p w:rsidR="001A66F9" w:rsidRDefault="001A66F9" w:rsidP="001A66F9">
      <w:pPr>
        <w:spacing w:after="120"/>
        <w:jc w:val="left"/>
        <w:rPr>
          <w:rFonts w:asciiTheme="minorHAnsi" w:hAnsiTheme="minorHAnsi"/>
          <w:b/>
          <w:bCs/>
          <w:i/>
          <w:snapToGrid w:val="0"/>
        </w:rPr>
      </w:pPr>
    </w:p>
    <w:p w:rsidR="001A66F9" w:rsidRDefault="001A66F9" w:rsidP="001A66F9">
      <w:pPr>
        <w:spacing w:after="120"/>
        <w:jc w:val="left"/>
        <w:rPr>
          <w:rFonts w:asciiTheme="minorHAnsi" w:hAnsiTheme="minorHAnsi"/>
          <w:b/>
          <w:bCs/>
          <w:i/>
          <w:snapToGrid w:val="0"/>
        </w:rPr>
      </w:pPr>
      <w:r w:rsidRPr="00FE7F89">
        <w:rPr>
          <w:rFonts w:asciiTheme="minorHAnsi" w:hAnsiTheme="minorHAnsi"/>
          <w:b/>
          <w:bCs/>
          <w:i/>
          <w:snapToGrid w:val="0"/>
        </w:rPr>
        <w:t>Th</w:t>
      </w:r>
      <w:r>
        <w:rPr>
          <w:rFonts w:asciiTheme="minorHAnsi" w:hAnsiTheme="minorHAnsi"/>
          <w:b/>
          <w:bCs/>
          <w:i/>
          <w:snapToGrid w:val="0"/>
        </w:rPr>
        <w:t>ese</w:t>
      </w:r>
      <w:r w:rsidRPr="00FE7F89">
        <w:rPr>
          <w:rFonts w:asciiTheme="minorHAnsi" w:hAnsiTheme="minorHAnsi"/>
          <w:b/>
          <w:bCs/>
          <w:i/>
          <w:snapToGrid w:val="0"/>
        </w:rPr>
        <w:t xml:space="preserve"> restriction</w:t>
      </w:r>
      <w:r>
        <w:rPr>
          <w:rFonts w:asciiTheme="minorHAnsi" w:hAnsiTheme="minorHAnsi"/>
          <w:b/>
          <w:bCs/>
          <w:i/>
          <w:snapToGrid w:val="0"/>
        </w:rPr>
        <w:t>s</w:t>
      </w:r>
      <w:r w:rsidRPr="00FE7F89">
        <w:rPr>
          <w:rFonts w:asciiTheme="minorHAnsi" w:hAnsiTheme="minorHAnsi"/>
          <w:b/>
          <w:bCs/>
          <w:i/>
          <w:snapToGrid w:val="0"/>
        </w:rPr>
        <w:t xml:space="preserve"> may be subject to further review. Should there be any changes made to the restriction the Sponsor will be informed</w:t>
      </w:r>
      <w:r>
        <w:rPr>
          <w:rFonts w:asciiTheme="minorHAnsi" w:hAnsiTheme="minorHAnsi"/>
          <w:b/>
          <w:bCs/>
          <w:i/>
          <w:snapToGrid w:val="0"/>
        </w:rPr>
        <w:t xml:space="preserve">. </w:t>
      </w:r>
    </w:p>
    <w:p w:rsidR="001A66F9" w:rsidRPr="003D0B82" w:rsidRDefault="001A66F9" w:rsidP="001A66F9">
      <w:pPr>
        <w:pStyle w:val="2-SectionHeading"/>
      </w:pPr>
      <w:r w:rsidRPr="00C07617">
        <w:lastRenderedPageBreak/>
        <w:t>Context for Decision</w:t>
      </w:r>
    </w:p>
    <w:p w:rsidR="001A66F9" w:rsidRPr="007129F2" w:rsidRDefault="001A66F9" w:rsidP="001A66F9">
      <w:pPr>
        <w:spacing w:after="120"/>
        <w:ind w:left="709"/>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A66F9" w:rsidRPr="003D0B82" w:rsidRDefault="001A66F9" w:rsidP="001A66F9">
      <w:pPr>
        <w:pStyle w:val="2-SectionHeading"/>
      </w:pPr>
      <w:r w:rsidRPr="00C07617" w:rsidDel="007129F2">
        <w:t xml:space="preserve"> </w:t>
      </w:r>
      <w:r>
        <w:t>Sponsor’s Comment</w:t>
      </w:r>
    </w:p>
    <w:p w:rsidR="001A66F9" w:rsidRPr="00843DF5" w:rsidRDefault="001A66F9" w:rsidP="001A66F9">
      <w:pPr>
        <w:spacing w:after="120"/>
        <w:ind w:left="851"/>
        <w:rPr>
          <w:rFonts w:asciiTheme="minorHAnsi" w:hAnsiTheme="minorHAnsi"/>
          <w:bCs/>
        </w:rPr>
      </w:pPr>
      <w:r w:rsidRPr="00C07617">
        <w:rPr>
          <w:rFonts w:asciiTheme="minorHAnsi" w:hAnsiTheme="minorHAnsi"/>
          <w:bCs/>
        </w:rPr>
        <w:t>The sponsor had no comment.</w:t>
      </w:r>
    </w:p>
    <w:p w:rsidR="001A66F9" w:rsidRPr="00FB7A6E" w:rsidRDefault="001A66F9" w:rsidP="003173BD"/>
    <w:sectPr w:rsidR="001A66F9" w:rsidRPr="00FB7A6E" w:rsidSect="00674950">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611" w:rsidRDefault="004C7611" w:rsidP="00124A51">
      <w:r>
        <w:separator/>
      </w:r>
    </w:p>
    <w:p w:rsidR="004C7611" w:rsidRDefault="004C7611"/>
  </w:endnote>
  <w:endnote w:type="continuationSeparator" w:id="0">
    <w:p w:rsidR="004C7611" w:rsidRDefault="004C7611" w:rsidP="00124A51">
      <w:r>
        <w:continuationSeparator/>
      </w:r>
    </w:p>
    <w:p w:rsidR="004C7611" w:rsidRDefault="004C7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EB" w:rsidRDefault="00833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E91" w:rsidRPr="00366211" w:rsidRDefault="000A5E91" w:rsidP="00366211">
    <w:pPr>
      <w:pStyle w:val="Footer"/>
      <w:rPr>
        <w:b/>
      </w:rPr>
    </w:pPr>
    <w:r>
      <w:tab/>
    </w:r>
    <w:r w:rsidRPr="00366211">
      <w:rPr>
        <w:b/>
      </w:rPr>
      <w:fldChar w:fldCharType="begin"/>
    </w:r>
    <w:r w:rsidRPr="00366211">
      <w:rPr>
        <w:b/>
      </w:rPr>
      <w:instrText xml:space="preserve"> PAGE   \* MERGEFORMAT </w:instrText>
    </w:r>
    <w:r w:rsidRPr="00366211">
      <w:rPr>
        <w:b/>
      </w:rPr>
      <w:fldChar w:fldCharType="separate"/>
    </w:r>
    <w:r w:rsidR="00903593">
      <w:rPr>
        <w:b/>
        <w:noProof/>
      </w:rPr>
      <w:t>30</w:t>
    </w:r>
    <w:r w:rsidRPr="00366211">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EB" w:rsidRDefault="00833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611" w:rsidRDefault="004C7611" w:rsidP="00124A51">
      <w:r>
        <w:separator/>
      </w:r>
    </w:p>
    <w:p w:rsidR="004C7611" w:rsidRDefault="004C7611"/>
  </w:footnote>
  <w:footnote w:type="continuationSeparator" w:id="0">
    <w:p w:rsidR="004C7611" w:rsidRDefault="004C7611" w:rsidP="00124A51">
      <w:r>
        <w:continuationSeparator/>
      </w:r>
    </w:p>
    <w:p w:rsidR="004C7611" w:rsidRDefault="004C7611"/>
  </w:footnote>
  <w:footnote w:id="1">
    <w:p w:rsidR="000A5E91" w:rsidRDefault="000A5E91" w:rsidP="007A01F8">
      <w:pPr>
        <w:pStyle w:val="FootnoteText"/>
      </w:pPr>
      <w:r>
        <w:rPr>
          <w:rStyle w:val="FootnoteReference"/>
        </w:rPr>
        <w:footnoteRef/>
      </w:r>
      <w:r>
        <w:t xml:space="preserve"> Therapeutic Goods Administration (TGA), 2019. Clinical Evaluation Report. Submission PM-2019-02514-1-5 Clinical Evaluation Report for indacaterol acetate/ glycopyrronium bromide/mometasone furoate (ENERZAIR).</w:t>
      </w:r>
    </w:p>
  </w:footnote>
  <w:footnote w:id="2">
    <w:p w:rsidR="000A5E91" w:rsidRDefault="000A5E91">
      <w:pPr>
        <w:pStyle w:val="FootnoteText"/>
      </w:pPr>
      <w:r>
        <w:rPr>
          <w:rStyle w:val="FootnoteReference"/>
        </w:rPr>
        <w:footnoteRef/>
      </w:r>
      <w:r>
        <w:t xml:space="preserve"> </w:t>
      </w:r>
      <w:r w:rsidRPr="003A5DC2">
        <w:t xml:space="preserve">Kerstjens HAM, </w:t>
      </w:r>
      <w:r>
        <w:t xml:space="preserve">et al. </w:t>
      </w:r>
      <w:r w:rsidRPr="003A5DC2">
        <w:t xml:space="preserve">Tiotropium in asthma poorly controlled with standard combination therapy. </w:t>
      </w:r>
      <w:r>
        <w:t>NEJM 2012; 367</w:t>
      </w:r>
      <w:r w:rsidRPr="003A5DC2">
        <w:t>:1198-1207.</w:t>
      </w:r>
    </w:p>
  </w:footnote>
  <w:footnote w:id="3">
    <w:p w:rsidR="000A5E91" w:rsidRDefault="000A5E91" w:rsidP="000F1E13">
      <w:pPr>
        <w:pStyle w:val="FootnoteText"/>
      </w:pPr>
      <w:r>
        <w:rPr>
          <w:rStyle w:val="FootnoteReference"/>
        </w:rPr>
        <w:footnoteRef/>
      </w:r>
      <w:r>
        <w:t xml:space="preserve"> National Asthma Council Australia, 2019. The Australian Asthma Handbook. asthmahandbook.org.au [accessed 1 April 2020].</w:t>
      </w:r>
    </w:p>
  </w:footnote>
  <w:footnote w:id="4">
    <w:p w:rsidR="000A5E91" w:rsidRDefault="000A5E91">
      <w:pPr>
        <w:pStyle w:val="FootnoteText"/>
      </w:pPr>
      <w:r>
        <w:rPr>
          <w:rStyle w:val="FootnoteReference"/>
        </w:rPr>
        <w:footnoteRef/>
      </w:r>
      <w:r>
        <w:t xml:space="preserve"> Virchow JC et al. </w:t>
      </w:r>
      <w:r w:rsidRPr="00E04D03">
        <w:t>Single inhaler extra fine triple therapy in uncontrolled asthma (TRIMARAN and TRIGGER): two double-blind, parallel group, randomised,</w:t>
      </w:r>
      <w:r>
        <w:t xml:space="preserve"> controlled phase 3 trials. Lancet </w:t>
      </w:r>
      <w:r w:rsidRPr="00E04D03">
        <w:t>2019</w:t>
      </w:r>
      <w:r>
        <w:t>;394:1737-49</w:t>
      </w:r>
      <w:r w:rsidRPr="00E04D03">
        <w:t>.</w:t>
      </w:r>
    </w:p>
  </w:footnote>
  <w:footnote w:id="5">
    <w:p w:rsidR="000A5E91" w:rsidRDefault="000A5E91" w:rsidP="00DD254D">
      <w:pPr>
        <w:pStyle w:val="FootnoteText"/>
      </w:pPr>
      <w:r>
        <w:rPr>
          <w:rStyle w:val="FootnoteReference"/>
        </w:rPr>
        <w:footnoteRef/>
      </w:r>
      <w:r>
        <w:t xml:space="preserve"> Reddel HK, et al. An Official American Thoracic Society/European Respiratory Society Statement: Asthma Control and Exacerbations Standardizing Endpoints for Clinical Asthma Trials and Clinical Practice. </w:t>
      </w:r>
      <w:r w:rsidRPr="006C098B">
        <w:t>A</w:t>
      </w:r>
      <w:r>
        <w:t>m J Resp Critical Care Med 2009;180:59-99.</w:t>
      </w:r>
    </w:p>
  </w:footnote>
  <w:footnote w:id="6">
    <w:p w:rsidR="000A5E91" w:rsidRPr="00EF41BA" w:rsidRDefault="000A5E91" w:rsidP="0043603A">
      <w:pPr>
        <w:pStyle w:val="FootnoteText"/>
      </w:pPr>
      <w:r>
        <w:rPr>
          <w:rStyle w:val="FootnoteReference"/>
        </w:rPr>
        <w:footnoteRef/>
      </w:r>
      <w:r>
        <w:t xml:space="preserve"> Juniper EF</w:t>
      </w:r>
      <w:r w:rsidRPr="00941C4C">
        <w:t>,</w:t>
      </w:r>
      <w:r>
        <w:t xml:space="preserve"> et al. </w:t>
      </w:r>
      <w:r w:rsidRPr="00941C4C">
        <w:t>Asthma quality of life during 1 year of treatment with budesonide with</w:t>
      </w:r>
      <w:r>
        <w:t xml:space="preserve"> or without formoterol. Euro Resp J 1999;14;</w:t>
      </w:r>
      <w:r w:rsidRPr="00941C4C">
        <w:t>1038-1043.</w:t>
      </w:r>
    </w:p>
  </w:footnote>
  <w:footnote w:id="7">
    <w:p w:rsidR="000A5E91" w:rsidRPr="00EF41BA" w:rsidRDefault="000A5E91" w:rsidP="0043603A">
      <w:pPr>
        <w:pStyle w:val="FootnoteText"/>
      </w:pPr>
      <w:r>
        <w:rPr>
          <w:rStyle w:val="FootnoteReference"/>
        </w:rPr>
        <w:footnoteRef/>
      </w:r>
      <w:r>
        <w:t xml:space="preserve"> Juniper EF</w:t>
      </w:r>
      <w:r w:rsidRPr="00EF41BA">
        <w:t>,</w:t>
      </w:r>
      <w:r>
        <w:t xml:space="preserve"> et al. </w:t>
      </w:r>
      <w:r w:rsidRPr="00EF41BA">
        <w:t>Development and validation of a questionnaire to measu</w:t>
      </w:r>
      <w:r>
        <w:t>re asthma control. European Resp J 1999;14;</w:t>
      </w:r>
      <w:r w:rsidRPr="00EF41BA">
        <w:t>902-907.</w:t>
      </w:r>
    </w:p>
  </w:footnote>
  <w:footnote w:id="8">
    <w:p w:rsidR="000A5E91" w:rsidRPr="00394E19" w:rsidRDefault="000A5E91" w:rsidP="0043603A">
      <w:pPr>
        <w:pStyle w:val="FootnoteText"/>
      </w:pPr>
      <w:r>
        <w:rPr>
          <w:rStyle w:val="FootnoteReference"/>
        </w:rPr>
        <w:footnoteRef/>
      </w:r>
      <w:r>
        <w:t xml:space="preserve"> Vollmer WM, et al</w:t>
      </w:r>
      <w:r w:rsidRPr="00394E19">
        <w:t>. Association of asthma control with health care utilizati</w:t>
      </w:r>
      <w:r>
        <w:t>on and quality of life. Am J Resp Critical Care Med 1999;160;</w:t>
      </w:r>
      <w:r w:rsidRPr="00394E19">
        <w:t>1647-1652.</w:t>
      </w:r>
    </w:p>
  </w:footnote>
  <w:footnote w:id="9">
    <w:p w:rsidR="000A5E91" w:rsidRPr="00A82B86" w:rsidRDefault="000A5E91" w:rsidP="00154E9B">
      <w:pPr>
        <w:pStyle w:val="FootnoteText"/>
      </w:pPr>
      <w:r w:rsidRPr="00A82B86">
        <w:rPr>
          <w:rStyle w:val="FootnoteReference"/>
        </w:rPr>
        <w:footnoteRef/>
      </w:r>
      <w:r w:rsidRPr="00A82B86">
        <w:t xml:space="preserve"> </w:t>
      </w:r>
      <w:r w:rsidRPr="00A82B86">
        <w:rPr>
          <w:iCs/>
        </w:rPr>
        <w:t>The price of S</w:t>
      </w:r>
      <w:r w:rsidRPr="00A82B86">
        <w:rPr>
          <w:bCs/>
          <w:iCs/>
          <w:lang w:val="en-US"/>
        </w:rPr>
        <w:t>piriva® Respimat® (TIO) 2.5 mcg inhaler in severe asthma was reduced in February 2020 due to listing of a generic formulation for COPD, Braltus® Zonda® (TIO) 13 mcg dry powder capsules.</w:t>
      </w:r>
    </w:p>
  </w:footnote>
  <w:footnote w:id="10">
    <w:p w:rsidR="000A5E91" w:rsidRDefault="000A5E91">
      <w:pPr>
        <w:pStyle w:val="FootnoteText"/>
      </w:pPr>
      <w:r>
        <w:rPr>
          <w:rStyle w:val="FootnoteReference"/>
        </w:rPr>
        <w:footnoteRef/>
      </w:r>
      <w:r>
        <w:t xml:space="preserve"> Total PBS &amp; RPBS services for Foradile® (item 8136F) in 2019 was 2814. Sourced from PBS statistics.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EB" w:rsidRDefault="00833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E91" w:rsidRPr="00366211" w:rsidRDefault="000A5E91" w:rsidP="00366211">
    <w:pPr>
      <w:keepNext/>
      <w:tabs>
        <w:tab w:val="center" w:pos="4153"/>
        <w:tab w:val="right" w:pos="8306"/>
      </w:tabs>
      <w:ind w:left="360"/>
      <w:jc w:val="center"/>
      <w:rPr>
        <w:rFonts w:asciiTheme="minorHAnsi" w:hAnsiTheme="minorHAnsi"/>
        <w:i/>
        <w:color w:val="000000" w:themeColor="text1"/>
        <w:lang w:eastAsia="en-US"/>
      </w:rPr>
    </w:pPr>
    <w:r>
      <w:rPr>
        <w:rFonts w:asciiTheme="minorHAnsi" w:hAnsiTheme="minorHAnsi"/>
        <w:i/>
        <w:color w:val="000000" w:themeColor="text1"/>
        <w:lang w:eastAsia="en-US"/>
      </w:rPr>
      <w:t xml:space="preserve">Public Summary Document </w:t>
    </w:r>
    <w:r w:rsidRPr="00366211">
      <w:rPr>
        <w:rFonts w:asciiTheme="minorHAnsi" w:hAnsiTheme="minorHAnsi"/>
        <w:i/>
        <w:color w:val="000000" w:themeColor="text1"/>
        <w:lang w:eastAsia="en-US"/>
      </w:rPr>
      <w:t xml:space="preserve">– </w:t>
    </w:r>
    <w:r>
      <w:rPr>
        <w:rFonts w:asciiTheme="minorHAnsi" w:hAnsiTheme="minorHAnsi"/>
        <w:i/>
        <w:color w:val="000000" w:themeColor="text1"/>
        <w:lang w:eastAsia="en-US"/>
      </w:rPr>
      <w:t>July 2020</w:t>
    </w:r>
    <w:r w:rsidRPr="00366211">
      <w:rPr>
        <w:rFonts w:asciiTheme="minorHAnsi" w:hAnsiTheme="minorHAnsi"/>
        <w:i/>
        <w:color w:val="000000" w:themeColor="text1"/>
        <w:lang w:eastAsia="en-US"/>
      </w:rPr>
      <w:t xml:space="preserve"> PBAC Meeting</w:t>
    </w:r>
  </w:p>
  <w:p w:rsidR="000A5E91" w:rsidRPr="00366211" w:rsidRDefault="000A5E91" w:rsidP="00366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EB" w:rsidRDefault="00833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2884F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195EEC"/>
    <w:multiLevelType w:val="hybridMultilevel"/>
    <w:tmpl w:val="8A0EA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84770C"/>
    <w:multiLevelType w:val="multilevel"/>
    <w:tmpl w:val="B89A59F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604B45"/>
    <w:multiLevelType w:val="hybridMultilevel"/>
    <w:tmpl w:val="D4A8ED0E"/>
    <w:lvl w:ilvl="0" w:tplc="8156535A">
      <w:numFmt w:val="bullet"/>
      <w:lvlText w:val="-"/>
      <w:lvlJc w:val="left"/>
      <w:pPr>
        <w:ind w:left="1069" w:hanging="360"/>
      </w:pPr>
      <w:rPr>
        <w:rFonts w:ascii="Times New Roman" w:eastAsia="Times New Roman" w:hAnsi="Times New Roman" w:cs="Times New Roman"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92CA9"/>
    <w:multiLevelType w:val="hybridMultilevel"/>
    <w:tmpl w:val="0E0AF4AA"/>
    <w:lvl w:ilvl="0" w:tplc="C9B6FBBE">
      <w:start w:val="1"/>
      <w:numFmt w:val="bullet"/>
      <w:lvlText w:val="•"/>
      <w:lvlJc w:val="left"/>
      <w:pPr>
        <w:tabs>
          <w:tab w:val="num" w:pos="720"/>
        </w:tabs>
        <w:ind w:left="720" w:hanging="360"/>
      </w:pPr>
      <w:rPr>
        <w:rFonts w:ascii="Arial" w:hAnsi="Arial" w:hint="default"/>
      </w:rPr>
    </w:lvl>
    <w:lvl w:ilvl="1" w:tplc="4EB4D5B6" w:tentative="1">
      <w:start w:val="1"/>
      <w:numFmt w:val="bullet"/>
      <w:lvlText w:val="•"/>
      <w:lvlJc w:val="left"/>
      <w:pPr>
        <w:tabs>
          <w:tab w:val="num" w:pos="1440"/>
        </w:tabs>
        <w:ind w:left="1440" w:hanging="360"/>
      </w:pPr>
      <w:rPr>
        <w:rFonts w:ascii="Arial" w:hAnsi="Arial" w:hint="default"/>
      </w:rPr>
    </w:lvl>
    <w:lvl w:ilvl="2" w:tplc="5740A962" w:tentative="1">
      <w:start w:val="1"/>
      <w:numFmt w:val="bullet"/>
      <w:lvlText w:val="•"/>
      <w:lvlJc w:val="left"/>
      <w:pPr>
        <w:tabs>
          <w:tab w:val="num" w:pos="2160"/>
        </w:tabs>
        <w:ind w:left="2160" w:hanging="360"/>
      </w:pPr>
      <w:rPr>
        <w:rFonts w:ascii="Arial" w:hAnsi="Arial" w:hint="default"/>
      </w:rPr>
    </w:lvl>
    <w:lvl w:ilvl="3" w:tplc="A8F4330E" w:tentative="1">
      <w:start w:val="1"/>
      <w:numFmt w:val="bullet"/>
      <w:lvlText w:val="•"/>
      <w:lvlJc w:val="left"/>
      <w:pPr>
        <w:tabs>
          <w:tab w:val="num" w:pos="2880"/>
        </w:tabs>
        <w:ind w:left="2880" w:hanging="360"/>
      </w:pPr>
      <w:rPr>
        <w:rFonts w:ascii="Arial" w:hAnsi="Arial" w:hint="default"/>
      </w:rPr>
    </w:lvl>
    <w:lvl w:ilvl="4" w:tplc="0234E876" w:tentative="1">
      <w:start w:val="1"/>
      <w:numFmt w:val="bullet"/>
      <w:lvlText w:val="•"/>
      <w:lvlJc w:val="left"/>
      <w:pPr>
        <w:tabs>
          <w:tab w:val="num" w:pos="3600"/>
        </w:tabs>
        <w:ind w:left="3600" w:hanging="360"/>
      </w:pPr>
      <w:rPr>
        <w:rFonts w:ascii="Arial" w:hAnsi="Arial" w:hint="default"/>
      </w:rPr>
    </w:lvl>
    <w:lvl w:ilvl="5" w:tplc="AFF2500A" w:tentative="1">
      <w:start w:val="1"/>
      <w:numFmt w:val="bullet"/>
      <w:lvlText w:val="•"/>
      <w:lvlJc w:val="left"/>
      <w:pPr>
        <w:tabs>
          <w:tab w:val="num" w:pos="4320"/>
        </w:tabs>
        <w:ind w:left="4320" w:hanging="360"/>
      </w:pPr>
      <w:rPr>
        <w:rFonts w:ascii="Arial" w:hAnsi="Arial" w:hint="default"/>
      </w:rPr>
    </w:lvl>
    <w:lvl w:ilvl="6" w:tplc="0FAA53A4" w:tentative="1">
      <w:start w:val="1"/>
      <w:numFmt w:val="bullet"/>
      <w:lvlText w:val="•"/>
      <w:lvlJc w:val="left"/>
      <w:pPr>
        <w:tabs>
          <w:tab w:val="num" w:pos="5040"/>
        </w:tabs>
        <w:ind w:left="5040" w:hanging="360"/>
      </w:pPr>
      <w:rPr>
        <w:rFonts w:ascii="Arial" w:hAnsi="Arial" w:hint="default"/>
      </w:rPr>
    </w:lvl>
    <w:lvl w:ilvl="7" w:tplc="40FC5B86" w:tentative="1">
      <w:start w:val="1"/>
      <w:numFmt w:val="bullet"/>
      <w:lvlText w:val="•"/>
      <w:lvlJc w:val="left"/>
      <w:pPr>
        <w:tabs>
          <w:tab w:val="num" w:pos="5760"/>
        </w:tabs>
        <w:ind w:left="5760" w:hanging="360"/>
      </w:pPr>
      <w:rPr>
        <w:rFonts w:ascii="Arial" w:hAnsi="Arial" w:hint="default"/>
      </w:rPr>
    </w:lvl>
    <w:lvl w:ilvl="8" w:tplc="910279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8C1F39"/>
    <w:multiLevelType w:val="hybridMultilevel"/>
    <w:tmpl w:val="439E5604"/>
    <w:lvl w:ilvl="0" w:tplc="4A307EA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B1587C"/>
    <w:multiLevelType w:val="multilevel"/>
    <w:tmpl w:val="A46EAB76"/>
    <w:lvl w:ilvl="0">
      <w:start w:val="1"/>
      <w:numFmt w:val="decimal"/>
      <w:lvlText w:val="%1"/>
      <w:lvlJc w:val="left"/>
      <w:pPr>
        <w:ind w:left="720" w:hanging="720"/>
      </w:pPr>
      <w:rPr>
        <w:rFonts w:hint="default"/>
        <w:b/>
      </w:rPr>
    </w:lvl>
    <w:lvl w:ilvl="1">
      <w:numFmt w:val="bullet"/>
      <w:lvlText w:val="-"/>
      <w:lvlJc w:val="left"/>
      <w:pPr>
        <w:ind w:left="720" w:hanging="720"/>
      </w:pPr>
      <w:rPr>
        <w:rFonts w:ascii="Calibri" w:eastAsiaTheme="minorHAnsi" w:hAnsi="Calibri" w:cstheme="minorBid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F8262C"/>
    <w:multiLevelType w:val="hybridMultilevel"/>
    <w:tmpl w:val="47D8AF98"/>
    <w:lvl w:ilvl="0" w:tplc="6254C846">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6B7A4B"/>
    <w:multiLevelType w:val="hybridMultilevel"/>
    <w:tmpl w:val="C20A7662"/>
    <w:lvl w:ilvl="0" w:tplc="9EF2417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511425"/>
    <w:multiLevelType w:val="hybridMultilevel"/>
    <w:tmpl w:val="E4DEB992"/>
    <w:lvl w:ilvl="0" w:tplc="DB50503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0D9747B"/>
    <w:multiLevelType w:val="hybridMultilevel"/>
    <w:tmpl w:val="A66629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191356"/>
    <w:multiLevelType w:val="hybridMultilevel"/>
    <w:tmpl w:val="222AE6B0"/>
    <w:lvl w:ilvl="0" w:tplc="9EF2417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4D033C"/>
    <w:multiLevelType w:val="multilevel"/>
    <w:tmpl w:val="1312E0CC"/>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9"/>
  </w:num>
  <w:num w:numId="3">
    <w:abstractNumId w:val="0"/>
  </w:num>
  <w:num w:numId="4">
    <w:abstractNumId w:val="17"/>
  </w:num>
  <w:num w:numId="5">
    <w:abstractNumId w:val="8"/>
  </w:num>
  <w:num w:numId="6">
    <w:abstractNumId w:val="6"/>
  </w:num>
  <w:num w:numId="7">
    <w:abstractNumId w:val="12"/>
  </w:num>
  <w:num w:numId="8">
    <w:abstractNumId w:val="15"/>
  </w:num>
  <w:num w:numId="9">
    <w:abstractNumId w:val="14"/>
  </w:num>
  <w:num w:numId="10">
    <w:abstractNumId w:val="13"/>
  </w:num>
  <w:num w:numId="11">
    <w:abstractNumId w:val="16"/>
  </w:num>
  <w:num w:numId="12">
    <w:abstractNumId w:val="2"/>
  </w:num>
  <w:num w:numId="13">
    <w:abstractNumId w:val="3"/>
  </w:num>
  <w:num w:numId="14">
    <w:abstractNumId w:val="1"/>
  </w:num>
  <w:num w:numId="15">
    <w:abstractNumId w:val="5"/>
  </w:num>
  <w:num w:numId="16">
    <w:abstractNumId w:val="7"/>
  </w:num>
  <w:num w:numId="17">
    <w:abstractNumId w:val="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10"/>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65E79"/>
    <w:rsid w:val="00000790"/>
    <w:rsid w:val="00000F3F"/>
    <w:rsid w:val="0000110B"/>
    <w:rsid w:val="000024A8"/>
    <w:rsid w:val="000026C6"/>
    <w:rsid w:val="00003499"/>
    <w:rsid w:val="0000373F"/>
    <w:rsid w:val="000039B7"/>
    <w:rsid w:val="0000639A"/>
    <w:rsid w:val="0000654D"/>
    <w:rsid w:val="00006652"/>
    <w:rsid w:val="00007234"/>
    <w:rsid w:val="00010DF8"/>
    <w:rsid w:val="00013247"/>
    <w:rsid w:val="00013657"/>
    <w:rsid w:val="00015886"/>
    <w:rsid w:val="000159F0"/>
    <w:rsid w:val="000162EF"/>
    <w:rsid w:val="000207C9"/>
    <w:rsid w:val="00020E44"/>
    <w:rsid w:val="00021E74"/>
    <w:rsid w:val="0002225F"/>
    <w:rsid w:val="0002233B"/>
    <w:rsid w:val="00023687"/>
    <w:rsid w:val="00023763"/>
    <w:rsid w:val="00025691"/>
    <w:rsid w:val="000274B8"/>
    <w:rsid w:val="000279A2"/>
    <w:rsid w:val="00030F8A"/>
    <w:rsid w:val="00031ACC"/>
    <w:rsid w:val="00032EE4"/>
    <w:rsid w:val="00033863"/>
    <w:rsid w:val="00034531"/>
    <w:rsid w:val="00035DC0"/>
    <w:rsid w:val="00036829"/>
    <w:rsid w:val="00036E2C"/>
    <w:rsid w:val="00040895"/>
    <w:rsid w:val="00041C5E"/>
    <w:rsid w:val="00041FAC"/>
    <w:rsid w:val="0004356D"/>
    <w:rsid w:val="000435EE"/>
    <w:rsid w:val="00043C37"/>
    <w:rsid w:val="00045017"/>
    <w:rsid w:val="00045A2B"/>
    <w:rsid w:val="00045C0A"/>
    <w:rsid w:val="0004698F"/>
    <w:rsid w:val="00052932"/>
    <w:rsid w:val="000539D0"/>
    <w:rsid w:val="00054621"/>
    <w:rsid w:val="000546D7"/>
    <w:rsid w:val="0005544E"/>
    <w:rsid w:val="000561E9"/>
    <w:rsid w:val="00056ECF"/>
    <w:rsid w:val="00057C26"/>
    <w:rsid w:val="000604DF"/>
    <w:rsid w:val="00061A38"/>
    <w:rsid w:val="00063A98"/>
    <w:rsid w:val="00064751"/>
    <w:rsid w:val="00064981"/>
    <w:rsid w:val="00064F9C"/>
    <w:rsid w:val="000653B5"/>
    <w:rsid w:val="0006596E"/>
    <w:rsid w:val="00066360"/>
    <w:rsid w:val="00066AF8"/>
    <w:rsid w:val="000677BC"/>
    <w:rsid w:val="00070873"/>
    <w:rsid w:val="00071248"/>
    <w:rsid w:val="000720B9"/>
    <w:rsid w:val="000737F7"/>
    <w:rsid w:val="00074E8F"/>
    <w:rsid w:val="00075454"/>
    <w:rsid w:val="0007672F"/>
    <w:rsid w:val="00076B54"/>
    <w:rsid w:val="000774F0"/>
    <w:rsid w:val="00080909"/>
    <w:rsid w:val="000812CA"/>
    <w:rsid w:val="00081E63"/>
    <w:rsid w:val="0008258D"/>
    <w:rsid w:val="00083E99"/>
    <w:rsid w:val="00084FA8"/>
    <w:rsid w:val="000856C5"/>
    <w:rsid w:val="00085C31"/>
    <w:rsid w:val="0008651C"/>
    <w:rsid w:val="0008660A"/>
    <w:rsid w:val="00087B3A"/>
    <w:rsid w:val="000902D9"/>
    <w:rsid w:val="00090C7E"/>
    <w:rsid w:val="00091C32"/>
    <w:rsid w:val="00092175"/>
    <w:rsid w:val="00092600"/>
    <w:rsid w:val="0009262B"/>
    <w:rsid w:val="00093310"/>
    <w:rsid w:val="0009445C"/>
    <w:rsid w:val="00095200"/>
    <w:rsid w:val="00095493"/>
    <w:rsid w:val="00095FE5"/>
    <w:rsid w:val="00096284"/>
    <w:rsid w:val="000974C0"/>
    <w:rsid w:val="000A1BC0"/>
    <w:rsid w:val="000A5121"/>
    <w:rsid w:val="000A5E91"/>
    <w:rsid w:val="000A6039"/>
    <w:rsid w:val="000A60AB"/>
    <w:rsid w:val="000A680C"/>
    <w:rsid w:val="000A715F"/>
    <w:rsid w:val="000A7453"/>
    <w:rsid w:val="000A7704"/>
    <w:rsid w:val="000A7D08"/>
    <w:rsid w:val="000B0121"/>
    <w:rsid w:val="000B0670"/>
    <w:rsid w:val="000B0E75"/>
    <w:rsid w:val="000B0EAE"/>
    <w:rsid w:val="000B209C"/>
    <w:rsid w:val="000B2165"/>
    <w:rsid w:val="000B2DCB"/>
    <w:rsid w:val="000B312E"/>
    <w:rsid w:val="000B4944"/>
    <w:rsid w:val="000B5CE0"/>
    <w:rsid w:val="000B68A8"/>
    <w:rsid w:val="000B6CAC"/>
    <w:rsid w:val="000B72B7"/>
    <w:rsid w:val="000B7612"/>
    <w:rsid w:val="000B78AE"/>
    <w:rsid w:val="000B7970"/>
    <w:rsid w:val="000B7DAC"/>
    <w:rsid w:val="000B7E2A"/>
    <w:rsid w:val="000C091A"/>
    <w:rsid w:val="000C2336"/>
    <w:rsid w:val="000C30AE"/>
    <w:rsid w:val="000C326E"/>
    <w:rsid w:val="000C3DF9"/>
    <w:rsid w:val="000C526D"/>
    <w:rsid w:val="000C6713"/>
    <w:rsid w:val="000C722D"/>
    <w:rsid w:val="000C7985"/>
    <w:rsid w:val="000C7AAD"/>
    <w:rsid w:val="000C7F50"/>
    <w:rsid w:val="000D05E6"/>
    <w:rsid w:val="000D1954"/>
    <w:rsid w:val="000D1BFC"/>
    <w:rsid w:val="000D1D5D"/>
    <w:rsid w:val="000D1DF9"/>
    <w:rsid w:val="000D27A3"/>
    <w:rsid w:val="000D281A"/>
    <w:rsid w:val="000D2848"/>
    <w:rsid w:val="000D3145"/>
    <w:rsid w:val="000D326A"/>
    <w:rsid w:val="000D4837"/>
    <w:rsid w:val="000D51FB"/>
    <w:rsid w:val="000D72D7"/>
    <w:rsid w:val="000D7605"/>
    <w:rsid w:val="000E0640"/>
    <w:rsid w:val="000E135D"/>
    <w:rsid w:val="000E1804"/>
    <w:rsid w:val="000E2F51"/>
    <w:rsid w:val="000E35A5"/>
    <w:rsid w:val="000E5E60"/>
    <w:rsid w:val="000E68B9"/>
    <w:rsid w:val="000E69EE"/>
    <w:rsid w:val="000E6D43"/>
    <w:rsid w:val="000E722D"/>
    <w:rsid w:val="000F00BA"/>
    <w:rsid w:val="000F0E4A"/>
    <w:rsid w:val="000F1E13"/>
    <w:rsid w:val="000F247F"/>
    <w:rsid w:val="000F28C4"/>
    <w:rsid w:val="000F316A"/>
    <w:rsid w:val="000F3C74"/>
    <w:rsid w:val="000F4BB8"/>
    <w:rsid w:val="000F4FA9"/>
    <w:rsid w:val="000F53FB"/>
    <w:rsid w:val="000F54EA"/>
    <w:rsid w:val="000F7127"/>
    <w:rsid w:val="000F7B54"/>
    <w:rsid w:val="00100F8A"/>
    <w:rsid w:val="0010164D"/>
    <w:rsid w:val="0010165C"/>
    <w:rsid w:val="001016D5"/>
    <w:rsid w:val="00101C61"/>
    <w:rsid w:val="00104527"/>
    <w:rsid w:val="0010452E"/>
    <w:rsid w:val="00105AE2"/>
    <w:rsid w:val="001060C6"/>
    <w:rsid w:val="00106B80"/>
    <w:rsid w:val="0011032E"/>
    <w:rsid w:val="0011102D"/>
    <w:rsid w:val="00111A52"/>
    <w:rsid w:val="00111D94"/>
    <w:rsid w:val="00113224"/>
    <w:rsid w:val="0011348B"/>
    <w:rsid w:val="0011357A"/>
    <w:rsid w:val="001143DA"/>
    <w:rsid w:val="0011489E"/>
    <w:rsid w:val="00115982"/>
    <w:rsid w:val="00115AB4"/>
    <w:rsid w:val="00116C53"/>
    <w:rsid w:val="00116CFF"/>
    <w:rsid w:val="00121799"/>
    <w:rsid w:val="001222FC"/>
    <w:rsid w:val="00123902"/>
    <w:rsid w:val="00124A51"/>
    <w:rsid w:val="00125364"/>
    <w:rsid w:val="00126621"/>
    <w:rsid w:val="00126B1D"/>
    <w:rsid w:val="00126D7C"/>
    <w:rsid w:val="00127E02"/>
    <w:rsid w:val="001301E9"/>
    <w:rsid w:val="00131D82"/>
    <w:rsid w:val="00132B22"/>
    <w:rsid w:val="00133D36"/>
    <w:rsid w:val="00134053"/>
    <w:rsid w:val="00137336"/>
    <w:rsid w:val="00137645"/>
    <w:rsid w:val="0014015A"/>
    <w:rsid w:val="00140464"/>
    <w:rsid w:val="001406FF"/>
    <w:rsid w:val="00140E99"/>
    <w:rsid w:val="00142B61"/>
    <w:rsid w:val="00143F67"/>
    <w:rsid w:val="00145540"/>
    <w:rsid w:val="001456B0"/>
    <w:rsid w:val="00145B78"/>
    <w:rsid w:val="00145C06"/>
    <w:rsid w:val="00147A84"/>
    <w:rsid w:val="00152D47"/>
    <w:rsid w:val="00153178"/>
    <w:rsid w:val="00153A73"/>
    <w:rsid w:val="00153B98"/>
    <w:rsid w:val="00154E9B"/>
    <w:rsid w:val="001565A0"/>
    <w:rsid w:val="00156F8F"/>
    <w:rsid w:val="00157130"/>
    <w:rsid w:val="001576B1"/>
    <w:rsid w:val="00157CF6"/>
    <w:rsid w:val="00160200"/>
    <w:rsid w:val="0016047B"/>
    <w:rsid w:val="00160A4C"/>
    <w:rsid w:val="00162158"/>
    <w:rsid w:val="00162913"/>
    <w:rsid w:val="00163EFF"/>
    <w:rsid w:val="00163F66"/>
    <w:rsid w:val="0016429A"/>
    <w:rsid w:val="00164986"/>
    <w:rsid w:val="001661FB"/>
    <w:rsid w:val="001671A0"/>
    <w:rsid w:val="0016766D"/>
    <w:rsid w:val="0016767F"/>
    <w:rsid w:val="00173565"/>
    <w:rsid w:val="0017356B"/>
    <w:rsid w:val="00173B07"/>
    <w:rsid w:val="00173BB7"/>
    <w:rsid w:val="001742DC"/>
    <w:rsid w:val="001749F6"/>
    <w:rsid w:val="001751FA"/>
    <w:rsid w:val="00177643"/>
    <w:rsid w:val="00177EED"/>
    <w:rsid w:val="00181869"/>
    <w:rsid w:val="00181D9C"/>
    <w:rsid w:val="001821F9"/>
    <w:rsid w:val="0018471A"/>
    <w:rsid w:val="00184B0E"/>
    <w:rsid w:val="0018545F"/>
    <w:rsid w:val="001859A3"/>
    <w:rsid w:val="00186443"/>
    <w:rsid w:val="001870A1"/>
    <w:rsid w:val="0018752F"/>
    <w:rsid w:val="00187640"/>
    <w:rsid w:val="00191966"/>
    <w:rsid w:val="001920ED"/>
    <w:rsid w:val="001925CA"/>
    <w:rsid w:val="00193009"/>
    <w:rsid w:val="00193838"/>
    <w:rsid w:val="00193AA0"/>
    <w:rsid w:val="00194AD8"/>
    <w:rsid w:val="00194AFA"/>
    <w:rsid w:val="00195222"/>
    <w:rsid w:val="001970A2"/>
    <w:rsid w:val="001975D8"/>
    <w:rsid w:val="00197C31"/>
    <w:rsid w:val="001A178E"/>
    <w:rsid w:val="001A43FA"/>
    <w:rsid w:val="001A47C5"/>
    <w:rsid w:val="001A56C6"/>
    <w:rsid w:val="001A57A3"/>
    <w:rsid w:val="001A59FB"/>
    <w:rsid w:val="001A5E9E"/>
    <w:rsid w:val="001A6354"/>
    <w:rsid w:val="001A6366"/>
    <w:rsid w:val="001A66F9"/>
    <w:rsid w:val="001A6EFA"/>
    <w:rsid w:val="001A7AE8"/>
    <w:rsid w:val="001B01E6"/>
    <w:rsid w:val="001B204E"/>
    <w:rsid w:val="001B2372"/>
    <w:rsid w:val="001B3443"/>
    <w:rsid w:val="001B39CD"/>
    <w:rsid w:val="001B3BBC"/>
    <w:rsid w:val="001B4307"/>
    <w:rsid w:val="001B4492"/>
    <w:rsid w:val="001B4D20"/>
    <w:rsid w:val="001B629B"/>
    <w:rsid w:val="001C2075"/>
    <w:rsid w:val="001C2A9B"/>
    <w:rsid w:val="001C38CE"/>
    <w:rsid w:val="001C3FFA"/>
    <w:rsid w:val="001C4299"/>
    <w:rsid w:val="001C45C0"/>
    <w:rsid w:val="001C4874"/>
    <w:rsid w:val="001C4CAA"/>
    <w:rsid w:val="001C5F94"/>
    <w:rsid w:val="001C6E66"/>
    <w:rsid w:val="001C7000"/>
    <w:rsid w:val="001C701F"/>
    <w:rsid w:val="001C7AB7"/>
    <w:rsid w:val="001D0813"/>
    <w:rsid w:val="001D1100"/>
    <w:rsid w:val="001D1391"/>
    <w:rsid w:val="001D25D7"/>
    <w:rsid w:val="001D2F80"/>
    <w:rsid w:val="001D36C5"/>
    <w:rsid w:val="001D37A0"/>
    <w:rsid w:val="001D39C6"/>
    <w:rsid w:val="001D46F9"/>
    <w:rsid w:val="001D4EE4"/>
    <w:rsid w:val="001D50B2"/>
    <w:rsid w:val="001D6FF1"/>
    <w:rsid w:val="001D7391"/>
    <w:rsid w:val="001D7645"/>
    <w:rsid w:val="001D7D38"/>
    <w:rsid w:val="001E03FD"/>
    <w:rsid w:val="001E090E"/>
    <w:rsid w:val="001E1E86"/>
    <w:rsid w:val="001E209A"/>
    <w:rsid w:val="001E238E"/>
    <w:rsid w:val="001E2483"/>
    <w:rsid w:val="001E2B1E"/>
    <w:rsid w:val="001E2CFF"/>
    <w:rsid w:val="001E2F24"/>
    <w:rsid w:val="001E30D4"/>
    <w:rsid w:val="001E34DF"/>
    <w:rsid w:val="001E3F78"/>
    <w:rsid w:val="001E4AEE"/>
    <w:rsid w:val="001E5213"/>
    <w:rsid w:val="001E52EB"/>
    <w:rsid w:val="001E61D2"/>
    <w:rsid w:val="001E62FA"/>
    <w:rsid w:val="001E70F4"/>
    <w:rsid w:val="001E740C"/>
    <w:rsid w:val="001E79BE"/>
    <w:rsid w:val="001F04A6"/>
    <w:rsid w:val="001F04F7"/>
    <w:rsid w:val="001F1235"/>
    <w:rsid w:val="001F1CB3"/>
    <w:rsid w:val="001F34D4"/>
    <w:rsid w:val="001F38B5"/>
    <w:rsid w:val="001F3C0B"/>
    <w:rsid w:val="001F3CC3"/>
    <w:rsid w:val="001F4081"/>
    <w:rsid w:val="001F4160"/>
    <w:rsid w:val="001F5D9B"/>
    <w:rsid w:val="001F63DF"/>
    <w:rsid w:val="001F6405"/>
    <w:rsid w:val="001F65B1"/>
    <w:rsid w:val="001F7361"/>
    <w:rsid w:val="002011B0"/>
    <w:rsid w:val="00202C8B"/>
    <w:rsid w:val="00202F38"/>
    <w:rsid w:val="00203181"/>
    <w:rsid w:val="00203783"/>
    <w:rsid w:val="0020385F"/>
    <w:rsid w:val="00203869"/>
    <w:rsid w:val="00204C82"/>
    <w:rsid w:val="00206569"/>
    <w:rsid w:val="002068A0"/>
    <w:rsid w:val="00206D35"/>
    <w:rsid w:val="00207021"/>
    <w:rsid w:val="002072AD"/>
    <w:rsid w:val="0020732F"/>
    <w:rsid w:val="00207BD7"/>
    <w:rsid w:val="00207CF5"/>
    <w:rsid w:val="00207D00"/>
    <w:rsid w:val="00207DB8"/>
    <w:rsid w:val="002105C1"/>
    <w:rsid w:val="00211450"/>
    <w:rsid w:val="00211765"/>
    <w:rsid w:val="002127CB"/>
    <w:rsid w:val="00212A15"/>
    <w:rsid w:val="002130B6"/>
    <w:rsid w:val="00213EF5"/>
    <w:rsid w:val="0021570E"/>
    <w:rsid w:val="00216BF5"/>
    <w:rsid w:val="00220CE9"/>
    <w:rsid w:val="00221B39"/>
    <w:rsid w:val="00222B0B"/>
    <w:rsid w:val="0022342E"/>
    <w:rsid w:val="00223B49"/>
    <w:rsid w:val="00223D5A"/>
    <w:rsid w:val="00224354"/>
    <w:rsid w:val="00224DD4"/>
    <w:rsid w:val="00225F1A"/>
    <w:rsid w:val="00225FF2"/>
    <w:rsid w:val="0022761F"/>
    <w:rsid w:val="002278A0"/>
    <w:rsid w:val="002309CC"/>
    <w:rsid w:val="00230BAC"/>
    <w:rsid w:val="00231E46"/>
    <w:rsid w:val="0023209F"/>
    <w:rsid w:val="002333C4"/>
    <w:rsid w:val="00233C01"/>
    <w:rsid w:val="002340C8"/>
    <w:rsid w:val="0023413C"/>
    <w:rsid w:val="002346F0"/>
    <w:rsid w:val="00235946"/>
    <w:rsid w:val="0023629D"/>
    <w:rsid w:val="00237255"/>
    <w:rsid w:val="00241F57"/>
    <w:rsid w:val="0024205F"/>
    <w:rsid w:val="002424AF"/>
    <w:rsid w:val="002430B1"/>
    <w:rsid w:val="002439DC"/>
    <w:rsid w:val="002441D2"/>
    <w:rsid w:val="00244564"/>
    <w:rsid w:val="00244DC8"/>
    <w:rsid w:val="002453B4"/>
    <w:rsid w:val="002458BA"/>
    <w:rsid w:val="00245CE9"/>
    <w:rsid w:val="0024636C"/>
    <w:rsid w:val="002463DA"/>
    <w:rsid w:val="00247925"/>
    <w:rsid w:val="00251006"/>
    <w:rsid w:val="002524D5"/>
    <w:rsid w:val="00253B1D"/>
    <w:rsid w:val="00254DCF"/>
    <w:rsid w:val="0025534B"/>
    <w:rsid w:val="00255712"/>
    <w:rsid w:val="00255BB7"/>
    <w:rsid w:val="00256CDE"/>
    <w:rsid w:val="00256F9E"/>
    <w:rsid w:val="00257102"/>
    <w:rsid w:val="00257541"/>
    <w:rsid w:val="00257A39"/>
    <w:rsid w:val="00257AC4"/>
    <w:rsid w:val="00260A3C"/>
    <w:rsid w:val="00260F33"/>
    <w:rsid w:val="00261EEF"/>
    <w:rsid w:val="0026226B"/>
    <w:rsid w:val="00262A1A"/>
    <w:rsid w:val="00262A87"/>
    <w:rsid w:val="00263866"/>
    <w:rsid w:val="00263EB3"/>
    <w:rsid w:val="002641FB"/>
    <w:rsid w:val="00264D26"/>
    <w:rsid w:val="00266300"/>
    <w:rsid w:val="00266745"/>
    <w:rsid w:val="00267642"/>
    <w:rsid w:val="00267AEA"/>
    <w:rsid w:val="002700E6"/>
    <w:rsid w:val="00270F1C"/>
    <w:rsid w:val="0027294B"/>
    <w:rsid w:val="00273B30"/>
    <w:rsid w:val="00273CBF"/>
    <w:rsid w:val="00273EB4"/>
    <w:rsid w:val="00274682"/>
    <w:rsid w:val="002749D4"/>
    <w:rsid w:val="00275C5A"/>
    <w:rsid w:val="00276F1D"/>
    <w:rsid w:val="002777FE"/>
    <w:rsid w:val="00280183"/>
    <w:rsid w:val="0028040E"/>
    <w:rsid w:val="0028050B"/>
    <w:rsid w:val="00280AFE"/>
    <w:rsid w:val="00281014"/>
    <w:rsid w:val="002820A2"/>
    <w:rsid w:val="00282B5C"/>
    <w:rsid w:val="00282E8E"/>
    <w:rsid w:val="002834F5"/>
    <w:rsid w:val="002845B0"/>
    <w:rsid w:val="00284AD4"/>
    <w:rsid w:val="0028665D"/>
    <w:rsid w:val="00286B11"/>
    <w:rsid w:val="002979FE"/>
    <w:rsid w:val="00297A31"/>
    <w:rsid w:val="002A0B32"/>
    <w:rsid w:val="002A14AB"/>
    <w:rsid w:val="002A17D5"/>
    <w:rsid w:val="002A2ADE"/>
    <w:rsid w:val="002A2C57"/>
    <w:rsid w:val="002A2F50"/>
    <w:rsid w:val="002A4546"/>
    <w:rsid w:val="002A4E62"/>
    <w:rsid w:val="002A6052"/>
    <w:rsid w:val="002A6F74"/>
    <w:rsid w:val="002A78C6"/>
    <w:rsid w:val="002B05A1"/>
    <w:rsid w:val="002B0654"/>
    <w:rsid w:val="002B09A4"/>
    <w:rsid w:val="002B1C1F"/>
    <w:rsid w:val="002B41B5"/>
    <w:rsid w:val="002B42E0"/>
    <w:rsid w:val="002B432F"/>
    <w:rsid w:val="002B48D2"/>
    <w:rsid w:val="002B5F7E"/>
    <w:rsid w:val="002B62B3"/>
    <w:rsid w:val="002B6754"/>
    <w:rsid w:val="002B6CCE"/>
    <w:rsid w:val="002B6D9C"/>
    <w:rsid w:val="002B6F02"/>
    <w:rsid w:val="002C15A2"/>
    <w:rsid w:val="002C171F"/>
    <w:rsid w:val="002C18A8"/>
    <w:rsid w:val="002C2510"/>
    <w:rsid w:val="002C2775"/>
    <w:rsid w:val="002C2798"/>
    <w:rsid w:val="002C27C1"/>
    <w:rsid w:val="002C2C05"/>
    <w:rsid w:val="002C3C4B"/>
    <w:rsid w:val="002C3FC0"/>
    <w:rsid w:val="002C5099"/>
    <w:rsid w:val="002C5889"/>
    <w:rsid w:val="002C5DA8"/>
    <w:rsid w:val="002C71CE"/>
    <w:rsid w:val="002C71D1"/>
    <w:rsid w:val="002C7DE5"/>
    <w:rsid w:val="002D037C"/>
    <w:rsid w:val="002D08F8"/>
    <w:rsid w:val="002D0F71"/>
    <w:rsid w:val="002D1508"/>
    <w:rsid w:val="002D1979"/>
    <w:rsid w:val="002D1AD3"/>
    <w:rsid w:val="002D2576"/>
    <w:rsid w:val="002D262F"/>
    <w:rsid w:val="002D277C"/>
    <w:rsid w:val="002D3DBB"/>
    <w:rsid w:val="002D3E76"/>
    <w:rsid w:val="002D577C"/>
    <w:rsid w:val="002D6B53"/>
    <w:rsid w:val="002D6C28"/>
    <w:rsid w:val="002D78E2"/>
    <w:rsid w:val="002D7973"/>
    <w:rsid w:val="002E0390"/>
    <w:rsid w:val="002E1071"/>
    <w:rsid w:val="002E15B9"/>
    <w:rsid w:val="002E2158"/>
    <w:rsid w:val="002E2835"/>
    <w:rsid w:val="002E3762"/>
    <w:rsid w:val="002E3A85"/>
    <w:rsid w:val="002E407A"/>
    <w:rsid w:val="002E44AD"/>
    <w:rsid w:val="002E4F02"/>
    <w:rsid w:val="002E53A0"/>
    <w:rsid w:val="002E7722"/>
    <w:rsid w:val="002E7C9C"/>
    <w:rsid w:val="002F07BA"/>
    <w:rsid w:val="002F0DA9"/>
    <w:rsid w:val="002F1014"/>
    <w:rsid w:val="002F1326"/>
    <w:rsid w:val="002F3082"/>
    <w:rsid w:val="002F419D"/>
    <w:rsid w:val="002F55C9"/>
    <w:rsid w:val="002F5E81"/>
    <w:rsid w:val="002F5F1A"/>
    <w:rsid w:val="002F60D4"/>
    <w:rsid w:val="002F643C"/>
    <w:rsid w:val="002F6BC7"/>
    <w:rsid w:val="002F71C0"/>
    <w:rsid w:val="002F74F1"/>
    <w:rsid w:val="002F750C"/>
    <w:rsid w:val="00301017"/>
    <w:rsid w:val="0030155F"/>
    <w:rsid w:val="00302DAD"/>
    <w:rsid w:val="003030A2"/>
    <w:rsid w:val="00303A24"/>
    <w:rsid w:val="0030587B"/>
    <w:rsid w:val="00305981"/>
    <w:rsid w:val="00306D98"/>
    <w:rsid w:val="003071FE"/>
    <w:rsid w:val="0030786C"/>
    <w:rsid w:val="00307F68"/>
    <w:rsid w:val="00310159"/>
    <w:rsid w:val="0031031A"/>
    <w:rsid w:val="00310981"/>
    <w:rsid w:val="003110A1"/>
    <w:rsid w:val="003124D9"/>
    <w:rsid w:val="00312594"/>
    <w:rsid w:val="00314130"/>
    <w:rsid w:val="00314D58"/>
    <w:rsid w:val="00315498"/>
    <w:rsid w:val="00315F4D"/>
    <w:rsid w:val="00316181"/>
    <w:rsid w:val="00316474"/>
    <w:rsid w:val="003168E2"/>
    <w:rsid w:val="003173BD"/>
    <w:rsid w:val="003176FD"/>
    <w:rsid w:val="00320D8D"/>
    <w:rsid w:val="00320DA2"/>
    <w:rsid w:val="0032137D"/>
    <w:rsid w:val="003219D5"/>
    <w:rsid w:val="00322107"/>
    <w:rsid w:val="00322355"/>
    <w:rsid w:val="00322542"/>
    <w:rsid w:val="00322846"/>
    <w:rsid w:val="003253BA"/>
    <w:rsid w:val="003269CF"/>
    <w:rsid w:val="00326DA7"/>
    <w:rsid w:val="003270E4"/>
    <w:rsid w:val="00330DAA"/>
    <w:rsid w:val="00330F5C"/>
    <w:rsid w:val="00332EF9"/>
    <w:rsid w:val="00333E0E"/>
    <w:rsid w:val="0033643C"/>
    <w:rsid w:val="00336447"/>
    <w:rsid w:val="003366C9"/>
    <w:rsid w:val="00336C42"/>
    <w:rsid w:val="00336F35"/>
    <w:rsid w:val="003370B1"/>
    <w:rsid w:val="003371B0"/>
    <w:rsid w:val="003379BC"/>
    <w:rsid w:val="0034070B"/>
    <w:rsid w:val="00340DF1"/>
    <w:rsid w:val="0034101E"/>
    <w:rsid w:val="003411E1"/>
    <w:rsid w:val="00341D1E"/>
    <w:rsid w:val="00342D47"/>
    <w:rsid w:val="00343249"/>
    <w:rsid w:val="00343D94"/>
    <w:rsid w:val="00343FFB"/>
    <w:rsid w:val="003469B6"/>
    <w:rsid w:val="00350FBE"/>
    <w:rsid w:val="003513E5"/>
    <w:rsid w:val="003517F9"/>
    <w:rsid w:val="00351BA9"/>
    <w:rsid w:val="00351C03"/>
    <w:rsid w:val="0035284C"/>
    <w:rsid w:val="00352DEF"/>
    <w:rsid w:val="003531FE"/>
    <w:rsid w:val="00353583"/>
    <w:rsid w:val="00353C1A"/>
    <w:rsid w:val="00354F64"/>
    <w:rsid w:val="0035559C"/>
    <w:rsid w:val="003559C8"/>
    <w:rsid w:val="00356065"/>
    <w:rsid w:val="0035620E"/>
    <w:rsid w:val="00360122"/>
    <w:rsid w:val="00360345"/>
    <w:rsid w:val="00360911"/>
    <w:rsid w:val="00361A05"/>
    <w:rsid w:val="003624C4"/>
    <w:rsid w:val="003635DE"/>
    <w:rsid w:val="00363B00"/>
    <w:rsid w:val="00363F3A"/>
    <w:rsid w:val="0036427F"/>
    <w:rsid w:val="003654AC"/>
    <w:rsid w:val="0036610E"/>
    <w:rsid w:val="00366211"/>
    <w:rsid w:val="00366AEA"/>
    <w:rsid w:val="003710CF"/>
    <w:rsid w:val="00371E7B"/>
    <w:rsid w:val="00372374"/>
    <w:rsid w:val="00372EFC"/>
    <w:rsid w:val="0037358A"/>
    <w:rsid w:val="00373F9B"/>
    <w:rsid w:val="003749A9"/>
    <w:rsid w:val="00374D2A"/>
    <w:rsid w:val="003750F6"/>
    <w:rsid w:val="00375E13"/>
    <w:rsid w:val="003760FC"/>
    <w:rsid w:val="003763CA"/>
    <w:rsid w:val="003776FD"/>
    <w:rsid w:val="00377AE8"/>
    <w:rsid w:val="00381BC5"/>
    <w:rsid w:val="003824F9"/>
    <w:rsid w:val="0038365C"/>
    <w:rsid w:val="0038369B"/>
    <w:rsid w:val="00383848"/>
    <w:rsid w:val="00383B78"/>
    <w:rsid w:val="003841BE"/>
    <w:rsid w:val="0038437B"/>
    <w:rsid w:val="003855AB"/>
    <w:rsid w:val="003859BB"/>
    <w:rsid w:val="00385A9D"/>
    <w:rsid w:val="00386593"/>
    <w:rsid w:val="0038671C"/>
    <w:rsid w:val="0038690C"/>
    <w:rsid w:val="003869BA"/>
    <w:rsid w:val="00386CDA"/>
    <w:rsid w:val="003902B1"/>
    <w:rsid w:val="003908D0"/>
    <w:rsid w:val="00390C56"/>
    <w:rsid w:val="0039179C"/>
    <w:rsid w:val="00392215"/>
    <w:rsid w:val="00393F93"/>
    <w:rsid w:val="0039571E"/>
    <w:rsid w:val="00396896"/>
    <w:rsid w:val="00396F10"/>
    <w:rsid w:val="00396FD0"/>
    <w:rsid w:val="003A00AD"/>
    <w:rsid w:val="003A1A7A"/>
    <w:rsid w:val="003A22DA"/>
    <w:rsid w:val="003A2392"/>
    <w:rsid w:val="003A2831"/>
    <w:rsid w:val="003A3CB6"/>
    <w:rsid w:val="003A3ED1"/>
    <w:rsid w:val="003A432E"/>
    <w:rsid w:val="003A44DB"/>
    <w:rsid w:val="003A527E"/>
    <w:rsid w:val="003A5DC2"/>
    <w:rsid w:val="003A6FCA"/>
    <w:rsid w:val="003A7140"/>
    <w:rsid w:val="003B2226"/>
    <w:rsid w:val="003B303C"/>
    <w:rsid w:val="003B3971"/>
    <w:rsid w:val="003B55D1"/>
    <w:rsid w:val="003B5B61"/>
    <w:rsid w:val="003B65F9"/>
    <w:rsid w:val="003C0760"/>
    <w:rsid w:val="003C0BB8"/>
    <w:rsid w:val="003C0D4F"/>
    <w:rsid w:val="003C1654"/>
    <w:rsid w:val="003C1734"/>
    <w:rsid w:val="003C280C"/>
    <w:rsid w:val="003C3075"/>
    <w:rsid w:val="003C49BE"/>
    <w:rsid w:val="003C4DD0"/>
    <w:rsid w:val="003C53FC"/>
    <w:rsid w:val="003C5542"/>
    <w:rsid w:val="003C73D9"/>
    <w:rsid w:val="003C7D19"/>
    <w:rsid w:val="003C7D2F"/>
    <w:rsid w:val="003D040B"/>
    <w:rsid w:val="003D14C0"/>
    <w:rsid w:val="003D1828"/>
    <w:rsid w:val="003D1DE4"/>
    <w:rsid w:val="003D1E9A"/>
    <w:rsid w:val="003D2422"/>
    <w:rsid w:val="003D3158"/>
    <w:rsid w:val="003D39A1"/>
    <w:rsid w:val="003D3A3F"/>
    <w:rsid w:val="003D3E9B"/>
    <w:rsid w:val="003D3FBF"/>
    <w:rsid w:val="003D46FF"/>
    <w:rsid w:val="003D4A30"/>
    <w:rsid w:val="003D51B1"/>
    <w:rsid w:val="003D5C0C"/>
    <w:rsid w:val="003D65C6"/>
    <w:rsid w:val="003D7266"/>
    <w:rsid w:val="003D7452"/>
    <w:rsid w:val="003D793A"/>
    <w:rsid w:val="003D79BB"/>
    <w:rsid w:val="003D7C98"/>
    <w:rsid w:val="003D7D9D"/>
    <w:rsid w:val="003E0543"/>
    <w:rsid w:val="003E2DE2"/>
    <w:rsid w:val="003E416A"/>
    <w:rsid w:val="003E52B9"/>
    <w:rsid w:val="003E5EEF"/>
    <w:rsid w:val="003E723E"/>
    <w:rsid w:val="003E749E"/>
    <w:rsid w:val="003E7B07"/>
    <w:rsid w:val="003E7B08"/>
    <w:rsid w:val="003F284A"/>
    <w:rsid w:val="003F28BE"/>
    <w:rsid w:val="003F402F"/>
    <w:rsid w:val="003F4156"/>
    <w:rsid w:val="003F45A1"/>
    <w:rsid w:val="003F47D8"/>
    <w:rsid w:val="003F5ADF"/>
    <w:rsid w:val="003F638B"/>
    <w:rsid w:val="003F66FC"/>
    <w:rsid w:val="003F7F27"/>
    <w:rsid w:val="0040004E"/>
    <w:rsid w:val="00400B29"/>
    <w:rsid w:val="004036D2"/>
    <w:rsid w:val="0040504B"/>
    <w:rsid w:val="004059F4"/>
    <w:rsid w:val="004067AD"/>
    <w:rsid w:val="00406B7C"/>
    <w:rsid w:val="00407FE5"/>
    <w:rsid w:val="004101B0"/>
    <w:rsid w:val="00410326"/>
    <w:rsid w:val="00410708"/>
    <w:rsid w:val="00410EC7"/>
    <w:rsid w:val="00411B39"/>
    <w:rsid w:val="004122E8"/>
    <w:rsid w:val="004127A7"/>
    <w:rsid w:val="004133E5"/>
    <w:rsid w:val="00413A1E"/>
    <w:rsid w:val="00413E20"/>
    <w:rsid w:val="00414476"/>
    <w:rsid w:val="00414C2E"/>
    <w:rsid w:val="004151CF"/>
    <w:rsid w:val="00416364"/>
    <w:rsid w:val="00416412"/>
    <w:rsid w:val="0041739A"/>
    <w:rsid w:val="0042047F"/>
    <w:rsid w:val="00420AA6"/>
    <w:rsid w:val="00420B9F"/>
    <w:rsid w:val="0042192C"/>
    <w:rsid w:val="00422260"/>
    <w:rsid w:val="004232A7"/>
    <w:rsid w:val="0042413F"/>
    <w:rsid w:val="004258EA"/>
    <w:rsid w:val="004279AC"/>
    <w:rsid w:val="0043133E"/>
    <w:rsid w:val="004319F8"/>
    <w:rsid w:val="00431A2A"/>
    <w:rsid w:val="00431E55"/>
    <w:rsid w:val="004321F6"/>
    <w:rsid w:val="00433044"/>
    <w:rsid w:val="004339DA"/>
    <w:rsid w:val="00434088"/>
    <w:rsid w:val="004344F6"/>
    <w:rsid w:val="004349BE"/>
    <w:rsid w:val="00434A05"/>
    <w:rsid w:val="004356F5"/>
    <w:rsid w:val="0043603A"/>
    <w:rsid w:val="004362AC"/>
    <w:rsid w:val="00436D89"/>
    <w:rsid w:val="00437108"/>
    <w:rsid w:val="004375B9"/>
    <w:rsid w:val="00437D5B"/>
    <w:rsid w:val="004428D0"/>
    <w:rsid w:val="0044299F"/>
    <w:rsid w:val="004431CF"/>
    <w:rsid w:val="00444185"/>
    <w:rsid w:val="004443A7"/>
    <w:rsid w:val="0044442C"/>
    <w:rsid w:val="004447B6"/>
    <w:rsid w:val="004448CC"/>
    <w:rsid w:val="004452B2"/>
    <w:rsid w:val="00445941"/>
    <w:rsid w:val="004464EB"/>
    <w:rsid w:val="00447353"/>
    <w:rsid w:val="00447D26"/>
    <w:rsid w:val="00447D38"/>
    <w:rsid w:val="00447DFC"/>
    <w:rsid w:val="0045198B"/>
    <w:rsid w:val="00453CF1"/>
    <w:rsid w:val="00455589"/>
    <w:rsid w:val="00455D45"/>
    <w:rsid w:val="00456AC6"/>
    <w:rsid w:val="00457645"/>
    <w:rsid w:val="00460951"/>
    <w:rsid w:val="00460AB8"/>
    <w:rsid w:val="00460CF1"/>
    <w:rsid w:val="0046150D"/>
    <w:rsid w:val="00461990"/>
    <w:rsid w:val="00462110"/>
    <w:rsid w:val="00462BC1"/>
    <w:rsid w:val="00463DBF"/>
    <w:rsid w:val="00464595"/>
    <w:rsid w:val="00465692"/>
    <w:rsid w:val="004658B5"/>
    <w:rsid w:val="00465B8D"/>
    <w:rsid w:val="00467A68"/>
    <w:rsid w:val="00470356"/>
    <w:rsid w:val="00470E39"/>
    <w:rsid w:val="00471016"/>
    <w:rsid w:val="0047105E"/>
    <w:rsid w:val="00471E00"/>
    <w:rsid w:val="00471EA5"/>
    <w:rsid w:val="00472A79"/>
    <w:rsid w:val="00473533"/>
    <w:rsid w:val="00473F19"/>
    <w:rsid w:val="004748AD"/>
    <w:rsid w:val="00475E22"/>
    <w:rsid w:val="0047784B"/>
    <w:rsid w:val="0048088E"/>
    <w:rsid w:val="00480F2B"/>
    <w:rsid w:val="004824CC"/>
    <w:rsid w:val="00482720"/>
    <w:rsid w:val="004835E7"/>
    <w:rsid w:val="00484212"/>
    <w:rsid w:val="004865B3"/>
    <w:rsid w:val="004867E2"/>
    <w:rsid w:val="004874DB"/>
    <w:rsid w:val="00490B17"/>
    <w:rsid w:val="00491182"/>
    <w:rsid w:val="00491780"/>
    <w:rsid w:val="00491B3A"/>
    <w:rsid w:val="004920F9"/>
    <w:rsid w:val="0049279D"/>
    <w:rsid w:val="00492898"/>
    <w:rsid w:val="00492CFD"/>
    <w:rsid w:val="00494207"/>
    <w:rsid w:val="00494956"/>
    <w:rsid w:val="00494DD5"/>
    <w:rsid w:val="004962D2"/>
    <w:rsid w:val="0049712A"/>
    <w:rsid w:val="0049744F"/>
    <w:rsid w:val="00497AFD"/>
    <w:rsid w:val="004A0DA1"/>
    <w:rsid w:val="004A13D6"/>
    <w:rsid w:val="004A1A54"/>
    <w:rsid w:val="004A1FBB"/>
    <w:rsid w:val="004A2415"/>
    <w:rsid w:val="004A2A0E"/>
    <w:rsid w:val="004A4043"/>
    <w:rsid w:val="004A48D9"/>
    <w:rsid w:val="004A52E9"/>
    <w:rsid w:val="004A55C9"/>
    <w:rsid w:val="004A5852"/>
    <w:rsid w:val="004A5E8C"/>
    <w:rsid w:val="004A6040"/>
    <w:rsid w:val="004A6597"/>
    <w:rsid w:val="004A7848"/>
    <w:rsid w:val="004B0880"/>
    <w:rsid w:val="004B0E34"/>
    <w:rsid w:val="004B1CB4"/>
    <w:rsid w:val="004B225F"/>
    <w:rsid w:val="004B2F18"/>
    <w:rsid w:val="004B3DDB"/>
    <w:rsid w:val="004B431F"/>
    <w:rsid w:val="004B44FD"/>
    <w:rsid w:val="004B507A"/>
    <w:rsid w:val="004B52A4"/>
    <w:rsid w:val="004B59CC"/>
    <w:rsid w:val="004B5CFC"/>
    <w:rsid w:val="004B67B3"/>
    <w:rsid w:val="004B6F79"/>
    <w:rsid w:val="004B774D"/>
    <w:rsid w:val="004B7ED0"/>
    <w:rsid w:val="004C020F"/>
    <w:rsid w:val="004C0992"/>
    <w:rsid w:val="004C0F02"/>
    <w:rsid w:val="004C1904"/>
    <w:rsid w:val="004C224B"/>
    <w:rsid w:val="004C29A2"/>
    <w:rsid w:val="004C3D00"/>
    <w:rsid w:val="004C4671"/>
    <w:rsid w:val="004C4AED"/>
    <w:rsid w:val="004C608F"/>
    <w:rsid w:val="004C6424"/>
    <w:rsid w:val="004C7611"/>
    <w:rsid w:val="004D121D"/>
    <w:rsid w:val="004D2C2D"/>
    <w:rsid w:val="004D3CC3"/>
    <w:rsid w:val="004D4AA1"/>
    <w:rsid w:val="004D69B5"/>
    <w:rsid w:val="004D7227"/>
    <w:rsid w:val="004E0E7F"/>
    <w:rsid w:val="004E0EB8"/>
    <w:rsid w:val="004E15B6"/>
    <w:rsid w:val="004E18E9"/>
    <w:rsid w:val="004E1A7A"/>
    <w:rsid w:val="004E217A"/>
    <w:rsid w:val="004E2ADC"/>
    <w:rsid w:val="004E43B2"/>
    <w:rsid w:val="004E45B0"/>
    <w:rsid w:val="004E4FC9"/>
    <w:rsid w:val="004E5D30"/>
    <w:rsid w:val="004E6B47"/>
    <w:rsid w:val="004F1D02"/>
    <w:rsid w:val="004F2679"/>
    <w:rsid w:val="004F2A68"/>
    <w:rsid w:val="004F2F21"/>
    <w:rsid w:val="004F35B7"/>
    <w:rsid w:val="004F386E"/>
    <w:rsid w:val="004F3DE5"/>
    <w:rsid w:val="004F5AB7"/>
    <w:rsid w:val="004F6913"/>
    <w:rsid w:val="004F7865"/>
    <w:rsid w:val="0050174E"/>
    <w:rsid w:val="00501854"/>
    <w:rsid w:val="0050219B"/>
    <w:rsid w:val="00502C3F"/>
    <w:rsid w:val="00503AAF"/>
    <w:rsid w:val="00503F17"/>
    <w:rsid w:val="00504E45"/>
    <w:rsid w:val="005064DF"/>
    <w:rsid w:val="00506928"/>
    <w:rsid w:val="005070F6"/>
    <w:rsid w:val="00507770"/>
    <w:rsid w:val="005077EF"/>
    <w:rsid w:val="00507EB8"/>
    <w:rsid w:val="00510B6E"/>
    <w:rsid w:val="00511AD5"/>
    <w:rsid w:val="00511DC7"/>
    <w:rsid w:val="00512C82"/>
    <w:rsid w:val="0051361A"/>
    <w:rsid w:val="00513A4A"/>
    <w:rsid w:val="005140D4"/>
    <w:rsid w:val="005142C5"/>
    <w:rsid w:val="00514DDE"/>
    <w:rsid w:val="0051501B"/>
    <w:rsid w:val="00515192"/>
    <w:rsid w:val="005152B5"/>
    <w:rsid w:val="00515B89"/>
    <w:rsid w:val="0052123C"/>
    <w:rsid w:val="00521319"/>
    <w:rsid w:val="00522BC8"/>
    <w:rsid w:val="00523C28"/>
    <w:rsid w:val="005303E1"/>
    <w:rsid w:val="005305F7"/>
    <w:rsid w:val="00530FBC"/>
    <w:rsid w:val="0053110E"/>
    <w:rsid w:val="0053176B"/>
    <w:rsid w:val="00534077"/>
    <w:rsid w:val="00536EC8"/>
    <w:rsid w:val="00536F42"/>
    <w:rsid w:val="00537182"/>
    <w:rsid w:val="00537623"/>
    <w:rsid w:val="00537D3F"/>
    <w:rsid w:val="00541572"/>
    <w:rsid w:val="00541EDD"/>
    <w:rsid w:val="00542191"/>
    <w:rsid w:val="00542743"/>
    <w:rsid w:val="00542A0E"/>
    <w:rsid w:val="00542C2D"/>
    <w:rsid w:val="0054440B"/>
    <w:rsid w:val="0054579D"/>
    <w:rsid w:val="005466CF"/>
    <w:rsid w:val="005478BD"/>
    <w:rsid w:val="005479E3"/>
    <w:rsid w:val="00550110"/>
    <w:rsid w:val="00551985"/>
    <w:rsid w:val="00552BD3"/>
    <w:rsid w:val="00552C26"/>
    <w:rsid w:val="005532A0"/>
    <w:rsid w:val="00554E34"/>
    <w:rsid w:val="00555109"/>
    <w:rsid w:val="005551FE"/>
    <w:rsid w:val="00556B35"/>
    <w:rsid w:val="0055741A"/>
    <w:rsid w:val="00560516"/>
    <w:rsid w:val="00561026"/>
    <w:rsid w:val="005611B7"/>
    <w:rsid w:val="005618D4"/>
    <w:rsid w:val="00561F06"/>
    <w:rsid w:val="00564F8E"/>
    <w:rsid w:val="00565DF0"/>
    <w:rsid w:val="0056692D"/>
    <w:rsid w:val="0056696F"/>
    <w:rsid w:val="00566F44"/>
    <w:rsid w:val="00570517"/>
    <w:rsid w:val="005713E6"/>
    <w:rsid w:val="00572269"/>
    <w:rsid w:val="0057244A"/>
    <w:rsid w:val="00572A75"/>
    <w:rsid w:val="00572F26"/>
    <w:rsid w:val="00573C80"/>
    <w:rsid w:val="005750C5"/>
    <w:rsid w:val="005752DE"/>
    <w:rsid w:val="00575484"/>
    <w:rsid w:val="00575D8D"/>
    <w:rsid w:val="00576972"/>
    <w:rsid w:val="00576DA9"/>
    <w:rsid w:val="00576FA4"/>
    <w:rsid w:val="00580DCA"/>
    <w:rsid w:val="005814D4"/>
    <w:rsid w:val="0058230C"/>
    <w:rsid w:val="00582595"/>
    <w:rsid w:val="00582877"/>
    <w:rsid w:val="00583699"/>
    <w:rsid w:val="005842C9"/>
    <w:rsid w:val="00584BC6"/>
    <w:rsid w:val="00584D9D"/>
    <w:rsid w:val="005852B8"/>
    <w:rsid w:val="00585CDD"/>
    <w:rsid w:val="00587058"/>
    <w:rsid w:val="005878CB"/>
    <w:rsid w:val="005912E9"/>
    <w:rsid w:val="005916AA"/>
    <w:rsid w:val="00591957"/>
    <w:rsid w:val="00593B62"/>
    <w:rsid w:val="00596508"/>
    <w:rsid w:val="005976A9"/>
    <w:rsid w:val="00597BF9"/>
    <w:rsid w:val="005A126B"/>
    <w:rsid w:val="005A22F9"/>
    <w:rsid w:val="005A23BA"/>
    <w:rsid w:val="005A264F"/>
    <w:rsid w:val="005A309A"/>
    <w:rsid w:val="005A373D"/>
    <w:rsid w:val="005A6FAE"/>
    <w:rsid w:val="005A755B"/>
    <w:rsid w:val="005A7961"/>
    <w:rsid w:val="005B0B58"/>
    <w:rsid w:val="005B0EA3"/>
    <w:rsid w:val="005B0FA8"/>
    <w:rsid w:val="005B1246"/>
    <w:rsid w:val="005B146C"/>
    <w:rsid w:val="005B23D9"/>
    <w:rsid w:val="005B275E"/>
    <w:rsid w:val="005B38CF"/>
    <w:rsid w:val="005B3A2D"/>
    <w:rsid w:val="005B3C22"/>
    <w:rsid w:val="005B4E53"/>
    <w:rsid w:val="005B5857"/>
    <w:rsid w:val="005B727D"/>
    <w:rsid w:val="005B7351"/>
    <w:rsid w:val="005B7464"/>
    <w:rsid w:val="005B748F"/>
    <w:rsid w:val="005C1369"/>
    <w:rsid w:val="005C1B83"/>
    <w:rsid w:val="005C25FF"/>
    <w:rsid w:val="005C2D55"/>
    <w:rsid w:val="005C346B"/>
    <w:rsid w:val="005C360B"/>
    <w:rsid w:val="005C4A86"/>
    <w:rsid w:val="005C5094"/>
    <w:rsid w:val="005C5797"/>
    <w:rsid w:val="005C62C6"/>
    <w:rsid w:val="005C741E"/>
    <w:rsid w:val="005D044D"/>
    <w:rsid w:val="005D0ABD"/>
    <w:rsid w:val="005D1819"/>
    <w:rsid w:val="005D18AD"/>
    <w:rsid w:val="005D26B4"/>
    <w:rsid w:val="005D28C8"/>
    <w:rsid w:val="005D37AE"/>
    <w:rsid w:val="005D502D"/>
    <w:rsid w:val="005D5775"/>
    <w:rsid w:val="005D61CC"/>
    <w:rsid w:val="005D621C"/>
    <w:rsid w:val="005E6069"/>
    <w:rsid w:val="005E6CBC"/>
    <w:rsid w:val="005E7057"/>
    <w:rsid w:val="005E72FF"/>
    <w:rsid w:val="005E73C0"/>
    <w:rsid w:val="005E7809"/>
    <w:rsid w:val="005F2706"/>
    <w:rsid w:val="005F311A"/>
    <w:rsid w:val="005F323A"/>
    <w:rsid w:val="005F43DD"/>
    <w:rsid w:val="005F5267"/>
    <w:rsid w:val="005F5A0C"/>
    <w:rsid w:val="005F5E0B"/>
    <w:rsid w:val="005F5E65"/>
    <w:rsid w:val="005F6A8F"/>
    <w:rsid w:val="005F6BB7"/>
    <w:rsid w:val="005F7588"/>
    <w:rsid w:val="005F78E2"/>
    <w:rsid w:val="0060094D"/>
    <w:rsid w:val="00603555"/>
    <w:rsid w:val="00603DB9"/>
    <w:rsid w:val="00606D05"/>
    <w:rsid w:val="00606FBA"/>
    <w:rsid w:val="006075F7"/>
    <w:rsid w:val="00607669"/>
    <w:rsid w:val="006076F4"/>
    <w:rsid w:val="00607AFD"/>
    <w:rsid w:val="00610D38"/>
    <w:rsid w:val="006122B2"/>
    <w:rsid w:val="00612CB7"/>
    <w:rsid w:val="00612F97"/>
    <w:rsid w:val="0061345D"/>
    <w:rsid w:val="00613CF3"/>
    <w:rsid w:val="00613D1D"/>
    <w:rsid w:val="00614185"/>
    <w:rsid w:val="0061549B"/>
    <w:rsid w:val="00615DBF"/>
    <w:rsid w:val="006166F6"/>
    <w:rsid w:val="0061676A"/>
    <w:rsid w:val="00616802"/>
    <w:rsid w:val="00617E12"/>
    <w:rsid w:val="00620C25"/>
    <w:rsid w:val="0062131C"/>
    <w:rsid w:val="00621477"/>
    <w:rsid w:val="0062153E"/>
    <w:rsid w:val="00621ADA"/>
    <w:rsid w:val="006228A8"/>
    <w:rsid w:val="006230C9"/>
    <w:rsid w:val="00623A38"/>
    <w:rsid w:val="00623F7B"/>
    <w:rsid w:val="0062456E"/>
    <w:rsid w:val="00625FD9"/>
    <w:rsid w:val="006265A8"/>
    <w:rsid w:val="00626DF9"/>
    <w:rsid w:val="00627361"/>
    <w:rsid w:val="00631386"/>
    <w:rsid w:val="0063158F"/>
    <w:rsid w:val="00631D6B"/>
    <w:rsid w:val="00632183"/>
    <w:rsid w:val="00632A6B"/>
    <w:rsid w:val="006330A1"/>
    <w:rsid w:val="0063426E"/>
    <w:rsid w:val="0063468B"/>
    <w:rsid w:val="0063479F"/>
    <w:rsid w:val="00634FEF"/>
    <w:rsid w:val="006353F0"/>
    <w:rsid w:val="006357B5"/>
    <w:rsid w:val="006364A1"/>
    <w:rsid w:val="0063678E"/>
    <w:rsid w:val="00637BFD"/>
    <w:rsid w:val="006406B2"/>
    <w:rsid w:val="00640C2B"/>
    <w:rsid w:val="00641C4E"/>
    <w:rsid w:val="00641FB3"/>
    <w:rsid w:val="00642806"/>
    <w:rsid w:val="0064434C"/>
    <w:rsid w:val="00644D8C"/>
    <w:rsid w:val="00645666"/>
    <w:rsid w:val="00646259"/>
    <w:rsid w:val="006471CC"/>
    <w:rsid w:val="00647A29"/>
    <w:rsid w:val="006504EF"/>
    <w:rsid w:val="0065079F"/>
    <w:rsid w:val="00650A37"/>
    <w:rsid w:val="00652A28"/>
    <w:rsid w:val="0065365F"/>
    <w:rsid w:val="0065379F"/>
    <w:rsid w:val="0065433D"/>
    <w:rsid w:val="00654479"/>
    <w:rsid w:val="00654CBC"/>
    <w:rsid w:val="00656188"/>
    <w:rsid w:val="00656DD0"/>
    <w:rsid w:val="0065715A"/>
    <w:rsid w:val="00657378"/>
    <w:rsid w:val="006603E6"/>
    <w:rsid w:val="006610F1"/>
    <w:rsid w:val="00661C6B"/>
    <w:rsid w:val="006628A4"/>
    <w:rsid w:val="00662C14"/>
    <w:rsid w:val="00663222"/>
    <w:rsid w:val="00664441"/>
    <w:rsid w:val="00667BCB"/>
    <w:rsid w:val="00670EEB"/>
    <w:rsid w:val="00671004"/>
    <w:rsid w:val="00672646"/>
    <w:rsid w:val="00674950"/>
    <w:rsid w:val="00674E42"/>
    <w:rsid w:val="00674F5A"/>
    <w:rsid w:val="006752C9"/>
    <w:rsid w:val="006768EA"/>
    <w:rsid w:val="006812D7"/>
    <w:rsid w:val="006813F8"/>
    <w:rsid w:val="00681522"/>
    <w:rsid w:val="00681D79"/>
    <w:rsid w:val="00682112"/>
    <w:rsid w:val="00682987"/>
    <w:rsid w:val="00682BA6"/>
    <w:rsid w:val="00682C74"/>
    <w:rsid w:val="006831B2"/>
    <w:rsid w:val="00684BB0"/>
    <w:rsid w:val="00684C93"/>
    <w:rsid w:val="00684FC7"/>
    <w:rsid w:val="00685654"/>
    <w:rsid w:val="00685CC1"/>
    <w:rsid w:val="00686957"/>
    <w:rsid w:val="006872BA"/>
    <w:rsid w:val="00687D41"/>
    <w:rsid w:val="0069005A"/>
    <w:rsid w:val="00690795"/>
    <w:rsid w:val="00691648"/>
    <w:rsid w:val="006917D7"/>
    <w:rsid w:val="006926C3"/>
    <w:rsid w:val="0069434C"/>
    <w:rsid w:val="00694F44"/>
    <w:rsid w:val="0069581F"/>
    <w:rsid w:val="00695945"/>
    <w:rsid w:val="00696F51"/>
    <w:rsid w:val="006971B4"/>
    <w:rsid w:val="006979A5"/>
    <w:rsid w:val="006A30BA"/>
    <w:rsid w:val="006A3895"/>
    <w:rsid w:val="006A3D94"/>
    <w:rsid w:val="006A3E94"/>
    <w:rsid w:val="006A4EC9"/>
    <w:rsid w:val="006A5F2D"/>
    <w:rsid w:val="006A66A1"/>
    <w:rsid w:val="006A6B99"/>
    <w:rsid w:val="006A7E5F"/>
    <w:rsid w:val="006A7F9F"/>
    <w:rsid w:val="006B1194"/>
    <w:rsid w:val="006B1C31"/>
    <w:rsid w:val="006B261B"/>
    <w:rsid w:val="006B2C90"/>
    <w:rsid w:val="006B35E6"/>
    <w:rsid w:val="006B465A"/>
    <w:rsid w:val="006B50DE"/>
    <w:rsid w:val="006B54E6"/>
    <w:rsid w:val="006B6745"/>
    <w:rsid w:val="006B6DD0"/>
    <w:rsid w:val="006C0399"/>
    <w:rsid w:val="006C098B"/>
    <w:rsid w:val="006C2058"/>
    <w:rsid w:val="006C2A8E"/>
    <w:rsid w:val="006C3255"/>
    <w:rsid w:val="006C3913"/>
    <w:rsid w:val="006C3F26"/>
    <w:rsid w:val="006C5118"/>
    <w:rsid w:val="006D0140"/>
    <w:rsid w:val="006D0D17"/>
    <w:rsid w:val="006D26DD"/>
    <w:rsid w:val="006D37CD"/>
    <w:rsid w:val="006D381D"/>
    <w:rsid w:val="006D3B09"/>
    <w:rsid w:val="006D3C7D"/>
    <w:rsid w:val="006D4659"/>
    <w:rsid w:val="006D5D5F"/>
    <w:rsid w:val="006D68FB"/>
    <w:rsid w:val="006E15F5"/>
    <w:rsid w:val="006E161E"/>
    <w:rsid w:val="006E1EDA"/>
    <w:rsid w:val="006E25CA"/>
    <w:rsid w:val="006E2868"/>
    <w:rsid w:val="006E2DD7"/>
    <w:rsid w:val="006E4B3B"/>
    <w:rsid w:val="006E52A2"/>
    <w:rsid w:val="006E52E4"/>
    <w:rsid w:val="006E77BE"/>
    <w:rsid w:val="006F13DA"/>
    <w:rsid w:val="006F306C"/>
    <w:rsid w:val="006F59C3"/>
    <w:rsid w:val="006F63A5"/>
    <w:rsid w:val="006F68FB"/>
    <w:rsid w:val="006F7B10"/>
    <w:rsid w:val="006F7F13"/>
    <w:rsid w:val="007004CC"/>
    <w:rsid w:val="00700AF4"/>
    <w:rsid w:val="0070139D"/>
    <w:rsid w:val="0070142B"/>
    <w:rsid w:val="00702518"/>
    <w:rsid w:val="0070276E"/>
    <w:rsid w:val="00702F8F"/>
    <w:rsid w:val="00703A2F"/>
    <w:rsid w:val="00704B1E"/>
    <w:rsid w:val="0070788A"/>
    <w:rsid w:val="007079FC"/>
    <w:rsid w:val="00710DAA"/>
    <w:rsid w:val="00711A36"/>
    <w:rsid w:val="00713838"/>
    <w:rsid w:val="00714C26"/>
    <w:rsid w:val="00714E88"/>
    <w:rsid w:val="0071529C"/>
    <w:rsid w:val="00716CB2"/>
    <w:rsid w:val="007170DA"/>
    <w:rsid w:val="007172AD"/>
    <w:rsid w:val="0071730B"/>
    <w:rsid w:val="00717806"/>
    <w:rsid w:val="00720801"/>
    <w:rsid w:val="00720EDF"/>
    <w:rsid w:val="00721DE5"/>
    <w:rsid w:val="00722B1B"/>
    <w:rsid w:val="0072416F"/>
    <w:rsid w:val="00727006"/>
    <w:rsid w:val="00727A17"/>
    <w:rsid w:val="00727C94"/>
    <w:rsid w:val="00727D31"/>
    <w:rsid w:val="00727D8E"/>
    <w:rsid w:val="00731B0A"/>
    <w:rsid w:val="00731EAE"/>
    <w:rsid w:val="00732396"/>
    <w:rsid w:val="00732FED"/>
    <w:rsid w:val="00733073"/>
    <w:rsid w:val="00734106"/>
    <w:rsid w:val="00735033"/>
    <w:rsid w:val="00735328"/>
    <w:rsid w:val="00735A4C"/>
    <w:rsid w:val="0073685B"/>
    <w:rsid w:val="007425D7"/>
    <w:rsid w:val="007449BF"/>
    <w:rsid w:val="00745B2D"/>
    <w:rsid w:val="00746BBD"/>
    <w:rsid w:val="00746BC0"/>
    <w:rsid w:val="007510B4"/>
    <w:rsid w:val="00751D44"/>
    <w:rsid w:val="00752142"/>
    <w:rsid w:val="007523F9"/>
    <w:rsid w:val="0075357E"/>
    <w:rsid w:val="00753CBA"/>
    <w:rsid w:val="0075485E"/>
    <w:rsid w:val="00755248"/>
    <w:rsid w:val="00755707"/>
    <w:rsid w:val="00755C2E"/>
    <w:rsid w:val="00756174"/>
    <w:rsid w:val="007561BB"/>
    <w:rsid w:val="007566ED"/>
    <w:rsid w:val="0075711B"/>
    <w:rsid w:val="007573E8"/>
    <w:rsid w:val="00757A76"/>
    <w:rsid w:val="00760C4E"/>
    <w:rsid w:val="00760CE2"/>
    <w:rsid w:val="00760F9E"/>
    <w:rsid w:val="007615AB"/>
    <w:rsid w:val="0076168D"/>
    <w:rsid w:val="007627BE"/>
    <w:rsid w:val="00764F03"/>
    <w:rsid w:val="00765240"/>
    <w:rsid w:val="00765278"/>
    <w:rsid w:val="00765B1A"/>
    <w:rsid w:val="007671B7"/>
    <w:rsid w:val="00767203"/>
    <w:rsid w:val="00767839"/>
    <w:rsid w:val="00767B75"/>
    <w:rsid w:val="00770E6D"/>
    <w:rsid w:val="0077322C"/>
    <w:rsid w:val="0077532B"/>
    <w:rsid w:val="00777335"/>
    <w:rsid w:val="007843F2"/>
    <w:rsid w:val="00785A9F"/>
    <w:rsid w:val="007860AD"/>
    <w:rsid w:val="007925DF"/>
    <w:rsid w:val="00795E31"/>
    <w:rsid w:val="007A01F8"/>
    <w:rsid w:val="007A08AA"/>
    <w:rsid w:val="007A0A12"/>
    <w:rsid w:val="007A132D"/>
    <w:rsid w:val="007A1345"/>
    <w:rsid w:val="007A2C95"/>
    <w:rsid w:val="007A2DDB"/>
    <w:rsid w:val="007A3EDC"/>
    <w:rsid w:val="007A415B"/>
    <w:rsid w:val="007A4BB2"/>
    <w:rsid w:val="007A549C"/>
    <w:rsid w:val="007A5E4A"/>
    <w:rsid w:val="007A70BA"/>
    <w:rsid w:val="007B035D"/>
    <w:rsid w:val="007B0AE3"/>
    <w:rsid w:val="007B0D68"/>
    <w:rsid w:val="007B0FA0"/>
    <w:rsid w:val="007B10FD"/>
    <w:rsid w:val="007B23B3"/>
    <w:rsid w:val="007B251D"/>
    <w:rsid w:val="007B299C"/>
    <w:rsid w:val="007B40C8"/>
    <w:rsid w:val="007B4294"/>
    <w:rsid w:val="007B4F58"/>
    <w:rsid w:val="007B528D"/>
    <w:rsid w:val="007B63CA"/>
    <w:rsid w:val="007B67CA"/>
    <w:rsid w:val="007B77D1"/>
    <w:rsid w:val="007C07C7"/>
    <w:rsid w:val="007C0BB5"/>
    <w:rsid w:val="007C1CD9"/>
    <w:rsid w:val="007C32EF"/>
    <w:rsid w:val="007C361D"/>
    <w:rsid w:val="007C4B84"/>
    <w:rsid w:val="007C662A"/>
    <w:rsid w:val="007C70FF"/>
    <w:rsid w:val="007C7253"/>
    <w:rsid w:val="007C7C25"/>
    <w:rsid w:val="007D004F"/>
    <w:rsid w:val="007D0B38"/>
    <w:rsid w:val="007D1DC2"/>
    <w:rsid w:val="007D4B89"/>
    <w:rsid w:val="007D5440"/>
    <w:rsid w:val="007D69EB"/>
    <w:rsid w:val="007D6B03"/>
    <w:rsid w:val="007D79CB"/>
    <w:rsid w:val="007E09E7"/>
    <w:rsid w:val="007E128F"/>
    <w:rsid w:val="007E506D"/>
    <w:rsid w:val="007E5863"/>
    <w:rsid w:val="007E5B34"/>
    <w:rsid w:val="007E7EB7"/>
    <w:rsid w:val="007F02AC"/>
    <w:rsid w:val="007F1017"/>
    <w:rsid w:val="007F1052"/>
    <w:rsid w:val="007F2CCF"/>
    <w:rsid w:val="007F31CD"/>
    <w:rsid w:val="007F3835"/>
    <w:rsid w:val="007F4A3F"/>
    <w:rsid w:val="007F4A61"/>
    <w:rsid w:val="007F5255"/>
    <w:rsid w:val="007F56CC"/>
    <w:rsid w:val="007F59A6"/>
    <w:rsid w:val="007F61C2"/>
    <w:rsid w:val="007F6392"/>
    <w:rsid w:val="007F6BF7"/>
    <w:rsid w:val="008002D5"/>
    <w:rsid w:val="00801372"/>
    <w:rsid w:val="00801752"/>
    <w:rsid w:val="00801997"/>
    <w:rsid w:val="008035D3"/>
    <w:rsid w:val="008043FC"/>
    <w:rsid w:val="00805142"/>
    <w:rsid w:val="00805BD7"/>
    <w:rsid w:val="00805FCE"/>
    <w:rsid w:val="00806411"/>
    <w:rsid w:val="008065AE"/>
    <w:rsid w:val="00807A74"/>
    <w:rsid w:val="00807A8B"/>
    <w:rsid w:val="00811383"/>
    <w:rsid w:val="00812149"/>
    <w:rsid w:val="0081220C"/>
    <w:rsid w:val="00812CAC"/>
    <w:rsid w:val="008138A4"/>
    <w:rsid w:val="008139CC"/>
    <w:rsid w:val="0081421E"/>
    <w:rsid w:val="008155FF"/>
    <w:rsid w:val="00816361"/>
    <w:rsid w:val="008166EF"/>
    <w:rsid w:val="00816FEF"/>
    <w:rsid w:val="00817D52"/>
    <w:rsid w:val="00820A8C"/>
    <w:rsid w:val="008215FB"/>
    <w:rsid w:val="008219E3"/>
    <w:rsid w:val="00821D60"/>
    <w:rsid w:val="00821E30"/>
    <w:rsid w:val="0082206F"/>
    <w:rsid w:val="00822333"/>
    <w:rsid w:val="00823174"/>
    <w:rsid w:val="00823A8F"/>
    <w:rsid w:val="00823AE9"/>
    <w:rsid w:val="00825751"/>
    <w:rsid w:val="008264EB"/>
    <w:rsid w:val="0082698E"/>
    <w:rsid w:val="008278D8"/>
    <w:rsid w:val="00831651"/>
    <w:rsid w:val="008322EB"/>
    <w:rsid w:val="00832FE8"/>
    <w:rsid w:val="008333E4"/>
    <w:rsid w:val="0083367D"/>
    <w:rsid w:val="008337E6"/>
    <w:rsid w:val="00833B05"/>
    <w:rsid w:val="00833DEB"/>
    <w:rsid w:val="008362B4"/>
    <w:rsid w:val="008374DC"/>
    <w:rsid w:val="00840CA2"/>
    <w:rsid w:val="00841701"/>
    <w:rsid w:val="0084374F"/>
    <w:rsid w:val="00844A22"/>
    <w:rsid w:val="00846A70"/>
    <w:rsid w:val="00847703"/>
    <w:rsid w:val="00847DF5"/>
    <w:rsid w:val="00851819"/>
    <w:rsid w:val="0085309D"/>
    <w:rsid w:val="00853A87"/>
    <w:rsid w:val="0085436D"/>
    <w:rsid w:val="00854A4C"/>
    <w:rsid w:val="00856897"/>
    <w:rsid w:val="00856E9A"/>
    <w:rsid w:val="0085724D"/>
    <w:rsid w:val="0086075D"/>
    <w:rsid w:val="008617B8"/>
    <w:rsid w:val="00862502"/>
    <w:rsid w:val="00862CC1"/>
    <w:rsid w:val="008632E6"/>
    <w:rsid w:val="00864628"/>
    <w:rsid w:val="00864B21"/>
    <w:rsid w:val="00865963"/>
    <w:rsid w:val="008660D4"/>
    <w:rsid w:val="008668C2"/>
    <w:rsid w:val="00866EBB"/>
    <w:rsid w:val="00867E3A"/>
    <w:rsid w:val="00871FA9"/>
    <w:rsid w:val="00872746"/>
    <w:rsid w:val="008728E9"/>
    <w:rsid w:val="00875DD5"/>
    <w:rsid w:val="0087774E"/>
    <w:rsid w:val="008814A0"/>
    <w:rsid w:val="00882018"/>
    <w:rsid w:val="00882874"/>
    <w:rsid w:val="00882E3C"/>
    <w:rsid w:val="00883289"/>
    <w:rsid w:val="00883787"/>
    <w:rsid w:val="008842B3"/>
    <w:rsid w:val="00884C29"/>
    <w:rsid w:val="008855E4"/>
    <w:rsid w:val="008860F0"/>
    <w:rsid w:val="00886CD2"/>
    <w:rsid w:val="008870F6"/>
    <w:rsid w:val="00887AC2"/>
    <w:rsid w:val="008906BF"/>
    <w:rsid w:val="00891253"/>
    <w:rsid w:val="00891E6F"/>
    <w:rsid w:val="00892190"/>
    <w:rsid w:val="0089275D"/>
    <w:rsid w:val="00892A36"/>
    <w:rsid w:val="00893239"/>
    <w:rsid w:val="00893357"/>
    <w:rsid w:val="00894489"/>
    <w:rsid w:val="00895211"/>
    <w:rsid w:val="008957B2"/>
    <w:rsid w:val="008963A5"/>
    <w:rsid w:val="00896B24"/>
    <w:rsid w:val="00896D5D"/>
    <w:rsid w:val="00896EC0"/>
    <w:rsid w:val="008A3363"/>
    <w:rsid w:val="008A3371"/>
    <w:rsid w:val="008A3C3E"/>
    <w:rsid w:val="008A3F8A"/>
    <w:rsid w:val="008A4AA6"/>
    <w:rsid w:val="008A5055"/>
    <w:rsid w:val="008A5A50"/>
    <w:rsid w:val="008A79DE"/>
    <w:rsid w:val="008B00C1"/>
    <w:rsid w:val="008B04FC"/>
    <w:rsid w:val="008B0F05"/>
    <w:rsid w:val="008B0FB7"/>
    <w:rsid w:val="008B1757"/>
    <w:rsid w:val="008B35C9"/>
    <w:rsid w:val="008B4E46"/>
    <w:rsid w:val="008B63C7"/>
    <w:rsid w:val="008B6AE1"/>
    <w:rsid w:val="008B7992"/>
    <w:rsid w:val="008B7D7E"/>
    <w:rsid w:val="008C02C9"/>
    <w:rsid w:val="008C16E2"/>
    <w:rsid w:val="008C1D5D"/>
    <w:rsid w:val="008C215F"/>
    <w:rsid w:val="008C2912"/>
    <w:rsid w:val="008C3744"/>
    <w:rsid w:val="008C458C"/>
    <w:rsid w:val="008C55C4"/>
    <w:rsid w:val="008C5610"/>
    <w:rsid w:val="008C5739"/>
    <w:rsid w:val="008C7ECB"/>
    <w:rsid w:val="008D0300"/>
    <w:rsid w:val="008D2F18"/>
    <w:rsid w:val="008D35DA"/>
    <w:rsid w:val="008D3B86"/>
    <w:rsid w:val="008D4755"/>
    <w:rsid w:val="008D4C3D"/>
    <w:rsid w:val="008D6A88"/>
    <w:rsid w:val="008D6ADA"/>
    <w:rsid w:val="008D6FEA"/>
    <w:rsid w:val="008D743C"/>
    <w:rsid w:val="008E04ED"/>
    <w:rsid w:val="008E0D3C"/>
    <w:rsid w:val="008E1B9E"/>
    <w:rsid w:val="008E24A2"/>
    <w:rsid w:val="008E55AB"/>
    <w:rsid w:val="008F0C09"/>
    <w:rsid w:val="008F120A"/>
    <w:rsid w:val="008F18A3"/>
    <w:rsid w:val="008F27E0"/>
    <w:rsid w:val="008F35DE"/>
    <w:rsid w:val="008F3EF4"/>
    <w:rsid w:val="008F3FAD"/>
    <w:rsid w:val="008F48EB"/>
    <w:rsid w:val="008F4BE1"/>
    <w:rsid w:val="008F4D53"/>
    <w:rsid w:val="008F4F0B"/>
    <w:rsid w:val="008F5212"/>
    <w:rsid w:val="008F5402"/>
    <w:rsid w:val="008F5836"/>
    <w:rsid w:val="008F6124"/>
    <w:rsid w:val="008F75A5"/>
    <w:rsid w:val="008F75C8"/>
    <w:rsid w:val="009000A5"/>
    <w:rsid w:val="00900B34"/>
    <w:rsid w:val="009028BC"/>
    <w:rsid w:val="00902FB8"/>
    <w:rsid w:val="00903593"/>
    <w:rsid w:val="009046C4"/>
    <w:rsid w:val="00905E70"/>
    <w:rsid w:val="009062A5"/>
    <w:rsid w:val="00906E79"/>
    <w:rsid w:val="009079B7"/>
    <w:rsid w:val="00910FA7"/>
    <w:rsid w:val="00911272"/>
    <w:rsid w:val="009119B7"/>
    <w:rsid w:val="009135D6"/>
    <w:rsid w:val="00914C77"/>
    <w:rsid w:val="00914DD6"/>
    <w:rsid w:val="00915086"/>
    <w:rsid w:val="009173E5"/>
    <w:rsid w:val="00917AC9"/>
    <w:rsid w:val="00917B20"/>
    <w:rsid w:val="00921ACB"/>
    <w:rsid w:val="009230F6"/>
    <w:rsid w:val="0092318F"/>
    <w:rsid w:val="0092369B"/>
    <w:rsid w:val="00923F86"/>
    <w:rsid w:val="009264BA"/>
    <w:rsid w:val="009278E4"/>
    <w:rsid w:val="009326C0"/>
    <w:rsid w:val="00932F40"/>
    <w:rsid w:val="009346C5"/>
    <w:rsid w:val="00934988"/>
    <w:rsid w:val="00934E79"/>
    <w:rsid w:val="00934F87"/>
    <w:rsid w:val="00935273"/>
    <w:rsid w:val="0093604E"/>
    <w:rsid w:val="0093676E"/>
    <w:rsid w:val="00937089"/>
    <w:rsid w:val="00937559"/>
    <w:rsid w:val="0094045F"/>
    <w:rsid w:val="009411E6"/>
    <w:rsid w:val="00944F8A"/>
    <w:rsid w:val="009462AC"/>
    <w:rsid w:val="00946406"/>
    <w:rsid w:val="009510A2"/>
    <w:rsid w:val="00951EFF"/>
    <w:rsid w:val="00951F01"/>
    <w:rsid w:val="00951FE0"/>
    <w:rsid w:val="00953257"/>
    <w:rsid w:val="0095335F"/>
    <w:rsid w:val="009546C2"/>
    <w:rsid w:val="0095474C"/>
    <w:rsid w:val="00955C35"/>
    <w:rsid w:val="009560EE"/>
    <w:rsid w:val="00956509"/>
    <w:rsid w:val="0096008B"/>
    <w:rsid w:val="00961C90"/>
    <w:rsid w:val="00962CB9"/>
    <w:rsid w:val="00964312"/>
    <w:rsid w:val="0096434E"/>
    <w:rsid w:val="00964743"/>
    <w:rsid w:val="00965B8A"/>
    <w:rsid w:val="00967392"/>
    <w:rsid w:val="009675BC"/>
    <w:rsid w:val="00967649"/>
    <w:rsid w:val="0097071F"/>
    <w:rsid w:val="00971326"/>
    <w:rsid w:val="009717AC"/>
    <w:rsid w:val="009751C1"/>
    <w:rsid w:val="00975D60"/>
    <w:rsid w:val="00976032"/>
    <w:rsid w:val="0097686E"/>
    <w:rsid w:val="0097761A"/>
    <w:rsid w:val="0097779D"/>
    <w:rsid w:val="009777B9"/>
    <w:rsid w:val="009811F1"/>
    <w:rsid w:val="00981DC1"/>
    <w:rsid w:val="009823C2"/>
    <w:rsid w:val="009829CC"/>
    <w:rsid w:val="00982CB5"/>
    <w:rsid w:val="009831DB"/>
    <w:rsid w:val="00983E57"/>
    <w:rsid w:val="009851F8"/>
    <w:rsid w:val="0098591B"/>
    <w:rsid w:val="00985DE2"/>
    <w:rsid w:val="0098675D"/>
    <w:rsid w:val="00990E1B"/>
    <w:rsid w:val="009926E0"/>
    <w:rsid w:val="0099411F"/>
    <w:rsid w:val="009944CB"/>
    <w:rsid w:val="0099451E"/>
    <w:rsid w:val="0099492A"/>
    <w:rsid w:val="00996B1A"/>
    <w:rsid w:val="009A1CB0"/>
    <w:rsid w:val="009A23BB"/>
    <w:rsid w:val="009A2DCC"/>
    <w:rsid w:val="009A3803"/>
    <w:rsid w:val="009A3933"/>
    <w:rsid w:val="009A3C03"/>
    <w:rsid w:val="009A4524"/>
    <w:rsid w:val="009A5ABC"/>
    <w:rsid w:val="009A5C5E"/>
    <w:rsid w:val="009A60A4"/>
    <w:rsid w:val="009A66B8"/>
    <w:rsid w:val="009A7F10"/>
    <w:rsid w:val="009B056F"/>
    <w:rsid w:val="009B18E0"/>
    <w:rsid w:val="009B2C42"/>
    <w:rsid w:val="009B3E26"/>
    <w:rsid w:val="009B7166"/>
    <w:rsid w:val="009B7F93"/>
    <w:rsid w:val="009C1C84"/>
    <w:rsid w:val="009C3706"/>
    <w:rsid w:val="009C3A3A"/>
    <w:rsid w:val="009C3DF2"/>
    <w:rsid w:val="009C453B"/>
    <w:rsid w:val="009C4E79"/>
    <w:rsid w:val="009C6967"/>
    <w:rsid w:val="009C6CEA"/>
    <w:rsid w:val="009C7B85"/>
    <w:rsid w:val="009C7CBC"/>
    <w:rsid w:val="009C7CCD"/>
    <w:rsid w:val="009C7FFB"/>
    <w:rsid w:val="009D01C8"/>
    <w:rsid w:val="009D0254"/>
    <w:rsid w:val="009D1A64"/>
    <w:rsid w:val="009D289A"/>
    <w:rsid w:val="009D2DB8"/>
    <w:rsid w:val="009D36D8"/>
    <w:rsid w:val="009D38EC"/>
    <w:rsid w:val="009D5B91"/>
    <w:rsid w:val="009D5E4C"/>
    <w:rsid w:val="009D6818"/>
    <w:rsid w:val="009D6F37"/>
    <w:rsid w:val="009D7335"/>
    <w:rsid w:val="009D792E"/>
    <w:rsid w:val="009D7E26"/>
    <w:rsid w:val="009E0DFE"/>
    <w:rsid w:val="009E14E6"/>
    <w:rsid w:val="009E15AF"/>
    <w:rsid w:val="009E1C57"/>
    <w:rsid w:val="009E2A22"/>
    <w:rsid w:val="009E2B90"/>
    <w:rsid w:val="009E31F6"/>
    <w:rsid w:val="009E3B34"/>
    <w:rsid w:val="009E3DB3"/>
    <w:rsid w:val="009E4C07"/>
    <w:rsid w:val="009E560A"/>
    <w:rsid w:val="009E684C"/>
    <w:rsid w:val="009F03BC"/>
    <w:rsid w:val="009F19B9"/>
    <w:rsid w:val="009F1CA9"/>
    <w:rsid w:val="009F451C"/>
    <w:rsid w:val="009F7E84"/>
    <w:rsid w:val="00A01184"/>
    <w:rsid w:val="00A037C2"/>
    <w:rsid w:val="00A03D43"/>
    <w:rsid w:val="00A04380"/>
    <w:rsid w:val="00A05472"/>
    <w:rsid w:val="00A0563C"/>
    <w:rsid w:val="00A05673"/>
    <w:rsid w:val="00A05C32"/>
    <w:rsid w:val="00A0653F"/>
    <w:rsid w:val="00A07146"/>
    <w:rsid w:val="00A1069E"/>
    <w:rsid w:val="00A11CD0"/>
    <w:rsid w:val="00A1375D"/>
    <w:rsid w:val="00A13948"/>
    <w:rsid w:val="00A141A8"/>
    <w:rsid w:val="00A147A1"/>
    <w:rsid w:val="00A1555B"/>
    <w:rsid w:val="00A155C5"/>
    <w:rsid w:val="00A16AD8"/>
    <w:rsid w:val="00A17561"/>
    <w:rsid w:val="00A176C8"/>
    <w:rsid w:val="00A17858"/>
    <w:rsid w:val="00A202F0"/>
    <w:rsid w:val="00A20DE0"/>
    <w:rsid w:val="00A20EF8"/>
    <w:rsid w:val="00A2190C"/>
    <w:rsid w:val="00A21C95"/>
    <w:rsid w:val="00A21CF3"/>
    <w:rsid w:val="00A21E8B"/>
    <w:rsid w:val="00A220A1"/>
    <w:rsid w:val="00A238BA"/>
    <w:rsid w:val="00A23F5D"/>
    <w:rsid w:val="00A24426"/>
    <w:rsid w:val="00A24813"/>
    <w:rsid w:val="00A24F5F"/>
    <w:rsid w:val="00A25636"/>
    <w:rsid w:val="00A267CD"/>
    <w:rsid w:val="00A26A24"/>
    <w:rsid w:val="00A273C1"/>
    <w:rsid w:val="00A273E9"/>
    <w:rsid w:val="00A2790F"/>
    <w:rsid w:val="00A27AEC"/>
    <w:rsid w:val="00A3005B"/>
    <w:rsid w:val="00A30C64"/>
    <w:rsid w:val="00A320DB"/>
    <w:rsid w:val="00A323A5"/>
    <w:rsid w:val="00A34478"/>
    <w:rsid w:val="00A35D16"/>
    <w:rsid w:val="00A36C7E"/>
    <w:rsid w:val="00A37BCD"/>
    <w:rsid w:val="00A4148C"/>
    <w:rsid w:val="00A41689"/>
    <w:rsid w:val="00A42592"/>
    <w:rsid w:val="00A43237"/>
    <w:rsid w:val="00A43C59"/>
    <w:rsid w:val="00A44467"/>
    <w:rsid w:val="00A4674A"/>
    <w:rsid w:val="00A50802"/>
    <w:rsid w:val="00A50ECD"/>
    <w:rsid w:val="00A518F3"/>
    <w:rsid w:val="00A51C77"/>
    <w:rsid w:val="00A52729"/>
    <w:rsid w:val="00A53675"/>
    <w:rsid w:val="00A556BE"/>
    <w:rsid w:val="00A564D7"/>
    <w:rsid w:val="00A56B6A"/>
    <w:rsid w:val="00A56C5C"/>
    <w:rsid w:val="00A578DC"/>
    <w:rsid w:val="00A62D6A"/>
    <w:rsid w:val="00A640E2"/>
    <w:rsid w:val="00A64D65"/>
    <w:rsid w:val="00A661DD"/>
    <w:rsid w:val="00A66643"/>
    <w:rsid w:val="00A66997"/>
    <w:rsid w:val="00A66EAA"/>
    <w:rsid w:val="00A6725B"/>
    <w:rsid w:val="00A70605"/>
    <w:rsid w:val="00A70F1C"/>
    <w:rsid w:val="00A71000"/>
    <w:rsid w:val="00A721CA"/>
    <w:rsid w:val="00A73134"/>
    <w:rsid w:val="00A7449C"/>
    <w:rsid w:val="00A76001"/>
    <w:rsid w:val="00A76330"/>
    <w:rsid w:val="00A76F11"/>
    <w:rsid w:val="00A76FA2"/>
    <w:rsid w:val="00A777B2"/>
    <w:rsid w:val="00A77B29"/>
    <w:rsid w:val="00A811BF"/>
    <w:rsid w:val="00A81708"/>
    <w:rsid w:val="00A825D4"/>
    <w:rsid w:val="00A828F6"/>
    <w:rsid w:val="00A82B73"/>
    <w:rsid w:val="00A82B86"/>
    <w:rsid w:val="00A83FF1"/>
    <w:rsid w:val="00A869F1"/>
    <w:rsid w:val="00A86E8B"/>
    <w:rsid w:val="00A87164"/>
    <w:rsid w:val="00A91F16"/>
    <w:rsid w:val="00A93072"/>
    <w:rsid w:val="00A938BD"/>
    <w:rsid w:val="00A93953"/>
    <w:rsid w:val="00A94046"/>
    <w:rsid w:val="00A942DB"/>
    <w:rsid w:val="00A957AF"/>
    <w:rsid w:val="00A95856"/>
    <w:rsid w:val="00A959D8"/>
    <w:rsid w:val="00A960B9"/>
    <w:rsid w:val="00AA113D"/>
    <w:rsid w:val="00AA21B5"/>
    <w:rsid w:val="00AA2AD1"/>
    <w:rsid w:val="00AA2C20"/>
    <w:rsid w:val="00AA451A"/>
    <w:rsid w:val="00AA4CC6"/>
    <w:rsid w:val="00AA523F"/>
    <w:rsid w:val="00AA5F5B"/>
    <w:rsid w:val="00AA640A"/>
    <w:rsid w:val="00AA6BD5"/>
    <w:rsid w:val="00AA6BD8"/>
    <w:rsid w:val="00AA6C7D"/>
    <w:rsid w:val="00AA7FD6"/>
    <w:rsid w:val="00AB042A"/>
    <w:rsid w:val="00AB12AF"/>
    <w:rsid w:val="00AB1665"/>
    <w:rsid w:val="00AB19EF"/>
    <w:rsid w:val="00AB1AE6"/>
    <w:rsid w:val="00AB2791"/>
    <w:rsid w:val="00AB2D34"/>
    <w:rsid w:val="00AB3430"/>
    <w:rsid w:val="00AB37B9"/>
    <w:rsid w:val="00AB3EAF"/>
    <w:rsid w:val="00AB4AD1"/>
    <w:rsid w:val="00AB5E07"/>
    <w:rsid w:val="00AB7CFA"/>
    <w:rsid w:val="00AC1784"/>
    <w:rsid w:val="00AC2756"/>
    <w:rsid w:val="00AC284C"/>
    <w:rsid w:val="00AC2E1F"/>
    <w:rsid w:val="00AC43F1"/>
    <w:rsid w:val="00AC5A34"/>
    <w:rsid w:val="00AC5B48"/>
    <w:rsid w:val="00AC7DF1"/>
    <w:rsid w:val="00AD1450"/>
    <w:rsid w:val="00AD197D"/>
    <w:rsid w:val="00AD245B"/>
    <w:rsid w:val="00AD25B2"/>
    <w:rsid w:val="00AD3453"/>
    <w:rsid w:val="00AD39F1"/>
    <w:rsid w:val="00AD4753"/>
    <w:rsid w:val="00AD6502"/>
    <w:rsid w:val="00AE0695"/>
    <w:rsid w:val="00AE0F27"/>
    <w:rsid w:val="00AE3E7E"/>
    <w:rsid w:val="00AE4FE5"/>
    <w:rsid w:val="00AF10C0"/>
    <w:rsid w:val="00AF1315"/>
    <w:rsid w:val="00AF19BF"/>
    <w:rsid w:val="00AF2DC3"/>
    <w:rsid w:val="00AF3D6B"/>
    <w:rsid w:val="00AF44D5"/>
    <w:rsid w:val="00AF4F60"/>
    <w:rsid w:val="00AF6179"/>
    <w:rsid w:val="00B002FC"/>
    <w:rsid w:val="00B033E5"/>
    <w:rsid w:val="00B03A63"/>
    <w:rsid w:val="00B04174"/>
    <w:rsid w:val="00B0572C"/>
    <w:rsid w:val="00B05980"/>
    <w:rsid w:val="00B061AA"/>
    <w:rsid w:val="00B10F87"/>
    <w:rsid w:val="00B12922"/>
    <w:rsid w:val="00B12EA0"/>
    <w:rsid w:val="00B13809"/>
    <w:rsid w:val="00B13B0A"/>
    <w:rsid w:val="00B15A56"/>
    <w:rsid w:val="00B1662F"/>
    <w:rsid w:val="00B201A4"/>
    <w:rsid w:val="00B201D1"/>
    <w:rsid w:val="00B213A6"/>
    <w:rsid w:val="00B218A4"/>
    <w:rsid w:val="00B21BD5"/>
    <w:rsid w:val="00B2281D"/>
    <w:rsid w:val="00B2350E"/>
    <w:rsid w:val="00B235B0"/>
    <w:rsid w:val="00B238B3"/>
    <w:rsid w:val="00B243F6"/>
    <w:rsid w:val="00B24DF6"/>
    <w:rsid w:val="00B25F21"/>
    <w:rsid w:val="00B27C20"/>
    <w:rsid w:val="00B3088F"/>
    <w:rsid w:val="00B32314"/>
    <w:rsid w:val="00B34FE2"/>
    <w:rsid w:val="00B35166"/>
    <w:rsid w:val="00B357D8"/>
    <w:rsid w:val="00B35E1C"/>
    <w:rsid w:val="00B360AA"/>
    <w:rsid w:val="00B360F4"/>
    <w:rsid w:val="00B36A00"/>
    <w:rsid w:val="00B378CA"/>
    <w:rsid w:val="00B37BFC"/>
    <w:rsid w:val="00B40358"/>
    <w:rsid w:val="00B41486"/>
    <w:rsid w:val="00B41614"/>
    <w:rsid w:val="00B41639"/>
    <w:rsid w:val="00B41BEE"/>
    <w:rsid w:val="00B42851"/>
    <w:rsid w:val="00B42B78"/>
    <w:rsid w:val="00B42C0B"/>
    <w:rsid w:val="00B42F80"/>
    <w:rsid w:val="00B435CB"/>
    <w:rsid w:val="00B43B85"/>
    <w:rsid w:val="00B446EA"/>
    <w:rsid w:val="00B44A1E"/>
    <w:rsid w:val="00B47624"/>
    <w:rsid w:val="00B504B1"/>
    <w:rsid w:val="00B505C8"/>
    <w:rsid w:val="00B50869"/>
    <w:rsid w:val="00B508C8"/>
    <w:rsid w:val="00B50DB8"/>
    <w:rsid w:val="00B50EB6"/>
    <w:rsid w:val="00B52241"/>
    <w:rsid w:val="00B52C7F"/>
    <w:rsid w:val="00B53654"/>
    <w:rsid w:val="00B53905"/>
    <w:rsid w:val="00B540F6"/>
    <w:rsid w:val="00B54B5B"/>
    <w:rsid w:val="00B5562E"/>
    <w:rsid w:val="00B55D65"/>
    <w:rsid w:val="00B55EBA"/>
    <w:rsid w:val="00B56077"/>
    <w:rsid w:val="00B56BEA"/>
    <w:rsid w:val="00B57000"/>
    <w:rsid w:val="00B57BCA"/>
    <w:rsid w:val="00B60939"/>
    <w:rsid w:val="00B60952"/>
    <w:rsid w:val="00B60AFD"/>
    <w:rsid w:val="00B626A3"/>
    <w:rsid w:val="00B62715"/>
    <w:rsid w:val="00B63528"/>
    <w:rsid w:val="00B63F72"/>
    <w:rsid w:val="00B64069"/>
    <w:rsid w:val="00B65611"/>
    <w:rsid w:val="00B65C9E"/>
    <w:rsid w:val="00B65D48"/>
    <w:rsid w:val="00B664BA"/>
    <w:rsid w:val="00B70E8E"/>
    <w:rsid w:val="00B729D1"/>
    <w:rsid w:val="00B72A80"/>
    <w:rsid w:val="00B76473"/>
    <w:rsid w:val="00B7695B"/>
    <w:rsid w:val="00B76C92"/>
    <w:rsid w:val="00B772D8"/>
    <w:rsid w:val="00B77665"/>
    <w:rsid w:val="00B77E73"/>
    <w:rsid w:val="00B806F9"/>
    <w:rsid w:val="00B80A6A"/>
    <w:rsid w:val="00B813A8"/>
    <w:rsid w:val="00B81897"/>
    <w:rsid w:val="00B818A4"/>
    <w:rsid w:val="00B8355F"/>
    <w:rsid w:val="00B83B7E"/>
    <w:rsid w:val="00B84117"/>
    <w:rsid w:val="00B858F0"/>
    <w:rsid w:val="00B85AA2"/>
    <w:rsid w:val="00B85BA7"/>
    <w:rsid w:val="00B85C2F"/>
    <w:rsid w:val="00B8649C"/>
    <w:rsid w:val="00B8695D"/>
    <w:rsid w:val="00B87F0A"/>
    <w:rsid w:val="00B9188A"/>
    <w:rsid w:val="00B92D0B"/>
    <w:rsid w:val="00B93556"/>
    <w:rsid w:val="00B93ECC"/>
    <w:rsid w:val="00B93F74"/>
    <w:rsid w:val="00B946C8"/>
    <w:rsid w:val="00B94945"/>
    <w:rsid w:val="00B94DD6"/>
    <w:rsid w:val="00BA0E00"/>
    <w:rsid w:val="00BA0F2E"/>
    <w:rsid w:val="00BA3106"/>
    <w:rsid w:val="00BA322D"/>
    <w:rsid w:val="00BA4802"/>
    <w:rsid w:val="00BA57C2"/>
    <w:rsid w:val="00BA591C"/>
    <w:rsid w:val="00BA5CDA"/>
    <w:rsid w:val="00BA63FA"/>
    <w:rsid w:val="00BA6476"/>
    <w:rsid w:val="00BA64FC"/>
    <w:rsid w:val="00BA6D3C"/>
    <w:rsid w:val="00BB00B3"/>
    <w:rsid w:val="00BB0BDD"/>
    <w:rsid w:val="00BB176C"/>
    <w:rsid w:val="00BB2A73"/>
    <w:rsid w:val="00BB2B93"/>
    <w:rsid w:val="00BB2F71"/>
    <w:rsid w:val="00BB3A45"/>
    <w:rsid w:val="00BB4ACC"/>
    <w:rsid w:val="00BB5274"/>
    <w:rsid w:val="00BB6690"/>
    <w:rsid w:val="00BB66CD"/>
    <w:rsid w:val="00BB703E"/>
    <w:rsid w:val="00BB732D"/>
    <w:rsid w:val="00BB7405"/>
    <w:rsid w:val="00BC3631"/>
    <w:rsid w:val="00BC4901"/>
    <w:rsid w:val="00BC4EDA"/>
    <w:rsid w:val="00BC591F"/>
    <w:rsid w:val="00BC726E"/>
    <w:rsid w:val="00BC7D6D"/>
    <w:rsid w:val="00BD2108"/>
    <w:rsid w:val="00BD3844"/>
    <w:rsid w:val="00BD45A9"/>
    <w:rsid w:val="00BD542E"/>
    <w:rsid w:val="00BD5637"/>
    <w:rsid w:val="00BD5D15"/>
    <w:rsid w:val="00BD5E6B"/>
    <w:rsid w:val="00BD68A3"/>
    <w:rsid w:val="00BD6938"/>
    <w:rsid w:val="00BD6CF3"/>
    <w:rsid w:val="00BE00CF"/>
    <w:rsid w:val="00BE073E"/>
    <w:rsid w:val="00BE0ECA"/>
    <w:rsid w:val="00BE1ED5"/>
    <w:rsid w:val="00BE2180"/>
    <w:rsid w:val="00BE21F2"/>
    <w:rsid w:val="00BE40C7"/>
    <w:rsid w:val="00BE4275"/>
    <w:rsid w:val="00BE6816"/>
    <w:rsid w:val="00BE69B9"/>
    <w:rsid w:val="00BF06AE"/>
    <w:rsid w:val="00BF0BBC"/>
    <w:rsid w:val="00BF0F95"/>
    <w:rsid w:val="00BF1629"/>
    <w:rsid w:val="00BF2433"/>
    <w:rsid w:val="00BF33D2"/>
    <w:rsid w:val="00BF5881"/>
    <w:rsid w:val="00BF5DE5"/>
    <w:rsid w:val="00BF61C9"/>
    <w:rsid w:val="00BF6C94"/>
    <w:rsid w:val="00C00424"/>
    <w:rsid w:val="00C00589"/>
    <w:rsid w:val="00C005EB"/>
    <w:rsid w:val="00C02738"/>
    <w:rsid w:val="00C04023"/>
    <w:rsid w:val="00C0478E"/>
    <w:rsid w:val="00C066A0"/>
    <w:rsid w:val="00C068C2"/>
    <w:rsid w:val="00C07475"/>
    <w:rsid w:val="00C114D5"/>
    <w:rsid w:val="00C1156C"/>
    <w:rsid w:val="00C11733"/>
    <w:rsid w:val="00C1179F"/>
    <w:rsid w:val="00C11977"/>
    <w:rsid w:val="00C1199C"/>
    <w:rsid w:val="00C12C14"/>
    <w:rsid w:val="00C13F84"/>
    <w:rsid w:val="00C15F04"/>
    <w:rsid w:val="00C163D0"/>
    <w:rsid w:val="00C179B3"/>
    <w:rsid w:val="00C17E3F"/>
    <w:rsid w:val="00C200AA"/>
    <w:rsid w:val="00C20270"/>
    <w:rsid w:val="00C21DCC"/>
    <w:rsid w:val="00C237ED"/>
    <w:rsid w:val="00C238A4"/>
    <w:rsid w:val="00C24632"/>
    <w:rsid w:val="00C25107"/>
    <w:rsid w:val="00C25418"/>
    <w:rsid w:val="00C25D9C"/>
    <w:rsid w:val="00C2778B"/>
    <w:rsid w:val="00C278A0"/>
    <w:rsid w:val="00C27D96"/>
    <w:rsid w:val="00C31649"/>
    <w:rsid w:val="00C327B4"/>
    <w:rsid w:val="00C3434C"/>
    <w:rsid w:val="00C35220"/>
    <w:rsid w:val="00C3598B"/>
    <w:rsid w:val="00C36152"/>
    <w:rsid w:val="00C36C72"/>
    <w:rsid w:val="00C40385"/>
    <w:rsid w:val="00C41167"/>
    <w:rsid w:val="00C41768"/>
    <w:rsid w:val="00C43DE7"/>
    <w:rsid w:val="00C44054"/>
    <w:rsid w:val="00C45048"/>
    <w:rsid w:val="00C460DC"/>
    <w:rsid w:val="00C475AA"/>
    <w:rsid w:val="00C52075"/>
    <w:rsid w:val="00C533EE"/>
    <w:rsid w:val="00C53C98"/>
    <w:rsid w:val="00C543CB"/>
    <w:rsid w:val="00C547F4"/>
    <w:rsid w:val="00C54FCF"/>
    <w:rsid w:val="00C5539F"/>
    <w:rsid w:val="00C55BCC"/>
    <w:rsid w:val="00C564FF"/>
    <w:rsid w:val="00C56FCF"/>
    <w:rsid w:val="00C57361"/>
    <w:rsid w:val="00C57474"/>
    <w:rsid w:val="00C57B6C"/>
    <w:rsid w:val="00C61915"/>
    <w:rsid w:val="00C628A6"/>
    <w:rsid w:val="00C630CC"/>
    <w:rsid w:val="00C64344"/>
    <w:rsid w:val="00C6509D"/>
    <w:rsid w:val="00C65108"/>
    <w:rsid w:val="00C65576"/>
    <w:rsid w:val="00C66165"/>
    <w:rsid w:val="00C7060A"/>
    <w:rsid w:val="00C7089B"/>
    <w:rsid w:val="00C71164"/>
    <w:rsid w:val="00C7151A"/>
    <w:rsid w:val="00C717E3"/>
    <w:rsid w:val="00C71F60"/>
    <w:rsid w:val="00C72241"/>
    <w:rsid w:val="00C7292C"/>
    <w:rsid w:val="00C74483"/>
    <w:rsid w:val="00C750C8"/>
    <w:rsid w:val="00C7560F"/>
    <w:rsid w:val="00C77FD3"/>
    <w:rsid w:val="00C80A0E"/>
    <w:rsid w:val="00C80FC7"/>
    <w:rsid w:val="00C8167F"/>
    <w:rsid w:val="00C8213F"/>
    <w:rsid w:val="00C82B22"/>
    <w:rsid w:val="00C82B8C"/>
    <w:rsid w:val="00C8305E"/>
    <w:rsid w:val="00C830F1"/>
    <w:rsid w:val="00C83944"/>
    <w:rsid w:val="00C83D66"/>
    <w:rsid w:val="00C83DB5"/>
    <w:rsid w:val="00C85154"/>
    <w:rsid w:val="00C85777"/>
    <w:rsid w:val="00C8797A"/>
    <w:rsid w:val="00C900B8"/>
    <w:rsid w:val="00C90C71"/>
    <w:rsid w:val="00C9116D"/>
    <w:rsid w:val="00C91A40"/>
    <w:rsid w:val="00C91FD1"/>
    <w:rsid w:val="00C931CF"/>
    <w:rsid w:val="00C938CF"/>
    <w:rsid w:val="00C94053"/>
    <w:rsid w:val="00C954AA"/>
    <w:rsid w:val="00C9624D"/>
    <w:rsid w:val="00C969DA"/>
    <w:rsid w:val="00C97A42"/>
    <w:rsid w:val="00CA0138"/>
    <w:rsid w:val="00CA0C5C"/>
    <w:rsid w:val="00CA2C77"/>
    <w:rsid w:val="00CA33A5"/>
    <w:rsid w:val="00CA34AB"/>
    <w:rsid w:val="00CA444F"/>
    <w:rsid w:val="00CA4815"/>
    <w:rsid w:val="00CA4E18"/>
    <w:rsid w:val="00CA5245"/>
    <w:rsid w:val="00CA586F"/>
    <w:rsid w:val="00CA6B7E"/>
    <w:rsid w:val="00CA71F4"/>
    <w:rsid w:val="00CA75AF"/>
    <w:rsid w:val="00CA7B09"/>
    <w:rsid w:val="00CB12A5"/>
    <w:rsid w:val="00CB1CAC"/>
    <w:rsid w:val="00CB2F2A"/>
    <w:rsid w:val="00CB5B1A"/>
    <w:rsid w:val="00CB616D"/>
    <w:rsid w:val="00CB6B22"/>
    <w:rsid w:val="00CB7093"/>
    <w:rsid w:val="00CB7F5F"/>
    <w:rsid w:val="00CC1B39"/>
    <w:rsid w:val="00CC2AA5"/>
    <w:rsid w:val="00CC35EA"/>
    <w:rsid w:val="00CC3848"/>
    <w:rsid w:val="00CC641A"/>
    <w:rsid w:val="00CD062A"/>
    <w:rsid w:val="00CD13FA"/>
    <w:rsid w:val="00CD1E3E"/>
    <w:rsid w:val="00CD3DED"/>
    <w:rsid w:val="00CD3F77"/>
    <w:rsid w:val="00CD4DA0"/>
    <w:rsid w:val="00CD5221"/>
    <w:rsid w:val="00CD6408"/>
    <w:rsid w:val="00CD6ADC"/>
    <w:rsid w:val="00CD7193"/>
    <w:rsid w:val="00CE0684"/>
    <w:rsid w:val="00CE2578"/>
    <w:rsid w:val="00CE38C8"/>
    <w:rsid w:val="00CE3E95"/>
    <w:rsid w:val="00CE4512"/>
    <w:rsid w:val="00CE5A7D"/>
    <w:rsid w:val="00CE5E01"/>
    <w:rsid w:val="00CE6274"/>
    <w:rsid w:val="00CE6C71"/>
    <w:rsid w:val="00CE77B6"/>
    <w:rsid w:val="00CF17DD"/>
    <w:rsid w:val="00CF1D5D"/>
    <w:rsid w:val="00CF28C9"/>
    <w:rsid w:val="00CF2B8D"/>
    <w:rsid w:val="00CF2F35"/>
    <w:rsid w:val="00CF4054"/>
    <w:rsid w:val="00CF40C7"/>
    <w:rsid w:val="00CF456B"/>
    <w:rsid w:val="00CF49BB"/>
    <w:rsid w:val="00CF4D8E"/>
    <w:rsid w:val="00CF5A22"/>
    <w:rsid w:val="00CF5F61"/>
    <w:rsid w:val="00CF647C"/>
    <w:rsid w:val="00CF6644"/>
    <w:rsid w:val="00D01A98"/>
    <w:rsid w:val="00D0262E"/>
    <w:rsid w:val="00D0305D"/>
    <w:rsid w:val="00D04715"/>
    <w:rsid w:val="00D04B75"/>
    <w:rsid w:val="00D04C70"/>
    <w:rsid w:val="00D05E3D"/>
    <w:rsid w:val="00D06139"/>
    <w:rsid w:val="00D068BF"/>
    <w:rsid w:val="00D06C67"/>
    <w:rsid w:val="00D07D7A"/>
    <w:rsid w:val="00D101C2"/>
    <w:rsid w:val="00D10D83"/>
    <w:rsid w:val="00D110BD"/>
    <w:rsid w:val="00D11302"/>
    <w:rsid w:val="00D12360"/>
    <w:rsid w:val="00D1353E"/>
    <w:rsid w:val="00D13675"/>
    <w:rsid w:val="00D141E1"/>
    <w:rsid w:val="00D15314"/>
    <w:rsid w:val="00D15612"/>
    <w:rsid w:val="00D16D08"/>
    <w:rsid w:val="00D17D6C"/>
    <w:rsid w:val="00D2155B"/>
    <w:rsid w:val="00D23D11"/>
    <w:rsid w:val="00D244B6"/>
    <w:rsid w:val="00D245D2"/>
    <w:rsid w:val="00D24D7D"/>
    <w:rsid w:val="00D2660C"/>
    <w:rsid w:val="00D26960"/>
    <w:rsid w:val="00D2754D"/>
    <w:rsid w:val="00D27B27"/>
    <w:rsid w:val="00D27BFD"/>
    <w:rsid w:val="00D30031"/>
    <w:rsid w:val="00D30D26"/>
    <w:rsid w:val="00D31B86"/>
    <w:rsid w:val="00D3223E"/>
    <w:rsid w:val="00D333D4"/>
    <w:rsid w:val="00D33BE9"/>
    <w:rsid w:val="00D33F93"/>
    <w:rsid w:val="00D356B9"/>
    <w:rsid w:val="00D357FF"/>
    <w:rsid w:val="00D35E38"/>
    <w:rsid w:val="00D36EBA"/>
    <w:rsid w:val="00D378D6"/>
    <w:rsid w:val="00D41D19"/>
    <w:rsid w:val="00D424C7"/>
    <w:rsid w:val="00D43B2A"/>
    <w:rsid w:val="00D43D83"/>
    <w:rsid w:val="00D473B4"/>
    <w:rsid w:val="00D47575"/>
    <w:rsid w:val="00D47B93"/>
    <w:rsid w:val="00D51D8A"/>
    <w:rsid w:val="00D5243B"/>
    <w:rsid w:val="00D52C2E"/>
    <w:rsid w:val="00D533EC"/>
    <w:rsid w:val="00D56A95"/>
    <w:rsid w:val="00D621C3"/>
    <w:rsid w:val="00D63CA0"/>
    <w:rsid w:val="00D64020"/>
    <w:rsid w:val="00D6490E"/>
    <w:rsid w:val="00D64A1D"/>
    <w:rsid w:val="00D659B7"/>
    <w:rsid w:val="00D65F08"/>
    <w:rsid w:val="00D66CC5"/>
    <w:rsid w:val="00D67089"/>
    <w:rsid w:val="00D701F3"/>
    <w:rsid w:val="00D70F16"/>
    <w:rsid w:val="00D71116"/>
    <w:rsid w:val="00D72F57"/>
    <w:rsid w:val="00D7380D"/>
    <w:rsid w:val="00D74AD6"/>
    <w:rsid w:val="00D751FC"/>
    <w:rsid w:val="00D75AA8"/>
    <w:rsid w:val="00D76205"/>
    <w:rsid w:val="00D76455"/>
    <w:rsid w:val="00D76498"/>
    <w:rsid w:val="00D76A44"/>
    <w:rsid w:val="00D8008D"/>
    <w:rsid w:val="00D8124F"/>
    <w:rsid w:val="00D815EF"/>
    <w:rsid w:val="00D81F26"/>
    <w:rsid w:val="00D81F5A"/>
    <w:rsid w:val="00D82527"/>
    <w:rsid w:val="00D8273D"/>
    <w:rsid w:val="00D83249"/>
    <w:rsid w:val="00D84051"/>
    <w:rsid w:val="00D841EB"/>
    <w:rsid w:val="00D852E3"/>
    <w:rsid w:val="00D86231"/>
    <w:rsid w:val="00D90401"/>
    <w:rsid w:val="00D90733"/>
    <w:rsid w:val="00D909D5"/>
    <w:rsid w:val="00D91923"/>
    <w:rsid w:val="00D92430"/>
    <w:rsid w:val="00D93753"/>
    <w:rsid w:val="00D957CF"/>
    <w:rsid w:val="00D96D54"/>
    <w:rsid w:val="00DA11BD"/>
    <w:rsid w:val="00DA2363"/>
    <w:rsid w:val="00DA2944"/>
    <w:rsid w:val="00DA3167"/>
    <w:rsid w:val="00DA3252"/>
    <w:rsid w:val="00DA330E"/>
    <w:rsid w:val="00DA4DC3"/>
    <w:rsid w:val="00DA77A5"/>
    <w:rsid w:val="00DB0741"/>
    <w:rsid w:val="00DB2417"/>
    <w:rsid w:val="00DB3DBF"/>
    <w:rsid w:val="00DB484F"/>
    <w:rsid w:val="00DB4F68"/>
    <w:rsid w:val="00DB5798"/>
    <w:rsid w:val="00DB5E26"/>
    <w:rsid w:val="00DB6C89"/>
    <w:rsid w:val="00DB7B01"/>
    <w:rsid w:val="00DC04F6"/>
    <w:rsid w:val="00DC0690"/>
    <w:rsid w:val="00DC1D65"/>
    <w:rsid w:val="00DC3AD3"/>
    <w:rsid w:val="00DC3B9A"/>
    <w:rsid w:val="00DC3C57"/>
    <w:rsid w:val="00DC5501"/>
    <w:rsid w:val="00DC65B3"/>
    <w:rsid w:val="00DC7154"/>
    <w:rsid w:val="00DC7E8A"/>
    <w:rsid w:val="00DD0F78"/>
    <w:rsid w:val="00DD1262"/>
    <w:rsid w:val="00DD1E9F"/>
    <w:rsid w:val="00DD254D"/>
    <w:rsid w:val="00DD267F"/>
    <w:rsid w:val="00DD273C"/>
    <w:rsid w:val="00DD37BC"/>
    <w:rsid w:val="00DD3F28"/>
    <w:rsid w:val="00DD4537"/>
    <w:rsid w:val="00DD4E15"/>
    <w:rsid w:val="00DD68C7"/>
    <w:rsid w:val="00DD6D2B"/>
    <w:rsid w:val="00DD793F"/>
    <w:rsid w:val="00DE1EC7"/>
    <w:rsid w:val="00DE2304"/>
    <w:rsid w:val="00DE2953"/>
    <w:rsid w:val="00DE3138"/>
    <w:rsid w:val="00DE3590"/>
    <w:rsid w:val="00DE37F8"/>
    <w:rsid w:val="00DE4AE8"/>
    <w:rsid w:val="00DE4FCB"/>
    <w:rsid w:val="00DE5884"/>
    <w:rsid w:val="00DE5D07"/>
    <w:rsid w:val="00DE6ED5"/>
    <w:rsid w:val="00DE72A7"/>
    <w:rsid w:val="00DE7832"/>
    <w:rsid w:val="00DF0BF5"/>
    <w:rsid w:val="00DF18FC"/>
    <w:rsid w:val="00DF1C39"/>
    <w:rsid w:val="00DF1D79"/>
    <w:rsid w:val="00DF5B75"/>
    <w:rsid w:val="00DF5D2B"/>
    <w:rsid w:val="00DF6B19"/>
    <w:rsid w:val="00E00E8E"/>
    <w:rsid w:val="00E03135"/>
    <w:rsid w:val="00E03709"/>
    <w:rsid w:val="00E04C1A"/>
    <w:rsid w:val="00E04D03"/>
    <w:rsid w:val="00E05405"/>
    <w:rsid w:val="00E05630"/>
    <w:rsid w:val="00E05813"/>
    <w:rsid w:val="00E061CF"/>
    <w:rsid w:val="00E06DBB"/>
    <w:rsid w:val="00E075C7"/>
    <w:rsid w:val="00E10149"/>
    <w:rsid w:val="00E11340"/>
    <w:rsid w:val="00E122A1"/>
    <w:rsid w:val="00E12E08"/>
    <w:rsid w:val="00E12E2E"/>
    <w:rsid w:val="00E151E4"/>
    <w:rsid w:val="00E16372"/>
    <w:rsid w:val="00E16813"/>
    <w:rsid w:val="00E169BD"/>
    <w:rsid w:val="00E20E4D"/>
    <w:rsid w:val="00E20ED6"/>
    <w:rsid w:val="00E21358"/>
    <w:rsid w:val="00E2249B"/>
    <w:rsid w:val="00E2285C"/>
    <w:rsid w:val="00E22A0D"/>
    <w:rsid w:val="00E24440"/>
    <w:rsid w:val="00E244F6"/>
    <w:rsid w:val="00E2472D"/>
    <w:rsid w:val="00E25F18"/>
    <w:rsid w:val="00E261AB"/>
    <w:rsid w:val="00E263AE"/>
    <w:rsid w:val="00E26A0B"/>
    <w:rsid w:val="00E2771E"/>
    <w:rsid w:val="00E311EF"/>
    <w:rsid w:val="00E3170B"/>
    <w:rsid w:val="00E32175"/>
    <w:rsid w:val="00E32180"/>
    <w:rsid w:val="00E335B4"/>
    <w:rsid w:val="00E33666"/>
    <w:rsid w:val="00E336F5"/>
    <w:rsid w:val="00E34326"/>
    <w:rsid w:val="00E34948"/>
    <w:rsid w:val="00E35223"/>
    <w:rsid w:val="00E367DB"/>
    <w:rsid w:val="00E36F3C"/>
    <w:rsid w:val="00E37569"/>
    <w:rsid w:val="00E401B2"/>
    <w:rsid w:val="00E405CB"/>
    <w:rsid w:val="00E40693"/>
    <w:rsid w:val="00E412BE"/>
    <w:rsid w:val="00E41E30"/>
    <w:rsid w:val="00E42F73"/>
    <w:rsid w:val="00E43D70"/>
    <w:rsid w:val="00E440D7"/>
    <w:rsid w:val="00E45190"/>
    <w:rsid w:val="00E463EE"/>
    <w:rsid w:val="00E466F3"/>
    <w:rsid w:val="00E47B2C"/>
    <w:rsid w:val="00E51560"/>
    <w:rsid w:val="00E53FC8"/>
    <w:rsid w:val="00E54347"/>
    <w:rsid w:val="00E55424"/>
    <w:rsid w:val="00E55915"/>
    <w:rsid w:val="00E55BB5"/>
    <w:rsid w:val="00E55E6F"/>
    <w:rsid w:val="00E57A52"/>
    <w:rsid w:val="00E608F7"/>
    <w:rsid w:val="00E62171"/>
    <w:rsid w:val="00E6327E"/>
    <w:rsid w:val="00E63A30"/>
    <w:rsid w:val="00E64C40"/>
    <w:rsid w:val="00E6530D"/>
    <w:rsid w:val="00E6565B"/>
    <w:rsid w:val="00E65E79"/>
    <w:rsid w:val="00E669E2"/>
    <w:rsid w:val="00E66BA2"/>
    <w:rsid w:val="00E67102"/>
    <w:rsid w:val="00E673C6"/>
    <w:rsid w:val="00E67416"/>
    <w:rsid w:val="00E67B07"/>
    <w:rsid w:val="00E718B6"/>
    <w:rsid w:val="00E71ADA"/>
    <w:rsid w:val="00E723BA"/>
    <w:rsid w:val="00E73581"/>
    <w:rsid w:val="00E7506F"/>
    <w:rsid w:val="00E75BA4"/>
    <w:rsid w:val="00E833F7"/>
    <w:rsid w:val="00E83890"/>
    <w:rsid w:val="00E83BDF"/>
    <w:rsid w:val="00E84659"/>
    <w:rsid w:val="00E8483E"/>
    <w:rsid w:val="00E84B6D"/>
    <w:rsid w:val="00E859EE"/>
    <w:rsid w:val="00E87A1D"/>
    <w:rsid w:val="00E901D2"/>
    <w:rsid w:val="00E90447"/>
    <w:rsid w:val="00E9094A"/>
    <w:rsid w:val="00E915D1"/>
    <w:rsid w:val="00E9192A"/>
    <w:rsid w:val="00E91D35"/>
    <w:rsid w:val="00E9216B"/>
    <w:rsid w:val="00E926A5"/>
    <w:rsid w:val="00E93A8D"/>
    <w:rsid w:val="00E95924"/>
    <w:rsid w:val="00E95C4B"/>
    <w:rsid w:val="00E963B6"/>
    <w:rsid w:val="00E963D4"/>
    <w:rsid w:val="00E97A7A"/>
    <w:rsid w:val="00EA0505"/>
    <w:rsid w:val="00EA17C3"/>
    <w:rsid w:val="00EA2CAA"/>
    <w:rsid w:val="00EA3864"/>
    <w:rsid w:val="00EA3A31"/>
    <w:rsid w:val="00EA62B2"/>
    <w:rsid w:val="00EA67E6"/>
    <w:rsid w:val="00EA753D"/>
    <w:rsid w:val="00EA7D2B"/>
    <w:rsid w:val="00EA7F1C"/>
    <w:rsid w:val="00EB0F2A"/>
    <w:rsid w:val="00EB1124"/>
    <w:rsid w:val="00EB15B6"/>
    <w:rsid w:val="00EB1615"/>
    <w:rsid w:val="00EB3D06"/>
    <w:rsid w:val="00EB4185"/>
    <w:rsid w:val="00EB4916"/>
    <w:rsid w:val="00EB55D9"/>
    <w:rsid w:val="00EB64CF"/>
    <w:rsid w:val="00EC00C9"/>
    <w:rsid w:val="00EC0DD9"/>
    <w:rsid w:val="00EC215D"/>
    <w:rsid w:val="00EC2649"/>
    <w:rsid w:val="00EC31A0"/>
    <w:rsid w:val="00EC31ED"/>
    <w:rsid w:val="00EC49B5"/>
    <w:rsid w:val="00EC5836"/>
    <w:rsid w:val="00EC688C"/>
    <w:rsid w:val="00EC6C12"/>
    <w:rsid w:val="00EC6E29"/>
    <w:rsid w:val="00EC7251"/>
    <w:rsid w:val="00EC7E37"/>
    <w:rsid w:val="00ED07FD"/>
    <w:rsid w:val="00ED14DF"/>
    <w:rsid w:val="00ED2CB2"/>
    <w:rsid w:val="00ED31B1"/>
    <w:rsid w:val="00ED3385"/>
    <w:rsid w:val="00ED36CA"/>
    <w:rsid w:val="00ED57EA"/>
    <w:rsid w:val="00ED5BD4"/>
    <w:rsid w:val="00ED5C58"/>
    <w:rsid w:val="00ED64EB"/>
    <w:rsid w:val="00ED74F6"/>
    <w:rsid w:val="00ED7EF9"/>
    <w:rsid w:val="00EE07D3"/>
    <w:rsid w:val="00EE1996"/>
    <w:rsid w:val="00EE1C01"/>
    <w:rsid w:val="00EE22AF"/>
    <w:rsid w:val="00EE4ED9"/>
    <w:rsid w:val="00EE5568"/>
    <w:rsid w:val="00EF0171"/>
    <w:rsid w:val="00EF0897"/>
    <w:rsid w:val="00EF09F2"/>
    <w:rsid w:val="00EF1817"/>
    <w:rsid w:val="00EF1B25"/>
    <w:rsid w:val="00EF1DA0"/>
    <w:rsid w:val="00EF1F11"/>
    <w:rsid w:val="00EF2130"/>
    <w:rsid w:val="00EF4747"/>
    <w:rsid w:val="00EF4BF8"/>
    <w:rsid w:val="00EF6AD1"/>
    <w:rsid w:val="00EF7FF2"/>
    <w:rsid w:val="00F01AC7"/>
    <w:rsid w:val="00F02253"/>
    <w:rsid w:val="00F03C2E"/>
    <w:rsid w:val="00F04A66"/>
    <w:rsid w:val="00F04B4B"/>
    <w:rsid w:val="00F0516C"/>
    <w:rsid w:val="00F058E6"/>
    <w:rsid w:val="00F067A2"/>
    <w:rsid w:val="00F07A14"/>
    <w:rsid w:val="00F07B9E"/>
    <w:rsid w:val="00F1116F"/>
    <w:rsid w:val="00F11402"/>
    <w:rsid w:val="00F11510"/>
    <w:rsid w:val="00F1231C"/>
    <w:rsid w:val="00F1263A"/>
    <w:rsid w:val="00F132AF"/>
    <w:rsid w:val="00F1351B"/>
    <w:rsid w:val="00F1510A"/>
    <w:rsid w:val="00F15B77"/>
    <w:rsid w:val="00F160C9"/>
    <w:rsid w:val="00F17743"/>
    <w:rsid w:val="00F17798"/>
    <w:rsid w:val="00F17E6A"/>
    <w:rsid w:val="00F23394"/>
    <w:rsid w:val="00F23B80"/>
    <w:rsid w:val="00F24837"/>
    <w:rsid w:val="00F2575F"/>
    <w:rsid w:val="00F265CF"/>
    <w:rsid w:val="00F26A33"/>
    <w:rsid w:val="00F27565"/>
    <w:rsid w:val="00F30F8F"/>
    <w:rsid w:val="00F310D4"/>
    <w:rsid w:val="00F31547"/>
    <w:rsid w:val="00F317C4"/>
    <w:rsid w:val="00F31D5A"/>
    <w:rsid w:val="00F32E0A"/>
    <w:rsid w:val="00F33975"/>
    <w:rsid w:val="00F33A7B"/>
    <w:rsid w:val="00F33DE9"/>
    <w:rsid w:val="00F34CDA"/>
    <w:rsid w:val="00F352F3"/>
    <w:rsid w:val="00F35316"/>
    <w:rsid w:val="00F35E6D"/>
    <w:rsid w:val="00F3619A"/>
    <w:rsid w:val="00F364B9"/>
    <w:rsid w:val="00F3657B"/>
    <w:rsid w:val="00F37AFB"/>
    <w:rsid w:val="00F37DF1"/>
    <w:rsid w:val="00F40AAA"/>
    <w:rsid w:val="00F40BA7"/>
    <w:rsid w:val="00F40F9D"/>
    <w:rsid w:val="00F41ACD"/>
    <w:rsid w:val="00F41E19"/>
    <w:rsid w:val="00F440EB"/>
    <w:rsid w:val="00F44ED1"/>
    <w:rsid w:val="00F45159"/>
    <w:rsid w:val="00F4525E"/>
    <w:rsid w:val="00F457A7"/>
    <w:rsid w:val="00F45DA9"/>
    <w:rsid w:val="00F46CB6"/>
    <w:rsid w:val="00F4756D"/>
    <w:rsid w:val="00F47DE8"/>
    <w:rsid w:val="00F50928"/>
    <w:rsid w:val="00F50E03"/>
    <w:rsid w:val="00F51A6B"/>
    <w:rsid w:val="00F51C56"/>
    <w:rsid w:val="00F53D5D"/>
    <w:rsid w:val="00F53FC8"/>
    <w:rsid w:val="00F542C1"/>
    <w:rsid w:val="00F54627"/>
    <w:rsid w:val="00F55E73"/>
    <w:rsid w:val="00F55EDA"/>
    <w:rsid w:val="00F566EF"/>
    <w:rsid w:val="00F56C80"/>
    <w:rsid w:val="00F57430"/>
    <w:rsid w:val="00F60092"/>
    <w:rsid w:val="00F61028"/>
    <w:rsid w:val="00F6179B"/>
    <w:rsid w:val="00F61C18"/>
    <w:rsid w:val="00F61C73"/>
    <w:rsid w:val="00F62FC5"/>
    <w:rsid w:val="00F631B0"/>
    <w:rsid w:val="00F65243"/>
    <w:rsid w:val="00F65F4B"/>
    <w:rsid w:val="00F660B5"/>
    <w:rsid w:val="00F67A69"/>
    <w:rsid w:val="00F67F22"/>
    <w:rsid w:val="00F70AAD"/>
    <w:rsid w:val="00F70BFF"/>
    <w:rsid w:val="00F70C9D"/>
    <w:rsid w:val="00F7433F"/>
    <w:rsid w:val="00F74CD9"/>
    <w:rsid w:val="00F80A7B"/>
    <w:rsid w:val="00F80E5D"/>
    <w:rsid w:val="00F81CB5"/>
    <w:rsid w:val="00F81CBB"/>
    <w:rsid w:val="00F81E78"/>
    <w:rsid w:val="00F83807"/>
    <w:rsid w:val="00F851CE"/>
    <w:rsid w:val="00F868DF"/>
    <w:rsid w:val="00F91219"/>
    <w:rsid w:val="00F9122C"/>
    <w:rsid w:val="00F92444"/>
    <w:rsid w:val="00F9332F"/>
    <w:rsid w:val="00F9393E"/>
    <w:rsid w:val="00F93D3C"/>
    <w:rsid w:val="00F95B41"/>
    <w:rsid w:val="00F95C9F"/>
    <w:rsid w:val="00F96FD0"/>
    <w:rsid w:val="00F97A78"/>
    <w:rsid w:val="00FA0B20"/>
    <w:rsid w:val="00FA0C7E"/>
    <w:rsid w:val="00FA24E7"/>
    <w:rsid w:val="00FA5124"/>
    <w:rsid w:val="00FA5EE6"/>
    <w:rsid w:val="00FA7956"/>
    <w:rsid w:val="00FB2AB0"/>
    <w:rsid w:val="00FB2FCB"/>
    <w:rsid w:val="00FB571B"/>
    <w:rsid w:val="00FB76AF"/>
    <w:rsid w:val="00FB78DA"/>
    <w:rsid w:val="00FB79A7"/>
    <w:rsid w:val="00FB7A6E"/>
    <w:rsid w:val="00FB7C55"/>
    <w:rsid w:val="00FC1074"/>
    <w:rsid w:val="00FC1628"/>
    <w:rsid w:val="00FC1884"/>
    <w:rsid w:val="00FC2644"/>
    <w:rsid w:val="00FC371D"/>
    <w:rsid w:val="00FC43E7"/>
    <w:rsid w:val="00FC5861"/>
    <w:rsid w:val="00FC5F0B"/>
    <w:rsid w:val="00FD2100"/>
    <w:rsid w:val="00FD2651"/>
    <w:rsid w:val="00FD2D8A"/>
    <w:rsid w:val="00FD436C"/>
    <w:rsid w:val="00FD446D"/>
    <w:rsid w:val="00FD4F2C"/>
    <w:rsid w:val="00FD52C5"/>
    <w:rsid w:val="00FD6394"/>
    <w:rsid w:val="00FE0E6C"/>
    <w:rsid w:val="00FE1566"/>
    <w:rsid w:val="00FE18DD"/>
    <w:rsid w:val="00FE1B7A"/>
    <w:rsid w:val="00FE1CDC"/>
    <w:rsid w:val="00FE227C"/>
    <w:rsid w:val="00FE2CFC"/>
    <w:rsid w:val="00FE2F78"/>
    <w:rsid w:val="00FE68E0"/>
    <w:rsid w:val="00FE70C3"/>
    <w:rsid w:val="00FE786A"/>
    <w:rsid w:val="00FF0327"/>
    <w:rsid w:val="00FF16BC"/>
    <w:rsid w:val="00FF1903"/>
    <w:rsid w:val="00FF1D26"/>
    <w:rsid w:val="00FF2762"/>
    <w:rsid w:val="00FF2AD9"/>
    <w:rsid w:val="00FF359F"/>
    <w:rsid w:val="00FF3DCF"/>
    <w:rsid w:val="00FF47C0"/>
    <w:rsid w:val="00FF492C"/>
    <w:rsid w:val="00FF4A21"/>
    <w:rsid w:val="00FF533E"/>
    <w:rsid w:val="00FF5AA3"/>
    <w:rsid w:val="00FF5AD8"/>
    <w:rsid w:val="00FF62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B6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8C4"/>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Table Legend,Bullet1,Bullet 1,Bullet List,Section 5"/>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Bullet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table" w:customStyle="1" w:styleId="TableGrid1">
    <w:name w:val="Table Grid1"/>
    <w:basedOn w:val="TableNormal"/>
    <w:next w:val="TableGrid"/>
    <w:uiPriority w:val="39"/>
    <w:rsid w:val="004B0880"/>
    <w:rPr>
      <w:rFonts w:ascii="Arial" w:eastAsia="Calibr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B0880"/>
    <w:rPr>
      <w:rFonts w:ascii="Arial" w:eastAsia="Calibr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6509"/>
    <w:rPr>
      <w:sz w:val="20"/>
      <w:szCs w:val="20"/>
    </w:rPr>
  </w:style>
  <w:style w:type="character" w:customStyle="1" w:styleId="FootnoteTextChar">
    <w:name w:val="Footnote Text Char"/>
    <w:basedOn w:val="DefaultParagraphFont"/>
    <w:link w:val="FootnoteText"/>
    <w:uiPriority w:val="99"/>
    <w:semiHidden/>
    <w:rsid w:val="00956509"/>
    <w:rPr>
      <w:rFonts w:ascii="Calibri" w:hAnsi="Calibri" w:cs="Arial"/>
    </w:rPr>
  </w:style>
  <w:style w:type="character" w:styleId="FootnoteReference">
    <w:name w:val="footnote reference"/>
    <w:basedOn w:val="DefaultParagraphFont"/>
    <w:uiPriority w:val="99"/>
    <w:semiHidden/>
    <w:unhideWhenUsed/>
    <w:rsid w:val="00956509"/>
    <w:rPr>
      <w:vertAlign w:val="superscript"/>
    </w:rPr>
  </w:style>
  <w:style w:type="paragraph" w:customStyle="1" w:styleId="PBACTableText">
    <w:name w:val="PBAC Table Text"/>
    <w:basedOn w:val="Normal"/>
    <w:link w:val="PBACTableTextChar"/>
    <w:qFormat/>
    <w:rsid w:val="008842B3"/>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8842B3"/>
    <w:rPr>
      <w:rFonts w:ascii="Arial Narrow" w:hAnsi="Arial Narrow"/>
      <w:lang w:eastAsia="en-US"/>
    </w:rPr>
  </w:style>
  <w:style w:type="character" w:customStyle="1" w:styleId="tooltip">
    <w:name w:val="tooltip"/>
    <w:basedOn w:val="DefaultParagraphFont"/>
    <w:rsid w:val="00932F40"/>
  </w:style>
  <w:style w:type="paragraph" w:customStyle="1" w:styleId="PbacTableHeading">
    <w:name w:val="Pbac Table Heading"/>
    <w:basedOn w:val="PBACTableText"/>
    <w:qFormat/>
    <w:rsid w:val="002340C8"/>
    <w:pPr>
      <w:spacing w:before="0" w:after="80"/>
    </w:pPr>
    <w:rPr>
      <w:rFonts w:eastAsiaTheme="minorHAnsi"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227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295573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947433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6317">
      <w:bodyDiv w:val="1"/>
      <w:marLeft w:val="0"/>
      <w:marRight w:val="0"/>
      <w:marTop w:val="0"/>
      <w:marBottom w:val="0"/>
      <w:divBdr>
        <w:top w:val="none" w:sz="0" w:space="0" w:color="auto"/>
        <w:left w:val="none" w:sz="0" w:space="0" w:color="auto"/>
        <w:bottom w:val="none" w:sz="0" w:space="0" w:color="auto"/>
        <w:right w:val="none" w:sz="0" w:space="0" w:color="auto"/>
      </w:divBdr>
      <w:divsChild>
        <w:div w:id="344601589">
          <w:marLeft w:val="446"/>
          <w:marRight w:val="0"/>
          <w:marTop w:val="0"/>
          <w:marBottom w:val="0"/>
          <w:divBdr>
            <w:top w:val="none" w:sz="0" w:space="0" w:color="auto"/>
            <w:left w:val="none" w:sz="0" w:space="0" w:color="auto"/>
            <w:bottom w:val="none" w:sz="0" w:space="0" w:color="auto"/>
            <w:right w:val="none" w:sz="0" w:space="0" w:color="auto"/>
          </w:divBdr>
        </w:div>
      </w:divsChild>
    </w:div>
    <w:div w:id="167549546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E8F9C-A88F-4AE3-94E5-1FB5E36D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11838</Words>
  <Characters>68751</Characters>
  <Application>Microsoft Office Word</Application>
  <DocSecurity>0</DocSecurity>
  <Lines>572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2021-03-01T01:48:00Z</dcterms:created>
  <dcterms:modified xsi:type="dcterms:W3CDTF">2021-03-01T01:48:00Z</dcterms:modified>
</cp:coreProperties>
</file>