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068" w:rsidRPr="0028081E" w:rsidRDefault="00750068" w:rsidP="00294A37">
      <w:pPr>
        <w:pStyle w:val="1MainTitle"/>
        <w:spacing w:before="0" w:after="0"/>
        <w:jc w:val="left"/>
        <w:rPr>
          <w:rFonts w:eastAsia="Calibri"/>
          <w:lang w:eastAsia="en-US"/>
        </w:rPr>
      </w:pPr>
      <w:r w:rsidRPr="0028081E">
        <w:rPr>
          <w:rFonts w:eastAsia="Calibri"/>
          <w:lang w:eastAsia="en-US"/>
        </w:rPr>
        <w:t>7.12 DULAGLUTIDE</w:t>
      </w:r>
      <w:r w:rsidR="00BF27A0" w:rsidRPr="0028081E">
        <w:rPr>
          <w:rFonts w:eastAsia="Calibri"/>
          <w:lang w:eastAsia="en-US"/>
        </w:rPr>
        <w:t>,</w:t>
      </w:r>
      <w:r w:rsidR="00F82E5C" w:rsidRPr="0028081E">
        <w:rPr>
          <w:rFonts w:eastAsia="Calibri"/>
          <w:lang w:eastAsia="en-US"/>
        </w:rPr>
        <w:t xml:space="preserve"> </w:t>
      </w:r>
      <w:r w:rsidR="005E0D82" w:rsidRPr="0028081E">
        <w:rPr>
          <w:rFonts w:eastAsia="Calibri"/>
          <w:lang w:eastAsia="en-US"/>
        </w:rPr>
        <w:br/>
      </w:r>
      <w:r w:rsidRPr="0028081E">
        <w:rPr>
          <w:rFonts w:eastAsia="Calibri"/>
          <w:lang w:eastAsia="en-US"/>
        </w:rPr>
        <w:t xml:space="preserve">Injection 1.5 mg in 0.5 mL single dose pre-filled pen, </w:t>
      </w:r>
    </w:p>
    <w:p w:rsidR="00750068" w:rsidRPr="0028081E" w:rsidRDefault="00750068" w:rsidP="00294A37">
      <w:pPr>
        <w:pStyle w:val="3-BodyText"/>
        <w:numPr>
          <w:ilvl w:val="0"/>
          <w:numId w:val="0"/>
        </w:numPr>
        <w:spacing w:after="0"/>
        <w:ind w:left="720"/>
        <w:rPr>
          <w:b/>
          <w:sz w:val="36"/>
          <w:szCs w:val="36"/>
          <w:lang w:eastAsia="en-US"/>
        </w:rPr>
      </w:pPr>
      <w:r w:rsidRPr="0028081E">
        <w:rPr>
          <w:b/>
          <w:sz w:val="36"/>
          <w:szCs w:val="36"/>
          <w:lang w:eastAsia="en-US"/>
        </w:rPr>
        <w:t xml:space="preserve">Trulicity®, </w:t>
      </w:r>
    </w:p>
    <w:p w:rsidR="00BF27A0" w:rsidRPr="0028081E" w:rsidRDefault="00751E50" w:rsidP="00294A37">
      <w:pPr>
        <w:pStyle w:val="3-BodyText"/>
        <w:numPr>
          <w:ilvl w:val="0"/>
          <w:numId w:val="0"/>
        </w:numPr>
        <w:spacing w:after="0"/>
        <w:ind w:left="720"/>
        <w:rPr>
          <w:b/>
          <w:sz w:val="36"/>
          <w:szCs w:val="36"/>
          <w:lang w:eastAsia="en-US"/>
        </w:rPr>
      </w:pPr>
      <w:r w:rsidRPr="0028081E">
        <w:rPr>
          <w:b/>
          <w:sz w:val="36"/>
          <w:szCs w:val="36"/>
          <w:lang w:eastAsia="en-US"/>
        </w:rPr>
        <w:t>Eli Lilly Australia Pty Ltd</w:t>
      </w:r>
    </w:p>
    <w:p w:rsidR="008A50F1" w:rsidRPr="0028081E" w:rsidRDefault="00CE10C4" w:rsidP="00294A37">
      <w:pPr>
        <w:pStyle w:val="2-SectionHeading"/>
        <w:spacing w:before="120"/>
      </w:pPr>
      <w:r w:rsidRPr="0028081E">
        <w:t xml:space="preserve">Purpose of </w:t>
      </w:r>
      <w:r w:rsidR="0004240E" w:rsidRPr="0028081E">
        <w:t>Application</w:t>
      </w:r>
      <w:r w:rsidR="00034905" w:rsidRPr="0028081E">
        <w:t xml:space="preserve"> </w:t>
      </w:r>
    </w:p>
    <w:p w:rsidR="0021510C" w:rsidRPr="0028081E" w:rsidRDefault="00245041" w:rsidP="00294A37">
      <w:pPr>
        <w:pStyle w:val="3Bodytext"/>
        <w:jc w:val="both"/>
      </w:pPr>
      <w:r w:rsidRPr="0028081E">
        <w:t>The minor resubmission</w:t>
      </w:r>
      <w:r w:rsidR="00E26355" w:rsidRPr="0028081E">
        <w:t xml:space="preserve"> </w:t>
      </w:r>
      <w:r w:rsidR="0021510C" w:rsidRPr="0028081E">
        <w:rPr>
          <w:rFonts w:eastAsia="Times New Roman" w:cs="Arial"/>
          <w:snapToGrid w:val="0"/>
          <w:szCs w:val="24"/>
        </w:rPr>
        <w:t>requested an Authority Required (STREAMLINED) listing for dulaglutide 1.5 mg once weekly (QW) for the treatment of type 2 diabetes mellitus (T2DM) in combination with insulin and metformin unless contraindicated or not tolerated.</w:t>
      </w:r>
    </w:p>
    <w:p w:rsidR="00A01432" w:rsidRPr="0028081E" w:rsidRDefault="00A01432" w:rsidP="00294A37">
      <w:pPr>
        <w:pStyle w:val="2-SectionHeading"/>
        <w:spacing w:before="0"/>
      </w:pPr>
      <w:r w:rsidRPr="0028081E">
        <w:t xml:space="preserve">Background </w:t>
      </w:r>
    </w:p>
    <w:p w:rsidR="00A01432" w:rsidRPr="0028081E" w:rsidRDefault="00A01432" w:rsidP="00294A37">
      <w:pPr>
        <w:pStyle w:val="4-SubsectionHeading"/>
        <w:spacing w:before="0"/>
      </w:pPr>
      <w:r w:rsidRPr="0028081E">
        <w:t>Registration status</w:t>
      </w:r>
    </w:p>
    <w:p w:rsidR="007A5B91" w:rsidRPr="0028081E" w:rsidRDefault="007A5B91" w:rsidP="00294A37">
      <w:pPr>
        <w:pStyle w:val="3Bodytext"/>
        <w:jc w:val="both"/>
        <w:rPr>
          <w:color w:val="000000" w:themeColor="text1"/>
          <w:szCs w:val="24"/>
        </w:rPr>
      </w:pPr>
      <w:r w:rsidRPr="0028081E">
        <w:rPr>
          <w:szCs w:val="24"/>
        </w:rPr>
        <w:t>An extension of</w:t>
      </w:r>
      <w:r w:rsidR="000E1BA8" w:rsidRPr="0028081E">
        <w:rPr>
          <w:szCs w:val="24"/>
        </w:rPr>
        <w:t xml:space="preserve"> the TGA</w:t>
      </w:r>
      <w:r w:rsidRPr="0028081E">
        <w:rPr>
          <w:szCs w:val="24"/>
        </w:rPr>
        <w:t xml:space="preserve"> indication for</w:t>
      </w:r>
      <w:r w:rsidR="009E691A" w:rsidRPr="0028081E">
        <w:rPr>
          <w:szCs w:val="24"/>
        </w:rPr>
        <w:t xml:space="preserve"> </w:t>
      </w:r>
      <w:r w:rsidR="009E691A" w:rsidRPr="0028081E">
        <w:rPr>
          <w:bCs/>
          <w:szCs w:val="24"/>
        </w:rPr>
        <w:t xml:space="preserve">dulaglutide </w:t>
      </w:r>
      <w:r w:rsidR="009E691A" w:rsidRPr="0028081E">
        <w:rPr>
          <w:szCs w:val="24"/>
        </w:rPr>
        <w:t>1.5 mg</w:t>
      </w:r>
      <w:r w:rsidR="001737CA" w:rsidRPr="0028081E">
        <w:rPr>
          <w:szCs w:val="24"/>
        </w:rPr>
        <w:t xml:space="preserve"> QW</w:t>
      </w:r>
      <w:r w:rsidR="009E691A" w:rsidRPr="0028081E">
        <w:rPr>
          <w:szCs w:val="24"/>
        </w:rPr>
        <w:t xml:space="preserve"> </w:t>
      </w:r>
      <w:r w:rsidR="000E1BA8" w:rsidRPr="0028081E">
        <w:rPr>
          <w:szCs w:val="24"/>
        </w:rPr>
        <w:t xml:space="preserve">to include use </w:t>
      </w:r>
      <w:r w:rsidRPr="0028081E">
        <w:rPr>
          <w:szCs w:val="24"/>
        </w:rPr>
        <w:t>in combination with other glucose-lowering medicinal products including insulin</w:t>
      </w:r>
      <w:r w:rsidR="009D1739" w:rsidRPr="0028081E">
        <w:rPr>
          <w:szCs w:val="24"/>
        </w:rPr>
        <w:t>,</w:t>
      </w:r>
      <w:r w:rsidRPr="0028081E">
        <w:rPr>
          <w:szCs w:val="24"/>
        </w:rPr>
        <w:t xml:space="preserve"> when these, together with diet and exercise, do not pro</w:t>
      </w:r>
      <w:r w:rsidR="009E691A" w:rsidRPr="0028081E">
        <w:rPr>
          <w:szCs w:val="24"/>
        </w:rPr>
        <w:t>vide adequate glycaemic control</w:t>
      </w:r>
      <w:r w:rsidR="000E1BA8" w:rsidRPr="0028081E">
        <w:rPr>
          <w:szCs w:val="24"/>
        </w:rPr>
        <w:t>,</w:t>
      </w:r>
      <w:r w:rsidR="009E691A" w:rsidRPr="0028081E">
        <w:rPr>
          <w:szCs w:val="24"/>
        </w:rPr>
        <w:t xml:space="preserve"> was approved by the TGA on 18 July 2019. </w:t>
      </w:r>
    </w:p>
    <w:p w:rsidR="00A01432" w:rsidRPr="0028081E" w:rsidRDefault="00A01432" w:rsidP="00294A37">
      <w:pPr>
        <w:pStyle w:val="4-SubsectionHeading"/>
        <w:spacing w:before="0"/>
      </w:pPr>
      <w:r w:rsidRPr="0028081E">
        <w:t xml:space="preserve">Previous PBAC consideration </w:t>
      </w:r>
    </w:p>
    <w:p w:rsidR="00A65FEB" w:rsidRPr="0028081E" w:rsidRDefault="00A65FEB" w:rsidP="00294A37">
      <w:pPr>
        <w:pStyle w:val="3Bodytext"/>
        <w:jc w:val="both"/>
        <w:rPr>
          <w:iCs/>
          <w:szCs w:val="24"/>
        </w:rPr>
      </w:pPr>
      <w:r w:rsidRPr="0028081E">
        <w:rPr>
          <w:iCs/>
          <w:szCs w:val="24"/>
        </w:rPr>
        <w:t xml:space="preserve">The PBAC recommended </w:t>
      </w:r>
      <w:bookmarkStart w:id="0" w:name="_GoBack"/>
      <w:r w:rsidRPr="0028081E">
        <w:rPr>
          <w:iCs/>
          <w:szCs w:val="24"/>
        </w:rPr>
        <w:t>dulaglutide</w:t>
      </w:r>
      <w:bookmarkEnd w:id="0"/>
      <w:r w:rsidRPr="0028081E">
        <w:rPr>
          <w:iCs/>
          <w:szCs w:val="24"/>
        </w:rPr>
        <w:t xml:space="preserve"> 1.5 mg QW </w:t>
      </w:r>
      <w:r w:rsidR="00BD3A9E" w:rsidRPr="0028081E">
        <w:rPr>
          <w:iCs/>
          <w:szCs w:val="24"/>
        </w:rPr>
        <w:t xml:space="preserve">at its </w:t>
      </w:r>
      <w:r w:rsidRPr="0028081E">
        <w:rPr>
          <w:iCs/>
          <w:szCs w:val="24"/>
        </w:rPr>
        <w:t>November 2017</w:t>
      </w:r>
      <w:r w:rsidR="00BD3A9E" w:rsidRPr="0028081E">
        <w:rPr>
          <w:iCs/>
          <w:szCs w:val="24"/>
        </w:rPr>
        <w:t xml:space="preserve"> meeting</w:t>
      </w:r>
      <w:r w:rsidRPr="0028081E">
        <w:rPr>
          <w:iCs/>
          <w:szCs w:val="24"/>
        </w:rPr>
        <w:t xml:space="preserve"> for the treatment of T2DM as dual therapy in combination with metformin, and triple therapy </w:t>
      </w:r>
      <w:r w:rsidR="002776F1" w:rsidRPr="0028081E">
        <w:rPr>
          <w:iCs/>
          <w:szCs w:val="24"/>
        </w:rPr>
        <w:t>in combination with metformin and</w:t>
      </w:r>
      <w:r w:rsidRPr="0028081E">
        <w:rPr>
          <w:iCs/>
          <w:szCs w:val="24"/>
        </w:rPr>
        <w:t xml:space="preserve"> a sulfonylurea. </w:t>
      </w:r>
    </w:p>
    <w:p w:rsidR="00A01432" w:rsidRPr="0028081E" w:rsidRDefault="00C66823" w:rsidP="00294A37">
      <w:pPr>
        <w:pStyle w:val="3Bodytext"/>
        <w:jc w:val="both"/>
        <w:rPr>
          <w:iCs/>
          <w:szCs w:val="24"/>
        </w:rPr>
      </w:pPr>
      <w:r w:rsidRPr="0028081E">
        <w:rPr>
          <w:iCs/>
          <w:szCs w:val="24"/>
        </w:rPr>
        <w:t xml:space="preserve">A major submission to extend </w:t>
      </w:r>
      <w:r w:rsidRPr="0028081E">
        <w:rPr>
          <w:bCs/>
          <w:iCs/>
          <w:szCs w:val="24"/>
        </w:rPr>
        <w:t xml:space="preserve">the existing listing of dulaglutide </w:t>
      </w:r>
      <w:r w:rsidRPr="0028081E">
        <w:rPr>
          <w:iCs/>
          <w:szCs w:val="24"/>
        </w:rPr>
        <w:t xml:space="preserve">QW </w:t>
      </w:r>
      <w:r w:rsidR="006B32BD" w:rsidRPr="0028081E">
        <w:rPr>
          <w:iCs/>
          <w:szCs w:val="24"/>
        </w:rPr>
        <w:t>to allow</w:t>
      </w:r>
      <w:r w:rsidRPr="0028081E">
        <w:rPr>
          <w:iCs/>
          <w:szCs w:val="24"/>
        </w:rPr>
        <w:t xml:space="preserve"> use in combination with insulin (and metformin, if not contraindicated or not tolerated)</w:t>
      </w:r>
      <w:r w:rsidR="00A01432" w:rsidRPr="0028081E">
        <w:rPr>
          <w:iCs/>
          <w:szCs w:val="24"/>
        </w:rPr>
        <w:t xml:space="preserve"> was considered by the PBAC at its </w:t>
      </w:r>
      <w:r w:rsidR="006B32BD" w:rsidRPr="0028081E">
        <w:rPr>
          <w:iCs/>
          <w:szCs w:val="24"/>
        </w:rPr>
        <w:t>November 2019</w:t>
      </w:r>
      <w:r w:rsidR="00A01432" w:rsidRPr="0028081E">
        <w:rPr>
          <w:iCs/>
          <w:szCs w:val="24"/>
        </w:rPr>
        <w:t xml:space="preserve"> meeting.</w:t>
      </w:r>
    </w:p>
    <w:p w:rsidR="000B0526" w:rsidRPr="0028081E" w:rsidRDefault="001B7D73" w:rsidP="00294A37">
      <w:pPr>
        <w:pStyle w:val="ListParagraph"/>
        <w:widowControl w:val="0"/>
        <w:numPr>
          <w:ilvl w:val="1"/>
          <w:numId w:val="1"/>
        </w:numPr>
        <w:jc w:val="both"/>
        <w:rPr>
          <w:rFonts w:cstheme="minorHAnsi"/>
        </w:rPr>
      </w:pPr>
      <w:r w:rsidRPr="0028081E">
        <w:rPr>
          <w:rFonts w:cstheme="minorHAnsi"/>
        </w:rPr>
        <w:t xml:space="preserve">Key </w:t>
      </w:r>
      <w:r w:rsidR="000B0526" w:rsidRPr="0028081E">
        <w:rPr>
          <w:rFonts w:cstheme="minorHAnsi"/>
        </w:rPr>
        <w:t xml:space="preserve">outstanding matters of concern from the November 2019 meeting are summarised in the table below. </w:t>
      </w:r>
    </w:p>
    <w:p w:rsidR="00A01432" w:rsidRPr="0028081E" w:rsidRDefault="00FB6123" w:rsidP="001B3910">
      <w:pPr>
        <w:pStyle w:val="Caption"/>
        <w:keepNext/>
        <w:spacing w:after="0"/>
        <w:rPr>
          <w:rFonts w:ascii="Arial Narrow" w:hAnsi="Arial Narrow" w:cstheme="majorBidi"/>
          <w:b/>
          <w:bCs/>
          <w:i w:val="0"/>
          <w:iCs w:val="0"/>
          <w:sz w:val="20"/>
          <w:szCs w:val="20"/>
        </w:rPr>
      </w:pPr>
      <w:r w:rsidRPr="0028081E">
        <w:rPr>
          <w:rFonts w:ascii="Arial Narrow" w:hAnsi="Arial Narrow" w:cstheme="majorBidi"/>
          <w:b/>
          <w:bCs/>
          <w:i w:val="0"/>
          <w:iCs w:val="0"/>
          <w:sz w:val="20"/>
          <w:szCs w:val="20"/>
        </w:rPr>
        <w:t xml:space="preserve">Table </w:t>
      </w:r>
      <w:r w:rsidR="00821FBE" w:rsidRPr="00793BA6">
        <w:rPr>
          <w:rFonts w:ascii="Arial Narrow" w:hAnsi="Arial Narrow" w:cstheme="majorBidi"/>
          <w:b/>
          <w:bCs/>
          <w:i w:val="0"/>
          <w:iCs w:val="0"/>
          <w:sz w:val="20"/>
          <w:szCs w:val="20"/>
        </w:rPr>
        <w:t>1</w:t>
      </w:r>
      <w:r w:rsidRPr="0028081E">
        <w:rPr>
          <w:rFonts w:ascii="Arial Narrow" w:eastAsiaTheme="majorEastAsia" w:hAnsi="Arial Narrow" w:cstheme="majorBidi"/>
          <w:b/>
          <w:bCs/>
          <w:i w:val="0"/>
          <w:iCs w:val="0"/>
          <w:sz w:val="20"/>
          <w:szCs w:val="20"/>
        </w:rPr>
        <w:t>:</w:t>
      </w:r>
      <w:r w:rsidRPr="0028081E">
        <w:rPr>
          <w:rFonts w:ascii="Arial Narrow" w:hAnsi="Arial Narrow" w:cstheme="majorBidi"/>
          <w:b/>
          <w:bCs/>
          <w:i w:val="0"/>
          <w:iCs w:val="0"/>
          <w:sz w:val="20"/>
          <w:szCs w:val="20"/>
        </w:rPr>
        <w:t xml:space="preserve"> Summary of key matters of concern in previous PBAC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ummary of key matters of concern in previous PBAC consideration "/>
      </w:tblPr>
      <w:tblGrid>
        <w:gridCol w:w="4106"/>
        <w:gridCol w:w="4910"/>
      </w:tblGrid>
      <w:tr w:rsidR="00A01432" w:rsidRPr="0028081E" w:rsidTr="008516D0">
        <w:trPr>
          <w:trHeight w:val="240"/>
        </w:trPr>
        <w:tc>
          <w:tcPr>
            <w:tcW w:w="4106" w:type="dxa"/>
            <w:tcBorders>
              <w:top w:val="single" w:sz="4" w:space="0" w:color="auto"/>
              <w:left w:val="single" w:sz="4" w:space="0" w:color="auto"/>
              <w:bottom w:val="single" w:sz="4" w:space="0" w:color="auto"/>
              <w:right w:val="single" w:sz="4" w:space="0" w:color="auto"/>
            </w:tcBorders>
            <w:hideMark/>
          </w:tcPr>
          <w:p w:rsidR="00A01432" w:rsidRPr="0028081E" w:rsidRDefault="00A01432" w:rsidP="00294A37">
            <w:pPr>
              <w:pStyle w:val="TableText0"/>
              <w:keepLines/>
              <w:spacing w:after="120"/>
              <w:rPr>
                <w:b/>
                <w:szCs w:val="20"/>
              </w:rPr>
            </w:pPr>
            <w:r w:rsidRPr="0028081E">
              <w:rPr>
                <w:b/>
                <w:szCs w:val="20"/>
              </w:rPr>
              <w:t>Matter of concern</w:t>
            </w:r>
            <w:r w:rsidR="001B7D73" w:rsidRPr="0028081E">
              <w:rPr>
                <w:b/>
                <w:szCs w:val="20"/>
              </w:rPr>
              <w:t xml:space="preserve"> (November 2019)</w:t>
            </w:r>
          </w:p>
        </w:tc>
        <w:tc>
          <w:tcPr>
            <w:tcW w:w="4910" w:type="dxa"/>
            <w:tcBorders>
              <w:top w:val="single" w:sz="4" w:space="0" w:color="auto"/>
              <w:left w:val="single" w:sz="4" w:space="0" w:color="auto"/>
              <w:bottom w:val="single" w:sz="4" w:space="0" w:color="auto"/>
              <w:right w:val="single" w:sz="4" w:space="0" w:color="auto"/>
            </w:tcBorders>
            <w:hideMark/>
          </w:tcPr>
          <w:p w:rsidR="00A01432" w:rsidRPr="0028081E" w:rsidRDefault="00A01432" w:rsidP="00294A37">
            <w:pPr>
              <w:pStyle w:val="TableText0"/>
              <w:keepLines/>
              <w:spacing w:after="120"/>
              <w:rPr>
                <w:b/>
                <w:szCs w:val="20"/>
              </w:rPr>
            </w:pPr>
            <w:r w:rsidRPr="0028081E">
              <w:rPr>
                <w:b/>
                <w:szCs w:val="20"/>
              </w:rPr>
              <w:t>How the resubmission addresses it</w:t>
            </w:r>
          </w:p>
        </w:tc>
      </w:tr>
      <w:tr w:rsidR="00A01432" w:rsidRPr="0028081E" w:rsidTr="008516D0">
        <w:trPr>
          <w:trHeight w:val="788"/>
        </w:trPr>
        <w:tc>
          <w:tcPr>
            <w:tcW w:w="4106" w:type="dxa"/>
            <w:tcBorders>
              <w:top w:val="single" w:sz="4" w:space="0" w:color="auto"/>
              <w:left w:val="single" w:sz="4" w:space="0" w:color="auto"/>
              <w:bottom w:val="single" w:sz="4" w:space="0" w:color="auto"/>
              <w:right w:val="single" w:sz="4" w:space="0" w:color="auto"/>
            </w:tcBorders>
          </w:tcPr>
          <w:p w:rsidR="00A01432" w:rsidRPr="0028081E" w:rsidRDefault="0049322D" w:rsidP="00294A37">
            <w:pPr>
              <w:keepNext/>
              <w:keepLines/>
              <w:spacing w:after="120"/>
              <w:rPr>
                <w:rFonts w:ascii="Arial Narrow" w:hAnsi="Arial Narrow"/>
                <w:bCs/>
                <w:sz w:val="20"/>
                <w:szCs w:val="20"/>
              </w:rPr>
            </w:pPr>
            <w:r w:rsidRPr="0028081E">
              <w:rPr>
                <w:rFonts w:ascii="Arial Narrow" w:hAnsi="Arial Narrow"/>
                <w:sz w:val="20"/>
                <w:szCs w:val="20"/>
              </w:rPr>
              <w:t>T</w:t>
            </w:r>
            <w:r w:rsidR="00230BDB" w:rsidRPr="0028081E">
              <w:rPr>
                <w:rFonts w:ascii="Arial Narrow" w:hAnsi="Arial Narrow"/>
                <w:sz w:val="20"/>
                <w:szCs w:val="20"/>
              </w:rPr>
              <w:t>he PBAC considered that any price advantage applied should only account for the proportion of patients with high clinical needs who are likely to benefit from the simplified dosing regimen of dulaglutide QW</w:t>
            </w:r>
            <w:r w:rsidR="00D72844" w:rsidRPr="0028081E">
              <w:rPr>
                <w:rFonts w:ascii="Arial Narrow" w:hAnsi="Arial Narrow"/>
                <w:sz w:val="20"/>
                <w:szCs w:val="20"/>
              </w:rPr>
              <w:t xml:space="preserve"> </w:t>
            </w:r>
            <w:r w:rsidR="00230BDB" w:rsidRPr="0028081E">
              <w:rPr>
                <w:rFonts w:ascii="Arial Narrow" w:hAnsi="Arial Narrow"/>
                <w:sz w:val="20"/>
                <w:szCs w:val="20"/>
              </w:rPr>
              <w:t>(paragraph 7.8)</w:t>
            </w:r>
            <w:r w:rsidR="00C66F63" w:rsidRPr="0028081E">
              <w:rPr>
                <w:rFonts w:ascii="Arial Narrow" w:hAnsi="Arial Narrow"/>
                <w:sz w:val="20"/>
                <w:szCs w:val="20"/>
              </w:rPr>
              <w:t>.</w:t>
            </w:r>
          </w:p>
        </w:tc>
        <w:tc>
          <w:tcPr>
            <w:tcW w:w="4910" w:type="dxa"/>
            <w:tcBorders>
              <w:top w:val="single" w:sz="4" w:space="0" w:color="auto"/>
              <w:left w:val="single" w:sz="4" w:space="0" w:color="auto"/>
              <w:bottom w:val="single" w:sz="4" w:space="0" w:color="auto"/>
              <w:right w:val="single" w:sz="4" w:space="0" w:color="auto"/>
            </w:tcBorders>
          </w:tcPr>
          <w:p w:rsidR="00A16BEC" w:rsidRPr="0028081E" w:rsidRDefault="00C66F63" w:rsidP="00294A37">
            <w:pPr>
              <w:pStyle w:val="TableText0"/>
              <w:keepLines/>
              <w:spacing w:after="120"/>
              <w:jc w:val="both"/>
              <w:rPr>
                <w:i/>
                <w:iCs/>
                <w:szCs w:val="20"/>
              </w:rPr>
            </w:pPr>
            <w:r w:rsidRPr="0028081E">
              <w:rPr>
                <w:szCs w:val="20"/>
              </w:rPr>
              <w:t>The sponsor maintained that the</w:t>
            </w:r>
            <w:r w:rsidR="00DD5C9C" w:rsidRPr="0028081E">
              <w:rPr>
                <w:szCs w:val="20"/>
              </w:rPr>
              <w:t xml:space="preserve"> previously requested</w:t>
            </w:r>
            <w:r w:rsidRPr="0028081E">
              <w:rPr>
                <w:szCs w:val="20"/>
              </w:rPr>
              <w:t xml:space="preserve"> price advantage of $</w:t>
            </w:r>
            <w:r w:rsidR="002602B2">
              <w:rPr>
                <w:noProof/>
                <w:color w:val="000000"/>
                <w:szCs w:val="20"/>
                <w:highlight w:val="black"/>
              </w:rPr>
              <w:t>''''''''''</w:t>
            </w:r>
            <w:r w:rsidRPr="0028081E">
              <w:rPr>
                <w:szCs w:val="20"/>
              </w:rPr>
              <w:t xml:space="preserve"> per week over exenatide BID</w:t>
            </w:r>
            <w:r w:rsidR="00DD5C9C" w:rsidRPr="0028081E">
              <w:rPr>
                <w:szCs w:val="20"/>
              </w:rPr>
              <w:t xml:space="preserve"> was reasonable</w:t>
            </w:r>
            <w:r w:rsidR="0049322D" w:rsidRPr="0028081E">
              <w:rPr>
                <w:i/>
                <w:iCs/>
                <w:szCs w:val="20"/>
              </w:rPr>
              <w:t xml:space="preserve">. </w:t>
            </w:r>
          </w:p>
          <w:p w:rsidR="008516D0" w:rsidRPr="0028081E" w:rsidRDefault="008516D0" w:rsidP="00294A37">
            <w:pPr>
              <w:keepNext/>
              <w:keepLines/>
              <w:spacing w:after="120"/>
              <w:rPr>
                <w:rFonts w:ascii="Arial Narrow" w:hAnsi="Arial Narrow"/>
                <w:i/>
                <w:iCs/>
                <w:sz w:val="20"/>
                <w:szCs w:val="20"/>
              </w:rPr>
            </w:pPr>
          </w:p>
        </w:tc>
      </w:tr>
      <w:tr w:rsidR="00A01432" w:rsidRPr="0028081E" w:rsidTr="008516D0">
        <w:trPr>
          <w:trHeight w:val="788"/>
        </w:trPr>
        <w:tc>
          <w:tcPr>
            <w:tcW w:w="4106" w:type="dxa"/>
            <w:tcBorders>
              <w:top w:val="single" w:sz="4" w:space="0" w:color="auto"/>
              <w:left w:val="single" w:sz="4" w:space="0" w:color="auto"/>
              <w:bottom w:val="single" w:sz="4" w:space="0" w:color="auto"/>
              <w:right w:val="single" w:sz="4" w:space="0" w:color="auto"/>
            </w:tcBorders>
          </w:tcPr>
          <w:p w:rsidR="00A01432" w:rsidRPr="0028081E" w:rsidRDefault="0049322D" w:rsidP="00294A37">
            <w:pPr>
              <w:pStyle w:val="Bulletpoints"/>
              <w:keepNext/>
              <w:keepLines/>
              <w:ind w:left="0" w:right="113" w:firstLine="0"/>
              <w:jc w:val="both"/>
              <w:rPr>
                <w:rFonts w:ascii="Arial Narrow" w:hAnsi="Arial Narrow"/>
                <w:bCs/>
                <w:sz w:val="20"/>
                <w:szCs w:val="20"/>
              </w:rPr>
            </w:pPr>
            <w:r w:rsidRPr="0028081E">
              <w:rPr>
                <w:rFonts w:ascii="Arial Narrow" w:hAnsi="Arial Narrow"/>
                <w:bCs/>
                <w:sz w:val="20"/>
                <w:szCs w:val="20"/>
              </w:rPr>
              <w:t>T</w:t>
            </w:r>
            <w:r w:rsidR="00230BDB" w:rsidRPr="0028081E">
              <w:rPr>
                <w:rFonts w:ascii="Arial Narrow" w:hAnsi="Arial Narrow"/>
                <w:bCs/>
                <w:sz w:val="20"/>
                <w:szCs w:val="20"/>
              </w:rPr>
              <w:t>he PBAC considered that utilisation would be substantially higher than estimated</w:t>
            </w:r>
            <w:r w:rsidR="00CA3D01" w:rsidRPr="0028081E">
              <w:t xml:space="preserve"> </w:t>
            </w:r>
            <w:r w:rsidR="00CA3D01" w:rsidRPr="0028081E">
              <w:rPr>
                <w:rFonts w:ascii="Arial Narrow" w:hAnsi="Arial Narrow"/>
                <w:bCs/>
                <w:sz w:val="20"/>
                <w:szCs w:val="20"/>
              </w:rPr>
              <w:t xml:space="preserve">due to underestimates in patient numbers, market share and market growth </w:t>
            </w:r>
            <w:r w:rsidR="00230BDB" w:rsidRPr="0028081E">
              <w:rPr>
                <w:rFonts w:ascii="Arial Narrow" w:hAnsi="Arial Narrow"/>
                <w:bCs/>
                <w:sz w:val="20"/>
                <w:szCs w:val="20"/>
              </w:rPr>
              <w:t>(paragraph 7.9).</w:t>
            </w:r>
          </w:p>
        </w:tc>
        <w:tc>
          <w:tcPr>
            <w:tcW w:w="4910" w:type="dxa"/>
            <w:tcBorders>
              <w:top w:val="single" w:sz="4" w:space="0" w:color="auto"/>
              <w:left w:val="single" w:sz="4" w:space="0" w:color="auto"/>
              <w:bottom w:val="single" w:sz="4" w:space="0" w:color="auto"/>
              <w:right w:val="single" w:sz="4" w:space="0" w:color="auto"/>
            </w:tcBorders>
          </w:tcPr>
          <w:p w:rsidR="00A01432" w:rsidRPr="0028081E" w:rsidRDefault="00304104" w:rsidP="00294A37">
            <w:pPr>
              <w:pStyle w:val="TableText0"/>
              <w:keepLines/>
              <w:spacing w:after="120"/>
              <w:jc w:val="both"/>
              <w:rPr>
                <w:szCs w:val="20"/>
              </w:rPr>
            </w:pPr>
            <w:r w:rsidRPr="0028081E">
              <w:rPr>
                <w:szCs w:val="20"/>
              </w:rPr>
              <w:t xml:space="preserve">Updated financial estimates to include </w:t>
            </w:r>
            <w:r w:rsidR="005C4CFC" w:rsidRPr="0028081E">
              <w:rPr>
                <w:szCs w:val="20"/>
              </w:rPr>
              <w:t xml:space="preserve">uptake from other T2DM therapies in addition to exenatide BID. </w:t>
            </w:r>
          </w:p>
        </w:tc>
      </w:tr>
    </w:tbl>
    <w:p w:rsidR="00A01432" w:rsidRPr="0028081E" w:rsidRDefault="0097371F" w:rsidP="00294A37">
      <w:pPr>
        <w:pStyle w:val="TableFigureFooter"/>
        <w:keepNext/>
        <w:keepLines/>
        <w:rPr>
          <w:szCs w:val="18"/>
          <w:lang w:eastAsia="en-US"/>
        </w:rPr>
      </w:pPr>
      <w:r w:rsidRPr="0028081E">
        <w:rPr>
          <w:szCs w:val="18"/>
          <w:lang w:eastAsia="en-US"/>
        </w:rPr>
        <w:t>Source: c</w:t>
      </w:r>
      <w:r w:rsidR="00A01432" w:rsidRPr="0028081E">
        <w:rPr>
          <w:szCs w:val="18"/>
          <w:lang w:eastAsia="en-US"/>
        </w:rPr>
        <w:t>ompiled</w:t>
      </w:r>
      <w:r w:rsidR="00AF6E5D" w:rsidRPr="0028081E">
        <w:rPr>
          <w:szCs w:val="18"/>
          <w:lang w:eastAsia="en-US"/>
        </w:rPr>
        <w:t xml:space="preserve"> by the Secretariat</w:t>
      </w:r>
      <w:r w:rsidR="00A01432" w:rsidRPr="0028081E">
        <w:rPr>
          <w:szCs w:val="18"/>
          <w:lang w:eastAsia="en-US"/>
        </w:rPr>
        <w:t xml:space="preserve">. Paragraph references refer to the </w:t>
      </w:r>
      <w:r w:rsidR="00AF6E5D" w:rsidRPr="0028081E">
        <w:rPr>
          <w:szCs w:val="18"/>
          <w:lang w:eastAsia="en-US"/>
        </w:rPr>
        <w:t xml:space="preserve">November 2019 </w:t>
      </w:r>
      <w:r w:rsidR="00A01432" w:rsidRPr="0028081E">
        <w:rPr>
          <w:szCs w:val="18"/>
          <w:lang w:eastAsia="en-US"/>
        </w:rPr>
        <w:t>PBAC Public Summary Document.</w:t>
      </w:r>
    </w:p>
    <w:p w:rsidR="000231D3" w:rsidRPr="0028081E" w:rsidRDefault="000231D3" w:rsidP="00294A37">
      <w:pPr>
        <w:pStyle w:val="3Bodytext"/>
        <w:numPr>
          <w:ilvl w:val="0"/>
          <w:numId w:val="0"/>
        </w:numPr>
        <w:ind w:left="720"/>
        <w:rPr>
          <w:i/>
          <w:iCs/>
        </w:rPr>
      </w:pPr>
      <w:r w:rsidRPr="0028081E">
        <w:rPr>
          <w:i/>
          <w:iCs/>
        </w:rPr>
        <w:t>For more detail on PBAC’s view, see section 6 PBAC outcome.</w:t>
      </w:r>
    </w:p>
    <w:p w:rsidR="00B17EE5" w:rsidRPr="0028081E" w:rsidRDefault="00B17EE5" w:rsidP="00294A37">
      <w:pPr>
        <w:pStyle w:val="2-SectionHeading"/>
        <w:spacing w:before="0"/>
      </w:pPr>
      <w:r w:rsidRPr="0028081E">
        <w:lastRenderedPageBreak/>
        <w:t>Requested listing</w:t>
      </w:r>
    </w:p>
    <w:p w:rsidR="00806D40" w:rsidRPr="0028081E" w:rsidRDefault="00301023" w:rsidP="00294A37">
      <w:pPr>
        <w:pStyle w:val="3Bodytext"/>
        <w:jc w:val="both"/>
      </w:pPr>
      <w:r w:rsidRPr="0028081E">
        <w:rPr>
          <w:rFonts w:cstheme="minorHAnsi"/>
        </w:rPr>
        <w:t xml:space="preserve">The </w:t>
      </w:r>
      <w:r w:rsidR="00632321" w:rsidRPr="0028081E">
        <w:rPr>
          <w:rFonts w:cstheme="minorHAnsi"/>
        </w:rPr>
        <w:t>re</w:t>
      </w:r>
      <w:r w:rsidRPr="0028081E">
        <w:rPr>
          <w:rFonts w:cstheme="minorHAnsi"/>
        </w:rPr>
        <w:t>submission did not include a requested listing. It was assumed that</w:t>
      </w:r>
      <w:r w:rsidR="00806D40" w:rsidRPr="0028081E">
        <w:rPr>
          <w:rFonts w:cstheme="minorHAnsi"/>
        </w:rPr>
        <w:t xml:space="preserve"> no changes were proposed to the previously requested restriction which is consistent with </w:t>
      </w:r>
      <w:r w:rsidR="00806D40" w:rsidRPr="0028081E">
        <w:t xml:space="preserve">the PBS listings of exenatide 5 mcg and 10 mcg BID for the same indication. </w:t>
      </w:r>
    </w:p>
    <w:p w:rsidR="001B40C5" w:rsidRPr="0028081E" w:rsidRDefault="001B40C5" w:rsidP="00294A37">
      <w:pPr>
        <w:pStyle w:val="3Bodytext"/>
        <w:numPr>
          <w:ilvl w:val="0"/>
          <w:numId w:val="0"/>
        </w:numPr>
        <w:ind w:left="720"/>
        <w:rPr>
          <w:i/>
          <w:iCs/>
        </w:rPr>
      </w:pPr>
      <w:r w:rsidRPr="0028081E">
        <w:rPr>
          <w:i/>
          <w:iCs/>
        </w:rPr>
        <w:t>For more detail on PBAC’s view, see section 6 PBAC outcome.</w:t>
      </w:r>
    </w:p>
    <w:p w:rsidR="005A3173" w:rsidRPr="0028081E" w:rsidRDefault="005A3173" w:rsidP="00294A37">
      <w:pPr>
        <w:pStyle w:val="2-SectionHeading"/>
        <w:spacing w:before="0"/>
        <w:rPr>
          <w:color w:val="FF0000"/>
        </w:rPr>
      </w:pPr>
      <w:r w:rsidRPr="0028081E">
        <w:t>Comparator</w:t>
      </w:r>
      <w:r w:rsidR="0099465B" w:rsidRPr="0028081E">
        <w:t xml:space="preserve"> </w:t>
      </w:r>
    </w:p>
    <w:p w:rsidR="00C62F9F" w:rsidRPr="0028081E" w:rsidRDefault="00C62F9F" w:rsidP="00294A37">
      <w:pPr>
        <w:pStyle w:val="3Bodytext"/>
        <w:jc w:val="both"/>
        <w:rPr>
          <w:i/>
        </w:rPr>
      </w:pPr>
      <w:r w:rsidRPr="0028081E">
        <w:t>The PBAC previously considered that exenatide</w:t>
      </w:r>
      <w:r w:rsidR="001911BC" w:rsidRPr="0028081E">
        <w:t xml:space="preserve"> 10 mcg</w:t>
      </w:r>
      <w:r w:rsidRPr="0028081E">
        <w:t xml:space="preserve"> BID was the appropriate main comparator</w:t>
      </w:r>
      <w:r w:rsidR="00EB4CEB" w:rsidRPr="0028081E">
        <w:t>.</w:t>
      </w:r>
      <w:r w:rsidR="00E7410F" w:rsidRPr="0028081E">
        <w:t xml:space="preserve"> </w:t>
      </w:r>
    </w:p>
    <w:p w:rsidR="001B40C5" w:rsidRPr="0028081E" w:rsidRDefault="001B40C5" w:rsidP="00294A37">
      <w:pPr>
        <w:pStyle w:val="3Bodytext"/>
        <w:numPr>
          <w:ilvl w:val="0"/>
          <w:numId w:val="0"/>
        </w:numPr>
        <w:ind w:left="720"/>
        <w:rPr>
          <w:i/>
          <w:iCs/>
        </w:rPr>
      </w:pPr>
      <w:r w:rsidRPr="0028081E">
        <w:rPr>
          <w:i/>
          <w:iCs/>
        </w:rPr>
        <w:t>For more detail on PBAC’s view, see section 6 PBAC outcome.</w:t>
      </w:r>
    </w:p>
    <w:p w:rsidR="000B558D" w:rsidRPr="0028081E" w:rsidRDefault="008D7A41" w:rsidP="00294A37">
      <w:pPr>
        <w:pStyle w:val="Heading1"/>
        <w:keepLines/>
        <w:numPr>
          <w:ilvl w:val="0"/>
          <w:numId w:val="3"/>
        </w:numPr>
        <w:ind w:left="709" w:hanging="709"/>
        <w:rPr>
          <w:sz w:val="32"/>
          <w:szCs w:val="32"/>
        </w:rPr>
      </w:pPr>
      <w:r w:rsidRPr="0028081E">
        <w:rPr>
          <w:sz w:val="32"/>
          <w:szCs w:val="32"/>
        </w:rPr>
        <w:t>C</w:t>
      </w:r>
      <w:r w:rsidR="00D84934" w:rsidRPr="0028081E">
        <w:rPr>
          <w:sz w:val="32"/>
          <w:szCs w:val="32"/>
        </w:rPr>
        <w:t>onsideration of the evidence</w:t>
      </w:r>
    </w:p>
    <w:p w:rsidR="001862AE" w:rsidRPr="0028081E" w:rsidRDefault="001862AE" w:rsidP="00294A37">
      <w:pPr>
        <w:pStyle w:val="4-SubsectionHeading"/>
        <w:keepNext w:val="0"/>
        <w:spacing w:before="0"/>
        <w:rPr>
          <w:lang w:eastAsia="en-US"/>
        </w:rPr>
      </w:pPr>
      <w:r w:rsidRPr="0028081E">
        <w:rPr>
          <w:lang w:eastAsia="en-US"/>
        </w:rPr>
        <w:t>Sponsor hearing</w:t>
      </w:r>
    </w:p>
    <w:p w:rsidR="001862AE" w:rsidRPr="0028081E" w:rsidRDefault="001862AE" w:rsidP="00294A37">
      <w:pPr>
        <w:pStyle w:val="3Bodytext"/>
      </w:pPr>
      <w:r w:rsidRPr="0028081E">
        <w:t>There was no hearing for this item as it was a minor submission.</w:t>
      </w:r>
    </w:p>
    <w:p w:rsidR="001862AE" w:rsidRPr="0028081E" w:rsidRDefault="001862AE" w:rsidP="00294A37">
      <w:pPr>
        <w:pStyle w:val="4-SubsectionHeading"/>
        <w:keepNext w:val="0"/>
        <w:spacing w:before="0"/>
        <w:rPr>
          <w:lang w:eastAsia="en-US"/>
        </w:rPr>
      </w:pPr>
      <w:r w:rsidRPr="0028081E">
        <w:rPr>
          <w:lang w:eastAsia="en-US"/>
        </w:rPr>
        <w:t>Consumer comments</w:t>
      </w:r>
    </w:p>
    <w:p w:rsidR="001862AE" w:rsidRPr="0028081E" w:rsidRDefault="001862AE" w:rsidP="00294A37">
      <w:pPr>
        <w:widowControl w:val="0"/>
        <w:numPr>
          <w:ilvl w:val="1"/>
          <w:numId w:val="1"/>
        </w:numPr>
        <w:spacing w:after="120"/>
        <w:rPr>
          <w:rFonts w:asciiTheme="minorHAnsi" w:hAnsiTheme="minorHAnsi"/>
          <w:bCs/>
          <w:snapToGrid w:val="0"/>
        </w:rPr>
      </w:pPr>
      <w:r w:rsidRPr="0028081E">
        <w:rPr>
          <w:rFonts w:asciiTheme="minorHAnsi" w:hAnsiTheme="minorHAnsi"/>
          <w:bCs/>
          <w:snapToGrid w:val="0"/>
        </w:rPr>
        <w:t>The PBAC noted that no consumer comme</w:t>
      </w:r>
      <w:r w:rsidR="00872A19" w:rsidRPr="0028081E">
        <w:rPr>
          <w:rFonts w:asciiTheme="minorHAnsi" w:hAnsiTheme="minorHAnsi"/>
          <w:bCs/>
          <w:snapToGrid w:val="0"/>
        </w:rPr>
        <w:t>nts were received for this item</w:t>
      </w:r>
      <w:r w:rsidRPr="0028081E">
        <w:rPr>
          <w:rFonts w:asciiTheme="minorHAnsi" w:hAnsiTheme="minorHAnsi"/>
          <w:bCs/>
          <w:snapToGrid w:val="0"/>
        </w:rPr>
        <w:t>.</w:t>
      </w:r>
    </w:p>
    <w:p w:rsidR="005A3173" w:rsidRPr="0028081E" w:rsidRDefault="005A3173" w:rsidP="00294A37">
      <w:pPr>
        <w:pStyle w:val="4-SubsectionHeading"/>
        <w:spacing w:before="0"/>
        <w:rPr>
          <w:lang w:eastAsia="en-US"/>
        </w:rPr>
      </w:pPr>
      <w:r w:rsidRPr="0028081E">
        <w:rPr>
          <w:lang w:eastAsia="en-US"/>
        </w:rPr>
        <w:t>Economic analysis</w:t>
      </w:r>
      <w:r w:rsidR="009803E4" w:rsidRPr="0028081E">
        <w:rPr>
          <w:lang w:eastAsia="en-US"/>
        </w:rPr>
        <w:t xml:space="preserve"> </w:t>
      </w:r>
    </w:p>
    <w:p w:rsidR="00EA3B60" w:rsidRPr="0028081E" w:rsidRDefault="00EA3B60" w:rsidP="00294A37">
      <w:pPr>
        <w:pStyle w:val="3Bodytext"/>
        <w:jc w:val="both"/>
        <w:rPr>
          <w:rFonts w:cstheme="minorHAnsi"/>
          <w:i/>
          <w:iCs/>
          <w:szCs w:val="24"/>
        </w:rPr>
      </w:pPr>
      <w:r w:rsidRPr="0028081E">
        <w:rPr>
          <w:szCs w:val="24"/>
        </w:rPr>
        <w:t>The</w:t>
      </w:r>
      <w:r w:rsidR="00531FFA" w:rsidRPr="0028081E">
        <w:rPr>
          <w:szCs w:val="24"/>
        </w:rPr>
        <w:t xml:space="preserve"> resubmission reque</w:t>
      </w:r>
      <w:r w:rsidR="009B5710" w:rsidRPr="0028081E">
        <w:rPr>
          <w:szCs w:val="24"/>
        </w:rPr>
        <w:t>sted the same price advantage</w:t>
      </w:r>
      <w:r w:rsidR="0033743B" w:rsidRPr="0028081E">
        <w:rPr>
          <w:szCs w:val="24"/>
        </w:rPr>
        <w:t xml:space="preserve"> over exenatide BID</w:t>
      </w:r>
      <w:r w:rsidR="009B5710" w:rsidRPr="0028081E">
        <w:rPr>
          <w:szCs w:val="24"/>
        </w:rPr>
        <w:t xml:space="preserve"> as the November 2019 submission of $</w:t>
      </w:r>
      <w:r w:rsidR="002602B2">
        <w:rPr>
          <w:noProof/>
          <w:color w:val="000000"/>
          <w:szCs w:val="24"/>
          <w:highlight w:val="black"/>
        </w:rPr>
        <w:t>''''''''</w:t>
      </w:r>
      <w:r w:rsidR="0033743B" w:rsidRPr="0028081E">
        <w:rPr>
          <w:szCs w:val="24"/>
        </w:rPr>
        <w:t xml:space="preserve"> per week, which was incorporated as a</w:t>
      </w:r>
      <w:r w:rsidRPr="0028081E">
        <w:rPr>
          <w:szCs w:val="24"/>
        </w:rPr>
        <w:t xml:space="preserve"> cost off</w:t>
      </w:r>
      <w:r w:rsidR="00FF3388" w:rsidRPr="0028081E">
        <w:rPr>
          <w:szCs w:val="24"/>
        </w:rPr>
        <w:t>set</w:t>
      </w:r>
      <w:r w:rsidR="0033743B" w:rsidRPr="0028081E">
        <w:rPr>
          <w:szCs w:val="24"/>
        </w:rPr>
        <w:t xml:space="preserve"> in the previous cost-minimisation analysis. The price advantage </w:t>
      </w:r>
      <w:r w:rsidRPr="0028081E">
        <w:rPr>
          <w:szCs w:val="24"/>
        </w:rPr>
        <w:t xml:space="preserve">was pragmatically determined as the difference between the </w:t>
      </w:r>
      <w:r w:rsidR="002F1FB9" w:rsidRPr="0028081E">
        <w:rPr>
          <w:szCs w:val="24"/>
        </w:rPr>
        <w:t>cost of dulaglutide</w:t>
      </w:r>
      <w:r w:rsidR="005100D5" w:rsidRPr="0028081E">
        <w:rPr>
          <w:szCs w:val="24"/>
        </w:rPr>
        <w:t xml:space="preserve"> per week ($</w:t>
      </w:r>
      <w:r w:rsidR="002602B2">
        <w:rPr>
          <w:noProof/>
          <w:color w:val="000000"/>
          <w:szCs w:val="24"/>
          <w:highlight w:val="black"/>
        </w:rPr>
        <w:t>''''''''''</w:t>
      </w:r>
      <w:r w:rsidR="005100D5" w:rsidRPr="0028081E">
        <w:rPr>
          <w:szCs w:val="24"/>
        </w:rPr>
        <w:t>)</w:t>
      </w:r>
      <w:r w:rsidRPr="0028081E">
        <w:rPr>
          <w:szCs w:val="24"/>
        </w:rPr>
        <w:t xml:space="preserve"> and exenatide </w:t>
      </w:r>
      <w:r w:rsidR="002629BA" w:rsidRPr="0028081E">
        <w:rPr>
          <w:szCs w:val="24"/>
        </w:rPr>
        <w:t xml:space="preserve">10 mcg </w:t>
      </w:r>
      <w:r w:rsidRPr="0028081E">
        <w:rPr>
          <w:szCs w:val="24"/>
        </w:rPr>
        <w:t xml:space="preserve">BID </w:t>
      </w:r>
      <w:r w:rsidR="005100D5" w:rsidRPr="0028081E">
        <w:rPr>
          <w:szCs w:val="24"/>
        </w:rPr>
        <w:t>per week ($17.02)</w:t>
      </w:r>
      <w:r w:rsidR="002F1FB9" w:rsidRPr="0028081E">
        <w:rPr>
          <w:szCs w:val="24"/>
        </w:rPr>
        <w:t>, accounting for</w:t>
      </w:r>
      <w:r w:rsidRPr="0028081E">
        <w:rPr>
          <w:szCs w:val="24"/>
        </w:rPr>
        <w:t xml:space="preserve"> the cost offset of reduced needles per week </w:t>
      </w:r>
      <w:r w:rsidRPr="0028081E">
        <w:rPr>
          <w:bCs/>
          <w:szCs w:val="24"/>
        </w:rPr>
        <w:t>($</w:t>
      </w:r>
      <w:r w:rsidR="002602B2">
        <w:rPr>
          <w:bCs/>
          <w:noProof/>
          <w:color w:val="000000"/>
          <w:szCs w:val="24"/>
          <w:highlight w:val="black"/>
        </w:rPr>
        <w:t>'''''''''</w:t>
      </w:r>
      <w:r w:rsidRPr="0028081E">
        <w:rPr>
          <w:bCs/>
          <w:szCs w:val="24"/>
        </w:rPr>
        <w:t>)</w:t>
      </w:r>
      <w:r w:rsidRPr="0028081E">
        <w:rPr>
          <w:rFonts w:cstheme="minorHAnsi"/>
          <w:szCs w:val="24"/>
        </w:rPr>
        <w:t>.</w:t>
      </w:r>
      <w:r w:rsidR="002F1FB9" w:rsidRPr="0028081E">
        <w:rPr>
          <w:rFonts w:cstheme="minorHAnsi"/>
          <w:szCs w:val="24"/>
        </w:rPr>
        <w:t xml:space="preserve"> The cost-mini</w:t>
      </w:r>
      <w:r w:rsidR="00A80678" w:rsidRPr="0028081E">
        <w:rPr>
          <w:rFonts w:cstheme="minorHAnsi"/>
          <w:szCs w:val="24"/>
        </w:rPr>
        <w:t>mi</w:t>
      </w:r>
      <w:r w:rsidR="002F1FB9" w:rsidRPr="0028081E">
        <w:rPr>
          <w:rFonts w:cstheme="minorHAnsi"/>
          <w:szCs w:val="24"/>
        </w:rPr>
        <w:t>sation presented in the November 2019 submission is shown below.</w:t>
      </w:r>
      <w:r w:rsidRPr="0028081E">
        <w:rPr>
          <w:rFonts w:cstheme="minorHAnsi"/>
          <w:szCs w:val="24"/>
        </w:rPr>
        <w:t xml:space="preserve"> </w:t>
      </w:r>
    </w:p>
    <w:p w:rsidR="00D30D60" w:rsidRPr="0028081E" w:rsidRDefault="00FB6123" w:rsidP="001B3910">
      <w:pPr>
        <w:pStyle w:val="Caption"/>
        <w:keepNext/>
        <w:spacing w:after="0"/>
        <w:jc w:val="left"/>
        <w:rPr>
          <w:rFonts w:ascii="Arial Narrow" w:hAnsi="Arial Narrow"/>
          <w:b/>
          <w:bCs/>
          <w:i w:val="0"/>
          <w:iCs w:val="0"/>
          <w:sz w:val="20"/>
          <w:szCs w:val="20"/>
        </w:rPr>
      </w:pPr>
      <w:bookmarkStart w:id="1" w:name="_Ref21961426"/>
      <w:r w:rsidRPr="0028081E">
        <w:rPr>
          <w:rFonts w:ascii="Arial Narrow" w:hAnsi="Arial Narrow"/>
          <w:b/>
          <w:bCs/>
          <w:i w:val="0"/>
          <w:iCs w:val="0"/>
          <w:sz w:val="20"/>
          <w:szCs w:val="20"/>
        </w:rPr>
        <w:t xml:space="preserve">Table </w:t>
      </w:r>
      <w:r w:rsidR="00821FBE" w:rsidRPr="00793BA6">
        <w:rPr>
          <w:rFonts w:ascii="Arial Narrow" w:hAnsi="Arial Narrow"/>
          <w:b/>
          <w:bCs/>
          <w:i w:val="0"/>
          <w:iCs w:val="0"/>
          <w:sz w:val="20"/>
          <w:szCs w:val="20"/>
        </w:rPr>
        <w:t>2</w:t>
      </w:r>
      <w:r w:rsidRPr="0028081E">
        <w:rPr>
          <w:rFonts w:ascii="Arial Narrow" w:hAnsi="Arial Narrow"/>
          <w:b/>
          <w:bCs/>
          <w:i w:val="0"/>
          <w:iCs w:val="0"/>
          <w:sz w:val="20"/>
          <w:szCs w:val="20"/>
        </w:rPr>
        <w:t>: Results of the cost-minimisation analysis in the previous submission</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Results of the cost-minimisation analysis in the previous submission"/>
      </w:tblPr>
      <w:tblGrid>
        <w:gridCol w:w="3011"/>
        <w:gridCol w:w="2999"/>
        <w:gridCol w:w="3006"/>
      </w:tblGrid>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b/>
              </w:rPr>
            </w:pPr>
            <w:r w:rsidRPr="0028081E">
              <w:rPr>
                <w:rFonts w:ascii="Arial Narrow" w:hAnsi="Arial Narrow"/>
                <w:b/>
              </w:rPr>
              <w:t>Component</w:t>
            </w:r>
          </w:p>
        </w:tc>
        <w:tc>
          <w:tcPr>
            <w:tcW w:w="1663" w:type="pct"/>
          </w:tcPr>
          <w:p w:rsidR="00D30D60" w:rsidRPr="0028081E" w:rsidRDefault="00D30D60" w:rsidP="00294A37">
            <w:pPr>
              <w:pStyle w:val="Tabletext"/>
              <w:keepNext/>
              <w:keepLines/>
              <w:suppressLineNumbers/>
              <w:suppressAutoHyphens/>
              <w:jc w:val="center"/>
              <w:rPr>
                <w:rFonts w:ascii="Arial Narrow" w:hAnsi="Arial Narrow"/>
                <w:b/>
              </w:rPr>
            </w:pPr>
            <w:r w:rsidRPr="0028081E">
              <w:rPr>
                <w:rFonts w:ascii="Arial Narrow" w:hAnsi="Arial Narrow"/>
                <w:b/>
              </w:rPr>
              <w:t>Dulaglutide</w:t>
            </w:r>
            <w:r w:rsidR="00E33C71" w:rsidRPr="0028081E">
              <w:rPr>
                <w:rFonts w:ascii="Arial Narrow" w:hAnsi="Arial Narrow"/>
                <w:b/>
              </w:rPr>
              <w:t xml:space="preserve"> 1.5 mg QW</w:t>
            </w:r>
          </w:p>
        </w:tc>
        <w:tc>
          <w:tcPr>
            <w:tcW w:w="1667" w:type="pct"/>
          </w:tcPr>
          <w:p w:rsidR="00D30D60" w:rsidRPr="0028081E" w:rsidRDefault="00D30D60" w:rsidP="00294A37">
            <w:pPr>
              <w:pStyle w:val="Tabletext"/>
              <w:keepNext/>
              <w:keepLines/>
              <w:suppressLineNumbers/>
              <w:suppressAutoHyphens/>
              <w:jc w:val="center"/>
              <w:rPr>
                <w:rFonts w:ascii="Arial Narrow" w:hAnsi="Arial Narrow"/>
                <w:b/>
              </w:rPr>
            </w:pPr>
            <w:r w:rsidRPr="0028081E">
              <w:rPr>
                <w:rFonts w:ascii="Arial Narrow" w:hAnsi="Arial Narrow"/>
                <w:b/>
              </w:rPr>
              <w:t>Exenatide</w:t>
            </w:r>
            <w:r w:rsidR="00E33C71" w:rsidRPr="0028081E">
              <w:rPr>
                <w:rFonts w:ascii="Arial Narrow" w:hAnsi="Arial Narrow"/>
                <w:b/>
              </w:rPr>
              <w:t xml:space="preserve"> 10 mcg BID</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rPr>
            </w:pPr>
            <w:r w:rsidRPr="0028081E">
              <w:rPr>
                <w:rFonts w:ascii="Arial Narrow" w:hAnsi="Arial Narrow"/>
              </w:rPr>
              <w:t>Cost per dose (AEMP)</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r w:rsidR="002602B2">
              <w:rPr>
                <w:rFonts w:ascii="Arial Narrow" w:hAnsi="Arial Narrow"/>
                <w:noProof/>
                <w:color w:val="000000"/>
                <w:highlight w:val="black"/>
              </w:rPr>
              <w:t>''''''''''''</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$1.22</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rPr>
            </w:pPr>
            <w:r w:rsidRPr="0028081E">
              <w:rPr>
                <w:rFonts w:ascii="Arial Narrow" w:hAnsi="Arial Narrow"/>
              </w:rPr>
              <w:t>Dose frequency</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Once weekly</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Twice daily</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rPr>
            </w:pPr>
            <w:r w:rsidRPr="0028081E">
              <w:rPr>
                <w:rFonts w:ascii="Arial Narrow" w:hAnsi="Arial Narrow"/>
              </w:rPr>
              <w:t>Administrations per week</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1</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14</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rPr>
            </w:pPr>
            <w:r w:rsidRPr="0028081E">
              <w:rPr>
                <w:rFonts w:ascii="Arial Narrow" w:hAnsi="Arial Narrow"/>
              </w:rPr>
              <w:t>Total medicine cost per week</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r w:rsidR="002602B2">
              <w:rPr>
                <w:rFonts w:ascii="Arial Narrow" w:hAnsi="Arial Narrow"/>
                <w:noProof/>
                <w:color w:val="000000"/>
                <w:highlight w:val="black"/>
              </w:rPr>
              <w:t>''''''''''''''</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$17.02</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vertAlign w:val="superscript"/>
              </w:rPr>
            </w:pPr>
            <w:r w:rsidRPr="0028081E">
              <w:rPr>
                <w:rFonts w:ascii="Arial Narrow" w:hAnsi="Arial Narrow"/>
              </w:rPr>
              <w:t>Cost offset – needle use per week</w:t>
            </w:r>
            <w:r w:rsidRPr="0028081E">
              <w:rPr>
                <w:rFonts w:ascii="Arial Narrow" w:hAnsi="Arial Narrow"/>
                <w:vertAlign w:val="superscript"/>
              </w:rPr>
              <w:t>a</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r w:rsidR="002602B2">
              <w:rPr>
                <w:rFonts w:ascii="Arial Narrow" w:hAnsi="Arial Narrow"/>
                <w:noProof/>
                <w:color w:val="000000"/>
                <w:highlight w:val="black"/>
              </w:rPr>
              <w:t>''''''''''</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vertAlign w:val="superscript"/>
              </w:rPr>
            </w:pPr>
            <w:r w:rsidRPr="0028081E">
              <w:rPr>
                <w:rFonts w:ascii="Arial Narrow" w:hAnsi="Arial Narrow"/>
              </w:rPr>
              <w:t>Cost offset – adherence per week</w:t>
            </w:r>
            <w:r w:rsidRPr="0028081E">
              <w:rPr>
                <w:rFonts w:ascii="Arial Narrow" w:hAnsi="Arial Narrow"/>
                <w:vertAlign w:val="superscript"/>
              </w:rPr>
              <w:t>b</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r w:rsidR="002602B2">
              <w:rPr>
                <w:rFonts w:ascii="Arial Narrow" w:hAnsi="Arial Narrow"/>
                <w:noProof/>
                <w:color w:val="000000"/>
                <w:highlight w:val="black"/>
              </w:rPr>
              <w:t>'''''''''''</w:t>
            </w:r>
          </w:p>
        </w:tc>
      </w:tr>
      <w:tr w:rsidR="00D30D60" w:rsidRPr="0028081E" w:rsidTr="00983D31">
        <w:tc>
          <w:tcPr>
            <w:tcW w:w="1670" w:type="pct"/>
          </w:tcPr>
          <w:p w:rsidR="00D30D60" w:rsidRPr="0028081E" w:rsidRDefault="00D30D60" w:rsidP="00294A37">
            <w:pPr>
              <w:pStyle w:val="Tabletext"/>
              <w:keepNext/>
              <w:keepLines/>
              <w:suppressLineNumbers/>
              <w:suppressAutoHyphens/>
              <w:rPr>
                <w:rFonts w:ascii="Arial Narrow" w:hAnsi="Arial Narrow"/>
              </w:rPr>
            </w:pPr>
            <w:r w:rsidRPr="0028081E">
              <w:rPr>
                <w:rFonts w:ascii="Arial Narrow" w:hAnsi="Arial Narrow"/>
              </w:rPr>
              <w:t>Total health care costs per week</w:t>
            </w:r>
          </w:p>
        </w:tc>
        <w:tc>
          <w:tcPr>
            <w:tcW w:w="1663"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r w:rsidR="002602B2">
              <w:rPr>
                <w:rFonts w:ascii="Arial Narrow" w:hAnsi="Arial Narrow"/>
                <w:noProof/>
                <w:color w:val="000000"/>
                <w:highlight w:val="black"/>
              </w:rPr>
              <w:t>''''''''''''''</w:t>
            </w:r>
          </w:p>
        </w:tc>
        <w:tc>
          <w:tcPr>
            <w:tcW w:w="1667" w:type="pct"/>
          </w:tcPr>
          <w:p w:rsidR="00D30D60" w:rsidRPr="0028081E" w:rsidRDefault="00D30D60" w:rsidP="00294A37">
            <w:pPr>
              <w:pStyle w:val="Tabletext"/>
              <w:keepNext/>
              <w:keepLines/>
              <w:suppressLineNumbers/>
              <w:suppressAutoHyphens/>
              <w:jc w:val="center"/>
              <w:rPr>
                <w:rFonts w:ascii="Arial Narrow" w:hAnsi="Arial Narrow"/>
              </w:rPr>
            </w:pPr>
            <w:r w:rsidRPr="0028081E">
              <w:rPr>
                <w:rFonts w:ascii="Arial Narrow" w:hAnsi="Arial Narrow"/>
              </w:rPr>
              <w:t>$</w:t>
            </w:r>
            <w:r w:rsidR="002602B2">
              <w:rPr>
                <w:rFonts w:ascii="Arial Narrow" w:hAnsi="Arial Narrow"/>
                <w:noProof/>
                <w:color w:val="000000"/>
                <w:highlight w:val="black"/>
              </w:rPr>
              <w:t>''''''''''''</w:t>
            </w:r>
          </w:p>
        </w:tc>
      </w:tr>
    </w:tbl>
    <w:p w:rsidR="00D30D60" w:rsidRPr="0028081E" w:rsidRDefault="00D30D60" w:rsidP="00FE1C05">
      <w:pPr>
        <w:pStyle w:val="TableFooter"/>
        <w:keepNext/>
        <w:keepLines/>
        <w:widowControl/>
        <w:suppressLineNumbers/>
        <w:suppressAutoHyphens/>
        <w:rPr>
          <w:szCs w:val="18"/>
        </w:rPr>
      </w:pPr>
      <w:r w:rsidRPr="0028081E">
        <w:rPr>
          <w:szCs w:val="18"/>
          <w:vertAlign w:val="superscript"/>
        </w:rPr>
        <w:t>a</w:t>
      </w:r>
      <w:r w:rsidRPr="0028081E">
        <w:rPr>
          <w:szCs w:val="18"/>
        </w:rPr>
        <w:t xml:space="preserve"> cost-offset for needle use per week was calculated based on the cost of 50% of the needles required for one week’s supply (equivalent to the cost of 7 needles). The average cost for one needle was estimated at $</w:t>
      </w:r>
      <w:r w:rsidR="002602B2">
        <w:rPr>
          <w:noProof/>
          <w:color w:val="000000"/>
          <w:szCs w:val="18"/>
          <w:highlight w:val="black"/>
        </w:rPr>
        <w:t>''''''''''''''</w:t>
      </w:r>
      <w:r w:rsidRPr="0028081E">
        <w:rPr>
          <w:szCs w:val="18"/>
        </w:rPr>
        <w:t>, based on the average cost of needles from several Australian online diabetes supply stores (See Attachment A6.1 of the submission).</w:t>
      </w:r>
    </w:p>
    <w:p w:rsidR="00D30D60" w:rsidRPr="0028081E" w:rsidRDefault="00D30D60" w:rsidP="00FE1C05">
      <w:pPr>
        <w:pStyle w:val="TableFooter"/>
        <w:keepNext/>
        <w:keepLines/>
        <w:widowControl/>
        <w:suppressLineNumbers/>
        <w:suppressAutoHyphens/>
        <w:rPr>
          <w:szCs w:val="18"/>
        </w:rPr>
      </w:pPr>
      <w:r w:rsidRPr="0028081E">
        <w:rPr>
          <w:szCs w:val="18"/>
          <w:vertAlign w:val="superscript"/>
        </w:rPr>
        <w:t>b</w:t>
      </w:r>
      <w:r w:rsidRPr="0028081E">
        <w:rPr>
          <w:szCs w:val="18"/>
        </w:rPr>
        <w:t xml:space="preserve"> calculated as the difference between the cost (AEMP) of one week’s treatment for exenatide 10 mcg twice daily and dulaglutide</w:t>
      </w:r>
      <w:r w:rsidR="00E33C71" w:rsidRPr="0028081E">
        <w:rPr>
          <w:szCs w:val="18"/>
        </w:rPr>
        <w:t xml:space="preserve"> QW</w:t>
      </w:r>
      <w:r w:rsidRPr="0028081E">
        <w:rPr>
          <w:szCs w:val="18"/>
        </w:rPr>
        <w:t xml:space="preserve">, minus the cost offset for needle use per week. </w:t>
      </w:r>
    </w:p>
    <w:p w:rsidR="00D30D60" w:rsidRPr="0028081E" w:rsidRDefault="00D30D60" w:rsidP="00FE1C05">
      <w:pPr>
        <w:pStyle w:val="TableFooter"/>
        <w:keepNext/>
        <w:keepLines/>
        <w:widowControl/>
        <w:suppressLineNumbers/>
        <w:suppressAutoHyphens/>
        <w:rPr>
          <w:szCs w:val="18"/>
        </w:rPr>
      </w:pPr>
      <w:r w:rsidRPr="0028081E">
        <w:rPr>
          <w:szCs w:val="18"/>
        </w:rPr>
        <w:t>Source: Table 3.4.2, Table 3.4.3, p125 of the November 2019 submission</w:t>
      </w:r>
    </w:p>
    <w:p w:rsidR="00D30D60" w:rsidRPr="0028081E" w:rsidRDefault="00B014AD" w:rsidP="00FE1C05">
      <w:pPr>
        <w:pStyle w:val="TableFooter"/>
        <w:keepNext/>
        <w:keepLines/>
        <w:widowControl/>
        <w:suppressLineNumbers/>
        <w:suppressAutoHyphens/>
        <w:rPr>
          <w:szCs w:val="18"/>
        </w:rPr>
      </w:pPr>
      <w:r w:rsidRPr="0028081E">
        <w:rPr>
          <w:szCs w:val="18"/>
        </w:rPr>
        <w:t>Abbreviations: AEMP:</w:t>
      </w:r>
      <w:r w:rsidR="00D30D60" w:rsidRPr="0028081E">
        <w:rPr>
          <w:szCs w:val="18"/>
        </w:rPr>
        <w:t xml:space="preserve"> approved ex-manufacturer price</w:t>
      </w:r>
    </w:p>
    <w:p w:rsidR="00D30D60" w:rsidRPr="0028081E" w:rsidRDefault="00D30D60" w:rsidP="00294A37">
      <w:pPr>
        <w:pStyle w:val="3Bodytext"/>
        <w:numPr>
          <w:ilvl w:val="0"/>
          <w:numId w:val="0"/>
        </w:numPr>
        <w:ind w:left="720"/>
        <w:rPr>
          <w:rFonts w:cstheme="minorHAnsi"/>
          <w:szCs w:val="24"/>
        </w:rPr>
      </w:pPr>
    </w:p>
    <w:p w:rsidR="005F1FB2" w:rsidRPr="0028081E" w:rsidRDefault="009F4599" w:rsidP="00FE1C05">
      <w:pPr>
        <w:pStyle w:val="3Bodytext"/>
        <w:jc w:val="both"/>
      </w:pPr>
      <w:r w:rsidRPr="0028081E">
        <w:t>Despite the PBAC’s previous advice</w:t>
      </w:r>
      <w:r w:rsidR="002815FE" w:rsidRPr="0028081E">
        <w:t xml:space="preserve"> </w:t>
      </w:r>
      <w:r w:rsidR="00E3464B" w:rsidRPr="0028081E">
        <w:t>that any requested price advantage over exenatide BID should be</w:t>
      </w:r>
      <w:r w:rsidRPr="0028081E">
        <w:t xml:space="preserve"> proportionate to the small number of high clinical need populations who may experience health benefits from likely improved adherence with dulaglutide QW</w:t>
      </w:r>
      <w:r w:rsidR="002815FE" w:rsidRPr="0028081E">
        <w:t>, t</w:t>
      </w:r>
      <w:r w:rsidR="006E5EF3" w:rsidRPr="0028081E">
        <w:t xml:space="preserve">he </w:t>
      </w:r>
      <w:r w:rsidR="005E7D78" w:rsidRPr="0028081E">
        <w:t>resubmission</w:t>
      </w:r>
      <w:r w:rsidR="006E5EF3" w:rsidRPr="0028081E">
        <w:t xml:space="preserve"> maintained that the requested price advantage</w:t>
      </w:r>
      <w:r w:rsidR="009F630A" w:rsidRPr="0028081E">
        <w:t xml:space="preserve"> of $</w:t>
      </w:r>
      <w:r w:rsidR="002602B2">
        <w:rPr>
          <w:noProof/>
          <w:color w:val="000000"/>
          <w:highlight w:val="black"/>
        </w:rPr>
        <w:t>'''''''''</w:t>
      </w:r>
      <w:r w:rsidR="009F630A" w:rsidRPr="0028081E">
        <w:t xml:space="preserve"> per week</w:t>
      </w:r>
      <w:r w:rsidR="006E5EF3" w:rsidRPr="0028081E">
        <w:t xml:space="preserve"> was reasonable </w:t>
      </w:r>
      <w:r w:rsidR="009E37F5" w:rsidRPr="0028081E">
        <w:t xml:space="preserve">on the basis </w:t>
      </w:r>
      <w:r w:rsidR="000C2D0F" w:rsidRPr="0028081E">
        <w:t xml:space="preserve">that </w:t>
      </w:r>
      <w:r w:rsidR="006E5EF3" w:rsidRPr="0028081E">
        <w:rPr>
          <w:rFonts w:eastAsia="Times New Roman" w:cs="Arial"/>
          <w:snapToGrid w:val="0"/>
          <w:szCs w:val="24"/>
        </w:rPr>
        <w:t xml:space="preserve">the </w:t>
      </w:r>
      <w:r w:rsidR="00606911" w:rsidRPr="0028081E">
        <w:rPr>
          <w:rFonts w:eastAsia="Times New Roman" w:cs="Arial"/>
          <w:snapToGrid w:val="0"/>
          <w:szCs w:val="24"/>
        </w:rPr>
        <w:t>price advantage of exen</w:t>
      </w:r>
      <w:r w:rsidR="006E5EF3" w:rsidRPr="0028081E">
        <w:rPr>
          <w:rFonts w:eastAsia="Times New Roman" w:cs="Arial"/>
          <w:snapToGrid w:val="0"/>
          <w:szCs w:val="24"/>
        </w:rPr>
        <w:t xml:space="preserve">atide 2 mg QW over exenatide 10 </w:t>
      </w:r>
      <w:r w:rsidR="00FF3388" w:rsidRPr="0028081E">
        <w:rPr>
          <w:rFonts w:eastAsia="Times New Roman" w:cs="Arial"/>
          <w:snapToGrid w:val="0"/>
          <w:szCs w:val="24"/>
        </w:rPr>
        <w:t>mc</w:t>
      </w:r>
      <w:r w:rsidR="006E5EF3" w:rsidRPr="0028081E">
        <w:rPr>
          <w:rFonts w:eastAsia="Times New Roman" w:cs="Arial"/>
          <w:snapToGrid w:val="0"/>
          <w:szCs w:val="24"/>
        </w:rPr>
        <w:t xml:space="preserve">g BID </w:t>
      </w:r>
      <w:r w:rsidR="009E37F5" w:rsidRPr="0028081E">
        <w:rPr>
          <w:rFonts w:eastAsia="Times New Roman" w:cs="Arial"/>
          <w:snapToGrid w:val="0"/>
          <w:szCs w:val="24"/>
        </w:rPr>
        <w:t>is</w:t>
      </w:r>
      <w:r w:rsidR="006E5EF3" w:rsidRPr="0028081E">
        <w:rPr>
          <w:rFonts w:eastAsia="Times New Roman" w:cs="Arial"/>
          <w:snapToGrid w:val="0"/>
          <w:szCs w:val="24"/>
        </w:rPr>
        <w:t xml:space="preserve"> $</w:t>
      </w:r>
      <w:r w:rsidR="002602B2">
        <w:rPr>
          <w:rFonts w:eastAsia="Times New Roman" w:cs="Arial"/>
          <w:noProof/>
          <w:snapToGrid w:val="0"/>
          <w:color w:val="000000"/>
          <w:szCs w:val="24"/>
          <w:highlight w:val="black"/>
        </w:rPr>
        <w:t>'''''''''</w:t>
      </w:r>
      <w:r w:rsidR="006E5EF3" w:rsidRPr="0028081E">
        <w:rPr>
          <w:rFonts w:eastAsia="Times New Roman" w:cs="Arial"/>
          <w:snapToGrid w:val="0"/>
          <w:szCs w:val="24"/>
        </w:rPr>
        <w:t xml:space="preserve"> per week</w:t>
      </w:r>
      <w:r w:rsidR="00EE4488" w:rsidRPr="0028081E">
        <w:rPr>
          <w:rFonts w:eastAsia="Times New Roman" w:cs="Arial"/>
          <w:snapToGrid w:val="0"/>
          <w:szCs w:val="24"/>
        </w:rPr>
        <w:t>.</w:t>
      </w:r>
      <w:r w:rsidR="008F2B4A" w:rsidRPr="0028081E">
        <w:t xml:space="preserve"> </w:t>
      </w:r>
      <w:r w:rsidR="009A2E00" w:rsidRPr="0028081E">
        <w:t xml:space="preserve">The pre-PBAC response  </w:t>
      </w:r>
      <w:r w:rsidR="00016E17" w:rsidRPr="0028081E">
        <w:t>presented additional</w:t>
      </w:r>
      <w:r w:rsidR="00714688" w:rsidRPr="0028081E">
        <w:t xml:space="preserve"> information </w:t>
      </w:r>
      <w:r w:rsidR="00016E17" w:rsidRPr="0028081E">
        <w:t>to support the requested price advantage (see paragraphs 5.6 and 5.7 below)</w:t>
      </w:r>
      <w:r w:rsidR="00FD6D99" w:rsidRPr="0028081E">
        <w:t xml:space="preserve"> and </w:t>
      </w:r>
      <w:r w:rsidR="005F1FB2" w:rsidRPr="0028081E">
        <w:t>utilised</w:t>
      </w:r>
      <w:r w:rsidR="00FD6D99" w:rsidRPr="0028081E">
        <w:t xml:space="preserve"> data </w:t>
      </w:r>
      <w:r w:rsidR="00C860C9" w:rsidRPr="0028081E">
        <w:t xml:space="preserve">from an Australian </w:t>
      </w:r>
      <w:r w:rsidR="00487B20" w:rsidRPr="0028081E">
        <w:t xml:space="preserve">observational </w:t>
      </w:r>
      <w:r w:rsidR="00C860C9" w:rsidRPr="0028081E">
        <w:t>study (</w:t>
      </w:r>
      <w:r w:rsidR="00FD6D99" w:rsidRPr="0028081E">
        <w:t>Haines et al.</w:t>
      </w:r>
      <w:r w:rsidR="00C860C9" w:rsidRPr="0028081E">
        <w:rPr>
          <w:rStyle w:val="FootnoteReference"/>
        </w:rPr>
        <w:footnoteReference w:id="1"/>
      </w:r>
      <w:r w:rsidR="00D927CE" w:rsidRPr="0028081E">
        <w:t>,</w:t>
      </w:r>
      <w:r w:rsidR="00FD6D99" w:rsidRPr="0028081E">
        <w:t xml:space="preserve"> 2016</w:t>
      </w:r>
      <w:r w:rsidR="00C860C9" w:rsidRPr="0028081E">
        <w:t>)</w:t>
      </w:r>
      <w:r w:rsidR="00487B20" w:rsidRPr="0028081E">
        <w:t xml:space="preserve"> in an alternative method to determine a price advantage for dulaglutide QW over exenatide B</w:t>
      </w:r>
      <w:r w:rsidR="005F1FB2" w:rsidRPr="0028081E">
        <w:t xml:space="preserve">ID. The pre-PBAC response </w:t>
      </w:r>
      <w:r w:rsidR="00BF3E78" w:rsidRPr="0028081E">
        <w:t>noted that data from Haines et al., 2016 showed that the prevalence of T2DM in aged care fa</w:t>
      </w:r>
      <w:r w:rsidR="00A87704" w:rsidRPr="0028081E">
        <w:t>cilities was 18.2% with 21.3% of those patients treated with insulin and 34.3% treated with oral antihyperglyc</w:t>
      </w:r>
      <w:r w:rsidR="00751968" w:rsidRPr="0028081E">
        <w:t>a</w:t>
      </w:r>
      <w:r w:rsidR="00A87704" w:rsidRPr="0028081E">
        <w:t>emic agents. Based on this data, the pre-PBAC response estimated that the population receiving insulin</w:t>
      </w:r>
      <w:r w:rsidR="00C81BE7" w:rsidRPr="0028081E">
        <w:t xml:space="preserve"> combination therapy is</w:t>
      </w:r>
      <w:r w:rsidR="00A87704" w:rsidRPr="0028081E">
        <w:t xml:space="preserve"> approximately 62%</w:t>
      </w:r>
      <w:r w:rsidR="00C81BE7" w:rsidRPr="0028081E">
        <w:t xml:space="preserve"> of the population receiving oral combination therapy and applying this relativity to the price advantage o</w:t>
      </w:r>
      <w:r w:rsidR="00ED45CB" w:rsidRPr="0028081E">
        <w:t>f</w:t>
      </w:r>
      <w:r w:rsidR="00EE6726" w:rsidRPr="0028081E">
        <w:rPr>
          <w:rFonts w:eastAsia="Times New Roman" w:cs="Arial"/>
          <w:snapToGrid w:val="0"/>
          <w:szCs w:val="24"/>
        </w:rPr>
        <w:t xml:space="preserve"> dulaglutide</w:t>
      </w:r>
      <w:r w:rsidR="00ED45CB" w:rsidRPr="0028081E">
        <w:rPr>
          <w:rFonts w:eastAsia="Times New Roman" w:cs="Arial"/>
          <w:snapToGrid w:val="0"/>
          <w:szCs w:val="24"/>
        </w:rPr>
        <w:t xml:space="preserve"> QW over exenatide 10 mcg BID results in a price advantage of $</w:t>
      </w:r>
      <w:r w:rsidR="002602B2">
        <w:rPr>
          <w:rFonts w:eastAsia="Times New Roman" w:cs="Arial"/>
          <w:noProof/>
          <w:snapToGrid w:val="0"/>
          <w:color w:val="000000"/>
          <w:szCs w:val="24"/>
          <w:highlight w:val="black"/>
        </w:rPr>
        <w:t>''''''''</w:t>
      </w:r>
      <w:r w:rsidR="00ED45CB" w:rsidRPr="0028081E">
        <w:rPr>
          <w:rFonts w:eastAsia="Times New Roman" w:cs="Arial"/>
          <w:snapToGrid w:val="0"/>
          <w:szCs w:val="24"/>
        </w:rPr>
        <w:t xml:space="preserve">. </w:t>
      </w:r>
      <w:r w:rsidR="001032A3" w:rsidRPr="0028081E">
        <w:rPr>
          <w:rFonts w:eastAsia="Times New Roman" w:cs="Arial"/>
          <w:snapToGrid w:val="0"/>
          <w:szCs w:val="24"/>
        </w:rPr>
        <w:t xml:space="preserve">The pre-PBAC response indicated </w:t>
      </w:r>
      <w:r w:rsidR="00751968" w:rsidRPr="0028081E">
        <w:rPr>
          <w:rFonts w:eastAsia="Times New Roman" w:cs="Arial"/>
          <w:snapToGrid w:val="0"/>
          <w:szCs w:val="24"/>
        </w:rPr>
        <w:t>the</w:t>
      </w:r>
      <w:r w:rsidR="001032A3" w:rsidRPr="0028081E">
        <w:rPr>
          <w:rFonts w:eastAsia="Times New Roman" w:cs="Arial"/>
          <w:snapToGrid w:val="0"/>
          <w:szCs w:val="24"/>
        </w:rPr>
        <w:t xml:space="preserve"> aged care population would constitute the majority of high clinical need populations compared to the </w:t>
      </w:r>
      <w:r w:rsidR="00BE1B52" w:rsidRPr="0028081E">
        <w:rPr>
          <w:rFonts w:eastAsia="Times New Roman" w:cs="Arial"/>
          <w:snapToGrid w:val="0"/>
          <w:szCs w:val="24"/>
        </w:rPr>
        <w:t>I</w:t>
      </w:r>
      <w:r w:rsidR="001032A3" w:rsidRPr="0028081E">
        <w:rPr>
          <w:rFonts w:eastAsia="Times New Roman" w:cs="Arial"/>
          <w:snapToGrid w:val="0"/>
          <w:szCs w:val="24"/>
        </w:rPr>
        <w:t xml:space="preserve">ndigenous </w:t>
      </w:r>
      <w:r w:rsidR="00BE1B52" w:rsidRPr="0028081E">
        <w:rPr>
          <w:rFonts w:eastAsia="Times New Roman" w:cs="Arial"/>
          <w:snapToGrid w:val="0"/>
          <w:szCs w:val="24"/>
        </w:rPr>
        <w:t xml:space="preserve">Australian </w:t>
      </w:r>
      <w:r w:rsidR="001032A3" w:rsidRPr="0028081E">
        <w:rPr>
          <w:rFonts w:eastAsia="Times New Roman" w:cs="Arial"/>
          <w:snapToGrid w:val="0"/>
          <w:szCs w:val="24"/>
        </w:rPr>
        <w:t xml:space="preserve">or mental health populations and </w:t>
      </w:r>
      <w:r w:rsidR="0002090C" w:rsidRPr="0028081E">
        <w:rPr>
          <w:rFonts w:eastAsia="Times New Roman" w:cs="Arial"/>
          <w:snapToGrid w:val="0"/>
          <w:szCs w:val="24"/>
        </w:rPr>
        <w:t>on this basis</w:t>
      </w:r>
      <w:r w:rsidR="001032A3" w:rsidRPr="0028081E">
        <w:rPr>
          <w:rFonts w:eastAsia="Times New Roman" w:cs="Arial"/>
          <w:snapToGrid w:val="0"/>
          <w:szCs w:val="24"/>
        </w:rPr>
        <w:t>,</w:t>
      </w:r>
      <w:r w:rsidR="0002090C" w:rsidRPr="0028081E">
        <w:rPr>
          <w:rFonts w:eastAsia="Times New Roman" w:cs="Arial"/>
          <w:snapToGrid w:val="0"/>
          <w:szCs w:val="24"/>
        </w:rPr>
        <w:t xml:space="preserve"> considered that</w:t>
      </w:r>
      <w:r w:rsidR="001032A3" w:rsidRPr="0028081E">
        <w:rPr>
          <w:rFonts w:eastAsia="Times New Roman" w:cs="Arial"/>
          <w:snapToGrid w:val="0"/>
          <w:szCs w:val="24"/>
        </w:rPr>
        <w:t xml:space="preserve"> </w:t>
      </w:r>
      <w:r w:rsidR="0002090C" w:rsidRPr="0028081E">
        <w:rPr>
          <w:rFonts w:eastAsia="Times New Roman" w:cs="Arial"/>
          <w:snapToGrid w:val="0"/>
          <w:szCs w:val="24"/>
        </w:rPr>
        <w:t>this price</w:t>
      </w:r>
      <w:r w:rsidR="001032A3" w:rsidRPr="0028081E">
        <w:rPr>
          <w:rFonts w:eastAsia="Times New Roman" w:cs="Arial"/>
          <w:snapToGrid w:val="0"/>
          <w:szCs w:val="24"/>
        </w:rPr>
        <w:t xml:space="preserve"> advantage</w:t>
      </w:r>
      <w:r w:rsidR="0002090C" w:rsidRPr="0028081E">
        <w:rPr>
          <w:rFonts w:eastAsia="Times New Roman" w:cs="Arial"/>
          <w:snapToGrid w:val="0"/>
          <w:szCs w:val="24"/>
        </w:rPr>
        <w:t xml:space="preserve"> could be applied</w:t>
      </w:r>
      <w:r w:rsidR="001032A3" w:rsidRPr="0028081E">
        <w:rPr>
          <w:rFonts w:eastAsia="Times New Roman" w:cs="Arial"/>
          <w:snapToGrid w:val="0"/>
          <w:szCs w:val="24"/>
        </w:rPr>
        <w:t xml:space="preserve"> </w:t>
      </w:r>
      <w:r w:rsidR="0002090C" w:rsidRPr="0028081E">
        <w:rPr>
          <w:rFonts w:eastAsia="Times New Roman" w:cs="Arial"/>
          <w:snapToGrid w:val="0"/>
          <w:szCs w:val="24"/>
        </w:rPr>
        <w:t>across all high clinical need populations.</w:t>
      </w:r>
      <w:r w:rsidR="003B388F" w:rsidRPr="0028081E">
        <w:rPr>
          <w:rFonts w:eastAsia="Times New Roman" w:cs="Arial"/>
          <w:snapToGrid w:val="0"/>
          <w:szCs w:val="24"/>
        </w:rPr>
        <w:t xml:space="preserve"> The PBAC noted that Haines et al., </w:t>
      </w:r>
      <w:r w:rsidR="00EE6726" w:rsidRPr="0028081E">
        <w:t xml:space="preserve">2016 </w:t>
      </w:r>
      <w:r w:rsidR="003B388F" w:rsidRPr="0028081E">
        <w:rPr>
          <w:rFonts w:eastAsia="Times New Roman" w:cs="Arial"/>
          <w:snapToGrid w:val="0"/>
          <w:szCs w:val="24"/>
        </w:rPr>
        <w:t>was a small cross-sectional observational study of 107 patients</w:t>
      </w:r>
      <w:r w:rsidR="00772194" w:rsidRPr="0028081E">
        <w:rPr>
          <w:rFonts w:eastAsia="Times New Roman" w:cs="Arial"/>
          <w:snapToGrid w:val="0"/>
          <w:szCs w:val="24"/>
        </w:rPr>
        <w:t xml:space="preserve"> in north-east Victorian aged care facilities with</w:t>
      </w:r>
      <w:r w:rsidR="003B388F" w:rsidRPr="0028081E">
        <w:rPr>
          <w:rFonts w:eastAsia="Times New Roman" w:cs="Arial"/>
          <w:snapToGrid w:val="0"/>
          <w:szCs w:val="24"/>
        </w:rPr>
        <w:t xml:space="preserve"> T2DM an</w:t>
      </w:r>
      <w:r w:rsidR="00772194" w:rsidRPr="0028081E">
        <w:rPr>
          <w:rFonts w:eastAsia="Times New Roman" w:cs="Arial"/>
          <w:snapToGrid w:val="0"/>
          <w:szCs w:val="24"/>
        </w:rPr>
        <w:t>d 1 patient with Type 1 diabetes mellitus</w:t>
      </w:r>
      <w:r w:rsidR="003B388F" w:rsidRPr="0028081E">
        <w:rPr>
          <w:rFonts w:eastAsia="Times New Roman" w:cs="Arial"/>
          <w:snapToGrid w:val="0"/>
          <w:szCs w:val="24"/>
        </w:rPr>
        <w:t>.</w:t>
      </w:r>
      <w:r w:rsidR="0002090C" w:rsidRPr="0028081E">
        <w:rPr>
          <w:rFonts w:eastAsia="Times New Roman" w:cs="Arial"/>
          <w:snapToGrid w:val="0"/>
          <w:szCs w:val="24"/>
        </w:rPr>
        <w:t xml:space="preserve"> </w:t>
      </w:r>
      <w:r w:rsidR="00873C12" w:rsidRPr="0028081E">
        <w:rPr>
          <w:rFonts w:eastAsia="Times New Roman" w:cs="Arial"/>
          <w:snapToGrid w:val="0"/>
          <w:szCs w:val="24"/>
        </w:rPr>
        <w:t xml:space="preserve">The PBAC considered </w:t>
      </w:r>
      <w:r w:rsidR="00CC2625" w:rsidRPr="0028081E">
        <w:rPr>
          <w:rFonts w:eastAsia="Times New Roman" w:cs="Arial"/>
          <w:snapToGrid w:val="0"/>
          <w:szCs w:val="24"/>
        </w:rPr>
        <w:t xml:space="preserve">that Haines et al., 2016 </w:t>
      </w:r>
      <w:r w:rsidR="003F4B5B" w:rsidRPr="0028081E">
        <w:rPr>
          <w:rFonts w:eastAsia="Times New Roman" w:cs="Arial"/>
          <w:snapToGrid w:val="0"/>
          <w:szCs w:val="24"/>
        </w:rPr>
        <w:t xml:space="preserve">did not provide a reliable basis for estimating the proportion of aged care patients treated with insulin given the data was based on a small number of patients </w:t>
      </w:r>
      <w:r w:rsidR="003B388F" w:rsidRPr="0028081E">
        <w:rPr>
          <w:rFonts w:eastAsia="Times New Roman" w:cs="Arial"/>
          <w:snapToGrid w:val="0"/>
          <w:szCs w:val="24"/>
        </w:rPr>
        <w:t>and</w:t>
      </w:r>
      <w:r w:rsidR="00772194" w:rsidRPr="0028081E">
        <w:rPr>
          <w:rFonts w:eastAsia="Times New Roman" w:cs="Arial"/>
          <w:snapToGrid w:val="0"/>
          <w:szCs w:val="24"/>
        </w:rPr>
        <w:t xml:space="preserve"> the study did not provide information on the</w:t>
      </w:r>
      <w:r w:rsidR="003B388F" w:rsidRPr="0028081E">
        <w:rPr>
          <w:rFonts w:eastAsia="Times New Roman" w:cs="Arial"/>
          <w:snapToGrid w:val="0"/>
          <w:szCs w:val="24"/>
        </w:rPr>
        <w:t xml:space="preserve"> proportion of patients </w:t>
      </w:r>
      <w:r w:rsidR="00772194" w:rsidRPr="0028081E">
        <w:rPr>
          <w:rFonts w:eastAsia="Times New Roman" w:cs="Arial"/>
          <w:snapToGrid w:val="0"/>
          <w:szCs w:val="24"/>
        </w:rPr>
        <w:t xml:space="preserve">receiving both insulin and oral agents. </w:t>
      </w:r>
    </w:p>
    <w:p w:rsidR="005B4B34" w:rsidRPr="0028081E" w:rsidRDefault="00D20959" w:rsidP="00FE1C05">
      <w:pPr>
        <w:pStyle w:val="3Bodytext"/>
        <w:jc w:val="both"/>
      </w:pPr>
      <w:r w:rsidRPr="0028081E">
        <w:t xml:space="preserve">While no direct evidence was provided to </w:t>
      </w:r>
      <w:r w:rsidR="007F391C" w:rsidRPr="0028081E">
        <w:t xml:space="preserve">demonstrate </w:t>
      </w:r>
      <w:r w:rsidR="00BE1B52" w:rsidRPr="0028081E">
        <w:t xml:space="preserve">the </w:t>
      </w:r>
      <w:r w:rsidR="007F391C" w:rsidRPr="0028081E">
        <w:t xml:space="preserve">once weekly dosing </w:t>
      </w:r>
      <w:r w:rsidR="00762681" w:rsidRPr="0028081E">
        <w:t xml:space="preserve">regimen </w:t>
      </w:r>
      <w:r w:rsidR="007F391C" w:rsidRPr="0028081E">
        <w:t>would result in better health outcomes</w:t>
      </w:r>
      <w:r w:rsidR="00B70C26" w:rsidRPr="0028081E">
        <w:t xml:space="preserve"> for patients with high clinical needs</w:t>
      </w:r>
      <w:r w:rsidRPr="0028081E">
        <w:t xml:space="preserve">, </w:t>
      </w:r>
      <w:r w:rsidR="009F630A" w:rsidRPr="0028081E">
        <w:t xml:space="preserve">the resubmission </w:t>
      </w:r>
      <w:r w:rsidR="008814EF" w:rsidRPr="0028081E">
        <w:t>stated</w:t>
      </w:r>
      <w:r w:rsidR="009E5579" w:rsidRPr="0028081E">
        <w:t xml:space="preserve"> </w:t>
      </w:r>
      <w:r w:rsidR="00A92414" w:rsidRPr="0028081E">
        <w:t xml:space="preserve">that </w:t>
      </w:r>
      <w:r w:rsidR="009F630A" w:rsidRPr="0028081E">
        <w:t xml:space="preserve">patients with high clinical needs </w:t>
      </w:r>
      <w:r w:rsidR="000F4291" w:rsidRPr="0028081E">
        <w:t>refer</w:t>
      </w:r>
      <w:r w:rsidR="00BE1B52" w:rsidRPr="0028081E">
        <w:t>red</w:t>
      </w:r>
      <w:r w:rsidR="001946F1" w:rsidRPr="0028081E">
        <w:t xml:space="preserve"> to</w:t>
      </w:r>
      <w:r w:rsidR="00114FE3" w:rsidRPr="0028081E">
        <w:t xml:space="preserve"> patients</w:t>
      </w:r>
      <w:r w:rsidR="009F630A" w:rsidRPr="0028081E">
        <w:t xml:space="preserve"> with comorbidities including cardiovascular and </w:t>
      </w:r>
      <w:r w:rsidRPr="0028081E">
        <w:t>kidney</w:t>
      </w:r>
      <w:r w:rsidR="009F630A" w:rsidRPr="0028081E">
        <w:t xml:space="preserve"> diseases, microvascular complications, </w:t>
      </w:r>
      <w:r w:rsidR="00114FE3" w:rsidRPr="0028081E">
        <w:t xml:space="preserve">serious </w:t>
      </w:r>
      <w:r w:rsidR="009F630A" w:rsidRPr="0028081E">
        <w:t>mental</w:t>
      </w:r>
      <w:r w:rsidR="00114FE3" w:rsidRPr="0028081E">
        <w:t xml:space="preserve"> illness; as well as</w:t>
      </w:r>
      <w:r w:rsidR="009F630A" w:rsidRPr="0028081E">
        <w:t xml:space="preserve"> socio-economic </w:t>
      </w:r>
      <w:r w:rsidR="00114FE3" w:rsidRPr="0028081E">
        <w:t>disadvantage</w:t>
      </w:r>
      <w:r w:rsidR="00256E6C" w:rsidRPr="0028081E">
        <w:t xml:space="preserve"> and </w:t>
      </w:r>
      <w:r w:rsidR="00256E6C" w:rsidRPr="0028081E">
        <w:rPr>
          <w:bCs/>
          <w:szCs w:val="24"/>
        </w:rPr>
        <w:t xml:space="preserve">specific challenges in disease management (e.g. </w:t>
      </w:r>
      <w:r w:rsidR="00BE1B52" w:rsidRPr="0028081E">
        <w:rPr>
          <w:bCs/>
          <w:szCs w:val="24"/>
        </w:rPr>
        <w:t>Indigenous Australians</w:t>
      </w:r>
      <w:r w:rsidR="00256E6C" w:rsidRPr="0028081E">
        <w:rPr>
          <w:bCs/>
          <w:szCs w:val="24"/>
        </w:rPr>
        <w:t>)</w:t>
      </w:r>
      <w:r w:rsidR="009F630A" w:rsidRPr="0028081E">
        <w:rPr>
          <w:szCs w:val="24"/>
        </w:rPr>
        <w:t xml:space="preserve">. </w:t>
      </w:r>
      <w:r w:rsidR="004678E4" w:rsidRPr="0028081E">
        <w:rPr>
          <w:szCs w:val="24"/>
        </w:rPr>
        <w:t>T</w:t>
      </w:r>
      <w:r w:rsidR="000D67FC" w:rsidRPr="0028081E">
        <w:rPr>
          <w:szCs w:val="24"/>
        </w:rPr>
        <w:t>he resubmission</w:t>
      </w:r>
      <w:r w:rsidR="00EE4488" w:rsidRPr="0028081E">
        <w:rPr>
          <w:szCs w:val="24"/>
        </w:rPr>
        <w:t xml:space="preserve"> </w:t>
      </w:r>
      <w:r w:rsidR="00C440F9" w:rsidRPr="0028081E">
        <w:rPr>
          <w:szCs w:val="24"/>
        </w:rPr>
        <w:t xml:space="preserve">indicated </w:t>
      </w:r>
      <w:r w:rsidR="00EE4488" w:rsidRPr="0028081E">
        <w:rPr>
          <w:szCs w:val="24"/>
        </w:rPr>
        <w:t>that most patients treated with</w:t>
      </w:r>
      <w:r w:rsidR="004678E4" w:rsidRPr="0028081E">
        <w:rPr>
          <w:szCs w:val="24"/>
        </w:rPr>
        <w:t xml:space="preserve"> a</w:t>
      </w:r>
      <w:r w:rsidR="00EE4488" w:rsidRPr="0028081E">
        <w:rPr>
          <w:szCs w:val="24"/>
        </w:rPr>
        <w:t xml:space="preserve"> </w:t>
      </w:r>
      <w:r w:rsidR="000F4291" w:rsidRPr="0028081E">
        <w:rPr>
          <w:rFonts w:cstheme="minorHAnsi"/>
          <w:szCs w:val="24"/>
        </w:rPr>
        <w:t>glucagon-like peptide-1 receptor agonist</w:t>
      </w:r>
      <w:r w:rsidR="000F4291" w:rsidRPr="0028081E">
        <w:rPr>
          <w:szCs w:val="24"/>
        </w:rPr>
        <w:t xml:space="preserve"> (</w:t>
      </w:r>
      <w:r w:rsidR="00A92414" w:rsidRPr="0028081E">
        <w:rPr>
          <w:szCs w:val="24"/>
        </w:rPr>
        <w:t>GLP-1 RA</w:t>
      </w:r>
      <w:r w:rsidR="000F4291" w:rsidRPr="0028081E">
        <w:rPr>
          <w:szCs w:val="24"/>
        </w:rPr>
        <w:t>)</w:t>
      </w:r>
      <w:r w:rsidR="00A92414" w:rsidRPr="0028081E">
        <w:rPr>
          <w:szCs w:val="24"/>
        </w:rPr>
        <w:t xml:space="preserve"> </w:t>
      </w:r>
      <w:r w:rsidR="00542F19" w:rsidRPr="0028081E">
        <w:rPr>
          <w:szCs w:val="24"/>
        </w:rPr>
        <w:t xml:space="preserve">in </w:t>
      </w:r>
      <w:r w:rsidR="004678E4" w:rsidRPr="0028081E">
        <w:rPr>
          <w:szCs w:val="24"/>
        </w:rPr>
        <w:t>combination with</w:t>
      </w:r>
      <w:r w:rsidR="00542F19" w:rsidRPr="0028081E">
        <w:rPr>
          <w:szCs w:val="24"/>
        </w:rPr>
        <w:t xml:space="preserve"> insulin</w:t>
      </w:r>
      <w:r w:rsidR="00D34B79" w:rsidRPr="0028081E">
        <w:rPr>
          <w:szCs w:val="24"/>
        </w:rPr>
        <w:t xml:space="preserve"> would be on </w:t>
      </w:r>
      <w:r w:rsidR="00256E6C" w:rsidRPr="0028081E">
        <w:rPr>
          <w:szCs w:val="24"/>
        </w:rPr>
        <w:t xml:space="preserve">third or later line </w:t>
      </w:r>
      <w:r w:rsidR="00867FD6" w:rsidRPr="0028081E">
        <w:rPr>
          <w:szCs w:val="24"/>
        </w:rPr>
        <w:t>therapy</w:t>
      </w:r>
      <w:r w:rsidR="00D34B79" w:rsidRPr="0028081E">
        <w:rPr>
          <w:szCs w:val="24"/>
        </w:rPr>
        <w:t xml:space="preserve"> and</w:t>
      </w:r>
      <w:r w:rsidR="00867FD6" w:rsidRPr="0028081E">
        <w:rPr>
          <w:szCs w:val="24"/>
        </w:rPr>
        <w:t xml:space="preserve"> could be considered</w:t>
      </w:r>
      <w:r w:rsidR="00EE4488" w:rsidRPr="0028081E">
        <w:rPr>
          <w:szCs w:val="24"/>
        </w:rPr>
        <w:t xml:space="preserve"> to be in high clinical need</w:t>
      </w:r>
      <w:r w:rsidR="002B5BAF" w:rsidRPr="0028081E">
        <w:rPr>
          <w:szCs w:val="24"/>
        </w:rPr>
        <w:t>,</w:t>
      </w:r>
      <w:r w:rsidR="00256E6C" w:rsidRPr="0028081E">
        <w:rPr>
          <w:szCs w:val="24"/>
        </w:rPr>
        <w:t xml:space="preserve"> </w:t>
      </w:r>
      <w:r w:rsidR="00867FD6" w:rsidRPr="0028081E">
        <w:rPr>
          <w:szCs w:val="24"/>
        </w:rPr>
        <w:t xml:space="preserve">given </w:t>
      </w:r>
      <w:r w:rsidR="00256E6C" w:rsidRPr="0028081E">
        <w:t>these patients</w:t>
      </w:r>
      <w:r w:rsidR="00A92414" w:rsidRPr="0028081E">
        <w:t xml:space="preserve"> </w:t>
      </w:r>
      <w:r w:rsidR="00DA263B" w:rsidRPr="0028081E">
        <w:t xml:space="preserve">are likely to </w:t>
      </w:r>
      <w:r w:rsidR="002615B6" w:rsidRPr="0028081E">
        <w:t>require</w:t>
      </w:r>
      <w:r w:rsidR="00245B87" w:rsidRPr="0028081E">
        <w:t xml:space="preserve"> </w:t>
      </w:r>
      <w:r w:rsidR="00DA263B" w:rsidRPr="0028081E">
        <w:t>specialist endocrinology consultation due to increased clinical complexity</w:t>
      </w:r>
      <w:r w:rsidR="00D34B79" w:rsidRPr="0028081E">
        <w:t xml:space="preserve">. The resubmission </w:t>
      </w:r>
      <w:r w:rsidR="004C1F2B" w:rsidRPr="0028081E">
        <w:t>noted that</w:t>
      </w:r>
      <w:r w:rsidR="00D34B79" w:rsidRPr="0028081E">
        <w:t xml:space="preserve"> </w:t>
      </w:r>
      <w:r w:rsidR="00867FD6" w:rsidRPr="0028081E">
        <w:t>the most recent Australian Type 2 Diabetes management algorithm (Australian Diabetes Society, 2020)</w:t>
      </w:r>
      <w:r w:rsidR="004C1F2B" w:rsidRPr="0028081E">
        <w:t xml:space="preserve"> also positions GLP-1 RA in combination with insulin as third or later line therapy</w:t>
      </w:r>
      <w:r w:rsidR="00B63068" w:rsidRPr="0028081E">
        <w:t>.</w:t>
      </w:r>
      <w:r w:rsidR="00D151E8" w:rsidRPr="0028081E">
        <w:t xml:space="preserve"> </w:t>
      </w:r>
      <w:r w:rsidR="00247796" w:rsidRPr="0028081E">
        <w:t>T</w:t>
      </w:r>
      <w:r w:rsidR="00D37CA8" w:rsidRPr="0028081E">
        <w:t xml:space="preserve">he PBAC considered </w:t>
      </w:r>
      <w:r w:rsidR="00585A3F" w:rsidRPr="0028081E">
        <w:t>that</w:t>
      </w:r>
      <w:r w:rsidR="0031739A" w:rsidRPr="0028081E">
        <w:t xml:space="preserve"> mostly</w:t>
      </w:r>
      <w:r w:rsidR="00585A3F" w:rsidRPr="0028081E">
        <w:t xml:space="preserve"> </w:t>
      </w:r>
      <w:r w:rsidR="0031739A" w:rsidRPr="0028081E">
        <w:t>general practitioners rather than endocrinologists would manage the addition of dulaglutide QW, for patients already on insulin therapy.</w:t>
      </w:r>
    </w:p>
    <w:p w:rsidR="00126625" w:rsidRPr="0028081E" w:rsidRDefault="00131575" w:rsidP="00300EFC">
      <w:pPr>
        <w:pStyle w:val="3Bodytext"/>
        <w:jc w:val="both"/>
      </w:pPr>
      <w:r w:rsidRPr="0028081E">
        <w:t xml:space="preserve">The pre-PBAC response </w:t>
      </w:r>
      <w:r w:rsidR="0000782F" w:rsidRPr="0028081E">
        <w:t xml:space="preserve">presented data from two retrospective observational studies </w:t>
      </w:r>
      <w:r w:rsidR="0000782F" w:rsidRPr="0028081E">
        <w:rPr>
          <w:bCs/>
        </w:rPr>
        <w:t xml:space="preserve">(Mody </w:t>
      </w:r>
      <w:r w:rsidR="0000782F" w:rsidRPr="0028081E">
        <w:t>et al.</w:t>
      </w:r>
      <w:r w:rsidR="0000782F" w:rsidRPr="0028081E">
        <w:rPr>
          <w:vertAlign w:val="superscript"/>
        </w:rPr>
        <w:footnoteReference w:id="2"/>
      </w:r>
      <w:r w:rsidR="0000782F" w:rsidRPr="0028081E">
        <w:t xml:space="preserve">, 2019; </w:t>
      </w:r>
      <w:r w:rsidR="0000782F" w:rsidRPr="0028081E">
        <w:rPr>
          <w:bCs/>
        </w:rPr>
        <w:t xml:space="preserve">Mody </w:t>
      </w:r>
      <w:r w:rsidR="0000782F" w:rsidRPr="0028081E">
        <w:t>et al.</w:t>
      </w:r>
      <w:r w:rsidR="0000782F" w:rsidRPr="0028081E">
        <w:rPr>
          <w:vertAlign w:val="superscript"/>
        </w:rPr>
        <w:footnoteReference w:id="3"/>
      </w:r>
      <w:r w:rsidR="0000782F" w:rsidRPr="0028081E">
        <w:t>, 2020)</w:t>
      </w:r>
      <w:r w:rsidR="0057691D" w:rsidRPr="0028081E">
        <w:t xml:space="preserve"> as evidence for improved adherence with dulaglutide </w:t>
      </w:r>
      <w:r w:rsidR="0039495F" w:rsidRPr="0028081E">
        <w:t xml:space="preserve">QW </w:t>
      </w:r>
      <w:r w:rsidR="00474CD6" w:rsidRPr="0028081E">
        <w:t xml:space="preserve">compared to other </w:t>
      </w:r>
      <w:r w:rsidR="00300EFC" w:rsidRPr="0028081E">
        <w:t>GLP-1 RAs</w:t>
      </w:r>
      <w:r w:rsidR="0057691D" w:rsidRPr="0028081E">
        <w:t>.</w:t>
      </w:r>
      <w:r w:rsidR="008C4D29" w:rsidRPr="0028081E">
        <w:t xml:space="preserve"> The pre-PBAC response noted that the results from </w:t>
      </w:r>
      <w:r w:rsidR="002E25DC" w:rsidRPr="0028081E">
        <w:t>Mody et al., 2019</w:t>
      </w:r>
      <w:r w:rsidR="008C4D29" w:rsidRPr="0028081E">
        <w:t xml:space="preserve"> indicated </w:t>
      </w:r>
      <w:r w:rsidR="00694DA7" w:rsidRPr="0028081E">
        <w:t>there was higher adherence to treatment amongst patients receiving dulaglutide</w:t>
      </w:r>
      <w:r w:rsidR="002E25DC" w:rsidRPr="0028081E">
        <w:t xml:space="preserve"> compared to patients receiving liraglutide, exenatide B</w:t>
      </w:r>
      <w:r w:rsidR="0039495F" w:rsidRPr="0028081E">
        <w:t>I</w:t>
      </w:r>
      <w:r w:rsidR="002E25DC" w:rsidRPr="0028081E">
        <w:t xml:space="preserve">D </w:t>
      </w:r>
      <w:r w:rsidR="0039495F" w:rsidRPr="0028081E">
        <w:t xml:space="preserve">or </w:t>
      </w:r>
      <w:r w:rsidR="002E25DC" w:rsidRPr="0028081E">
        <w:t xml:space="preserve">exenatide QW </w:t>
      </w:r>
      <w:r w:rsidR="00B73CDD" w:rsidRPr="0028081E">
        <w:t xml:space="preserve">and the adherence advantage of dulaglutide was replicated in Mody et al., 2020 </w:t>
      </w:r>
      <w:r w:rsidR="00694DA7" w:rsidRPr="0028081E">
        <w:t>where adherence with dulaglutide was higher compared to semaglutide and exenatide QW.</w:t>
      </w:r>
    </w:p>
    <w:p w:rsidR="00AB595E" w:rsidRPr="0028081E" w:rsidRDefault="00AB595E" w:rsidP="00FE1C05">
      <w:pPr>
        <w:pStyle w:val="3Bodytext"/>
        <w:jc w:val="both"/>
        <w:rPr>
          <w:bCs/>
        </w:rPr>
      </w:pPr>
      <w:r w:rsidRPr="0028081E">
        <w:t xml:space="preserve">The pre-PBAC response maintained that </w:t>
      </w:r>
      <w:r w:rsidR="00B63F7E" w:rsidRPr="0028081E">
        <w:t xml:space="preserve">most </w:t>
      </w:r>
      <w:r w:rsidR="006E37E0" w:rsidRPr="0028081E">
        <w:t xml:space="preserve">patients treated with a GLP-1 RA in combination </w:t>
      </w:r>
      <w:r w:rsidR="00B63F7E" w:rsidRPr="0028081E">
        <w:t xml:space="preserve">with insulin </w:t>
      </w:r>
      <w:r w:rsidR="002A4240" w:rsidRPr="0028081E">
        <w:t xml:space="preserve">would likely have high clinical needs given the </w:t>
      </w:r>
      <w:r w:rsidR="0041199E" w:rsidRPr="0028081E">
        <w:t>nature of</w:t>
      </w:r>
      <w:r w:rsidR="002A4240" w:rsidRPr="0028081E">
        <w:t xml:space="preserve"> disease progression. </w:t>
      </w:r>
      <w:r w:rsidR="0041199E" w:rsidRPr="0028081E">
        <w:t>The pre-PBAC response presented advice from the Chair of the Diabetes Specific Interest Network of the Royal Australian Co</w:t>
      </w:r>
      <w:r w:rsidR="00D45863" w:rsidRPr="0028081E">
        <w:t xml:space="preserve">llege of General Practitioners </w:t>
      </w:r>
      <w:r w:rsidR="0041199E" w:rsidRPr="0028081E">
        <w:t xml:space="preserve">that </w:t>
      </w:r>
      <w:r w:rsidR="00D45863" w:rsidRPr="0028081E">
        <w:rPr>
          <w:bCs/>
        </w:rPr>
        <w:t>“</w:t>
      </w:r>
      <w:r w:rsidR="00D45863" w:rsidRPr="00793BA6">
        <w:rPr>
          <w:bCs/>
          <w:iCs/>
        </w:rPr>
        <w:t>patients initiated on insulin versus those on oral or non-insulin combinations are identified as being older, at increased risk of micro and macro vascular complications and having higher rates of multi-morbid conditions</w:t>
      </w:r>
      <w:r w:rsidR="00D45863" w:rsidRPr="0028081E">
        <w:rPr>
          <w:bCs/>
        </w:rPr>
        <w:t xml:space="preserve">.” </w:t>
      </w:r>
      <w:r w:rsidR="00B2655F" w:rsidRPr="0028081E">
        <w:rPr>
          <w:bCs/>
        </w:rPr>
        <w:t xml:space="preserve">The </w:t>
      </w:r>
      <w:r w:rsidR="00655A5A" w:rsidRPr="0028081E">
        <w:rPr>
          <w:bCs/>
        </w:rPr>
        <w:t xml:space="preserve">pre-PBAC response also noted that </w:t>
      </w:r>
      <w:r w:rsidR="00406A26" w:rsidRPr="0028081E">
        <w:rPr>
          <w:bCs/>
        </w:rPr>
        <w:t>an analysis of 21,531 patients of Kaiser Permanente Electronic Health Data (</w:t>
      </w:r>
      <w:r w:rsidR="00150E7B" w:rsidRPr="0028081E">
        <w:rPr>
          <w:bCs/>
        </w:rPr>
        <w:t>Weiner JZ et al.</w:t>
      </w:r>
      <w:r w:rsidR="00150E7B" w:rsidRPr="0028081E">
        <w:rPr>
          <w:bCs/>
          <w:vertAlign w:val="superscript"/>
        </w:rPr>
        <w:footnoteReference w:id="4"/>
      </w:r>
      <w:r w:rsidR="00150E7B" w:rsidRPr="0028081E">
        <w:rPr>
          <w:bCs/>
        </w:rPr>
        <w:t>,</w:t>
      </w:r>
      <w:r w:rsidR="00406A26" w:rsidRPr="0028081E">
        <w:rPr>
          <w:bCs/>
        </w:rPr>
        <w:t xml:space="preserve"> 2019) showed that insulin use at</w:t>
      </w:r>
      <w:r w:rsidR="00EB4907" w:rsidRPr="0028081E">
        <w:rPr>
          <w:bCs/>
        </w:rPr>
        <w:t xml:space="preserve"> </w:t>
      </w:r>
      <w:r w:rsidR="00406A26" w:rsidRPr="0028081E">
        <w:rPr>
          <w:bCs/>
        </w:rPr>
        <w:t xml:space="preserve">75 </w:t>
      </w:r>
      <w:r w:rsidR="00EB4907" w:rsidRPr="0028081E">
        <w:rPr>
          <w:bCs/>
        </w:rPr>
        <w:t xml:space="preserve">years of age </w:t>
      </w:r>
      <w:r w:rsidR="00406A26" w:rsidRPr="0028081E">
        <w:rPr>
          <w:bCs/>
        </w:rPr>
        <w:t>was higher in individuals with poor health</w:t>
      </w:r>
      <w:r w:rsidR="006472A1" w:rsidRPr="0028081E">
        <w:t xml:space="preserve"> (</w:t>
      </w:r>
      <w:r w:rsidR="006472A1" w:rsidRPr="0028081E">
        <w:rPr>
          <w:bCs/>
        </w:rPr>
        <w:t>pulmonary, cardiac or renal disease; diagnosis of dementia; or metastatic cancer)</w:t>
      </w:r>
      <w:r w:rsidR="00406A26" w:rsidRPr="0028081E">
        <w:rPr>
          <w:bCs/>
        </w:rPr>
        <w:t xml:space="preserve"> compared to those with good health, and the likelihood of continued insulin use was higher among individuals with poor health.</w:t>
      </w:r>
    </w:p>
    <w:p w:rsidR="005A3173" w:rsidRPr="0028081E" w:rsidRDefault="005A3173" w:rsidP="00294A37">
      <w:pPr>
        <w:pStyle w:val="4-SubsectionHeading"/>
        <w:spacing w:before="0"/>
        <w:rPr>
          <w:lang w:eastAsia="en-US"/>
        </w:rPr>
      </w:pPr>
      <w:r w:rsidRPr="0028081E">
        <w:rPr>
          <w:lang w:eastAsia="en-US"/>
        </w:rPr>
        <w:t>Estimated PBS usage &amp; financial implications</w:t>
      </w:r>
    </w:p>
    <w:p w:rsidR="006255CB" w:rsidRPr="0028081E" w:rsidRDefault="006255CB" w:rsidP="00A75B47">
      <w:pPr>
        <w:pStyle w:val="3Bodytext"/>
        <w:rPr>
          <w:szCs w:val="24"/>
        </w:rPr>
      </w:pPr>
      <w:r w:rsidRPr="0028081E">
        <w:t xml:space="preserve">The previous submission estimated the number of patients </w:t>
      </w:r>
      <w:r w:rsidR="00AF1BC1" w:rsidRPr="0028081E">
        <w:t>utilising</w:t>
      </w:r>
      <w:r w:rsidRPr="0028081E">
        <w:t xml:space="preserve"> dulaglutide with insulin to be </w:t>
      </w:r>
      <w:r w:rsidR="00A75B47" w:rsidRPr="00A75B47">
        <w:t>500 to &lt; 5,000</w:t>
      </w:r>
      <w:r w:rsidR="00A75B47">
        <w:t xml:space="preserve"> patients</w:t>
      </w:r>
      <w:r w:rsidRPr="0028081E">
        <w:t xml:space="preserve"> in Year 1 increasing to </w:t>
      </w:r>
      <w:r w:rsidR="00A75B47" w:rsidRPr="00A75B47">
        <w:t>5,000 to &lt;</w:t>
      </w:r>
      <w:r w:rsidR="00A75B47">
        <w:t> </w:t>
      </w:r>
      <w:r w:rsidR="00A75B47" w:rsidRPr="00A75B47">
        <w:t>10,000</w:t>
      </w:r>
      <w:r w:rsidR="00A75B47">
        <w:t xml:space="preserve"> patients </w:t>
      </w:r>
      <w:r w:rsidRPr="0028081E">
        <w:t xml:space="preserve">in Year 6, based on the size of the existing market for exenatide BID with insulin. </w:t>
      </w:r>
      <w:r w:rsidR="00AF1BC1" w:rsidRPr="0028081E">
        <w:t>T</w:t>
      </w:r>
      <w:r w:rsidRPr="0028081E">
        <w:t>he PBAC</w:t>
      </w:r>
      <w:r w:rsidR="008F4E63" w:rsidRPr="0028081E">
        <w:t xml:space="preserve"> previously</w:t>
      </w:r>
      <w:r w:rsidRPr="0028081E">
        <w:t xml:space="preserve"> considered </w:t>
      </w:r>
      <w:r w:rsidR="00AF1BC1" w:rsidRPr="0028081E">
        <w:t xml:space="preserve">the </w:t>
      </w:r>
      <w:r w:rsidR="00AF1BC1" w:rsidRPr="0028081E">
        <w:rPr>
          <w:rFonts w:cstheme="minorHAnsi"/>
          <w:bCs/>
        </w:rPr>
        <w:t>estimated financial impact of extending the current listing of dulaglutide to include use in combination with insulin was substantially underestimated</w:t>
      </w:r>
      <w:r w:rsidR="005E7D78" w:rsidRPr="0028081E">
        <w:rPr>
          <w:rFonts w:cstheme="minorHAnsi"/>
          <w:bCs/>
        </w:rPr>
        <w:t xml:space="preserve"> </w:t>
      </w:r>
      <w:r w:rsidRPr="0028081E">
        <w:t>not</w:t>
      </w:r>
      <w:r w:rsidR="00AF1BC1" w:rsidRPr="0028081E">
        <w:t>ing</w:t>
      </w:r>
      <w:r w:rsidRPr="0028081E">
        <w:t xml:space="preserve"> there were 281,419 patients with T2DM requiring insulin therapy registered with the National Diabetes Services Scheme (NDSS) in 2019.</w:t>
      </w:r>
      <w:r w:rsidR="00AF1BC1" w:rsidRPr="0028081E">
        <w:t xml:space="preserve"> The resubmission </w:t>
      </w:r>
      <w:r w:rsidR="008A7541" w:rsidRPr="0028081E">
        <w:t>contended that data from the NDSS overestimate</w:t>
      </w:r>
      <w:r w:rsidR="00663A74" w:rsidRPr="0028081E">
        <w:t>d</w:t>
      </w:r>
      <w:r w:rsidR="008A7541" w:rsidRPr="0028081E">
        <w:t xml:space="preserve"> the eligible population as it contain</w:t>
      </w:r>
      <w:r w:rsidR="00663A74" w:rsidRPr="0028081E">
        <w:t>ed</w:t>
      </w:r>
      <w:r w:rsidR="008A7541" w:rsidRPr="0028081E">
        <w:t xml:space="preserve"> patients more likely to have complex disease or from lower socio-economic groups that generally have poorer health and higher rates of comorbidities that would necessitate use of more complex regimens such as insulin.</w:t>
      </w:r>
      <w:r w:rsidR="00DA05A4" w:rsidRPr="0028081E">
        <w:t xml:space="preserve"> </w:t>
      </w:r>
      <w:r w:rsidR="008A7541" w:rsidRPr="0028081E">
        <w:t>The resubmission further noted that the NDSS data d</w:t>
      </w:r>
      <w:r w:rsidR="00663A74" w:rsidRPr="0028081E">
        <w:t>id</w:t>
      </w:r>
      <w:r w:rsidR="008A7541" w:rsidRPr="0028081E">
        <w:t xml:space="preserve"> not account for non-adherence or persistence to insulin. As such, the resubmission maintained that the approach used to estimate the number of patients that would use dulaglutide </w:t>
      </w:r>
      <w:r w:rsidR="002B7917" w:rsidRPr="0028081E">
        <w:t xml:space="preserve">QW </w:t>
      </w:r>
      <w:r w:rsidR="008A7541" w:rsidRPr="0028081E">
        <w:t>in combination with insulin in November 2019 was appropriate.</w:t>
      </w:r>
    </w:p>
    <w:p w:rsidR="00983D31" w:rsidRPr="0028081E" w:rsidRDefault="004667FC" w:rsidP="00294A37">
      <w:pPr>
        <w:pStyle w:val="3Bodytext"/>
        <w:jc w:val="both"/>
        <w:rPr>
          <w:rFonts w:cstheme="minorHAnsi"/>
          <w:szCs w:val="24"/>
        </w:rPr>
      </w:pPr>
      <w:r w:rsidRPr="0028081E">
        <w:rPr>
          <w:rFonts w:cstheme="minorHAnsi"/>
          <w:bCs/>
        </w:rPr>
        <w:t>The resubmission updated the financial</w:t>
      </w:r>
      <w:r w:rsidR="00576401" w:rsidRPr="0028081E">
        <w:rPr>
          <w:rFonts w:cstheme="minorHAnsi"/>
          <w:bCs/>
        </w:rPr>
        <w:t xml:space="preserve"> estimates</w:t>
      </w:r>
      <w:r w:rsidR="00101E83" w:rsidRPr="0028081E">
        <w:rPr>
          <w:rFonts w:cstheme="minorHAnsi"/>
          <w:bCs/>
        </w:rPr>
        <w:t xml:space="preserve"> to include uptake from </w:t>
      </w:r>
      <w:r w:rsidR="00101E83" w:rsidRPr="0028081E">
        <w:rPr>
          <w:rFonts w:cstheme="minorHAnsi"/>
          <w:bCs/>
          <w:iCs/>
        </w:rPr>
        <w:t>other T2DM therapies in addition to exenatide BID</w:t>
      </w:r>
      <w:r w:rsidR="00576401" w:rsidRPr="0028081E">
        <w:rPr>
          <w:rFonts w:cstheme="minorHAnsi"/>
          <w:bCs/>
        </w:rPr>
        <w:t>.</w:t>
      </w:r>
      <w:r w:rsidR="00983D31" w:rsidRPr="0028081E">
        <w:rPr>
          <w:rFonts w:cstheme="minorHAnsi"/>
          <w:bCs/>
        </w:rPr>
        <w:t xml:space="preserve"> </w:t>
      </w:r>
      <w:r w:rsidR="00DE0423" w:rsidRPr="0028081E">
        <w:t>The key inputs into the revised financial estimates are summarised</w:t>
      </w:r>
      <w:r w:rsidR="00DE0423" w:rsidRPr="0028081E">
        <w:rPr>
          <w:rFonts w:cstheme="minorHAnsi"/>
          <w:szCs w:val="24"/>
        </w:rPr>
        <w:t xml:space="preserve"> </w:t>
      </w:r>
      <w:r w:rsidR="006F4D9F" w:rsidRPr="0028081E">
        <w:rPr>
          <w:rFonts w:cstheme="minorHAnsi"/>
          <w:szCs w:val="24"/>
        </w:rPr>
        <w:t xml:space="preserve">in the </w:t>
      </w:r>
      <w:r w:rsidR="00FB6123" w:rsidRPr="0028081E">
        <w:rPr>
          <w:rFonts w:cstheme="minorHAnsi"/>
          <w:szCs w:val="24"/>
        </w:rPr>
        <w:t xml:space="preserve">Table </w:t>
      </w:r>
      <w:r w:rsidR="00FB6123" w:rsidRPr="00793BA6">
        <w:rPr>
          <w:rFonts w:cstheme="minorHAnsi"/>
          <w:szCs w:val="24"/>
        </w:rPr>
        <w:t>3</w:t>
      </w:r>
      <w:r w:rsidR="006255CB" w:rsidRPr="0028081E">
        <w:rPr>
          <w:rFonts w:cstheme="minorHAnsi"/>
          <w:szCs w:val="24"/>
        </w:rPr>
        <w:t xml:space="preserve"> </w:t>
      </w:r>
      <w:r w:rsidR="006F4D9F" w:rsidRPr="0028081E">
        <w:rPr>
          <w:rFonts w:cstheme="minorHAnsi"/>
          <w:szCs w:val="24"/>
        </w:rPr>
        <w:t>below</w:t>
      </w:r>
      <w:r w:rsidR="00983D31" w:rsidRPr="0028081E">
        <w:rPr>
          <w:rFonts w:cstheme="minorHAnsi"/>
          <w:szCs w:val="24"/>
        </w:rPr>
        <w:t>.</w:t>
      </w:r>
    </w:p>
    <w:p w:rsidR="00983D31" w:rsidRPr="0028081E" w:rsidRDefault="00FB6123" w:rsidP="001B3910">
      <w:pPr>
        <w:pStyle w:val="Caption"/>
        <w:keepNext/>
        <w:spacing w:after="0"/>
        <w:jc w:val="left"/>
        <w:rPr>
          <w:rStyle w:val="CommentReference"/>
          <w:rFonts w:ascii="Arial Narrow" w:hAnsi="Arial Narrow"/>
          <w:b/>
          <w:bCs/>
          <w:i w:val="0"/>
          <w:iCs w:val="0"/>
          <w:sz w:val="20"/>
          <w:szCs w:val="20"/>
        </w:rPr>
      </w:pPr>
      <w:bookmarkStart w:id="2" w:name="_Ref43799261"/>
      <w:bookmarkStart w:id="3" w:name="_Ref43799251"/>
      <w:r w:rsidRPr="0028081E">
        <w:rPr>
          <w:rFonts w:ascii="Arial Narrow" w:hAnsi="Arial Narrow"/>
          <w:b/>
          <w:bCs/>
          <w:i w:val="0"/>
          <w:iCs w:val="0"/>
          <w:sz w:val="20"/>
          <w:szCs w:val="20"/>
        </w:rPr>
        <w:t xml:space="preserve">Table </w:t>
      </w:r>
      <w:r w:rsidR="00821FBE" w:rsidRPr="00793BA6">
        <w:rPr>
          <w:rFonts w:ascii="Arial Narrow" w:hAnsi="Arial Narrow"/>
          <w:b/>
          <w:bCs/>
          <w:i w:val="0"/>
          <w:iCs w:val="0"/>
          <w:sz w:val="20"/>
          <w:szCs w:val="20"/>
        </w:rPr>
        <w:t>3</w:t>
      </w:r>
      <w:bookmarkEnd w:id="2"/>
      <w:r w:rsidRPr="0028081E">
        <w:rPr>
          <w:rStyle w:val="CommentReference"/>
          <w:rFonts w:ascii="Arial Narrow" w:hAnsi="Arial Narrow"/>
          <w:b/>
          <w:bCs/>
          <w:i w:val="0"/>
          <w:iCs w:val="0"/>
          <w:sz w:val="20"/>
          <w:szCs w:val="20"/>
        </w:rPr>
        <w:t>: Changes to key inputs in the financial estimates</w:t>
      </w:r>
      <w:bookmarkEnd w:id="3"/>
    </w:p>
    <w:tbl>
      <w:tblPr>
        <w:tblStyle w:val="TableGrid"/>
        <w:tblW w:w="0" w:type="auto"/>
        <w:tblLook w:val="04A0" w:firstRow="1" w:lastRow="0" w:firstColumn="1" w:lastColumn="0" w:noHBand="0" w:noVBand="1"/>
        <w:tblCaption w:val="Table 3: Changes to key inputs in the financial estimates"/>
      </w:tblPr>
      <w:tblGrid>
        <w:gridCol w:w="2122"/>
        <w:gridCol w:w="1149"/>
        <w:gridCol w:w="1149"/>
        <w:gridCol w:w="1149"/>
        <w:gridCol w:w="1149"/>
        <w:gridCol w:w="2298"/>
      </w:tblGrid>
      <w:tr w:rsidR="00C362A1" w:rsidRPr="0028081E" w:rsidTr="00BC3385">
        <w:trPr>
          <w:tblHeader/>
        </w:trPr>
        <w:tc>
          <w:tcPr>
            <w:tcW w:w="2122" w:type="dxa"/>
            <w:tcMar>
              <w:left w:w="28" w:type="dxa"/>
              <w:right w:w="28" w:type="dxa"/>
            </w:tcMar>
          </w:tcPr>
          <w:p w:rsidR="00983D31" w:rsidRPr="0028081E" w:rsidRDefault="001D7C41" w:rsidP="00294A37">
            <w:pPr>
              <w:pStyle w:val="2Sections"/>
              <w:spacing w:before="0"/>
              <w:rPr>
                <w:rFonts w:ascii="Arial Narrow" w:hAnsi="Arial Narrow"/>
                <w:sz w:val="20"/>
                <w:szCs w:val="20"/>
              </w:rPr>
            </w:pPr>
            <w:r w:rsidRPr="0028081E">
              <w:rPr>
                <w:rFonts w:ascii="Arial Narrow" w:hAnsi="Arial Narrow"/>
                <w:sz w:val="20"/>
                <w:szCs w:val="20"/>
              </w:rPr>
              <w:t>Parameter</w:t>
            </w:r>
          </w:p>
        </w:tc>
        <w:tc>
          <w:tcPr>
            <w:tcW w:w="2298" w:type="dxa"/>
            <w:gridSpan w:val="2"/>
            <w:tcMar>
              <w:left w:w="28" w:type="dxa"/>
              <w:right w:w="28" w:type="dxa"/>
            </w:tcMar>
          </w:tcPr>
          <w:p w:rsidR="001D7C41" w:rsidRPr="0028081E" w:rsidRDefault="001D7C41" w:rsidP="00294A37">
            <w:pPr>
              <w:pStyle w:val="2Sections"/>
              <w:spacing w:before="0"/>
              <w:rPr>
                <w:rFonts w:ascii="Arial Narrow" w:hAnsi="Arial Narrow"/>
                <w:sz w:val="20"/>
                <w:szCs w:val="20"/>
              </w:rPr>
            </w:pPr>
            <w:r w:rsidRPr="0028081E">
              <w:rPr>
                <w:rFonts w:ascii="Arial Narrow" w:hAnsi="Arial Narrow"/>
                <w:sz w:val="20"/>
                <w:szCs w:val="20"/>
              </w:rPr>
              <w:t xml:space="preserve">November 2019 </w:t>
            </w:r>
          </w:p>
          <w:p w:rsidR="00983D31" w:rsidRPr="0028081E" w:rsidRDefault="001D7C41" w:rsidP="00294A37">
            <w:pPr>
              <w:pStyle w:val="2Sections"/>
              <w:spacing w:before="0"/>
              <w:rPr>
                <w:rFonts w:ascii="Arial Narrow" w:hAnsi="Arial Narrow"/>
                <w:sz w:val="20"/>
                <w:szCs w:val="20"/>
              </w:rPr>
            </w:pPr>
            <w:r w:rsidRPr="0028081E">
              <w:rPr>
                <w:rFonts w:ascii="Arial Narrow" w:hAnsi="Arial Narrow"/>
                <w:sz w:val="20"/>
                <w:szCs w:val="20"/>
              </w:rPr>
              <w:t xml:space="preserve">major </w:t>
            </w:r>
            <w:r w:rsidR="00983D31" w:rsidRPr="0028081E">
              <w:rPr>
                <w:rFonts w:ascii="Arial Narrow" w:hAnsi="Arial Narrow"/>
                <w:sz w:val="20"/>
                <w:szCs w:val="20"/>
              </w:rPr>
              <w:t>submission</w:t>
            </w:r>
          </w:p>
        </w:tc>
        <w:tc>
          <w:tcPr>
            <w:tcW w:w="2298" w:type="dxa"/>
            <w:gridSpan w:val="2"/>
            <w:tcMar>
              <w:left w:w="28" w:type="dxa"/>
              <w:right w:w="28" w:type="dxa"/>
            </w:tcMar>
          </w:tcPr>
          <w:p w:rsidR="001D7C41" w:rsidRPr="0028081E" w:rsidRDefault="001D7C41" w:rsidP="00294A37">
            <w:pPr>
              <w:pStyle w:val="2Sections"/>
              <w:spacing w:before="0"/>
              <w:rPr>
                <w:rFonts w:ascii="Arial Narrow" w:hAnsi="Arial Narrow"/>
                <w:sz w:val="20"/>
                <w:szCs w:val="20"/>
              </w:rPr>
            </w:pPr>
            <w:r w:rsidRPr="0028081E">
              <w:rPr>
                <w:rFonts w:ascii="Arial Narrow" w:hAnsi="Arial Narrow"/>
                <w:sz w:val="20"/>
                <w:szCs w:val="20"/>
              </w:rPr>
              <w:t>July 2020</w:t>
            </w:r>
          </w:p>
          <w:p w:rsidR="00983D31" w:rsidRPr="0028081E" w:rsidRDefault="00665772" w:rsidP="00294A37">
            <w:pPr>
              <w:pStyle w:val="2Sections"/>
              <w:spacing w:before="0"/>
              <w:rPr>
                <w:rFonts w:ascii="Arial Narrow" w:hAnsi="Arial Narrow"/>
                <w:sz w:val="20"/>
                <w:szCs w:val="20"/>
              </w:rPr>
            </w:pPr>
            <w:r w:rsidRPr="0028081E">
              <w:rPr>
                <w:rFonts w:ascii="Arial Narrow" w:hAnsi="Arial Narrow"/>
                <w:sz w:val="20"/>
                <w:szCs w:val="20"/>
              </w:rPr>
              <w:t>P</w:t>
            </w:r>
            <w:r w:rsidR="00983D31" w:rsidRPr="0028081E">
              <w:rPr>
                <w:rFonts w:ascii="Arial Narrow" w:hAnsi="Arial Narrow"/>
                <w:sz w:val="20"/>
                <w:szCs w:val="20"/>
              </w:rPr>
              <w:t>roposal</w:t>
            </w:r>
          </w:p>
        </w:tc>
        <w:tc>
          <w:tcPr>
            <w:tcW w:w="2298" w:type="dxa"/>
            <w:tcMar>
              <w:left w:w="28" w:type="dxa"/>
              <w:right w:w="28" w:type="dxa"/>
            </w:tcMar>
          </w:tcPr>
          <w:p w:rsidR="00983D31" w:rsidRPr="0028081E" w:rsidRDefault="001D7C41" w:rsidP="00294A37">
            <w:pPr>
              <w:pStyle w:val="2Sections"/>
              <w:spacing w:before="0"/>
              <w:rPr>
                <w:rFonts w:ascii="Arial Narrow" w:hAnsi="Arial Narrow"/>
                <w:sz w:val="20"/>
                <w:szCs w:val="20"/>
              </w:rPr>
            </w:pPr>
            <w:r w:rsidRPr="0028081E">
              <w:rPr>
                <w:rFonts w:ascii="Arial Narrow" w:hAnsi="Arial Narrow"/>
                <w:sz w:val="20"/>
                <w:szCs w:val="20"/>
              </w:rPr>
              <w:t>Comment</w:t>
            </w:r>
          </w:p>
        </w:tc>
      </w:tr>
      <w:tr w:rsidR="0098070F" w:rsidRPr="0028081E" w:rsidTr="00EE2641">
        <w:tc>
          <w:tcPr>
            <w:tcW w:w="9016" w:type="dxa"/>
            <w:gridSpan w:val="6"/>
            <w:tcMar>
              <w:left w:w="28" w:type="dxa"/>
              <w:right w:w="28" w:type="dxa"/>
            </w:tcMar>
          </w:tcPr>
          <w:p w:rsidR="0098070F" w:rsidRPr="0028081E" w:rsidRDefault="0098070F" w:rsidP="00294A37">
            <w:pPr>
              <w:pStyle w:val="2Sections"/>
              <w:spacing w:before="0"/>
              <w:rPr>
                <w:rFonts w:ascii="Arial Narrow" w:hAnsi="Arial Narrow"/>
                <w:bCs/>
                <w:sz w:val="20"/>
                <w:szCs w:val="20"/>
              </w:rPr>
            </w:pPr>
            <w:r w:rsidRPr="0028081E">
              <w:rPr>
                <w:rFonts w:ascii="Arial Narrow" w:hAnsi="Arial Narrow"/>
                <w:bCs/>
                <w:sz w:val="20"/>
                <w:szCs w:val="20"/>
              </w:rPr>
              <w:t>Market size</w:t>
            </w:r>
          </w:p>
        </w:tc>
      </w:tr>
      <w:tr w:rsidR="00C362A1" w:rsidRPr="0028081E" w:rsidTr="00C362A1">
        <w:tc>
          <w:tcPr>
            <w:tcW w:w="2122" w:type="dxa"/>
            <w:tcMar>
              <w:left w:w="28" w:type="dxa"/>
              <w:right w:w="28" w:type="dxa"/>
            </w:tcMar>
          </w:tcPr>
          <w:p w:rsidR="00FA67ED" w:rsidRPr="0028081E" w:rsidRDefault="001B0F63" w:rsidP="00294A37">
            <w:pPr>
              <w:pStyle w:val="2Sections"/>
              <w:spacing w:before="0"/>
              <w:rPr>
                <w:rFonts w:ascii="Arial Narrow" w:hAnsi="Arial Narrow"/>
                <w:b w:val="0"/>
                <w:sz w:val="20"/>
                <w:szCs w:val="20"/>
              </w:rPr>
            </w:pPr>
            <w:r w:rsidRPr="0028081E">
              <w:rPr>
                <w:rFonts w:ascii="Arial Narrow" w:hAnsi="Arial Narrow"/>
                <w:b w:val="0"/>
                <w:sz w:val="20"/>
                <w:szCs w:val="20"/>
              </w:rPr>
              <w:t xml:space="preserve">Estimated use of dulaglutide in combination with insulin </w:t>
            </w:r>
          </w:p>
          <w:p w:rsidR="00983D31" w:rsidRPr="0028081E" w:rsidRDefault="00983D31" w:rsidP="00294A37">
            <w:pPr>
              <w:pStyle w:val="2Sections"/>
              <w:spacing w:before="0"/>
              <w:rPr>
                <w:rFonts w:ascii="Arial Narrow" w:hAnsi="Arial Narrow"/>
                <w:b w:val="0"/>
                <w:sz w:val="20"/>
                <w:szCs w:val="20"/>
              </w:rPr>
            </w:pPr>
          </w:p>
        </w:tc>
        <w:tc>
          <w:tcPr>
            <w:tcW w:w="2298" w:type="dxa"/>
            <w:gridSpan w:val="2"/>
            <w:tcMar>
              <w:left w:w="28" w:type="dxa"/>
              <w:right w:w="28" w:type="dxa"/>
            </w:tcMar>
          </w:tcPr>
          <w:p w:rsidR="00983D31" w:rsidRPr="0028081E" w:rsidRDefault="00FA67ED" w:rsidP="00294A37">
            <w:pPr>
              <w:pStyle w:val="Bulletpoints"/>
              <w:ind w:left="0" w:right="113" w:firstLine="0"/>
              <w:jc w:val="both"/>
              <w:rPr>
                <w:rFonts w:ascii="Arial Narrow" w:hAnsi="Arial Narrow"/>
                <w:b/>
                <w:color w:val="auto"/>
                <w:sz w:val="20"/>
                <w:szCs w:val="20"/>
              </w:rPr>
            </w:pPr>
            <w:r w:rsidRPr="0028081E">
              <w:rPr>
                <w:rFonts w:ascii="Arial Narrow" w:hAnsi="Arial Narrow"/>
                <w:color w:val="auto"/>
                <w:sz w:val="20"/>
                <w:szCs w:val="20"/>
              </w:rPr>
              <w:t xml:space="preserve">The market size </w:t>
            </w:r>
            <w:r w:rsidR="00415CD9" w:rsidRPr="0028081E">
              <w:rPr>
                <w:rFonts w:ascii="Arial Narrow" w:hAnsi="Arial Narrow"/>
                <w:color w:val="auto"/>
                <w:sz w:val="20"/>
                <w:szCs w:val="20"/>
              </w:rPr>
              <w:t xml:space="preserve">of </w:t>
            </w:r>
            <w:r w:rsidRPr="0028081E">
              <w:rPr>
                <w:rFonts w:ascii="Arial Narrow" w:hAnsi="Arial Narrow"/>
                <w:color w:val="auto"/>
                <w:sz w:val="20"/>
                <w:szCs w:val="20"/>
              </w:rPr>
              <w:t xml:space="preserve">dulaglutide with insulin was estimated based on the existing market for exenatide (5 mcg or 10 mcg) BID with insulin </w:t>
            </w:r>
            <w:r w:rsidR="004D4FF0" w:rsidRPr="0028081E">
              <w:rPr>
                <w:rFonts w:ascii="Arial Narrow" w:hAnsi="Arial Narrow"/>
                <w:color w:val="auto"/>
                <w:sz w:val="20"/>
                <w:szCs w:val="20"/>
              </w:rPr>
              <w:t xml:space="preserve">using </w:t>
            </w:r>
            <w:r w:rsidRPr="0028081E">
              <w:rPr>
                <w:rFonts w:ascii="Arial Narrow" w:hAnsi="Arial Narrow"/>
                <w:color w:val="auto"/>
                <w:sz w:val="20"/>
                <w:szCs w:val="20"/>
              </w:rPr>
              <w:t xml:space="preserve">a 10% </w:t>
            </w:r>
            <w:r w:rsidR="004D4FF0" w:rsidRPr="0028081E">
              <w:rPr>
                <w:rFonts w:ascii="Arial Narrow" w:hAnsi="Arial Narrow"/>
                <w:color w:val="auto"/>
                <w:sz w:val="20"/>
                <w:szCs w:val="20"/>
              </w:rPr>
              <w:t xml:space="preserve">sample of </w:t>
            </w:r>
            <w:r w:rsidR="0045705F" w:rsidRPr="0028081E">
              <w:rPr>
                <w:rFonts w:ascii="Arial Narrow" w:hAnsi="Arial Narrow"/>
                <w:color w:val="auto"/>
                <w:sz w:val="20"/>
                <w:szCs w:val="20"/>
              </w:rPr>
              <w:t xml:space="preserve">PBS data </w:t>
            </w:r>
            <w:r w:rsidRPr="0028081E">
              <w:rPr>
                <w:rFonts w:ascii="Arial Narrow" w:hAnsi="Arial Narrow"/>
                <w:color w:val="auto"/>
                <w:sz w:val="20"/>
                <w:szCs w:val="20"/>
              </w:rPr>
              <w:t>from October 2015 to December 2018</w:t>
            </w:r>
            <w:r w:rsidR="00C62719" w:rsidRPr="0028081E">
              <w:rPr>
                <w:rFonts w:ascii="Arial Narrow" w:hAnsi="Arial Narrow"/>
                <w:color w:val="auto"/>
                <w:sz w:val="20"/>
                <w:szCs w:val="20"/>
              </w:rPr>
              <w:t>.</w:t>
            </w:r>
          </w:p>
        </w:tc>
        <w:tc>
          <w:tcPr>
            <w:tcW w:w="2298" w:type="dxa"/>
            <w:gridSpan w:val="2"/>
            <w:tcMar>
              <w:left w:w="28" w:type="dxa"/>
              <w:right w:w="28" w:type="dxa"/>
            </w:tcMar>
          </w:tcPr>
          <w:p w:rsidR="00983D31" w:rsidRPr="0028081E" w:rsidRDefault="005E7D78" w:rsidP="00294A37">
            <w:pPr>
              <w:pStyle w:val="2Sections"/>
              <w:spacing w:before="0"/>
              <w:jc w:val="both"/>
              <w:rPr>
                <w:rFonts w:ascii="Arial Narrow" w:hAnsi="Arial Narrow" w:cstheme="minorHAnsi"/>
                <w:b w:val="0"/>
                <w:bCs/>
                <w:sz w:val="20"/>
                <w:szCs w:val="20"/>
              </w:rPr>
            </w:pPr>
            <w:r w:rsidRPr="0028081E">
              <w:rPr>
                <w:rFonts w:ascii="Arial Narrow" w:hAnsi="Arial Narrow" w:cstheme="minorHAnsi"/>
                <w:b w:val="0"/>
                <w:bCs/>
                <w:sz w:val="20"/>
                <w:szCs w:val="20"/>
              </w:rPr>
              <w:t>The estimated</w:t>
            </w:r>
            <w:r w:rsidR="008675E5" w:rsidRPr="0028081E">
              <w:rPr>
                <w:rFonts w:ascii="Arial Narrow" w:hAnsi="Arial Narrow" w:cstheme="minorHAnsi"/>
                <w:b w:val="0"/>
                <w:bCs/>
                <w:sz w:val="20"/>
                <w:szCs w:val="20"/>
              </w:rPr>
              <w:t xml:space="preserve"> </w:t>
            </w:r>
            <w:r w:rsidR="00BD173D" w:rsidRPr="0028081E">
              <w:rPr>
                <w:rFonts w:ascii="Arial Narrow" w:hAnsi="Arial Narrow" w:cstheme="minorHAnsi"/>
                <w:b w:val="0"/>
                <w:bCs/>
                <w:sz w:val="20"/>
                <w:szCs w:val="20"/>
              </w:rPr>
              <w:t xml:space="preserve">market size for dulaglutide with insulin </w:t>
            </w:r>
            <w:r w:rsidR="00CC7044" w:rsidRPr="0028081E">
              <w:rPr>
                <w:rFonts w:ascii="Arial Narrow" w:hAnsi="Arial Narrow" w:cstheme="minorHAnsi"/>
                <w:b w:val="0"/>
                <w:bCs/>
                <w:sz w:val="20"/>
                <w:szCs w:val="20"/>
              </w:rPr>
              <w:t xml:space="preserve">was </w:t>
            </w:r>
            <w:r w:rsidR="007433DC" w:rsidRPr="0028081E">
              <w:rPr>
                <w:rFonts w:ascii="Arial Narrow" w:hAnsi="Arial Narrow" w:cstheme="minorHAnsi"/>
                <w:b w:val="0"/>
                <w:bCs/>
                <w:sz w:val="20"/>
                <w:szCs w:val="20"/>
              </w:rPr>
              <w:t>revised</w:t>
            </w:r>
            <w:r w:rsidR="008675E5" w:rsidRPr="0028081E">
              <w:rPr>
                <w:rFonts w:ascii="Arial Narrow" w:hAnsi="Arial Narrow" w:cstheme="minorHAnsi"/>
                <w:b w:val="0"/>
                <w:bCs/>
                <w:sz w:val="20"/>
                <w:szCs w:val="20"/>
              </w:rPr>
              <w:t xml:space="preserve"> to </w:t>
            </w:r>
            <w:r w:rsidR="00612A4D" w:rsidRPr="0028081E">
              <w:rPr>
                <w:rFonts w:ascii="Arial Narrow" w:hAnsi="Arial Narrow" w:cstheme="minorHAnsi"/>
                <w:b w:val="0"/>
                <w:bCs/>
                <w:sz w:val="20"/>
                <w:szCs w:val="20"/>
              </w:rPr>
              <w:t xml:space="preserve">included </w:t>
            </w:r>
            <w:r w:rsidR="008675E5" w:rsidRPr="0028081E">
              <w:rPr>
                <w:rFonts w:ascii="Arial Narrow" w:hAnsi="Arial Narrow" w:cstheme="minorHAnsi"/>
                <w:b w:val="0"/>
                <w:bCs/>
                <w:sz w:val="20"/>
                <w:szCs w:val="20"/>
              </w:rPr>
              <w:t xml:space="preserve">substitution of </w:t>
            </w:r>
            <w:r w:rsidR="0057701E" w:rsidRPr="0028081E">
              <w:rPr>
                <w:rFonts w:ascii="Arial Narrow" w:hAnsi="Arial Narrow" w:cstheme="minorHAnsi"/>
                <w:b w:val="0"/>
                <w:bCs/>
                <w:sz w:val="20"/>
                <w:szCs w:val="20"/>
              </w:rPr>
              <w:t xml:space="preserve">exenatide QW, </w:t>
            </w:r>
            <w:r w:rsidR="00436BE5" w:rsidRPr="0028081E">
              <w:rPr>
                <w:rFonts w:ascii="Arial Narrow" w:hAnsi="Arial Narrow" w:cstheme="minorHAnsi"/>
                <w:b w:val="0"/>
                <w:bCs/>
                <w:sz w:val="20"/>
                <w:szCs w:val="20"/>
              </w:rPr>
              <w:t xml:space="preserve">SGLT2 </w:t>
            </w:r>
            <w:r w:rsidR="007433DC" w:rsidRPr="0028081E">
              <w:rPr>
                <w:rFonts w:ascii="Arial Narrow" w:hAnsi="Arial Narrow" w:cstheme="minorHAnsi"/>
                <w:b w:val="0"/>
                <w:bCs/>
                <w:sz w:val="20"/>
                <w:szCs w:val="20"/>
              </w:rPr>
              <w:t xml:space="preserve">and </w:t>
            </w:r>
            <w:r w:rsidR="00436BE5" w:rsidRPr="0028081E">
              <w:rPr>
                <w:rFonts w:ascii="Arial Narrow" w:hAnsi="Arial Narrow" w:cstheme="minorHAnsi"/>
                <w:b w:val="0"/>
                <w:bCs/>
                <w:sz w:val="20"/>
                <w:szCs w:val="20"/>
              </w:rPr>
              <w:t>DPP-</w:t>
            </w:r>
            <w:r w:rsidR="00003577" w:rsidRPr="0028081E">
              <w:rPr>
                <w:rFonts w:ascii="Arial Narrow" w:hAnsi="Arial Narrow" w:cstheme="minorHAnsi"/>
                <w:b w:val="0"/>
                <w:bCs/>
                <w:sz w:val="20"/>
                <w:szCs w:val="20"/>
              </w:rPr>
              <w:t xml:space="preserve">4 </w:t>
            </w:r>
            <w:r w:rsidR="007433DC" w:rsidRPr="0028081E">
              <w:rPr>
                <w:rFonts w:ascii="Arial Narrow" w:hAnsi="Arial Narrow" w:cstheme="minorHAnsi"/>
                <w:b w:val="0"/>
                <w:bCs/>
                <w:sz w:val="20"/>
                <w:szCs w:val="20"/>
              </w:rPr>
              <w:t xml:space="preserve">inhibitor use </w:t>
            </w:r>
            <w:r w:rsidR="002B36D3" w:rsidRPr="0028081E">
              <w:rPr>
                <w:rFonts w:ascii="Arial Narrow" w:hAnsi="Arial Narrow" w:cstheme="minorHAnsi"/>
                <w:b w:val="0"/>
                <w:bCs/>
                <w:sz w:val="20"/>
                <w:szCs w:val="20"/>
              </w:rPr>
              <w:t xml:space="preserve">based on an analysis of </w:t>
            </w:r>
            <w:r w:rsidR="009D4251" w:rsidRPr="0028081E">
              <w:rPr>
                <w:rFonts w:ascii="Arial Narrow" w:hAnsi="Arial Narrow" w:cstheme="minorHAnsi"/>
                <w:b w:val="0"/>
                <w:bCs/>
                <w:sz w:val="20"/>
                <w:szCs w:val="20"/>
              </w:rPr>
              <w:t xml:space="preserve">a </w:t>
            </w:r>
            <w:r w:rsidR="002B36D3" w:rsidRPr="0028081E">
              <w:rPr>
                <w:rFonts w:ascii="Arial Narrow" w:hAnsi="Arial Narrow" w:cstheme="minorHAnsi"/>
                <w:b w:val="0"/>
                <w:bCs/>
                <w:sz w:val="20"/>
                <w:szCs w:val="20"/>
              </w:rPr>
              <w:t xml:space="preserve">10% </w:t>
            </w:r>
            <w:r w:rsidR="009D4251" w:rsidRPr="0028081E">
              <w:rPr>
                <w:rFonts w:ascii="Arial Narrow" w:hAnsi="Arial Narrow" w:cstheme="minorHAnsi"/>
                <w:b w:val="0"/>
                <w:bCs/>
                <w:sz w:val="20"/>
                <w:szCs w:val="20"/>
              </w:rPr>
              <w:t xml:space="preserve">sample of </w:t>
            </w:r>
            <w:r w:rsidR="002B36D3" w:rsidRPr="0028081E">
              <w:rPr>
                <w:rFonts w:ascii="Arial Narrow" w:hAnsi="Arial Narrow" w:cstheme="minorHAnsi"/>
                <w:b w:val="0"/>
                <w:bCs/>
                <w:sz w:val="20"/>
                <w:szCs w:val="20"/>
              </w:rPr>
              <w:t>PBS data</w:t>
            </w:r>
            <w:r w:rsidR="0045705F" w:rsidRPr="0028081E">
              <w:rPr>
                <w:rFonts w:ascii="Arial Narrow" w:hAnsi="Arial Narrow" w:cstheme="minorHAnsi"/>
                <w:b w:val="0"/>
                <w:bCs/>
                <w:sz w:val="20"/>
                <w:szCs w:val="20"/>
              </w:rPr>
              <w:t xml:space="preserve"> from October 2015 to December 2019. </w:t>
            </w:r>
          </w:p>
        </w:tc>
        <w:tc>
          <w:tcPr>
            <w:tcW w:w="2298" w:type="dxa"/>
            <w:tcMar>
              <w:left w:w="28" w:type="dxa"/>
              <w:right w:w="28" w:type="dxa"/>
            </w:tcMar>
          </w:tcPr>
          <w:p w:rsidR="00983D31" w:rsidRPr="0028081E" w:rsidRDefault="00152F6F" w:rsidP="00294A37">
            <w:pPr>
              <w:pStyle w:val="2Sections"/>
              <w:spacing w:before="0"/>
              <w:jc w:val="both"/>
              <w:rPr>
                <w:rFonts w:ascii="Arial Narrow" w:hAnsi="Arial Narrow"/>
                <w:b w:val="0"/>
                <w:sz w:val="20"/>
                <w:szCs w:val="20"/>
              </w:rPr>
            </w:pPr>
            <w:r w:rsidRPr="0028081E">
              <w:rPr>
                <w:rFonts w:ascii="Arial Narrow" w:hAnsi="Arial Narrow"/>
                <w:b w:val="0"/>
                <w:sz w:val="20"/>
                <w:szCs w:val="20"/>
              </w:rPr>
              <w:t>T</w:t>
            </w:r>
            <w:r w:rsidR="001B0F63" w:rsidRPr="0028081E">
              <w:rPr>
                <w:rFonts w:ascii="Arial Narrow" w:hAnsi="Arial Narrow"/>
                <w:b w:val="0"/>
                <w:sz w:val="20"/>
                <w:szCs w:val="20"/>
              </w:rPr>
              <w:t>he same market share approach</w:t>
            </w:r>
            <w:r w:rsidR="00415CD9" w:rsidRPr="0028081E">
              <w:rPr>
                <w:rFonts w:ascii="Arial Narrow" w:hAnsi="Arial Narrow"/>
                <w:b w:val="0"/>
                <w:sz w:val="20"/>
                <w:szCs w:val="20"/>
              </w:rPr>
              <w:t xml:space="preserve"> as the November 2019 submission was used</w:t>
            </w:r>
            <w:r w:rsidR="001B0F63" w:rsidRPr="0028081E">
              <w:rPr>
                <w:rFonts w:ascii="Arial Narrow" w:hAnsi="Arial Narrow"/>
                <w:b w:val="0"/>
                <w:sz w:val="20"/>
                <w:szCs w:val="20"/>
              </w:rPr>
              <w:t xml:space="preserve"> to </w:t>
            </w:r>
            <w:r w:rsidRPr="0028081E">
              <w:rPr>
                <w:rFonts w:ascii="Arial Narrow" w:hAnsi="Arial Narrow"/>
                <w:b w:val="0"/>
                <w:sz w:val="20"/>
                <w:szCs w:val="20"/>
              </w:rPr>
              <w:t>estimate</w:t>
            </w:r>
            <w:r w:rsidR="001B0F63" w:rsidRPr="0028081E">
              <w:rPr>
                <w:rFonts w:ascii="Arial Narrow" w:hAnsi="Arial Narrow"/>
                <w:b w:val="0"/>
                <w:sz w:val="20"/>
                <w:szCs w:val="20"/>
              </w:rPr>
              <w:t xml:space="preserve"> the market size, using a 10%</w:t>
            </w:r>
            <w:r w:rsidR="00415CD9" w:rsidRPr="0028081E">
              <w:rPr>
                <w:rFonts w:ascii="Arial Narrow" w:hAnsi="Arial Narrow"/>
                <w:b w:val="0"/>
                <w:sz w:val="20"/>
                <w:szCs w:val="20"/>
              </w:rPr>
              <w:t xml:space="preserve"> sample of </w:t>
            </w:r>
            <w:r w:rsidR="0045705F" w:rsidRPr="0028081E">
              <w:rPr>
                <w:rFonts w:ascii="Arial Narrow" w:hAnsi="Arial Narrow"/>
                <w:b w:val="0"/>
                <w:sz w:val="20"/>
                <w:szCs w:val="20"/>
              </w:rPr>
              <w:t>PBS data</w:t>
            </w:r>
            <w:r w:rsidR="001B0F63" w:rsidRPr="0028081E">
              <w:rPr>
                <w:rFonts w:ascii="Arial Narrow" w:hAnsi="Arial Narrow"/>
                <w:b w:val="0"/>
                <w:sz w:val="20"/>
                <w:szCs w:val="20"/>
              </w:rPr>
              <w:t xml:space="preserve"> extrapolated over the 6 years of listing</w:t>
            </w:r>
            <w:r w:rsidRPr="0028081E">
              <w:rPr>
                <w:rFonts w:ascii="Arial Narrow" w:hAnsi="Arial Narrow"/>
                <w:b w:val="0"/>
                <w:sz w:val="20"/>
                <w:szCs w:val="20"/>
              </w:rPr>
              <w:t xml:space="preserve"> </w:t>
            </w:r>
            <w:r w:rsidR="0045705F" w:rsidRPr="0028081E">
              <w:rPr>
                <w:rFonts w:ascii="Arial Narrow" w:hAnsi="Arial Narrow"/>
                <w:b w:val="0"/>
                <w:sz w:val="20"/>
                <w:szCs w:val="20"/>
              </w:rPr>
              <w:t xml:space="preserve">with the </w:t>
            </w:r>
            <w:r w:rsidR="007433DC" w:rsidRPr="0028081E">
              <w:rPr>
                <w:rFonts w:ascii="Arial Narrow" w:hAnsi="Arial Narrow"/>
                <w:b w:val="0"/>
                <w:sz w:val="20"/>
                <w:szCs w:val="20"/>
              </w:rPr>
              <w:t xml:space="preserve">same </w:t>
            </w:r>
            <w:r w:rsidR="0045705F" w:rsidRPr="0028081E">
              <w:rPr>
                <w:rFonts w:ascii="Arial Narrow" w:hAnsi="Arial Narrow"/>
                <w:b w:val="0"/>
                <w:sz w:val="20"/>
                <w:szCs w:val="20"/>
              </w:rPr>
              <w:t xml:space="preserve">assumption that patients </w:t>
            </w:r>
            <w:r w:rsidR="007433DC" w:rsidRPr="0028081E">
              <w:rPr>
                <w:rFonts w:ascii="Arial Narrow" w:hAnsi="Arial Narrow"/>
                <w:b w:val="0"/>
                <w:sz w:val="20"/>
                <w:szCs w:val="20"/>
              </w:rPr>
              <w:t>were</w:t>
            </w:r>
            <w:r w:rsidR="0045705F" w:rsidRPr="0028081E">
              <w:rPr>
                <w:rFonts w:ascii="Arial Narrow" w:hAnsi="Arial Narrow"/>
                <w:b w:val="0"/>
                <w:sz w:val="20"/>
                <w:szCs w:val="20"/>
              </w:rPr>
              <w:t xml:space="preserve"> on treatment if a script </w:t>
            </w:r>
            <w:r w:rsidR="007433DC" w:rsidRPr="0028081E">
              <w:rPr>
                <w:rFonts w:ascii="Arial Narrow" w:hAnsi="Arial Narrow"/>
                <w:b w:val="0"/>
                <w:sz w:val="20"/>
                <w:szCs w:val="20"/>
              </w:rPr>
              <w:t>was</w:t>
            </w:r>
            <w:r w:rsidR="0045705F" w:rsidRPr="0028081E">
              <w:rPr>
                <w:rFonts w:ascii="Arial Narrow" w:hAnsi="Arial Narrow"/>
                <w:b w:val="0"/>
                <w:sz w:val="20"/>
                <w:szCs w:val="20"/>
              </w:rPr>
              <w:t xml:space="preserve"> refilled within a 6 month period</w:t>
            </w:r>
            <w:r w:rsidR="00C62719" w:rsidRPr="0028081E">
              <w:rPr>
                <w:rFonts w:ascii="Arial Narrow" w:hAnsi="Arial Narrow"/>
                <w:b w:val="0"/>
                <w:sz w:val="20"/>
                <w:szCs w:val="20"/>
              </w:rPr>
              <w:t>.</w:t>
            </w:r>
          </w:p>
        </w:tc>
      </w:tr>
      <w:tr w:rsidR="0098070F" w:rsidRPr="0028081E" w:rsidTr="00EE2641">
        <w:tc>
          <w:tcPr>
            <w:tcW w:w="9016" w:type="dxa"/>
            <w:gridSpan w:val="6"/>
            <w:tcMar>
              <w:left w:w="28" w:type="dxa"/>
              <w:right w:w="28" w:type="dxa"/>
            </w:tcMar>
          </w:tcPr>
          <w:p w:rsidR="0098070F" w:rsidRPr="0028081E" w:rsidRDefault="0098070F" w:rsidP="00294A37">
            <w:pPr>
              <w:pStyle w:val="2Sections"/>
              <w:spacing w:before="0"/>
              <w:jc w:val="both"/>
              <w:rPr>
                <w:rFonts w:ascii="Arial Narrow" w:hAnsi="Arial Narrow"/>
                <w:bCs/>
                <w:sz w:val="20"/>
                <w:szCs w:val="20"/>
              </w:rPr>
            </w:pPr>
            <w:r w:rsidRPr="0028081E">
              <w:rPr>
                <w:rFonts w:ascii="Arial Narrow" w:hAnsi="Arial Narrow"/>
                <w:bCs/>
                <w:sz w:val="20"/>
                <w:szCs w:val="20"/>
              </w:rPr>
              <w:t>Patient numbers/Market share</w:t>
            </w:r>
          </w:p>
        </w:tc>
      </w:tr>
      <w:tr w:rsidR="00C362A1" w:rsidRPr="0028081E" w:rsidTr="00C362A1">
        <w:tc>
          <w:tcPr>
            <w:tcW w:w="2122" w:type="dxa"/>
            <w:tcMar>
              <w:left w:w="28" w:type="dxa"/>
              <w:right w:w="28" w:type="dxa"/>
            </w:tcMar>
          </w:tcPr>
          <w:p w:rsidR="00983D31" w:rsidRPr="0028081E" w:rsidRDefault="00D0491B" w:rsidP="00294A37">
            <w:pPr>
              <w:pStyle w:val="2Sections"/>
              <w:spacing w:before="0"/>
              <w:rPr>
                <w:rFonts w:ascii="Arial Narrow" w:hAnsi="Arial Narrow" w:cstheme="minorHAnsi"/>
                <w:b w:val="0"/>
                <w:bCs/>
                <w:sz w:val="20"/>
                <w:szCs w:val="20"/>
              </w:rPr>
            </w:pPr>
            <w:r w:rsidRPr="0028081E">
              <w:rPr>
                <w:rFonts w:ascii="Arial Narrow" w:hAnsi="Arial Narrow" w:cstheme="minorHAnsi"/>
                <w:b w:val="0"/>
                <w:bCs/>
                <w:sz w:val="20"/>
                <w:szCs w:val="20"/>
              </w:rPr>
              <w:t>Number of patients treated with exenatide BID</w:t>
            </w:r>
            <w:r w:rsidR="00905998" w:rsidRPr="0028081E">
              <w:rPr>
                <w:rFonts w:ascii="Arial Narrow" w:hAnsi="Arial Narrow" w:cstheme="minorHAnsi"/>
                <w:b w:val="0"/>
                <w:bCs/>
                <w:sz w:val="20"/>
                <w:szCs w:val="20"/>
              </w:rPr>
              <w:t xml:space="preserve"> (5 mcg + 10 mcg)</w:t>
            </w:r>
            <w:r w:rsidR="00663A74" w:rsidRPr="0028081E">
              <w:rPr>
                <w:rFonts w:ascii="Arial Narrow" w:hAnsi="Arial Narrow" w:cstheme="minorHAnsi"/>
                <w:b w:val="0"/>
                <w:bCs/>
                <w:sz w:val="20"/>
                <w:szCs w:val="20"/>
              </w:rPr>
              <w:t xml:space="preserve"> </w:t>
            </w:r>
            <w:r w:rsidR="000C7F29" w:rsidRPr="0028081E">
              <w:rPr>
                <w:rFonts w:ascii="Arial Narrow" w:hAnsi="Arial Narrow" w:cstheme="minorHAnsi"/>
                <w:b w:val="0"/>
                <w:bCs/>
                <w:sz w:val="20"/>
                <w:szCs w:val="20"/>
              </w:rPr>
              <w:t>(</w:t>
            </w:r>
            <w:r w:rsidR="00CF07E7" w:rsidRPr="0028081E">
              <w:rPr>
                <w:rFonts w:ascii="Arial Narrow" w:hAnsi="Arial Narrow" w:cstheme="minorHAnsi"/>
                <w:b w:val="0"/>
                <w:bCs/>
                <w:sz w:val="20"/>
                <w:szCs w:val="20"/>
              </w:rPr>
              <w:t>Uptake rate of dulaglutide</w:t>
            </w:r>
            <w:r w:rsidR="000C7F29" w:rsidRPr="0028081E">
              <w:rPr>
                <w:rFonts w:ascii="Arial Narrow" w:hAnsi="Arial Narrow" w:cstheme="minorHAnsi"/>
                <w:b w:val="0"/>
                <w:bCs/>
                <w:sz w:val="20"/>
                <w:szCs w:val="20"/>
              </w:rPr>
              <w:t>)</w:t>
            </w:r>
          </w:p>
          <w:p w:rsidR="00D0491B" w:rsidRPr="0028081E" w:rsidRDefault="00D0491B" w:rsidP="00294A37">
            <w:pPr>
              <w:pStyle w:val="2Sections"/>
              <w:spacing w:before="0"/>
              <w:rPr>
                <w:rFonts w:ascii="Arial Narrow" w:hAnsi="Arial Narrow"/>
                <w:b w:val="0"/>
                <w:bCs/>
                <w:sz w:val="20"/>
                <w:szCs w:val="20"/>
              </w:rPr>
            </w:pPr>
          </w:p>
        </w:tc>
        <w:tc>
          <w:tcPr>
            <w:tcW w:w="2298" w:type="dxa"/>
            <w:gridSpan w:val="2"/>
            <w:tcMar>
              <w:left w:w="28" w:type="dxa"/>
              <w:right w:w="28" w:type="dxa"/>
            </w:tcMar>
          </w:tcPr>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1 (2020):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A75B47" w:rsidDel="00A75B47">
              <w:rPr>
                <w:rFonts w:ascii="Arial Narrow" w:hAnsi="Arial Narrow"/>
                <w:sz w:val="20"/>
                <w:szCs w:val="20"/>
              </w:rPr>
              <w:t xml:space="preserve"> </w:t>
            </w:r>
            <w:r w:rsidR="000C7F29" w:rsidRPr="0028081E">
              <w:rPr>
                <w:rFonts w:ascii="Arial Narrow" w:hAnsi="Arial Narrow"/>
                <w:sz w:val="20"/>
                <w:szCs w:val="20"/>
              </w:rPr>
              <w:t>(</w:t>
            </w:r>
            <w:r w:rsidR="00CF07E7" w:rsidRPr="0028081E">
              <w:rPr>
                <w:rFonts w:ascii="Arial Narrow" w:hAnsi="Arial Narrow" w:cs="Calibri"/>
                <w:sz w:val="20"/>
                <w:szCs w:val="20"/>
              </w:rPr>
              <w:t>35%</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2 (2021):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55%</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3 (2022):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63%</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4 (2023):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68%</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5 (2024):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72%</w:t>
            </w:r>
            <w:r w:rsidR="000C7F29" w:rsidRPr="0028081E">
              <w:rPr>
                <w:rFonts w:ascii="Arial Narrow" w:hAnsi="Arial Narrow" w:cs="Calibri"/>
                <w:sz w:val="20"/>
                <w:szCs w:val="20"/>
              </w:rPr>
              <w:t>)</w:t>
            </w:r>
          </w:p>
          <w:p w:rsidR="00983D31"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6 (2025):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76%</w:t>
            </w:r>
            <w:r w:rsidR="000C7F29" w:rsidRPr="0028081E">
              <w:rPr>
                <w:rFonts w:ascii="Arial Narrow" w:hAnsi="Arial Narrow" w:cs="Calibri"/>
                <w:sz w:val="20"/>
                <w:szCs w:val="20"/>
              </w:rPr>
              <w:t>)</w:t>
            </w:r>
          </w:p>
        </w:tc>
        <w:tc>
          <w:tcPr>
            <w:tcW w:w="2298" w:type="dxa"/>
            <w:gridSpan w:val="2"/>
            <w:tcMar>
              <w:left w:w="28" w:type="dxa"/>
              <w:right w:w="28" w:type="dxa"/>
            </w:tcMar>
          </w:tcPr>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Year 1 (2021):</w:t>
            </w:r>
            <w:r w:rsidR="00CF07E7" w:rsidRPr="0028081E">
              <w:rPr>
                <w:rFonts w:ascii="Arial Narrow" w:hAnsi="Arial Narrow" w:cstheme="minorHAnsi"/>
                <w:sz w:val="20"/>
                <w:szCs w:val="20"/>
              </w:rPr>
              <w:t xml:space="preserve">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cs="Calibri"/>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35%</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Year 2 (2022):</w:t>
            </w:r>
            <w:r w:rsidR="00CF07E7" w:rsidRPr="0028081E">
              <w:rPr>
                <w:rFonts w:ascii="Arial Narrow" w:hAnsi="Arial Narrow" w:cstheme="minorHAnsi"/>
                <w:sz w:val="20"/>
                <w:szCs w:val="20"/>
              </w:rPr>
              <w:t xml:space="preserve">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cs="Calibri"/>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55%</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Year 3 (2023):</w:t>
            </w:r>
            <w:r w:rsidR="00CF07E7" w:rsidRPr="0028081E">
              <w:rPr>
                <w:rFonts w:ascii="Arial Narrow" w:hAnsi="Arial Narrow" w:cstheme="minorHAnsi"/>
                <w:sz w:val="20"/>
                <w:szCs w:val="20"/>
              </w:rPr>
              <w:t xml:space="preserve">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cs="Calibri"/>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63%</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Year 4 (2024):</w:t>
            </w:r>
            <w:r w:rsidR="00CF07E7" w:rsidRPr="0028081E">
              <w:rPr>
                <w:rFonts w:ascii="Arial Narrow" w:hAnsi="Arial Narrow" w:cstheme="minorHAnsi"/>
                <w:sz w:val="20"/>
                <w:szCs w:val="20"/>
              </w:rPr>
              <w:t xml:space="preserve">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cs="Calibri"/>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68%</w:t>
            </w:r>
            <w:r w:rsidR="000C7F29" w:rsidRPr="0028081E">
              <w:rPr>
                <w:rFonts w:ascii="Arial Narrow" w:hAnsi="Arial Narrow" w:cs="Calibri"/>
                <w:sz w:val="20"/>
                <w:szCs w:val="20"/>
              </w:rPr>
              <w:t>)</w:t>
            </w:r>
          </w:p>
          <w:p w:rsidR="001F424C" w:rsidRPr="0028081E" w:rsidRDefault="001F424C" w:rsidP="00294A37">
            <w:pPr>
              <w:spacing w:after="120"/>
              <w:jc w:val="left"/>
              <w:rPr>
                <w:rFonts w:ascii="Arial Narrow" w:hAnsi="Arial Narrow" w:cstheme="minorHAnsi"/>
                <w:sz w:val="20"/>
                <w:szCs w:val="20"/>
              </w:rPr>
            </w:pPr>
            <w:r w:rsidRPr="0028081E">
              <w:rPr>
                <w:rFonts w:ascii="Arial Narrow" w:hAnsi="Arial Narrow" w:cstheme="minorHAnsi"/>
                <w:sz w:val="20"/>
                <w:szCs w:val="20"/>
              </w:rPr>
              <w:t>Year 5 (2025):</w:t>
            </w:r>
            <w:r w:rsidR="00CF07E7" w:rsidRPr="0028081E">
              <w:rPr>
                <w:rFonts w:ascii="Arial Narrow" w:hAnsi="Arial Narrow" w:cstheme="minorHAnsi"/>
                <w:sz w:val="20"/>
                <w:szCs w:val="20"/>
              </w:rPr>
              <w:t xml:space="preserve"> </w:t>
            </w:r>
            <w:r w:rsidR="00A75B47" w:rsidRPr="00A75B47">
              <w:rPr>
                <w:rFonts w:ascii="Arial Narrow" w:hAnsi="Arial Narrow"/>
                <w:sz w:val="20"/>
                <w:szCs w:val="20"/>
              </w:rPr>
              <w:t>5,000 to &lt;</w:t>
            </w:r>
            <w:r w:rsidR="00A75B47">
              <w:rPr>
                <w:rFonts w:ascii="Arial Narrow" w:hAnsi="Arial Narrow"/>
                <w:sz w:val="20"/>
                <w:szCs w:val="20"/>
              </w:rPr>
              <w:t> </w:t>
            </w:r>
            <w:r w:rsidR="00A75B47" w:rsidRPr="00A75B47">
              <w:rPr>
                <w:rFonts w:ascii="Arial Narrow" w:hAnsi="Arial Narrow"/>
                <w:sz w:val="20"/>
                <w:szCs w:val="20"/>
              </w:rPr>
              <w:t>10,000</w:t>
            </w:r>
            <w:r w:rsidR="00A75B47" w:rsidRPr="0028081E" w:rsidDel="00A75B47">
              <w:rPr>
                <w:rFonts w:ascii="Arial Narrow" w:hAnsi="Arial Narrow" w:cs="Calibri"/>
                <w:sz w:val="20"/>
                <w:szCs w:val="20"/>
              </w:rPr>
              <w:t xml:space="preserve"> </w:t>
            </w:r>
            <w:r w:rsidR="000C7F29" w:rsidRPr="0028081E">
              <w:rPr>
                <w:rFonts w:ascii="Arial Narrow" w:hAnsi="Arial Narrow" w:cs="Calibri"/>
                <w:sz w:val="20"/>
                <w:szCs w:val="20"/>
              </w:rPr>
              <w:t>(</w:t>
            </w:r>
            <w:r w:rsidR="00CF07E7" w:rsidRPr="0028081E">
              <w:rPr>
                <w:rFonts w:ascii="Arial Narrow" w:hAnsi="Arial Narrow" w:cs="Calibri"/>
                <w:sz w:val="20"/>
                <w:szCs w:val="20"/>
              </w:rPr>
              <w:t>72%</w:t>
            </w:r>
            <w:r w:rsidR="000C7F29" w:rsidRPr="0028081E">
              <w:rPr>
                <w:rFonts w:ascii="Arial Narrow" w:hAnsi="Arial Narrow" w:cs="Calibri"/>
                <w:sz w:val="20"/>
                <w:szCs w:val="20"/>
              </w:rPr>
              <w:t>)</w:t>
            </w:r>
          </w:p>
          <w:p w:rsidR="00983D31" w:rsidRPr="0028081E" w:rsidRDefault="001F424C" w:rsidP="00294A37">
            <w:pPr>
              <w:pStyle w:val="2Sections"/>
              <w:spacing w:before="0"/>
              <w:rPr>
                <w:rFonts w:ascii="Arial Narrow" w:hAnsi="Arial Narrow" w:cs="Calibri"/>
                <w:b w:val="0"/>
                <w:bCs/>
                <w:sz w:val="20"/>
                <w:szCs w:val="20"/>
              </w:rPr>
            </w:pPr>
            <w:r w:rsidRPr="0028081E">
              <w:rPr>
                <w:rFonts w:ascii="Arial Narrow" w:hAnsi="Arial Narrow" w:cstheme="minorHAnsi"/>
                <w:b w:val="0"/>
                <w:bCs/>
                <w:sz w:val="20"/>
                <w:szCs w:val="20"/>
              </w:rPr>
              <w:t>Year 6 (2026):</w:t>
            </w:r>
            <w:r w:rsidR="00CF07E7" w:rsidRPr="0028081E">
              <w:rPr>
                <w:rFonts w:ascii="Arial Narrow" w:hAnsi="Arial Narrow" w:cstheme="minorHAnsi"/>
                <w:b w:val="0"/>
                <w:bCs/>
                <w:sz w:val="20"/>
                <w:szCs w:val="20"/>
              </w:rPr>
              <w:t xml:space="preserve"> </w:t>
            </w:r>
            <w:r w:rsidR="00A75B47">
              <w:rPr>
                <w:rFonts w:ascii="Arial Narrow" w:hAnsi="Arial Narrow" w:cs="Calibri"/>
                <w:b w:val="0"/>
                <w:bCs/>
                <w:sz w:val="20"/>
                <w:szCs w:val="20"/>
              </w:rPr>
              <w:t>5,000 to &lt;</w:t>
            </w:r>
            <w:r w:rsidR="00A75B47" w:rsidRPr="00A75B47">
              <w:rPr>
                <w:rFonts w:ascii="Arial Narrow" w:hAnsi="Arial Narrow" w:cs="Calibri"/>
                <w:b w:val="0"/>
                <w:bCs/>
                <w:sz w:val="20"/>
                <w:szCs w:val="20"/>
              </w:rPr>
              <w:t>10,000</w:t>
            </w:r>
            <w:r w:rsidR="00A75B47" w:rsidRPr="00A75B47" w:rsidDel="00A75B47">
              <w:rPr>
                <w:rFonts w:ascii="Arial Narrow" w:hAnsi="Arial Narrow" w:cs="Calibri"/>
                <w:b w:val="0"/>
                <w:bCs/>
                <w:sz w:val="20"/>
                <w:szCs w:val="20"/>
              </w:rPr>
              <w:t xml:space="preserve"> </w:t>
            </w:r>
            <w:r w:rsidR="000C7F29" w:rsidRPr="0028081E">
              <w:rPr>
                <w:rFonts w:ascii="Arial Narrow" w:hAnsi="Arial Narrow" w:cs="Calibri"/>
                <w:b w:val="0"/>
                <w:bCs/>
                <w:sz w:val="20"/>
                <w:szCs w:val="20"/>
              </w:rPr>
              <w:t>(</w:t>
            </w:r>
            <w:r w:rsidR="00CF07E7" w:rsidRPr="0028081E">
              <w:rPr>
                <w:rFonts w:ascii="Arial Narrow" w:hAnsi="Arial Narrow" w:cs="Calibri"/>
                <w:b w:val="0"/>
                <w:bCs/>
                <w:sz w:val="20"/>
                <w:szCs w:val="20"/>
              </w:rPr>
              <w:t>76%</w:t>
            </w:r>
            <w:r w:rsidR="000C7F29" w:rsidRPr="0028081E">
              <w:rPr>
                <w:rFonts w:ascii="Arial Narrow" w:hAnsi="Arial Narrow" w:cs="Calibri"/>
                <w:b w:val="0"/>
                <w:bCs/>
                <w:sz w:val="20"/>
                <w:szCs w:val="20"/>
              </w:rPr>
              <w:t>)</w:t>
            </w:r>
          </w:p>
          <w:p w:rsidR="00BB52A6" w:rsidRPr="0028081E" w:rsidRDefault="00BB52A6" w:rsidP="00294A37">
            <w:pPr>
              <w:pStyle w:val="2Sections"/>
              <w:spacing w:before="0"/>
              <w:rPr>
                <w:rFonts w:ascii="Arial Narrow" w:hAnsi="Arial Narrow" w:cs="Calibri"/>
                <w:b w:val="0"/>
                <w:bCs/>
                <w:sz w:val="20"/>
                <w:szCs w:val="20"/>
              </w:rPr>
            </w:pPr>
          </w:p>
          <w:p w:rsidR="00BB52A6" w:rsidRPr="0028081E" w:rsidRDefault="00BB52A6" w:rsidP="00294A37">
            <w:pPr>
              <w:pStyle w:val="2Sections"/>
              <w:spacing w:before="0"/>
              <w:jc w:val="both"/>
              <w:rPr>
                <w:rFonts w:ascii="Arial Narrow" w:hAnsi="Arial Narrow"/>
                <w:b w:val="0"/>
                <w:bCs/>
                <w:sz w:val="20"/>
                <w:szCs w:val="20"/>
              </w:rPr>
            </w:pPr>
            <w:r w:rsidRPr="0028081E">
              <w:rPr>
                <w:rFonts w:ascii="Arial Narrow" w:hAnsi="Arial Narrow" w:cs="Calibri"/>
                <w:b w:val="0"/>
                <w:bCs/>
                <w:sz w:val="20"/>
                <w:szCs w:val="20"/>
              </w:rPr>
              <w:t>The resubmission indicated that patients who are adequately controlled with exenatide BID (with insulin) are less likely to switch to dulag</w:t>
            </w:r>
            <w:r w:rsidR="00663A74" w:rsidRPr="0028081E">
              <w:rPr>
                <w:rFonts w:ascii="Arial Narrow" w:hAnsi="Arial Narrow" w:cs="Calibri"/>
                <w:b w:val="0"/>
                <w:bCs/>
                <w:sz w:val="20"/>
                <w:szCs w:val="20"/>
              </w:rPr>
              <w:t>l</w:t>
            </w:r>
            <w:r w:rsidRPr="0028081E">
              <w:rPr>
                <w:rFonts w:ascii="Arial Narrow" w:hAnsi="Arial Narrow" w:cs="Calibri"/>
                <w:b w:val="0"/>
                <w:bCs/>
                <w:sz w:val="20"/>
                <w:szCs w:val="20"/>
              </w:rPr>
              <w:t>utide (with insulin)</w:t>
            </w:r>
            <w:r w:rsidR="0028081E">
              <w:rPr>
                <w:rFonts w:ascii="Arial Narrow" w:hAnsi="Arial Narrow" w:cs="Calibri"/>
                <w:b w:val="0"/>
                <w:bCs/>
                <w:sz w:val="20"/>
                <w:szCs w:val="20"/>
              </w:rPr>
              <w:t xml:space="preserve">. </w:t>
            </w:r>
          </w:p>
        </w:tc>
        <w:tc>
          <w:tcPr>
            <w:tcW w:w="2298" w:type="dxa"/>
            <w:tcMar>
              <w:left w:w="28" w:type="dxa"/>
              <w:right w:w="28" w:type="dxa"/>
            </w:tcMar>
          </w:tcPr>
          <w:p w:rsidR="00983D31" w:rsidRPr="0028081E" w:rsidRDefault="0059250C" w:rsidP="00294A37">
            <w:pPr>
              <w:pStyle w:val="2Sections"/>
              <w:spacing w:before="0"/>
              <w:jc w:val="both"/>
              <w:rPr>
                <w:rFonts w:ascii="Arial Narrow" w:hAnsi="Arial Narrow"/>
                <w:b w:val="0"/>
                <w:sz w:val="20"/>
                <w:szCs w:val="20"/>
              </w:rPr>
            </w:pPr>
            <w:r w:rsidRPr="0028081E">
              <w:rPr>
                <w:rFonts w:ascii="Arial Narrow" w:hAnsi="Arial Narrow"/>
                <w:b w:val="0"/>
                <w:sz w:val="20"/>
                <w:szCs w:val="20"/>
              </w:rPr>
              <w:t>The estimated uptake rates of dulaglutide from exenatide BID</w:t>
            </w:r>
            <w:r w:rsidR="006C0095" w:rsidRPr="0028081E">
              <w:rPr>
                <w:rFonts w:ascii="Arial Narrow" w:hAnsi="Arial Narrow"/>
                <w:b w:val="0"/>
                <w:sz w:val="20"/>
                <w:szCs w:val="20"/>
              </w:rPr>
              <w:t xml:space="preserve"> were unchanged despite the PBAC’s advice that</w:t>
            </w:r>
            <w:r w:rsidRPr="0028081E">
              <w:rPr>
                <w:rFonts w:ascii="Arial Narrow" w:hAnsi="Arial Narrow"/>
                <w:b w:val="0"/>
                <w:sz w:val="20"/>
                <w:szCs w:val="20"/>
              </w:rPr>
              <w:t xml:space="preserve"> </w:t>
            </w:r>
            <w:r w:rsidRPr="0028081E">
              <w:rPr>
                <w:rFonts w:ascii="Arial Narrow" w:hAnsi="Arial Narrow"/>
                <w:b w:val="0"/>
                <w:bCs/>
                <w:sz w:val="20"/>
                <w:szCs w:val="20"/>
              </w:rPr>
              <w:t xml:space="preserve">the majority of patients receiving treatment with exenatide BID and insulin would </w:t>
            </w:r>
            <w:r w:rsidR="006C0095" w:rsidRPr="0028081E">
              <w:rPr>
                <w:rFonts w:ascii="Arial Narrow" w:hAnsi="Arial Narrow"/>
                <w:b w:val="0"/>
                <w:bCs/>
                <w:sz w:val="20"/>
                <w:szCs w:val="20"/>
              </w:rPr>
              <w:t>switch</w:t>
            </w:r>
            <w:r w:rsidRPr="0028081E">
              <w:rPr>
                <w:rFonts w:ascii="Arial Narrow" w:hAnsi="Arial Narrow"/>
                <w:b w:val="0"/>
                <w:bCs/>
                <w:sz w:val="20"/>
                <w:szCs w:val="20"/>
              </w:rPr>
              <w:t xml:space="preserve"> to dulaglutide QW</w:t>
            </w:r>
            <w:r w:rsidR="006C0095" w:rsidRPr="0028081E">
              <w:rPr>
                <w:rFonts w:ascii="Arial Narrow" w:hAnsi="Arial Narrow"/>
                <w:b w:val="0"/>
                <w:bCs/>
                <w:sz w:val="20"/>
                <w:szCs w:val="20"/>
              </w:rPr>
              <w:t xml:space="preserve">. </w:t>
            </w:r>
          </w:p>
        </w:tc>
      </w:tr>
      <w:tr w:rsidR="00C362A1" w:rsidRPr="0028081E" w:rsidTr="00C362A1">
        <w:tc>
          <w:tcPr>
            <w:tcW w:w="2122" w:type="dxa"/>
            <w:tcMar>
              <w:left w:w="28" w:type="dxa"/>
              <w:right w:w="28" w:type="dxa"/>
            </w:tcMar>
          </w:tcPr>
          <w:p w:rsidR="00CF07E7" w:rsidRPr="0028081E" w:rsidRDefault="00CF07E7" w:rsidP="00294A37">
            <w:pPr>
              <w:pStyle w:val="2Sections"/>
              <w:spacing w:before="0"/>
              <w:rPr>
                <w:rFonts w:ascii="Arial Narrow" w:hAnsi="Arial Narrow" w:cstheme="minorHAnsi"/>
                <w:b w:val="0"/>
                <w:bCs/>
                <w:sz w:val="20"/>
                <w:szCs w:val="20"/>
              </w:rPr>
            </w:pPr>
            <w:r w:rsidRPr="0028081E">
              <w:rPr>
                <w:rFonts w:ascii="Arial Narrow" w:hAnsi="Arial Narrow" w:cstheme="minorHAnsi"/>
                <w:b w:val="0"/>
                <w:bCs/>
                <w:sz w:val="20"/>
                <w:szCs w:val="20"/>
              </w:rPr>
              <w:t>Number of pati</w:t>
            </w:r>
            <w:r w:rsidR="006E0860" w:rsidRPr="0028081E">
              <w:rPr>
                <w:rFonts w:ascii="Arial Narrow" w:hAnsi="Arial Narrow" w:cstheme="minorHAnsi"/>
                <w:b w:val="0"/>
                <w:bCs/>
                <w:sz w:val="20"/>
                <w:szCs w:val="20"/>
              </w:rPr>
              <w:t>ents treated with exenatide QW</w:t>
            </w:r>
            <w:r w:rsidR="00663A74" w:rsidRPr="0028081E">
              <w:rPr>
                <w:rFonts w:ascii="Arial Narrow" w:hAnsi="Arial Narrow" w:cstheme="minorHAnsi"/>
                <w:b w:val="0"/>
                <w:bCs/>
                <w:sz w:val="20"/>
                <w:szCs w:val="20"/>
              </w:rPr>
              <w:t xml:space="preserve"> </w:t>
            </w:r>
            <w:r w:rsidR="00342458" w:rsidRPr="0028081E">
              <w:rPr>
                <w:rFonts w:ascii="Arial Narrow" w:hAnsi="Arial Narrow" w:cstheme="minorHAnsi"/>
                <w:b w:val="0"/>
                <w:bCs/>
                <w:sz w:val="20"/>
                <w:szCs w:val="20"/>
              </w:rPr>
              <w:t>(</w:t>
            </w:r>
            <w:r w:rsidRPr="0028081E">
              <w:rPr>
                <w:rFonts w:ascii="Arial Narrow" w:hAnsi="Arial Narrow" w:cstheme="minorHAnsi"/>
                <w:b w:val="0"/>
                <w:bCs/>
                <w:sz w:val="20"/>
                <w:szCs w:val="20"/>
              </w:rPr>
              <w:t>Uptake rate of dulaglutide</w:t>
            </w:r>
            <w:r w:rsidR="00342458" w:rsidRPr="0028081E">
              <w:rPr>
                <w:rFonts w:ascii="Arial Narrow" w:hAnsi="Arial Narrow" w:cstheme="minorHAnsi"/>
                <w:b w:val="0"/>
                <w:bCs/>
                <w:sz w:val="20"/>
                <w:szCs w:val="20"/>
              </w:rPr>
              <w:t>)</w:t>
            </w:r>
          </w:p>
          <w:p w:rsidR="00983D31" w:rsidRPr="0028081E" w:rsidRDefault="00983D31" w:rsidP="00294A37">
            <w:pPr>
              <w:pStyle w:val="2Sections"/>
              <w:spacing w:before="0"/>
              <w:rPr>
                <w:rFonts w:ascii="Arial Narrow" w:hAnsi="Arial Narrow"/>
                <w:b w:val="0"/>
                <w:bCs/>
                <w:sz w:val="20"/>
                <w:szCs w:val="20"/>
              </w:rPr>
            </w:pPr>
          </w:p>
        </w:tc>
        <w:tc>
          <w:tcPr>
            <w:tcW w:w="2298" w:type="dxa"/>
            <w:gridSpan w:val="2"/>
            <w:tcMar>
              <w:left w:w="28" w:type="dxa"/>
              <w:right w:w="28" w:type="dxa"/>
            </w:tcMar>
          </w:tcPr>
          <w:p w:rsidR="00983D31" w:rsidRPr="0028081E" w:rsidRDefault="00CF07E7" w:rsidP="00294A37">
            <w:pPr>
              <w:pStyle w:val="2Sections"/>
              <w:spacing w:before="0"/>
              <w:rPr>
                <w:rFonts w:ascii="Arial Narrow" w:hAnsi="Arial Narrow"/>
                <w:b w:val="0"/>
                <w:sz w:val="20"/>
                <w:szCs w:val="20"/>
              </w:rPr>
            </w:pPr>
            <w:r w:rsidRPr="0028081E">
              <w:rPr>
                <w:rFonts w:ascii="Arial Narrow" w:hAnsi="Arial Narrow"/>
                <w:b w:val="0"/>
                <w:sz w:val="20"/>
                <w:szCs w:val="20"/>
              </w:rPr>
              <w:t>N</w:t>
            </w:r>
            <w:r w:rsidR="00E80B6F" w:rsidRPr="0028081E">
              <w:rPr>
                <w:rFonts w:ascii="Arial Narrow" w:hAnsi="Arial Narrow"/>
                <w:b w:val="0"/>
                <w:sz w:val="20"/>
                <w:szCs w:val="20"/>
              </w:rPr>
              <w:t>ot included</w:t>
            </w:r>
          </w:p>
        </w:tc>
        <w:tc>
          <w:tcPr>
            <w:tcW w:w="2298" w:type="dxa"/>
            <w:gridSpan w:val="2"/>
            <w:tcMar>
              <w:left w:w="28" w:type="dxa"/>
              <w:right w:w="28" w:type="dxa"/>
            </w:tcMar>
          </w:tcPr>
          <w:p w:rsidR="00CF07E7" w:rsidRPr="0028081E" w:rsidRDefault="00CF07E7"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1 (2021): </w:t>
            </w:r>
            <w:r w:rsidR="00EF5228">
              <w:rPr>
                <w:rFonts w:ascii="Arial Narrow" w:hAnsi="Arial Narrow" w:cs="Calibri"/>
                <w:sz w:val="20"/>
                <w:szCs w:val="20"/>
              </w:rPr>
              <w:t>500 to &lt; </w:t>
            </w:r>
            <w:r w:rsidR="00EF5228" w:rsidRPr="00EF5228">
              <w:rPr>
                <w:rFonts w:ascii="Arial Narrow" w:hAnsi="Arial Narrow" w:cs="Calibri"/>
                <w:sz w:val="20"/>
                <w:szCs w:val="20"/>
              </w:rPr>
              <w:t>5,000</w:t>
            </w:r>
            <w:r w:rsidR="00EF5228" w:rsidRPr="00EF5228" w:rsidDel="00EF5228">
              <w:rPr>
                <w:rFonts w:ascii="Arial Narrow" w:hAnsi="Arial Narrow" w:cs="Calibri"/>
                <w:sz w:val="20"/>
                <w:szCs w:val="20"/>
              </w:rPr>
              <w:t xml:space="preserve"> </w:t>
            </w:r>
            <w:r w:rsidR="00342458" w:rsidRPr="0028081E">
              <w:rPr>
                <w:rFonts w:ascii="Arial Narrow" w:hAnsi="Arial Narrow" w:cs="Calibri"/>
                <w:sz w:val="20"/>
                <w:szCs w:val="20"/>
              </w:rPr>
              <w:t>(</w:t>
            </w:r>
            <w:r w:rsidR="005A6E79" w:rsidRPr="0028081E">
              <w:rPr>
                <w:rFonts w:ascii="Arial Narrow" w:hAnsi="Arial Narrow" w:cs="Calibri"/>
                <w:sz w:val="20"/>
                <w:szCs w:val="20"/>
              </w:rPr>
              <w:t>2</w:t>
            </w:r>
            <w:r w:rsidRPr="0028081E">
              <w:rPr>
                <w:rFonts w:ascii="Arial Narrow" w:hAnsi="Arial Narrow" w:cs="Calibri"/>
                <w:sz w:val="20"/>
                <w:szCs w:val="20"/>
              </w:rPr>
              <w:t>5%</w:t>
            </w:r>
            <w:r w:rsidR="00342458" w:rsidRPr="0028081E">
              <w:rPr>
                <w:rFonts w:ascii="Arial Narrow" w:hAnsi="Arial Narrow" w:cs="Calibri"/>
                <w:sz w:val="20"/>
                <w:szCs w:val="20"/>
              </w:rPr>
              <w:t>)</w:t>
            </w:r>
          </w:p>
          <w:p w:rsidR="00CF07E7" w:rsidRPr="0028081E" w:rsidRDefault="00CF07E7"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2 (2022): </w:t>
            </w:r>
            <w:r w:rsidR="00EF5228">
              <w:rPr>
                <w:rFonts w:ascii="Arial Narrow" w:hAnsi="Arial Narrow" w:cs="Calibri"/>
                <w:sz w:val="20"/>
                <w:szCs w:val="20"/>
              </w:rPr>
              <w:t>500 to &lt; </w:t>
            </w:r>
            <w:r w:rsidR="00EF5228" w:rsidRPr="00EF5228">
              <w:rPr>
                <w:rFonts w:ascii="Arial Narrow" w:hAnsi="Arial Narrow" w:cs="Calibri"/>
                <w:sz w:val="20"/>
                <w:szCs w:val="20"/>
              </w:rPr>
              <w:t>5,000</w:t>
            </w:r>
            <w:r w:rsidR="00EF5228" w:rsidRPr="0028081E" w:rsidDel="00EF5228">
              <w:rPr>
                <w:rFonts w:ascii="Arial Narrow" w:hAnsi="Arial Narrow" w:cs="Calibri"/>
                <w:sz w:val="20"/>
                <w:szCs w:val="20"/>
              </w:rPr>
              <w:t xml:space="preserve"> </w:t>
            </w:r>
            <w:r w:rsidR="00342458" w:rsidRPr="0028081E">
              <w:rPr>
                <w:rFonts w:ascii="Arial Narrow" w:hAnsi="Arial Narrow" w:cs="Calibri"/>
                <w:sz w:val="20"/>
                <w:szCs w:val="20"/>
              </w:rPr>
              <w:t>(</w:t>
            </w:r>
            <w:r w:rsidR="005A6E79" w:rsidRPr="0028081E">
              <w:rPr>
                <w:rFonts w:ascii="Arial Narrow" w:hAnsi="Arial Narrow" w:cs="Calibri"/>
                <w:sz w:val="20"/>
                <w:szCs w:val="20"/>
              </w:rPr>
              <w:t>3</w:t>
            </w:r>
            <w:r w:rsidRPr="0028081E">
              <w:rPr>
                <w:rFonts w:ascii="Arial Narrow" w:hAnsi="Arial Narrow" w:cs="Calibri"/>
                <w:sz w:val="20"/>
                <w:szCs w:val="20"/>
              </w:rPr>
              <w:t>5%</w:t>
            </w:r>
            <w:r w:rsidR="00342458" w:rsidRPr="0028081E">
              <w:rPr>
                <w:rFonts w:ascii="Arial Narrow" w:hAnsi="Arial Narrow" w:cs="Calibri"/>
                <w:sz w:val="20"/>
                <w:szCs w:val="20"/>
              </w:rPr>
              <w:t>)</w:t>
            </w:r>
          </w:p>
          <w:p w:rsidR="00CF07E7" w:rsidRPr="0028081E" w:rsidRDefault="00CF07E7"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3 (2023): </w:t>
            </w:r>
            <w:r w:rsidR="00EF5228">
              <w:rPr>
                <w:rFonts w:ascii="Arial Narrow" w:hAnsi="Arial Narrow" w:cs="Calibri"/>
                <w:sz w:val="20"/>
                <w:szCs w:val="20"/>
              </w:rPr>
              <w:t>500 to &lt; </w:t>
            </w:r>
            <w:r w:rsidR="00EF5228" w:rsidRPr="00EF5228">
              <w:rPr>
                <w:rFonts w:ascii="Arial Narrow" w:hAnsi="Arial Narrow" w:cs="Calibri"/>
                <w:sz w:val="20"/>
                <w:szCs w:val="20"/>
              </w:rPr>
              <w:t>5,000</w:t>
            </w:r>
            <w:r w:rsidR="00EF5228" w:rsidRPr="0028081E" w:rsidDel="00EF5228">
              <w:rPr>
                <w:rFonts w:ascii="Arial Narrow" w:hAnsi="Arial Narrow" w:cs="Calibri"/>
                <w:sz w:val="20"/>
                <w:szCs w:val="20"/>
              </w:rPr>
              <w:t xml:space="preserve"> </w:t>
            </w:r>
            <w:r w:rsidR="00342458" w:rsidRPr="0028081E">
              <w:rPr>
                <w:rFonts w:ascii="Arial Narrow" w:hAnsi="Arial Narrow" w:cs="Calibri"/>
                <w:sz w:val="20"/>
                <w:szCs w:val="20"/>
              </w:rPr>
              <w:t>(</w:t>
            </w:r>
            <w:r w:rsidR="005A6E79" w:rsidRPr="0028081E">
              <w:rPr>
                <w:rFonts w:ascii="Arial Narrow" w:hAnsi="Arial Narrow" w:cs="Calibri"/>
                <w:sz w:val="20"/>
                <w:szCs w:val="20"/>
              </w:rPr>
              <w:t>50</w:t>
            </w:r>
            <w:r w:rsidRPr="0028081E">
              <w:rPr>
                <w:rFonts w:ascii="Arial Narrow" w:hAnsi="Arial Narrow" w:cs="Calibri"/>
                <w:sz w:val="20"/>
                <w:szCs w:val="20"/>
              </w:rPr>
              <w:t>%</w:t>
            </w:r>
            <w:r w:rsidR="00342458" w:rsidRPr="0028081E">
              <w:rPr>
                <w:rFonts w:ascii="Arial Narrow" w:hAnsi="Arial Narrow" w:cs="Calibri"/>
                <w:sz w:val="20"/>
                <w:szCs w:val="20"/>
              </w:rPr>
              <w:t>)</w:t>
            </w:r>
          </w:p>
          <w:p w:rsidR="00CF07E7" w:rsidRPr="0028081E" w:rsidRDefault="00CF07E7"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4 (2024): </w:t>
            </w:r>
            <w:r w:rsidR="00EF5228">
              <w:rPr>
                <w:rFonts w:ascii="Arial Narrow" w:hAnsi="Arial Narrow" w:cs="Calibri"/>
                <w:sz w:val="20"/>
                <w:szCs w:val="20"/>
              </w:rPr>
              <w:t>500 to &lt; </w:t>
            </w:r>
            <w:r w:rsidR="00EF5228" w:rsidRPr="00EF5228">
              <w:rPr>
                <w:rFonts w:ascii="Arial Narrow" w:hAnsi="Arial Narrow" w:cs="Calibri"/>
                <w:sz w:val="20"/>
                <w:szCs w:val="20"/>
              </w:rPr>
              <w:t>5,000</w:t>
            </w:r>
            <w:r w:rsidR="00EF5228" w:rsidRPr="0028081E" w:rsidDel="00EF5228">
              <w:rPr>
                <w:rFonts w:ascii="Arial Narrow" w:hAnsi="Arial Narrow" w:cs="Calibri"/>
                <w:sz w:val="20"/>
                <w:szCs w:val="20"/>
              </w:rPr>
              <w:t xml:space="preserve"> </w:t>
            </w:r>
            <w:r w:rsidR="00342458" w:rsidRPr="0028081E">
              <w:rPr>
                <w:rFonts w:ascii="Arial Narrow" w:hAnsi="Arial Narrow" w:cs="Calibri"/>
                <w:sz w:val="20"/>
                <w:szCs w:val="20"/>
              </w:rPr>
              <w:t>(</w:t>
            </w:r>
            <w:r w:rsidR="005A6E79" w:rsidRPr="0028081E">
              <w:rPr>
                <w:rFonts w:ascii="Arial Narrow" w:hAnsi="Arial Narrow" w:cs="Calibri"/>
                <w:sz w:val="20"/>
                <w:szCs w:val="20"/>
              </w:rPr>
              <w:t>63</w:t>
            </w:r>
            <w:r w:rsidRPr="0028081E">
              <w:rPr>
                <w:rFonts w:ascii="Arial Narrow" w:hAnsi="Arial Narrow" w:cs="Calibri"/>
                <w:sz w:val="20"/>
                <w:szCs w:val="20"/>
              </w:rPr>
              <w:t>%</w:t>
            </w:r>
            <w:r w:rsidR="00342458" w:rsidRPr="0028081E">
              <w:rPr>
                <w:rFonts w:ascii="Arial Narrow" w:hAnsi="Arial Narrow" w:cs="Calibri"/>
                <w:sz w:val="20"/>
                <w:szCs w:val="20"/>
              </w:rPr>
              <w:t>)</w:t>
            </w:r>
          </w:p>
          <w:p w:rsidR="00CF07E7" w:rsidRPr="0028081E" w:rsidRDefault="00CF07E7"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5 (2025): </w:t>
            </w:r>
            <w:r w:rsidR="00EF5228">
              <w:rPr>
                <w:rFonts w:ascii="Arial Narrow" w:hAnsi="Arial Narrow" w:cs="Calibri"/>
                <w:sz w:val="20"/>
                <w:szCs w:val="20"/>
              </w:rPr>
              <w:t>500 to &lt; </w:t>
            </w:r>
            <w:r w:rsidR="00EF5228" w:rsidRPr="00EF5228">
              <w:rPr>
                <w:rFonts w:ascii="Arial Narrow" w:hAnsi="Arial Narrow" w:cs="Calibri"/>
                <w:sz w:val="20"/>
                <w:szCs w:val="20"/>
              </w:rPr>
              <w:t>5,000</w:t>
            </w:r>
            <w:r w:rsidR="00EF5228" w:rsidRPr="0028081E" w:rsidDel="00EF5228">
              <w:rPr>
                <w:rFonts w:ascii="Arial Narrow" w:hAnsi="Arial Narrow" w:cs="Calibri"/>
                <w:sz w:val="20"/>
                <w:szCs w:val="20"/>
              </w:rPr>
              <w:t xml:space="preserve"> </w:t>
            </w:r>
            <w:r w:rsidR="00342458" w:rsidRPr="0028081E">
              <w:rPr>
                <w:rFonts w:ascii="Arial Narrow" w:hAnsi="Arial Narrow" w:cs="Calibri"/>
                <w:sz w:val="20"/>
                <w:szCs w:val="20"/>
              </w:rPr>
              <w:t>(</w:t>
            </w:r>
            <w:r w:rsidR="005A6E79" w:rsidRPr="0028081E">
              <w:rPr>
                <w:rFonts w:ascii="Arial Narrow" w:hAnsi="Arial Narrow" w:cs="Calibri"/>
                <w:sz w:val="20"/>
                <w:szCs w:val="20"/>
              </w:rPr>
              <w:t>68</w:t>
            </w:r>
            <w:r w:rsidRPr="0028081E">
              <w:rPr>
                <w:rFonts w:ascii="Arial Narrow" w:hAnsi="Arial Narrow" w:cs="Calibri"/>
                <w:sz w:val="20"/>
                <w:szCs w:val="20"/>
              </w:rPr>
              <w:t>%</w:t>
            </w:r>
            <w:r w:rsidR="00342458" w:rsidRPr="0028081E">
              <w:rPr>
                <w:rFonts w:ascii="Arial Narrow" w:hAnsi="Arial Narrow" w:cs="Calibri"/>
                <w:sz w:val="20"/>
                <w:szCs w:val="20"/>
              </w:rPr>
              <w:t>)</w:t>
            </w:r>
          </w:p>
          <w:p w:rsidR="00983D31" w:rsidRPr="0028081E" w:rsidRDefault="00CF07E7" w:rsidP="00294A37">
            <w:pPr>
              <w:pStyle w:val="2Sections"/>
              <w:spacing w:before="0"/>
              <w:rPr>
                <w:rFonts w:ascii="Arial Narrow" w:hAnsi="Arial Narrow"/>
                <w:b w:val="0"/>
                <w:sz w:val="20"/>
                <w:szCs w:val="20"/>
              </w:rPr>
            </w:pPr>
            <w:r w:rsidRPr="0028081E">
              <w:rPr>
                <w:rFonts w:ascii="Arial Narrow" w:hAnsi="Arial Narrow" w:cstheme="minorHAnsi"/>
                <w:b w:val="0"/>
                <w:bCs/>
                <w:sz w:val="20"/>
                <w:szCs w:val="20"/>
              </w:rPr>
              <w:t xml:space="preserve">Year 6 (2026): </w:t>
            </w:r>
            <w:r w:rsidR="00EF5228" w:rsidRPr="00EF5228">
              <w:rPr>
                <w:rFonts w:ascii="Arial Narrow" w:hAnsi="Arial Narrow" w:cs="Calibri"/>
                <w:b w:val="0"/>
                <w:bCs/>
                <w:sz w:val="20"/>
                <w:szCs w:val="20"/>
              </w:rPr>
              <w:t>500 to &lt; 5,000</w:t>
            </w:r>
            <w:r w:rsidR="00EF5228" w:rsidRPr="00EF5228" w:rsidDel="00EF5228">
              <w:rPr>
                <w:rFonts w:ascii="Arial Narrow" w:hAnsi="Arial Narrow" w:cs="Calibri"/>
                <w:b w:val="0"/>
                <w:bCs/>
                <w:sz w:val="20"/>
                <w:szCs w:val="20"/>
              </w:rPr>
              <w:t xml:space="preserve"> </w:t>
            </w:r>
            <w:r w:rsidR="00342458" w:rsidRPr="0028081E">
              <w:rPr>
                <w:rFonts w:ascii="Arial Narrow" w:hAnsi="Arial Narrow" w:cs="Calibri"/>
                <w:b w:val="0"/>
                <w:bCs/>
                <w:sz w:val="20"/>
                <w:szCs w:val="20"/>
              </w:rPr>
              <w:t>(</w:t>
            </w:r>
            <w:r w:rsidR="005A6E79" w:rsidRPr="0028081E">
              <w:rPr>
                <w:rFonts w:ascii="Arial Narrow" w:hAnsi="Arial Narrow" w:cs="Calibri"/>
                <w:b w:val="0"/>
                <w:bCs/>
                <w:sz w:val="20"/>
                <w:szCs w:val="20"/>
              </w:rPr>
              <w:t>70</w:t>
            </w:r>
            <w:r w:rsidRPr="0028081E">
              <w:rPr>
                <w:rFonts w:ascii="Arial Narrow" w:hAnsi="Arial Narrow" w:cs="Calibri"/>
                <w:b w:val="0"/>
                <w:bCs/>
                <w:sz w:val="20"/>
                <w:szCs w:val="20"/>
              </w:rPr>
              <w:t>%</w:t>
            </w:r>
            <w:r w:rsidR="00342458" w:rsidRPr="0028081E">
              <w:rPr>
                <w:rFonts w:ascii="Arial Narrow" w:hAnsi="Arial Narrow" w:cs="Calibri"/>
                <w:b w:val="0"/>
                <w:bCs/>
                <w:sz w:val="20"/>
                <w:szCs w:val="20"/>
              </w:rPr>
              <w:t>)</w:t>
            </w:r>
          </w:p>
        </w:tc>
        <w:tc>
          <w:tcPr>
            <w:tcW w:w="2298" w:type="dxa"/>
            <w:tcMar>
              <w:left w:w="28" w:type="dxa"/>
              <w:right w:w="28" w:type="dxa"/>
            </w:tcMar>
          </w:tcPr>
          <w:p w:rsidR="00983D31" w:rsidRPr="0028081E" w:rsidRDefault="003E25DB" w:rsidP="00294A37">
            <w:pPr>
              <w:pStyle w:val="2Sections"/>
              <w:spacing w:before="0"/>
              <w:jc w:val="both"/>
              <w:rPr>
                <w:rFonts w:ascii="Arial Narrow" w:hAnsi="Arial Narrow"/>
                <w:b w:val="0"/>
                <w:sz w:val="20"/>
                <w:szCs w:val="20"/>
              </w:rPr>
            </w:pPr>
            <w:r w:rsidRPr="0028081E">
              <w:rPr>
                <w:rFonts w:ascii="Arial Narrow" w:hAnsi="Arial Narrow"/>
                <w:b w:val="0"/>
                <w:sz w:val="20"/>
                <w:szCs w:val="20"/>
              </w:rPr>
              <w:t>Exenatide QW is not currently PBS listed for use with insulin</w:t>
            </w:r>
            <w:r w:rsidR="00DE6C36" w:rsidRPr="0028081E">
              <w:rPr>
                <w:rFonts w:ascii="Arial Narrow" w:hAnsi="Arial Narrow"/>
                <w:b w:val="0"/>
                <w:sz w:val="20"/>
                <w:szCs w:val="20"/>
              </w:rPr>
              <w:t>.</w:t>
            </w:r>
            <w:r w:rsidRPr="0028081E">
              <w:rPr>
                <w:rFonts w:ascii="Arial Narrow" w:hAnsi="Arial Narrow"/>
                <w:b w:val="0"/>
                <w:sz w:val="20"/>
                <w:szCs w:val="20"/>
              </w:rPr>
              <w:t xml:space="preserve"> </w:t>
            </w:r>
            <w:r w:rsidR="00DE6C36" w:rsidRPr="0028081E">
              <w:rPr>
                <w:rFonts w:ascii="Arial Narrow" w:hAnsi="Arial Narrow"/>
                <w:b w:val="0"/>
                <w:sz w:val="20"/>
                <w:szCs w:val="20"/>
              </w:rPr>
              <w:t>The resubmission claimed that the</w:t>
            </w:r>
            <w:r w:rsidRPr="0028081E">
              <w:rPr>
                <w:rFonts w:ascii="Arial Narrow" w:hAnsi="Arial Narrow"/>
                <w:b w:val="0"/>
                <w:bCs/>
                <w:sz w:val="20"/>
                <w:szCs w:val="20"/>
              </w:rPr>
              <w:t xml:space="preserve"> 10% sample of PBS data showed some use of exenatide QW</w:t>
            </w:r>
            <w:r w:rsidR="0001072C" w:rsidRPr="0028081E">
              <w:rPr>
                <w:rFonts w:ascii="Arial Narrow" w:hAnsi="Arial Narrow"/>
                <w:b w:val="0"/>
                <w:bCs/>
                <w:sz w:val="20"/>
                <w:szCs w:val="20"/>
              </w:rPr>
              <w:t xml:space="preserve"> with</w:t>
            </w:r>
            <w:r w:rsidRPr="0028081E">
              <w:rPr>
                <w:rFonts w:ascii="Arial Narrow" w:hAnsi="Arial Narrow"/>
                <w:b w:val="0"/>
                <w:bCs/>
                <w:sz w:val="20"/>
                <w:szCs w:val="20"/>
              </w:rPr>
              <w:t xml:space="preserve"> </w:t>
            </w:r>
            <w:r w:rsidR="0079128E" w:rsidRPr="0028081E">
              <w:rPr>
                <w:rFonts w:ascii="Arial Narrow" w:hAnsi="Arial Narrow"/>
                <w:b w:val="0"/>
                <w:bCs/>
                <w:sz w:val="20"/>
                <w:szCs w:val="20"/>
              </w:rPr>
              <w:t>insulin</w:t>
            </w:r>
            <w:r w:rsidR="00DE6C36" w:rsidRPr="0028081E">
              <w:rPr>
                <w:rFonts w:ascii="Arial Narrow" w:hAnsi="Arial Narrow"/>
                <w:b w:val="0"/>
                <w:bCs/>
                <w:sz w:val="20"/>
                <w:szCs w:val="20"/>
              </w:rPr>
              <w:t xml:space="preserve"> (</w:t>
            </w:r>
            <w:r w:rsidR="0079128E" w:rsidRPr="0028081E">
              <w:rPr>
                <w:rFonts w:ascii="Arial Narrow" w:hAnsi="Arial Narrow"/>
                <w:b w:val="0"/>
                <w:bCs/>
                <w:sz w:val="20"/>
                <w:szCs w:val="20"/>
              </w:rPr>
              <w:t>approx. 10% of exenatide QW usage</w:t>
            </w:r>
            <w:r w:rsidR="00DE6C36" w:rsidRPr="0028081E">
              <w:rPr>
                <w:rFonts w:ascii="Arial Narrow" w:hAnsi="Arial Narrow"/>
                <w:b w:val="0"/>
                <w:bCs/>
                <w:sz w:val="20"/>
                <w:szCs w:val="20"/>
              </w:rPr>
              <w:t>)</w:t>
            </w:r>
            <w:r w:rsidR="0079128E" w:rsidRPr="0028081E">
              <w:rPr>
                <w:rFonts w:ascii="Arial Narrow" w:hAnsi="Arial Narrow"/>
                <w:b w:val="0"/>
                <w:bCs/>
                <w:sz w:val="20"/>
                <w:szCs w:val="20"/>
              </w:rPr>
              <w:t>.</w:t>
            </w:r>
            <w:r w:rsidRPr="0028081E">
              <w:rPr>
                <w:rFonts w:ascii="Arial Narrow" w:hAnsi="Arial Narrow"/>
                <w:b w:val="0"/>
                <w:bCs/>
                <w:sz w:val="20"/>
                <w:szCs w:val="20"/>
              </w:rPr>
              <w:t xml:space="preserve"> As such, </w:t>
            </w:r>
            <w:r w:rsidR="0001072C" w:rsidRPr="0028081E">
              <w:rPr>
                <w:rFonts w:ascii="Arial Narrow" w:hAnsi="Arial Narrow"/>
                <w:b w:val="0"/>
                <w:bCs/>
                <w:sz w:val="20"/>
                <w:szCs w:val="20"/>
              </w:rPr>
              <w:t xml:space="preserve">the resubmission assumed that </w:t>
            </w:r>
            <w:r w:rsidRPr="0028081E">
              <w:rPr>
                <w:rFonts w:ascii="Arial Narrow" w:hAnsi="Arial Narrow"/>
                <w:b w:val="0"/>
                <w:bCs/>
                <w:sz w:val="20"/>
                <w:szCs w:val="20"/>
              </w:rPr>
              <w:t xml:space="preserve">dulaglutide would replace exenatide for </w:t>
            </w:r>
            <w:r w:rsidR="0001072C" w:rsidRPr="0028081E">
              <w:rPr>
                <w:rFonts w:ascii="Arial Narrow" w:hAnsi="Arial Narrow"/>
                <w:b w:val="0"/>
                <w:bCs/>
                <w:sz w:val="20"/>
                <w:szCs w:val="20"/>
              </w:rPr>
              <w:t xml:space="preserve">new </w:t>
            </w:r>
            <w:r w:rsidRPr="0028081E">
              <w:rPr>
                <w:rFonts w:ascii="Arial Narrow" w:hAnsi="Arial Narrow"/>
                <w:b w:val="0"/>
                <w:bCs/>
                <w:sz w:val="20"/>
                <w:szCs w:val="20"/>
              </w:rPr>
              <w:t>patients initiating GLP-1 RA therapy</w:t>
            </w:r>
            <w:r w:rsidR="0001072C" w:rsidRPr="0028081E">
              <w:rPr>
                <w:rFonts w:ascii="Arial Narrow" w:hAnsi="Arial Narrow"/>
                <w:b w:val="0"/>
                <w:bCs/>
                <w:sz w:val="20"/>
                <w:szCs w:val="20"/>
              </w:rPr>
              <w:t xml:space="preserve"> in line with the proportion of current use.</w:t>
            </w:r>
          </w:p>
        </w:tc>
      </w:tr>
      <w:tr w:rsidR="00C362A1" w:rsidRPr="0028081E" w:rsidTr="00C362A1">
        <w:tc>
          <w:tcPr>
            <w:tcW w:w="2122" w:type="dxa"/>
            <w:tcMar>
              <w:left w:w="28" w:type="dxa"/>
              <w:right w:w="28" w:type="dxa"/>
            </w:tcMar>
          </w:tcPr>
          <w:p w:rsidR="00C362A1" w:rsidRPr="0028081E" w:rsidRDefault="00C362A1" w:rsidP="00294A37">
            <w:pPr>
              <w:pStyle w:val="2Sections"/>
              <w:spacing w:before="0"/>
              <w:rPr>
                <w:rFonts w:ascii="Arial Narrow" w:hAnsi="Arial Narrow" w:cstheme="minorHAnsi"/>
                <w:b w:val="0"/>
                <w:bCs/>
                <w:sz w:val="20"/>
                <w:szCs w:val="20"/>
              </w:rPr>
            </w:pPr>
            <w:r w:rsidRPr="0028081E">
              <w:rPr>
                <w:rFonts w:ascii="Arial Narrow" w:hAnsi="Arial Narrow" w:cstheme="minorHAnsi"/>
                <w:b w:val="0"/>
                <w:bCs/>
                <w:sz w:val="20"/>
                <w:szCs w:val="20"/>
              </w:rPr>
              <w:t>Number of patients treated with SGLT2</w:t>
            </w:r>
            <w:r w:rsidR="00F46625" w:rsidRPr="0028081E">
              <w:rPr>
                <w:rFonts w:ascii="Arial Narrow" w:hAnsi="Arial Narrow" w:cstheme="minorHAnsi"/>
                <w:b w:val="0"/>
                <w:bCs/>
                <w:sz w:val="20"/>
                <w:szCs w:val="20"/>
              </w:rPr>
              <w:t xml:space="preserve"> inhibitors</w:t>
            </w:r>
            <w:r w:rsidR="00663A74" w:rsidRPr="0028081E">
              <w:rPr>
                <w:rFonts w:ascii="Arial Narrow" w:hAnsi="Arial Narrow" w:cstheme="minorHAnsi"/>
                <w:b w:val="0"/>
                <w:bCs/>
                <w:sz w:val="20"/>
                <w:szCs w:val="20"/>
              </w:rPr>
              <w:t xml:space="preserve"> </w:t>
            </w:r>
            <w:r w:rsidR="00A5102B" w:rsidRPr="0028081E">
              <w:rPr>
                <w:rFonts w:ascii="Arial Narrow" w:hAnsi="Arial Narrow" w:cstheme="minorHAnsi"/>
                <w:b w:val="0"/>
                <w:bCs/>
                <w:sz w:val="20"/>
                <w:szCs w:val="20"/>
              </w:rPr>
              <w:t>(</w:t>
            </w:r>
            <w:r w:rsidRPr="0028081E">
              <w:rPr>
                <w:rFonts w:ascii="Arial Narrow" w:hAnsi="Arial Narrow" w:cstheme="minorHAnsi"/>
                <w:b w:val="0"/>
                <w:bCs/>
                <w:sz w:val="20"/>
                <w:szCs w:val="20"/>
              </w:rPr>
              <w:t>Uptake rate</w:t>
            </w:r>
            <w:r w:rsidR="00FC001F" w:rsidRPr="0028081E">
              <w:rPr>
                <w:rFonts w:ascii="Arial Narrow" w:hAnsi="Arial Narrow" w:cstheme="minorHAnsi"/>
                <w:b w:val="0"/>
                <w:bCs/>
                <w:sz w:val="20"/>
                <w:szCs w:val="20"/>
                <w:vertAlign w:val="superscript"/>
              </w:rPr>
              <w:t>#</w:t>
            </w:r>
            <w:r w:rsidRPr="0028081E">
              <w:rPr>
                <w:rFonts w:ascii="Arial Narrow" w:hAnsi="Arial Narrow" w:cstheme="minorHAnsi"/>
                <w:b w:val="0"/>
                <w:bCs/>
                <w:sz w:val="20"/>
                <w:szCs w:val="20"/>
              </w:rPr>
              <w:t xml:space="preserve"> of dulaglutide</w:t>
            </w:r>
            <w:r w:rsidR="00A5102B" w:rsidRPr="0028081E">
              <w:rPr>
                <w:rFonts w:ascii="Arial Narrow" w:hAnsi="Arial Narrow" w:cstheme="minorHAnsi"/>
                <w:b w:val="0"/>
                <w:bCs/>
                <w:sz w:val="20"/>
                <w:szCs w:val="20"/>
              </w:rPr>
              <w:t>)</w:t>
            </w:r>
          </w:p>
          <w:p w:rsidR="00983D31" w:rsidRPr="0028081E" w:rsidRDefault="008D575C" w:rsidP="00294A37">
            <w:pPr>
              <w:autoSpaceDE w:val="0"/>
              <w:autoSpaceDN w:val="0"/>
              <w:adjustRightInd w:val="0"/>
              <w:spacing w:after="120"/>
              <w:jc w:val="left"/>
              <w:rPr>
                <w:rFonts w:ascii="Arial Narrow" w:hAnsi="Arial Narrow" w:cs="Arial"/>
                <w:color w:val="231F20"/>
                <w:sz w:val="20"/>
                <w:szCs w:val="20"/>
              </w:rPr>
            </w:pPr>
            <w:r w:rsidRPr="0028081E">
              <w:rPr>
                <w:rFonts w:ascii="Arial Narrow" w:hAnsi="Arial Narrow" w:cstheme="minorHAnsi"/>
                <w:bCs/>
                <w:sz w:val="20"/>
                <w:szCs w:val="20"/>
              </w:rPr>
              <w:t>(pooled SGLT2</w:t>
            </w:r>
            <w:r w:rsidR="006E0860" w:rsidRPr="0028081E">
              <w:rPr>
                <w:rFonts w:ascii="Arial Narrow" w:hAnsi="Arial Narrow" w:cstheme="minorHAnsi"/>
                <w:bCs/>
                <w:sz w:val="20"/>
                <w:szCs w:val="20"/>
              </w:rPr>
              <w:t xml:space="preserve"> inhibitors</w:t>
            </w:r>
            <w:r w:rsidRPr="0028081E">
              <w:rPr>
                <w:rFonts w:ascii="Arial Narrow" w:hAnsi="Arial Narrow" w:cstheme="minorHAnsi"/>
                <w:bCs/>
                <w:sz w:val="20"/>
                <w:szCs w:val="20"/>
              </w:rPr>
              <w:t xml:space="preserve">: </w:t>
            </w:r>
            <w:r w:rsidRPr="0028081E">
              <w:rPr>
                <w:rFonts w:ascii="Arial Narrow" w:hAnsi="Arial Narrow" w:cs="Arial"/>
                <w:color w:val="231F20"/>
                <w:sz w:val="20"/>
                <w:szCs w:val="20"/>
              </w:rPr>
              <w:t>dapagliflozin, empagliflozin, and ertugliflozin)</w:t>
            </w:r>
          </w:p>
        </w:tc>
        <w:tc>
          <w:tcPr>
            <w:tcW w:w="2298" w:type="dxa"/>
            <w:gridSpan w:val="2"/>
            <w:tcMar>
              <w:left w:w="28" w:type="dxa"/>
              <w:right w:w="28" w:type="dxa"/>
            </w:tcMar>
          </w:tcPr>
          <w:p w:rsidR="00983D31" w:rsidRPr="0028081E" w:rsidRDefault="00C362A1" w:rsidP="00294A37">
            <w:pPr>
              <w:pStyle w:val="2Sections"/>
              <w:spacing w:before="0"/>
              <w:rPr>
                <w:rFonts w:ascii="Arial Narrow" w:hAnsi="Arial Narrow"/>
                <w:b w:val="0"/>
                <w:sz w:val="20"/>
                <w:szCs w:val="20"/>
              </w:rPr>
            </w:pPr>
            <w:r w:rsidRPr="0028081E">
              <w:rPr>
                <w:rFonts w:ascii="Arial Narrow" w:hAnsi="Arial Narrow"/>
                <w:b w:val="0"/>
                <w:sz w:val="20"/>
                <w:szCs w:val="20"/>
              </w:rPr>
              <w:t>N</w:t>
            </w:r>
            <w:r w:rsidR="00E80B6F" w:rsidRPr="0028081E">
              <w:rPr>
                <w:rFonts w:ascii="Arial Narrow" w:hAnsi="Arial Narrow"/>
                <w:b w:val="0"/>
                <w:sz w:val="20"/>
                <w:szCs w:val="20"/>
              </w:rPr>
              <w:t>ot included</w:t>
            </w:r>
          </w:p>
        </w:tc>
        <w:tc>
          <w:tcPr>
            <w:tcW w:w="2298" w:type="dxa"/>
            <w:gridSpan w:val="2"/>
            <w:tcMar>
              <w:left w:w="28" w:type="dxa"/>
              <w:right w:w="28" w:type="dxa"/>
            </w:tcMar>
          </w:tcPr>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1 (2021): </w:t>
            </w:r>
            <w:r w:rsidR="008E76C3">
              <w:rPr>
                <w:rFonts w:ascii="Arial Narrow" w:hAnsi="Arial Narrow" w:cs="Calibri"/>
                <w:sz w:val="20"/>
                <w:szCs w:val="20"/>
              </w:rPr>
              <w:t>2</w:t>
            </w:r>
            <w:r w:rsidR="00C62292">
              <w:rPr>
                <w:rFonts w:ascii="Arial Narrow" w:hAnsi="Arial Narrow" w:cs="Calibri"/>
                <w:sz w:val="20"/>
                <w:szCs w:val="20"/>
              </w:rPr>
              <w:t>0,000 to &lt; 30,000</w:t>
            </w:r>
            <w:r w:rsidR="00D07D51" w:rsidRPr="0028081E">
              <w:rPr>
                <w:rFonts w:ascii="Arial Narrow" w:hAnsi="Arial Narrow" w:cs="Calibri"/>
                <w:sz w:val="20"/>
                <w:szCs w:val="20"/>
              </w:rPr>
              <w:t>(</w:t>
            </w:r>
            <w:r w:rsidRPr="0028081E">
              <w:rPr>
                <w:rFonts w:ascii="Arial Narrow" w:hAnsi="Arial Narrow" w:cs="Calibri"/>
                <w:sz w:val="20"/>
                <w:szCs w:val="20"/>
              </w:rPr>
              <w:t>5%</w:t>
            </w:r>
            <w:r w:rsidR="00D07D51"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2 (2022): </w:t>
            </w:r>
            <w:r w:rsidR="008E76C3">
              <w:rPr>
                <w:rFonts w:ascii="Arial Narrow" w:hAnsi="Arial Narrow" w:cstheme="minorHAnsi"/>
                <w:sz w:val="20"/>
                <w:szCs w:val="20"/>
              </w:rPr>
              <w:t>2</w:t>
            </w:r>
            <w:r w:rsidR="00C62292">
              <w:rPr>
                <w:rFonts w:ascii="Arial Narrow" w:hAnsi="Arial Narrow" w:cs="Calibri"/>
                <w:sz w:val="20"/>
                <w:szCs w:val="20"/>
              </w:rPr>
              <w:t>0,000 to &lt; 30,000</w:t>
            </w:r>
            <w:r w:rsidR="00C62292" w:rsidRPr="0028081E" w:rsidDel="00C62292">
              <w:rPr>
                <w:rFonts w:ascii="Arial Narrow" w:hAnsi="Arial Narrow" w:cs="Calibri"/>
                <w:sz w:val="20"/>
                <w:szCs w:val="20"/>
              </w:rPr>
              <w:t xml:space="preserve"> </w:t>
            </w:r>
            <w:r w:rsidR="00D07D51" w:rsidRPr="0028081E">
              <w:rPr>
                <w:rFonts w:ascii="Arial Narrow" w:hAnsi="Arial Narrow" w:cs="Calibri"/>
                <w:sz w:val="20"/>
                <w:szCs w:val="20"/>
              </w:rPr>
              <w:t>(</w:t>
            </w:r>
            <w:r w:rsidRPr="0028081E">
              <w:rPr>
                <w:rFonts w:ascii="Arial Narrow" w:hAnsi="Arial Narrow" w:cs="Calibri"/>
                <w:sz w:val="20"/>
                <w:szCs w:val="20"/>
              </w:rPr>
              <w:t>7%</w:t>
            </w:r>
            <w:r w:rsidR="00D07D51"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3 (2023): </w:t>
            </w:r>
            <w:r w:rsidR="008E76C3">
              <w:rPr>
                <w:rFonts w:ascii="Arial Narrow" w:hAnsi="Arial Narrow" w:cstheme="minorHAnsi"/>
                <w:sz w:val="20"/>
                <w:szCs w:val="20"/>
              </w:rPr>
              <w:t>2</w:t>
            </w:r>
            <w:r w:rsidR="00C62292">
              <w:rPr>
                <w:rFonts w:ascii="Arial Narrow" w:hAnsi="Arial Narrow" w:cs="Calibri"/>
                <w:sz w:val="20"/>
                <w:szCs w:val="20"/>
              </w:rPr>
              <w:t>0,000 to &lt; 30,000</w:t>
            </w:r>
            <w:r w:rsidR="00C62292" w:rsidRPr="0028081E" w:rsidDel="00C62292">
              <w:rPr>
                <w:rFonts w:ascii="Arial Narrow" w:hAnsi="Arial Narrow" w:cs="Calibri"/>
                <w:sz w:val="20"/>
                <w:szCs w:val="20"/>
              </w:rPr>
              <w:t xml:space="preserve"> </w:t>
            </w:r>
            <w:r w:rsidR="00D07D51" w:rsidRPr="0028081E">
              <w:rPr>
                <w:rFonts w:ascii="Arial Narrow" w:hAnsi="Arial Narrow" w:cs="Calibri"/>
                <w:sz w:val="20"/>
                <w:szCs w:val="20"/>
              </w:rPr>
              <w:t>(</w:t>
            </w:r>
            <w:r w:rsidRPr="0028081E">
              <w:rPr>
                <w:rFonts w:ascii="Arial Narrow" w:hAnsi="Arial Narrow" w:cs="Calibri"/>
                <w:sz w:val="20"/>
                <w:szCs w:val="20"/>
              </w:rPr>
              <w:t>9%</w:t>
            </w:r>
            <w:r w:rsidR="00D07D51"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4 (2024): </w:t>
            </w:r>
            <w:r w:rsidR="008E76C3">
              <w:rPr>
                <w:rFonts w:ascii="Arial Narrow" w:hAnsi="Arial Narrow" w:cstheme="minorHAnsi"/>
                <w:sz w:val="20"/>
                <w:szCs w:val="20"/>
              </w:rPr>
              <w:t>2</w:t>
            </w:r>
            <w:r w:rsidR="00C62292" w:rsidRPr="00C62292">
              <w:rPr>
                <w:rFonts w:ascii="Arial Narrow" w:hAnsi="Arial Narrow" w:cs="Calibri"/>
                <w:sz w:val="20"/>
                <w:szCs w:val="20"/>
              </w:rPr>
              <w:t>0,000 to &lt; 30,000</w:t>
            </w:r>
            <w:r w:rsidR="00C62292" w:rsidRPr="00C62292" w:rsidDel="00C62292">
              <w:rPr>
                <w:rFonts w:ascii="Arial Narrow" w:hAnsi="Arial Narrow" w:cs="Calibri"/>
                <w:sz w:val="20"/>
                <w:szCs w:val="20"/>
              </w:rPr>
              <w:t xml:space="preserve"> </w:t>
            </w:r>
            <w:r w:rsidR="00D07D51" w:rsidRPr="0028081E">
              <w:rPr>
                <w:rFonts w:ascii="Arial Narrow" w:hAnsi="Arial Narrow" w:cs="Calibri"/>
                <w:sz w:val="20"/>
                <w:szCs w:val="20"/>
              </w:rPr>
              <w:t>(</w:t>
            </w:r>
            <w:r w:rsidRPr="0028081E">
              <w:rPr>
                <w:rFonts w:ascii="Arial Narrow" w:hAnsi="Arial Narrow" w:cs="Calibri"/>
                <w:sz w:val="20"/>
                <w:szCs w:val="20"/>
              </w:rPr>
              <w:t>10%</w:t>
            </w:r>
            <w:r w:rsidR="00D07D51"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5 (2025): </w:t>
            </w:r>
            <w:r w:rsidR="008E76C3">
              <w:rPr>
                <w:rFonts w:ascii="Arial Narrow" w:hAnsi="Arial Narrow" w:cstheme="minorHAnsi"/>
                <w:sz w:val="20"/>
                <w:szCs w:val="20"/>
              </w:rPr>
              <w:t>2</w:t>
            </w:r>
            <w:r w:rsidR="00C62292" w:rsidRPr="00C62292">
              <w:rPr>
                <w:rFonts w:ascii="Arial Narrow" w:hAnsi="Arial Narrow" w:cs="Calibri"/>
                <w:sz w:val="20"/>
                <w:szCs w:val="20"/>
              </w:rPr>
              <w:t>0,000 to &lt; 30,000</w:t>
            </w:r>
            <w:r w:rsidR="00C62292" w:rsidRPr="00C62292" w:rsidDel="00C62292">
              <w:rPr>
                <w:rFonts w:ascii="Arial Narrow" w:hAnsi="Arial Narrow" w:cs="Calibri"/>
                <w:sz w:val="20"/>
                <w:szCs w:val="20"/>
              </w:rPr>
              <w:t xml:space="preserve"> </w:t>
            </w:r>
            <w:r w:rsidR="00D07D51" w:rsidRPr="0028081E">
              <w:rPr>
                <w:rFonts w:ascii="Arial Narrow" w:hAnsi="Arial Narrow" w:cs="Calibri"/>
                <w:sz w:val="20"/>
                <w:szCs w:val="20"/>
              </w:rPr>
              <w:t>(</w:t>
            </w:r>
            <w:r w:rsidRPr="0028081E">
              <w:rPr>
                <w:rFonts w:ascii="Arial Narrow" w:hAnsi="Arial Narrow" w:cs="Calibri"/>
                <w:sz w:val="20"/>
                <w:szCs w:val="20"/>
              </w:rPr>
              <w:t>12%</w:t>
            </w:r>
            <w:r w:rsidR="00D07D51" w:rsidRPr="0028081E">
              <w:rPr>
                <w:rFonts w:ascii="Arial Narrow" w:hAnsi="Arial Narrow" w:cs="Calibri"/>
                <w:sz w:val="20"/>
                <w:szCs w:val="20"/>
              </w:rPr>
              <w:t>)</w:t>
            </w:r>
          </w:p>
          <w:p w:rsidR="00983D31" w:rsidRPr="0028081E" w:rsidRDefault="005A6E79" w:rsidP="008E76C3">
            <w:pPr>
              <w:pStyle w:val="2Sections"/>
              <w:spacing w:before="0"/>
              <w:rPr>
                <w:rFonts w:ascii="Arial Narrow" w:hAnsi="Arial Narrow"/>
                <w:b w:val="0"/>
                <w:sz w:val="20"/>
                <w:szCs w:val="20"/>
              </w:rPr>
            </w:pPr>
            <w:r w:rsidRPr="0028081E">
              <w:rPr>
                <w:rFonts w:ascii="Arial Narrow" w:hAnsi="Arial Narrow" w:cstheme="minorHAnsi"/>
                <w:b w:val="0"/>
                <w:bCs/>
                <w:sz w:val="20"/>
                <w:szCs w:val="20"/>
              </w:rPr>
              <w:t xml:space="preserve">Year 6 (2026): </w:t>
            </w:r>
            <w:r w:rsidR="008E76C3">
              <w:rPr>
                <w:rFonts w:ascii="Arial Narrow" w:hAnsi="Arial Narrow" w:cstheme="minorHAnsi"/>
                <w:b w:val="0"/>
                <w:bCs/>
                <w:sz w:val="20"/>
                <w:szCs w:val="20"/>
              </w:rPr>
              <w:t>2</w:t>
            </w:r>
            <w:r w:rsidR="00C62292" w:rsidRPr="00C62292">
              <w:rPr>
                <w:rFonts w:ascii="Arial Narrow" w:hAnsi="Arial Narrow" w:cs="Calibri"/>
                <w:b w:val="0"/>
                <w:bCs/>
                <w:sz w:val="20"/>
                <w:szCs w:val="20"/>
              </w:rPr>
              <w:t>0,000 to &lt; 30,000</w:t>
            </w:r>
            <w:r w:rsidR="00C62292" w:rsidRPr="00C62292" w:rsidDel="00C62292">
              <w:rPr>
                <w:rFonts w:ascii="Arial Narrow" w:hAnsi="Arial Narrow" w:cs="Calibri"/>
                <w:b w:val="0"/>
                <w:bCs/>
                <w:sz w:val="20"/>
                <w:szCs w:val="20"/>
              </w:rPr>
              <w:t xml:space="preserve"> </w:t>
            </w:r>
            <w:r w:rsidR="00D07D51" w:rsidRPr="0028081E">
              <w:rPr>
                <w:rFonts w:ascii="Arial Narrow" w:hAnsi="Arial Narrow" w:cs="Calibri"/>
                <w:b w:val="0"/>
                <w:bCs/>
                <w:sz w:val="20"/>
                <w:szCs w:val="20"/>
              </w:rPr>
              <w:t>(</w:t>
            </w:r>
            <w:r w:rsidRPr="0028081E">
              <w:rPr>
                <w:rFonts w:ascii="Arial Narrow" w:hAnsi="Arial Narrow" w:cs="Calibri"/>
                <w:b w:val="0"/>
                <w:bCs/>
                <w:sz w:val="20"/>
                <w:szCs w:val="20"/>
              </w:rPr>
              <w:t>15%</w:t>
            </w:r>
            <w:r w:rsidR="00D07D51" w:rsidRPr="0028081E">
              <w:rPr>
                <w:rFonts w:ascii="Arial Narrow" w:hAnsi="Arial Narrow" w:cs="Calibri"/>
                <w:b w:val="0"/>
                <w:bCs/>
                <w:sz w:val="20"/>
                <w:szCs w:val="20"/>
              </w:rPr>
              <w:t>)</w:t>
            </w:r>
          </w:p>
        </w:tc>
        <w:tc>
          <w:tcPr>
            <w:tcW w:w="2298" w:type="dxa"/>
            <w:tcMar>
              <w:left w:w="28" w:type="dxa"/>
              <w:right w:w="28" w:type="dxa"/>
            </w:tcMar>
          </w:tcPr>
          <w:p w:rsidR="00983D31" w:rsidRPr="0028081E" w:rsidRDefault="00CA65B0" w:rsidP="00294A37">
            <w:pPr>
              <w:pStyle w:val="2Sections"/>
              <w:spacing w:before="0"/>
              <w:jc w:val="both"/>
              <w:rPr>
                <w:rFonts w:ascii="Arial Narrow" w:hAnsi="Arial Narrow"/>
                <w:b w:val="0"/>
                <w:bCs/>
                <w:sz w:val="20"/>
                <w:szCs w:val="20"/>
              </w:rPr>
            </w:pPr>
            <w:r w:rsidRPr="0028081E">
              <w:rPr>
                <w:rFonts w:ascii="Arial Narrow" w:hAnsi="Arial Narrow"/>
                <w:b w:val="0"/>
                <w:bCs/>
                <w:sz w:val="20"/>
                <w:szCs w:val="20"/>
              </w:rPr>
              <w:t xml:space="preserve">The resubmission considered that </w:t>
            </w:r>
            <w:r w:rsidR="00E80B6F" w:rsidRPr="0028081E">
              <w:rPr>
                <w:rFonts w:ascii="Arial Narrow" w:hAnsi="Arial Narrow"/>
                <w:b w:val="0"/>
                <w:bCs/>
                <w:sz w:val="20"/>
                <w:szCs w:val="20"/>
              </w:rPr>
              <w:t xml:space="preserve">displacement of </w:t>
            </w:r>
            <w:r w:rsidR="00AB6F63" w:rsidRPr="0028081E">
              <w:rPr>
                <w:rFonts w:ascii="Arial Narrow" w:hAnsi="Arial Narrow"/>
                <w:b w:val="0"/>
                <w:bCs/>
                <w:sz w:val="20"/>
                <w:szCs w:val="20"/>
              </w:rPr>
              <w:t>SGLT2</w:t>
            </w:r>
            <w:r w:rsidR="00E80B6F" w:rsidRPr="0028081E">
              <w:rPr>
                <w:rFonts w:ascii="Arial Narrow" w:hAnsi="Arial Narrow"/>
                <w:b w:val="0"/>
                <w:bCs/>
                <w:sz w:val="20"/>
                <w:szCs w:val="20"/>
              </w:rPr>
              <w:t xml:space="preserve"> inhibitors by dulaglutide would be limited</w:t>
            </w:r>
            <w:r w:rsidR="00E46646" w:rsidRPr="0028081E">
              <w:rPr>
                <w:rFonts w:ascii="Arial Narrow" w:hAnsi="Arial Narrow"/>
                <w:b w:val="0"/>
                <w:bCs/>
                <w:sz w:val="20"/>
                <w:szCs w:val="20"/>
              </w:rPr>
              <w:t>,</w:t>
            </w:r>
            <w:r w:rsidR="00E80B6F" w:rsidRPr="0028081E">
              <w:rPr>
                <w:rFonts w:ascii="Arial Narrow" w:hAnsi="Arial Narrow"/>
                <w:b w:val="0"/>
                <w:bCs/>
                <w:sz w:val="20"/>
                <w:szCs w:val="20"/>
              </w:rPr>
              <w:t xml:space="preserve"> as </w:t>
            </w:r>
            <w:r w:rsidR="00C64998" w:rsidRPr="0028081E">
              <w:rPr>
                <w:rFonts w:ascii="Arial Narrow" w:hAnsi="Arial Narrow"/>
                <w:b w:val="0"/>
                <w:bCs/>
                <w:sz w:val="20"/>
                <w:szCs w:val="20"/>
              </w:rPr>
              <w:t xml:space="preserve">the role of SGLT2 inhibitors have become more distinguishable with the updated </w:t>
            </w:r>
            <w:r w:rsidR="00853D3F" w:rsidRPr="0028081E">
              <w:rPr>
                <w:rFonts w:ascii="Arial Narrow" w:hAnsi="Arial Narrow"/>
                <w:b w:val="0"/>
                <w:bCs/>
                <w:sz w:val="20"/>
                <w:szCs w:val="20"/>
              </w:rPr>
              <w:t>Australian Type 2 Diabetes management algorithm</w:t>
            </w:r>
            <w:r w:rsidR="00C64998" w:rsidRPr="0028081E">
              <w:rPr>
                <w:rFonts w:ascii="Arial Narrow" w:hAnsi="Arial Narrow"/>
                <w:b w:val="0"/>
                <w:bCs/>
                <w:sz w:val="20"/>
                <w:szCs w:val="20"/>
              </w:rPr>
              <w:t xml:space="preserve">, which </w:t>
            </w:r>
            <w:r w:rsidR="00E80B6F" w:rsidRPr="0028081E">
              <w:rPr>
                <w:rFonts w:ascii="Arial Narrow" w:hAnsi="Arial Narrow"/>
                <w:b w:val="0"/>
                <w:bCs/>
                <w:sz w:val="20"/>
                <w:szCs w:val="20"/>
              </w:rPr>
              <w:t>re</w:t>
            </w:r>
            <w:r w:rsidR="00C64998" w:rsidRPr="0028081E">
              <w:rPr>
                <w:rFonts w:ascii="Arial Narrow" w:hAnsi="Arial Narrow"/>
                <w:b w:val="0"/>
                <w:bCs/>
                <w:sz w:val="20"/>
                <w:szCs w:val="20"/>
              </w:rPr>
              <w:t>commends use</w:t>
            </w:r>
            <w:r w:rsidR="00E80B6F" w:rsidRPr="0028081E">
              <w:rPr>
                <w:rFonts w:ascii="Arial Narrow" w:hAnsi="Arial Narrow"/>
                <w:b w:val="0"/>
                <w:bCs/>
                <w:sz w:val="20"/>
                <w:szCs w:val="20"/>
              </w:rPr>
              <w:t xml:space="preserve"> for</w:t>
            </w:r>
            <w:r w:rsidR="00EB233E" w:rsidRPr="0028081E">
              <w:rPr>
                <w:rFonts w:ascii="Arial Narrow" w:hAnsi="Arial Narrow"/>
                <w:b w:val="0"/>
                <w:bCs/>
                <w:sz w:val="20"/>
                <w:szCs w:val="20"/>
              </w:rPr>
              <w:t xml:space="preserve"> </w:t>
            </w:r>
            <w:r w:rsidR="00AB6F63" w:rsidRPr="0028081E">
              <w:rPr>
                <w:rFonts w:ascii="Arial Narrow" w:hAnsi="Arial Narrow"/>
                <w:b w:val="0"/>
                <w:bCs/>
                <w:sz w:val="20"/>
                <w:szCs w:val="20"/>
              </w:rPr>
              <w:t xml:space="preserve">patients with </w:t>
            </w:r>
            <w:r w:rsidR="00EB233E" w:rsidRPr="0028081E">
              <w:rPr>
                <w:rFonts w:ascii="Arial Narrow" w:hAnsi="Arial Narrow"/>
                <w:b w:val="0"/>
                <w:bCs/>
                <w:sz w:val="20"/>
                <w:szCs w:val="20"/>
              </w:rPr>
              <w:t xml:space="preserve">cardiovascular disease, </w:t>
            </w:r>
            <w:r w:rsidR="00AB6F63" w:rsidRPr="0028081E">
              <w:rPr>
                <w:rFonts w:ascii="Arial Narrow" w:hAnsi="Arial Narrow"/>
                <w:b w:val="0"/>
                <w:bCs/>
                <w:sz w:val="20"/>
                <w:szCs w:val="20"/>
              </w:rPr>
              <w:t>heart failu</w:t>
            </w:r>
            <w:r w:rsidR="00EB233E" w:rsidRPr="0028081E">
              <w:rPr>
                <w:rFonts w:ascii="Arial Narrow" w:hAnsi="Arial Narrow"/>
                <w:b w:val="0"/>
                <w:bCs/>
                <w:sz w:val="20"/>
                <w:szCs w:val="20"/>
              </w:rPr>
              <w:t>re or chronic kidney disease</w:t>
            </w:r>
            <w:r w:rsidR="0028081E">
              <w:rPr>
                <w:rFonts w:ascii="Arial Narrow" w:hAnsi="Arial Narrow"/>
                <w:b w:val="0"/>
                <w:bCs/>
                <w:sz w:val="20"/>
                <w:szCs w:val="20"/>
              </w:rPr>
              <w:t xml:space="preserve">. </w:t>
            </w:r>
          </w:p>
        </w:tc>
      </w:tr>
      <w:tr w:rsidR="00C362A1" w:rsidRPr="0028081E" w:rsidTr="00C362A1">
        <w:tc>
          <w:tcPr>
            <w:tcW w:w="2122" w:type="dxa"/>
            <w:tcMar>
              <w:left w:w="28" w:type="dxa"/>
              <w:right w:w="28" w:type="dxa"/>
            </w:tcMar>
          </w:tcPr>
          <w:p w:rsidR="00C362A1" w:rsidRPr="0028081E" w:rsidRDefault="00C362A1" w:rsidP="00294A37">
            <w:pPr>
              <w:pStyle w:val="2Sections"/>
              <w:spacing w:before="0"/>
              <w:rPr>
                <w:rFonts w:ascii="Arial Narrow" w:hAnsi="Arial Narrow" w:cstheme="minorHAnsi"/>
                <w:b w:val="0"/>
                <w:bCs/>
                <w:sz w:val="20"/>
                <w:szCs w:val="20"/>
              </w:rPr>
            </w:pPr>
            <w:r w:rsidRPr="0028081E">
              <w:rPr>
                <w:rFonts w:ascii="Arial Narrow" w:hAnsi="Arial Narrow" w:cstheme="minorHAnsi"/>
                <w:b w:val="0"/>
                <w:bCs/>
                <w:sz w:val="20"/>
                <w:szCs w:val="20"/>
              </w:rPr>
              <w:t xml:space="preserve">Number of patients treated with </w:t>
            </w:r>
            <w:r w:rsidR="006E0860" w:rsidRPr="0028081E">
              <w:rPr>
                <w:rFonts w:ascii="Arial Narrow" w:hAnsi="Arial Narrow" w:cstheme="minorHAnsi"/>
                <w:b w:val="0"/>
                <w:bCs/>
                <w:sz w:val="20"/>
                <w:szCs w:val="20"/>
              </w:rPr>
              <w:t xml:space="preserve">pooled </w:t>
            </w:r>
            <w:r w:rsidRPr="0028081E">
              <w:rPr>
                <w:rFonts w:ascii="Arial Narrow" w:hAnsi="Arial Narrow" w:cstheme="minorHAnsi"/>
                <w:b w:val="0"/>
                <w:bCs/>
                <w:sz w:val="20"/>
                <w:szCs w:val="20"/>
              </w:rPr>
              <w:t>DPP</w:t>
            </w:r>
            <w:r w:rsidR="00FC001F" w:rsidRPr="0028081E">
              <w:rPr>
                <w:rFonts w:ascii="Arial Narrow" w:hAnsi="Arial Narrow" w:cstheme="minorHAnsi"/>
                <w:b w:val="0"/>
                <w:bCs/>
                <w:sz w:val="20"/>
                <w:szCs w:val="20"/>
              </w:rPr>
              <w:t>-</w:t>
            </w:r>
            <w:r w:rsidRPr="0028081E">
              <w:rPr>
                <w:rFonts w:ascii="Arial Narrow" w:hAnsi="Arial Narrow" w:cstheme="minorHAnsi"/>
                <w:b w:val="0"/>
                <w:bCs/>
                <w:sz w:val="20"/>
                <w:szCs w:val="20"/>
              </w:rPr>
              <w:t>4</w:t>
            </w:r>
            <w:r w:rsidR="00145D3A" w:rsidRPr="0028081E">
              <w:rPr>
                <w:rFonts w:ascii="Arial Narrow" w:hAnsi="Arial Narrow" w:cstheme="minorHAnsi"/>
                <w:b w:val="0"/>
                <w:bCs/>
                <w:sz w:val="20"/>
                <w:szCs w:val="20"/>
              </w:rPr>
              <w:t xml:space="preserve"> </w:t>
            </w:r>
            <w:r w:rsidR="000C33F5" w:rsidRPr="0028081E">
              <w:rPr>
                <w:rFonts w:ascii="Arial Narrow" w:hAnsi="Arial Narrow" w:cstheme="minorHAnsi"/>
                <w:b w:val="0"/>
                <w:bCs/>
                <w:sz w:val="20"/>
                <w:szCs w:val="20"/>
              </w:rPr>
              <w:t>(</w:t>
            </w:r>
            <w:r w:rsidRPr="0028081E">
              <w:rPr>
                <w:rFonts w:ascii="Arial Narrow" w:hAnsi="Arial Narrow" w:cstheme="minorHAnsi"/>
                <w:b w:val="0"/>
                <w:bCs/>
                <w:sz w:val="20"/>
                <w:szCs w:val="20"/>
              </w:rPr>
              <w:t>Uptake rate</w:t>
            </w:r>
            <w:r w:rsidR="00FC001F" w:rsidRPr="0028081E">
              <w:rPr>
                <w:rFonts w:ascii="Arial Narrow" w:hAnsi="Arial Narrow" w:cstheme="minorHAnsi"/>
                <w:b w:val="0"/>
                <w:bCs/>
                <w:sz w:val="20"/>
                <w:szCs w:val="20"/>
                <w:vertAlign w:val="superscript"/>
              </w:rPr>
              <w:t>#</w:t>
            </w:r>
            <w:r w:rsidRPr="0028081E">
              <w:rPr>
                <w:rFonts w:ascii="Arial Narrow" w:hAnsi="Arial Narrow" w:cstheme="minorHAnsi"/>
                <w:b w:val="0"/>
                <w:bCs/>
                <w:sz w:val="20"/>
                <w:szCs w:val="20"/>
              </w:rPr>
              <w:t xml:space="preserve"> of dulaglutide</w:t>
            </w:r>
            <w:r w:rsidR="00BC06D4" w:rsidRPr="0028081E">
              <w:rPr>
                <w:rFonts w:ascii="Arial Narrow" w:hAnsi="Arial Narrow" w:cstheme="minorHAnsi"/>
                <w:b w:val="0"/>
                <w:bCs/>
                <w:sz w:val="20"/>
                <w:szCs w:val="20"/>
              </w:rPr>
              <w:t>)</w:t>
            </w:r>
          </w:p>
          <w:p w:rsidR="00983D31" w:rsidRPr="0028081E" w:rsidRDefault="008D575C" w:rsidP="00294A37">
            <w:pPr>
              <w:autoSpaceDE w:val="0"/>
              <w:autoSpaceDN w:val="0"/>
              <w:adjustRightInd w:val="0"/>
              <w:spacing w:after="120"/>
              <w:jc w:val="left"/>
              <w:rPr>
                <w:rFonts w:ascii="Arial Narrow" w:hAnsi="Arial Narrow" w:cs="Arial"/>
                <w:color w:val="231F20"/>
                <w:sz w:val="20"/>
                <w:szCs w:val="20"/>
              </w:rPr>
            </w:pPr>
            <w:r w:rsidRPr="0028081E">
              <w:rPr>
                <w:rFonts w:ascii="Arial Narrow" w:hAnsi="Arial Narrow"/>
                <w:b/>
                <w:bCs/>
                <w:sz w:val="20"/>
                <w:szCs w:val="20"/>
              </w:rPr>
              <w:t>(</w:t>
            </w:r>
            <w:r w:rsidRPr="0028081E">
              <w:rPr>
                <w:rFonts w:ascii="Arial Narrow" w:hAnsi="Arial Narrow" w:cstheme="minorHAnsi"/>
                <w:bCs/>
                <w:sz w:val="20"/>
                <w:szCs w:val="20"/>
              </w:rPr>
              <w:t>pooled DPP</w:t>
            </w:r>
            <w:r w:rsidR="00FC001F" w:rsidRPr="0028081E">
              <w:rPr>
                <w:rFonts w:ascii="Arial Narrow" w:hAnsi="Arial Narrow" w:cstheme="minorHAnsi"/>
                <w:bCs/>
                <w:sz w:val="20"/>
                <w:szCs w:val="20"/>
              </w:rPr>
              <w:t>-</w:t>
            </w:r>
            <w:r w:rsidRPr="0028081E">
              <w:rPr>
                <w:rFonts w:ascii="Arial Narrow" w:hAnsi="Arial Narrow" w:cstheme="minorHAnsi"/>
                <w:bCs/>
                <w:sz w:val="20"/>
                <w:szCs w:val="20"/>
              </w:rPr>
              <w:t>4</w:t>
            </w:r>
            <w:r w:rsidR="006E0860" w:rsidRPr="0028081E">
              <w:rPr>
                <w:rFonts w:ascii="Arial Narrow" w:hAnsi="Arial Narrow" w:cstheme="minorHAnsi"/>
                <w:bCs/>
                <w:sz w:val="20"/>
                <w:szCs w:val="20"/>
              </w:rPr>
              <w:t xml:space="preserve"> inhibitors</w:t>
            </w:r>
            <w:r w:rsidRPr="0028081E">
              <w:rPr>
                <w:rFonts w:ascii="Arial Narrow" w:hAnsi="Arial Narrow" w:cstheme="minorHAnsi"/>
                <w:bCs/>
                <w:sz w:val="20"/>
                <w:szCs w:val="20"/>
              </w:rPr>
              <w:t xml:space="preserve">: </w:t>
            </w:r>
            <w:r w:rsidRPr="0028081E">
              <w:rPr>
                <w:rFonts w:ascii="Arial Narrow" w:hAnsi="Arial Narrow" w:cs="Arial"/>
                <w:color w:val="231F20"/>
                <w:sz w:val="20"/>
                <w:szCs w:val="20"/>
              </w:rPr>
              <w:t>alogliptin, linagliptin, saxagliptin, sitagliptin, and vildagliptin)</w:t>
            </w:r>
          </w:p>
        </w:tc>
        <w:tc>
          <w:tcPr>
            <w:tcW w:w="2298" w:type="dxa"/>
            <w:gridSpan w:val="2"/>
            <w:tcMar>
              <w:left w:w="28" w:type="dxa"/>
              <w:right w:w="28" w:type="dxa"/>
            </w:tcMar>
          </w:tcPr>
          <w:p w:rsidR="00983D31" w:rsidRPr="0028081E" w:rsidRDefault="00C362A1" w:rsidP="00294A37">
            <w:pPr>
              <w:pStyle w:val="2Sections"/>
              <w:spacing w:before="0"/>
              <w:rPr>
                <w:rFonts w:ascii="Arial Narrow" w:hAnsi="Arial Narrow"/>
                <w:b w:val="0"/>
                <w:sz w:val="20"/>
                <w:szCs w:val="20"/>
              </w:rPr>
            </w:pPr>
            <w:r w:rsidRPr="0028081E">
              <w:rPr>
                <w:rFonts w:ascii="Arial Narrow" w:hAnsi="Arial Narrow"/>
                <w:b w:val="0"/>
                <w:sz w:val="20"/>
                <w:szCs w:val="20"/>
              </w:rPr>
              <w:t>N</w:t>
            </w:r>
            <w:r w:rsidR="000C33F5" w:rsidRPr="0028081E">
              <w:rPr>
                <w:rFonts w:ascii="Arial Narrow" w:hAnsi="Arial Narrow"/>
                <w:b w:val="0"/>
                <w:sz w:val="20"/>
                <w:szCs w:val="20"/>
              </w:rPr>
              <w:t>ot included</w:t>
            </w:r>
          </w:p>
        </w:tc>
        <w:tc>
          <w:tcPr>
            <w:tcW w:w="2298" w:type="dxa"/>
            <w:gridSpan w:val="2"/>
            <w:tcMar>
              <w:left w:w="28" w:type="dxa"/>
              <w:right w:w="28" w:type="dxa"/>
            </w:tcMar>
          </w:tcPr>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1 (2021): </w:t>
            </w:r>
            <w:r w:rsidR="00FB71FC" w:rsidRPr="00FB71FC">
              <w:rPr>
                <w:rFonts w:ascii="Arial Narrow" w:hAnsi="Arial Narrow" w:cs="Calibri"/>
                <w:sz w:val="20"/>
                <w:szCs w:val="20"/>
              </w:rPr>
              <w:t>20,000 to &lt; 30,000</w:t>
            </w:r>
            <w:r w:rsidR="00FB71FC" w:rsidRPr="00FB71FC" w:rsidDel="00FB71FC">
              <w:rPr>
                <w:rFonts w:ascii="Arial Narrow" w:hAnsi="Arial Narrow" w:cs="Calibri"/>
                <w:sz w:val="20"/>
                <w:szCs w:val="20"/>
              </w:rPr>
              <w:t xml:space="preserve"> </w:t>
            </w:r>
            <w:r w:rsidR="00BC06D4" w:rsidRPr="0028081E">
              <w:rPr>
                <w:rFonts w:ascii="Arial Narrow" w:hAnsi="Arial Narrow" w:cs="Calibri"/>
                <w:sz w:val="20"/>
                <w:szCs w:val="20"/>
              </w:rPr>
              <w:t>(</w:t>
            </w:r>
            <w:r w:rsidRPr="0028081E">
              <w:rPr>
                <w:rFonts w:ascii="Arial Narrow" w:hAnsi="Arial Narrow" w:cs="Calibri"/>
                <w:sz w:val="20"/>
                <w:szCs w:val="20"/>
              </w:rPr>
              <w:t>10%</w:t>
            </w:r>
            <w:r w:rsidR="00BC06D4"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2 (2022): </w:t>
            </w:r>
            <w:r w:rsidR="00FB71FC" w:rsidRPr="00FB71FC">
              <w:rPr>
                <w:rFonts w:ascii="Arial Narrow" w:hAnsi="Arial Narrow" w:cs="Calibri"/>
                <w:sz w:val="20"/>
                <w:szCs w:val="20"/>
              </w:rPr>
              <w:t>20,000 to &lt; 30,000</w:t>
            </w:r>
            <w:r w:rsidR="00FB71FC" w:rsidRPr="00FB71FC" w:rsidDel="00FB71FC">
              <w:rPr>
                <w:rFonts w:ascii="Arial Narrow" w:hAnsi="Arial Narrow" w:cs="Calibri"/>
                <w:sz w:val="20"/>
                <w:szCs w:val="20"/>
              </w:rPr>
              <w:t xml:space="preserve"> </w:t>
            </w:r>
            <w:r w:rsidR="00BC06D4" w:rsidRPr="0028081E">
              <w:rPr>
                <w:rFonts w:ascii="Arial Narrow" w:hAnsi="Arial Narrow" w:cs="Calibri"/>
                <w:sz w:val="20"/>
                <w:szCs w:val="20"/>
              </w:rPr>
              <w:t>(</w:t>
            </w:r>
            <w:r w:rsidRPr="0028081E">
              <w:rPr>
                <w:rFonts w:ascii="Arial Narrow" w:hAnsi="Arial Narrow" w:cs="Calibri"/>
                <w:sz w:val="20"/>
                <w:szCs w:val="20"/>
              </w:rPr>
              <w:t>15%</w:t>
            </w:r>
            <w:r w:rsidR="00BC06D4"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3 (2023): </w:t>
            </w:r>
            <w:r w:rsidR="00FB71FC" w:rsidRPr="00FB71FC">
              <w:rPr>
                <w:rFonts w:ascii="Arial Narrow" w:hAnsi="Arial Narrow" w:cs="Calibri"/>
                <w:sz w:val="20"/>
                <w:szCs w:val="20"/>
              </w:rPr>
              <w:t>20,000 to &lt; 30,000</w:t>
            </w:r>
            <w:r w:rsidR="00FB71FC" w:rsidRPr="00FB71FC" w:rsidDel="00FB71FC">
              <w:rPr>
                <w:rFonts w:ascii="Arial Narrow" w:hAnsi="Arial Narrow" w:cs="Calibri"/>
                <w:sz w:val="20"/>
                <w:szCs w:val="20"/>
              </w:rPr>
              <w:t xml:space="preserve"> </w:t>
            </w:r>
            <w:r w:rsidR="00BC06D4" w:rsidRPr="0028081E">
              <w:rPr>
                <w:rFonts w:ascii="Arial Narrow" w:hAnsi="Arial Narrow" w:cs="Calibri"/>
                <w:sz w:val="20"/>
                <w:szCs w:val="20"/>
              </w:rPr>
              <w:t>(</w:t>
            </w:r>
            <w:r w:rsidRPr="0028081E">
              <w:rPr>
                <w:rFonts w:ascii="Arial Narrow" w:hAnsi="Arial Narrow" w:cs="Calibri"/>
                <w:sz w:val="20"/>
                <w:szCs w:val="20"/>
              </w:rPr>
              <w:t>18%</w:t>
            </w:r>
            <w:r w:rsidR="00BC06D4"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4 (2024): </w:t>
            </w:r>
            <w:r w:rsidR="00FB71FC" w:rsidRPr="00FB71FC">
              <w:rPr>
                <w:rFonts w:ascii="Arial Narrow" w:hAnsi="Arial Narrow" w:cs="Calibri"/>
                <w:sz w:val="20"/>
                <w:szCs w:val="20"/>
              </w:rPr>
              <w:t>20,000 to &lt; 30,000</w:t>
            </w:r>
            <w:r w:rsidR="00FB71FC" w:rsidRPr="00FB71FC" w:rsidDel="00FB71FC">
              <w:rPr>
                <w:rFonts w:ascii="Arial Narrow" w:hAnsi="Arial Narrow" w:cs="Calibri"/>
                <w:sz w:val="20"/>
                <w:szCs w:val="20"/>
              </w:rPr>
              <w:t xml:space="preserve"> </w:t>
            </w:r>
            <w:r w:rsidR="00BC06D4" w:rsidRPr="0028081E">
              <w:rPr>
                <w:rFonts w:ascii="Arial Narrow" w:hAnsi="Arial Narrow" w:cs="Calibri"/>
                <w:sz w:val="20"/>
                <w:szCs w:val="20"/>
              </w:rPr>
              <w:t>(</w:t>
            </w:r>
            <w:r w:rsidRPr="0028081E">
              <w:rPr>
                <w:rFonts w:ascii="Arial Narrow" w:hAnsi="Arial Narrow" w:cs="Calibri"/>
                <w:sz w:val="20"/>
                <w:szCs w:val="20"/>
              </w:rPr>
              <w:t>23%</w:t>
            </w:r>
            <w:r w:rsidR="00BC06D4" w:rsidRPr="0028081E">
              <w:rPr>
                <w:rFonts w:ascii="Arial Narrow" w:hAnsi="Arial Narrow" w:cs="Calibri"/>
                <w:sz w:val="20"/>
                <w:szCs w:val="20"/>
              </w:rPr>
              <w:t>)</w:t>
            </w:r>
          </w:p>
          <w:p w:rsidR="005A6E79" w:rsidRPr="0028081E" w:rsidRDefault="005A6E79" w:rsidP="00294A37">
            <w:pPr>
              <w:spacing w:after="120"/>
              <w:jc w:val="left"/>
              <w:rPr>
                <w:rFonts w:ascii="Arial Narrow" w:hAnsi="Arial Narrow" w:cstheme="minorHAnsi"/>
                <w:sz w:val="20"/>
                <w:szCs w:val="20"/>
              </w:rPr>
            </w:pPr>
            <w:r w:rsidRPr="0028081E">
              <w:rPr>
                <w:rFonts w:ascii="Arial Narrow" w:hAnsi="Arial Narrow" w:cstheme="minorHAnsi"/>
                <w:sz w:val="20"/>
                <w:szCs w:val="20"/>
              </w:rPr>
              <w:t xml:space="preserve">Year 5 (2025): </w:t>
            </w:r>
            <w:r w:rsidR="00FB71FC" w:rsidRPr="00FB71FC">
              <w:rPr>
                <w:rFonts w:ascii="Arial Narrow" w:hAnsi="Arial Narrow" w:cs="Calibri"/>
                <w:sz w:val="20"/>
                <w:szCs w:val="20"/>
              </w:rPr>
              <w:t>20,000 to &lt; 30,000</w:t>
            </w:r>
            <w:r w:rsidR="00FB71FC" w:rsidRPr="00FB71FC" w:rsidDel="00FB71FC">
              <w:rPr>
                <w:rFonts w:ascii="Arial Narrow" w:hAnsi="Arial Narrow" w:cs="Calibri"/>
                <w:sz w:val="20"/>
                <w:szCs w:val="20"/>
              </w:rPr>
              <w:t xml:space="preserve"> </w:t>
            </w:r>
            <w:r w:rsidR="00BC06D4" w:rsidRPr="0028081E">
              <w:rPr>
                <w:rFonts w:ascii="Arial Narrow" w:hAnsi="Arial Narrow" w:cs="Calibri"/>
                <w:sz w:val="20"/>
                <w:szCs w:val="20"/>
              </w:rPr>
              <w:t>(</w:t>
            </w:r>
            <w:r w:rsidRPr="0028081E">
              <w:rPr>
                <w:rFonts w:ascii="Arial Narrow" w:hAnsi="Arial Narrow" w:cs="Calibri"/>
                <w:sz w:val="20"/>
                <w:szCs w:val="20"/>
              </w:rPr>
              <w:t>23%</w:t>
            </w:r>
            <w:r w:rsidR="00BC06D4" w:rsidRPr="0028081E">
              <w:rPr>
                <w:rFonts w:ascii="Arial Narrow" w:hAnsi="Arial Narrow" w:cs="Calibri"/>
                <w:sz w:val="20"/>
                <w:szCs w:val="20"/>
              </w:rPr>
              <w:t>)</w:t>
            </w:r>
          </w:p>
          <w:p w:rsidR="00983D31" w:rsidRPr="0028081E" w:rsidRDefault="005A6E79" w:rsidP="00294A37">
            <w:pPr>
              <w:pStyle w:val="2Sections"/>
              <w:spacing w:before="0"/>
              <w:rPr>
                <w:rFonts w:ascii="Arial Narrow" w:hAnsi="Arial Narrow"/>
                <w:b w:val="0"/>
                <w:sz w:val="20"/>
                <w:szCs w:val="20"/>
              </w:rPr>
            </w:pPr>
            <w:r w:rsidRPr="0028081E">
              <w:rPr>
                <w:rFonts w:ascii="Arial Narrow" w:hAnsi="Arial Narrow" w:cstheme="minorHAnsi"/>
                <w:b w:val="0"/>
                <w:bCs/>
                <w:sz w:val="20"/>
                <w:szCs w:val="20"/>
              </w:rPr>
              <w:t xml:space="preserve">Year 6 (2026): </w:t>
            </w:r>
            <w:r w:rsidR="00FB71FC" w:rsidRPr="00FB71FC">
              <w:rPr>
                <w:rFonts w:ascii="Arial Narrow" w:hAnsi="Arial Narrow" w:cs="Calibri"/>
                <w:b w:val="0"/>
                <w:bCs/>
                <w:sz w:val="20"/>
                <w:szCs w:val="20"/>
              </w:rPr>
              <w:t>20,000 to &lt; 30,000</w:t>
            </w:r>
            <w:r w:rsidR="00FB71FC" w:rsidRPr="00FB71FC" w:rsidDel="00FB71FC">
              <w:rPr>
                <w:rFonts w:ascii="Arial Narrow" w:hAnsi="Arial Narrow" w:cs="Calibri"/>
                <w:b w:val="0"/>
                <w:bCs/>
                <w:sz w:val="20"/>
                <w:szCs w:val="20"/>
              </w:rPr>
              <w:t xml:space="preserve"> </w:t>
            </w:r>
            <w:r w:rsidR="00BC06D4" w:rsidRPr="0028081E">
              <w:rPr>
                <w:rFonts w:ascii="Arial Narrow" w:hAnsi="Arial Narrow" w:cs="Calibri"/>
                <w:b w:val="0"/>
                <w:bCs/>
                <w:sz w:val="20"/>
                <w:szCs w:val="20"/>
              </w:rPr>
              <w:t>(</w:t>
            </w:r>
            <w:r w:rsidRPr="0028081E">
              <w:rPr>
                <w:rFonts w:ascii="Arial Narrow" w:hAnsi="Arial Narrow" w:cs="Calibri"/>
                <w:b w:val="0"/>
                <w:bCs/>
                <w:sz w:val="20"/>
                <w:szCs w:val="20"/>
              </w:rPr>
              <w:t>23%</w:t>
            </w:r>
            <w:r w:rsidR="00BC06D4" w:rsidRPr="0028081E">
              <w:rPr>
                <w:rFonts w:ascii="Arial Narrow" w:hAnsi="Arial Narrow" w:cs="Calibri"/>
                <w:b w:val="0"/>
                <w:bCs/>
                <w:sz w:val="20"/>
                <w:szCs w:val="20"/>
              </w:rPr>
              <w:t>)</w:t>
            </w:r>
          </w:p>
        </w:tc>
        <w:tc>
          <w:tcPr>
            <w:tcW w:w="2298" w:type="dxa"/>
            <w:tcMar>
              <w:left w:w="28" w:type="dxa"/>
              <w:right w:w="28" w:type="dxa"/>
            </w:tcMar>
          </w:tcPr>
          <w:p w:rsidR="00983D31" w:rsidRPr="0028081E" w:rsidRDefault="00C16FDE" w:rsidP="00294A37">
            <w:pPr>
              <w:pStyle w:val="2Sections"/>
              <w:spacing w:before="0"/>
              <w:jc w:val="both"/>
              <w:rPr>
                <w:rFonts w:ascii="Arial Narrow" w:hAnsi="Arial Narrow"/>
                <w:b w:val="0"/>
                <w:bCs/>
                <w:sz w:val="20"/>
                <w:szCs w:val="20"/>
              </w:rPr>
            </w:pPr>
            <w:r w:rsidRPr="0028081E">
              <w:rPr>
                <w:rFonts w:ascii="Arial Narrow" w:hAnsi="Arial Narrow"/>
                <w:b w:val="0"/>
                <w:bCs/>
                <w:sz w:val="20"/>
                <w:szCs w:val="20"/>
              </w:rPr>
              <w:t xml:space="preserve">The resubmission considered that displacement of </w:t>
            </w:r>
            <w:r w:rsidR="00EB233E" w:rsidRPr="0028081E">
              <w:rPr>
                <w:rFonts w:ascii="Arial Narrow" w:hAnsi="Arial Narrow"/>
                <w:b w:val="0"/>
                <w:bCs/>
                <w:sz w:val="20"/>
                <w:szCs w:val="20"/>
              </w:rPr>
              <w:t>DPP</w:t>
            </w:r>
            <w:r w:rsidR="00FC001F" w:rsidRPr="0028081E">
              <w:rPr>
                <w:rFonts w:ascii="Arial Narrow" w:hAnsi="Arial Narrow"/>
                <w:b w:val="0"/>
                <w:bCs/>
                <w:sz w:val="20"/>
                <w:szCs w:val="20"/>
              </w:rPr>
              <w:t>-</w:t>
            </w:r>
            <w:r w:rsidR="00EB233E" w:rsidRPr="0028081E">
              <w:rPr>
                <w:rFonts w:ascii="Arial Narrow" w:hAnsi="Arial Narrow"/>
                <w:b w:val="0"/>
                <w:bCs/>
                <w:sz w:val="20"/>
                <w:szCs w:val="20"/>
              </w:rPr>
              <w:t xml:space="preserve">4 </w:t>
            </w:r>
            <w:r w:rsidRPr="0028081E">
              <w:rPr>
                <w:rFonts w:ascii="Arial Narrow" w:hAnsi="Arial Narrow"/>
                <w:b w:val="0"/>
                <w:bCs/>
                <w:sz w:val="20"/>
                <w:szCs w:val="20"/>
              </w:rPr>
              <w:t xml:space="preserve">inhibitors by dulaglutide would be limited as DPP-4 inhibitors </w:t>
            </w:r>
            <w:r w:rsidR="00EB233E" w:rsidRPr="0028081E">
              <w:rPr>
                <w:rFonts w:ascii="Arial Narrow" w:hAnsi="Arial Narrow"/>
                <w:b w:val="0"/>
                <w:bCs/>
                <w:sz w:val="20"/>
                <w:szCs w:val="20"/>
              </w:rPr>
              <w:t xml:space="preserve">have </w:t>
            </w:r>
            <w:r w:rsidR="00AB6F63" w:rsidRPr="0028081E">
              <w:rPr>
                <w:rFonts w:ascii="Arial Narrow" w:hAnsi="Arial Narrow"/>
                <w:b w:val="0"/>
                <w:bCs/>
                <w:sz w:val="20"/>
                <w:szCs w:val="20"/>
              </w:rPr>
              <w:t>demonstrated no benefit</w:t>
            </w:r>
            <w:r w:rsidR="00EB233E" w:rsidRPr="0028081E">
              <w:rPr>
                <w:rFonts w:ascii="Arial Narrow" w:hAnsi="Arial Narrow"/>
                <w:b w:val="0"/>
                <w:bCs/>
                <w:sz w:val="20"/>
                <w:szCs w:val="20"/>
              </w:rPr>
              <w:t>s</w:t>
            </w:r>
            <w:r w:rsidR="00AB6F63" w:rsidRPr="0028081E">
              <w:rPr>
                <w:rFonts w:ascii="Arial Narrow" w:hAnsi="Arial Narrow"/>
                <w:b w:val="0"/>
                <w:bCs/>
                <w:sz w:val="20"/>
                <w:szCs w:val="20"/>
              </w:rPr>
              <w:t xml:space="preserve"> with respect to cardiovascular, heart fa</w:t>
            </w:r>
            <w:r w:rsidR="00EB233E" w:rsidRPr="0028081E">
              <w:rPr>
                <w:rFonts w:ascii="Arial Narrow" w:hAnsi="Arial Narrow"/>
                <w:b w:val="0"/>
                <w:bCs/>
                <w:sz w:val="20"/>
                <w:szCs w:val="20"/>
              </w:rPr>
              <w:t>ilure or chronic kidney disease</w:t>
            </w:r>
            <w:r w:rsidRPr="0028081E">
              <w:rPr>
                <w:rFonts w:ascii="Arial Narrow" w:hAnsi="Arial Narrow"/>
                <w:b w:val="0"/>
                <w:bCs/>
                <w:sz w:val="20"/>
                <w:szCs w:val="20"/>
              </w:rPr>
              <w:t>.</w:t>
            </w:r>
          </w:p>
        </w:tc>
      </w:tr>
      <w:tr w:rsidR="0098070F" w:rsidRPr="0028081E" w:rsidTr="00EE2641">
        <w:tc>
          <w:tcPr>
            <w:tcW w:w="9016" w:type="dxa"/>
            <w:gridSpan w:val="6"/>
            <w:tcMar>
              <w:left w:w="28" w:type="dxa"/>
              <w:right w:w="28" w:type="dxa"/>
            </w:tcMar>
          </w:tcPr>
          <w:p w:rsidR="0098070F" w:rsidRPr="0028081E" w:rsidRDefault="0098070F" w:rsidP="00294A37">
            <w:pPr>
              <w:pStyle w:val="2Sections"/>
              <w:spacing w:before="0"/>
              <w:jc w:val="both"/>
              <w:rPr>
                <w:rFonts w:ascii="Arial Narrow" w:hAnsi="Arial Narrow"/>
                <w:sz w:val="20"/>
                <w:szCs w:val="20"/>
              </w:rPr>
            </w:pPr>
            <w:r w:rsidRPr="0028081E">
              <w:rPr>
                <w:rFonts w:ascii="Arial Narrow" w:hAnsi="Arial Narrow" w:cstheme="minorHAnsi"/>
                <w:sz w:val="20"/>
                <w:szCs w:val="20"/>
              </w:rPr>
              <w:t>Market growth</w:t>
            </w:r>
          </w:p>
        </w:tc>
      </w:tr>
      <w:tr w:rsidR="006C0F99" w:rsidRPr="0028081E" w:rsidTr="00EE2641">
        <w:tc>
          <w:tcPr>
            <w:tcW w:w="2122" w:type="dxa"/>
            <w:tcMar>
              <w:left w:w="28" w:type="dxa"/>
              <w:right w:w="28" w:type="dxa"/>
            </w:tcMar>
          </w:tcPr>
          <w:p w:rsidR="006C0F99" w:rsidRPr="0028081E" w:rsidRDefault="006C0F99" w:rsidP="00294A37">
            <w:pPr>
              <w:pStyle w:val="2Sections"/>
              <w:spacing w:before="0"/>
              <w:rPr>
                <w:rFonts w:ascii="Arial Narrow" w:hAnsi="Arial Narrow"/>
                <w:b w:val="0"/>
                <w:bCs/>
                <w:sz w:val="20"/>
                <w:szCs w:val="20"/>
              </w:rPr>
            </w:pPr>
            <w:r w:rsidRPr="0028081E">
              <w:rPr>
                <w:rFonts w:ascii="Arial Narrow" w:hAnsi="Arial Narrow"/>
                <w:b w:val="0"/>
                <w:bCs/>
                <w:sz w:val="20"/>
                <w:szCs w:val="20"/>
              </w:rPr>
              <w:t>November 2019</w:t>
            </w:r>
          </w:p>
        </w:tc>
        <w:tc>
          <w:tcPr>
            <w:tcW w:w="6894" w:type="dxa"/>
            <w:gridSpan w:val="5"/>
            <w:tcMar>
              <w:left w:w="28" w:type="dxa"/>
              <w:right w:w="28" w:type="dxa"/>
            </w:tcMar>
          </w:tcPr>
          <w:p w:rsidR="006C0F99" w:rsidRPr="0028081E" w:rsidRDefault="006C0F99" w:rsidP="00294A37">
            <w:pPr>
              <w:pStyle w:val="2Sections"/>
              <w:spacing w:before="0"/>
              <w:jc w:val="both"/>
              <w:rPr>
                <w:rFonts w:ascii="Arial Narrow" w:hAnsi="Arial Narrow"/>
                <w:b w:val="0"/>
                <w:bCs/>
                <w:sz w:val="20"/>
                <w:szCs w:val="20"/>
              </w:rPr>
            </w:pPr>
            <w:r w:rsidRPr="0028081E">
              <w:rPr>
                <w:rFonts w:ascii="Arial Narrow" w:hAnsi="Arial Narrow"/>
                <w:b w:val="0"/>
                <w:sz w:val="20"/>
                <w:szCs w:val="20"/>
              </w:rPr>
              <w:t xml:space="preserve">1% per annum </w:t>
            </w:r>
          </w:p>
        </w:tc>
      </w:tr>
      <w:tr w:rsidR="009B4DAF" w:rsidRPr="0028081E" w:rsidTr="00EE2641">
        <w:tc>
          <w:tcPr>
            <w:tcW w:w="2122" w:type="dxa"/>
            <w:tcMar>
              <w:left w:w="28" w:type="dxa"/>
              <w:right w:w="28" w:type="dxa"/>
            </w:tcMar>
          </w:tcPr>
          <w:p w:rsidR="009B4DAF" w:rsidRPr="0028081E" w:rsidRDefault="009B4DAF" w:rsidP="00294A37">
            <w:pPr>
              <w:pStyle w:val="2Sections"/>
              <w:spacing w:before="0"/>
              <w:rPr>
                <w:rFonts w:ascii="Arial Narrow" w:hAnsi="Arial Narrow"/>
                <w:b w:val="0"/>
                <w:bCs/>
                <w:sz w:val="20"/>
                <w:szCs w:val="20"/>
              </w:rPr>
            </w:pPr>
            <w:r w:rsidRPr="0028081E">
              <w:rPr>
                <w:rFonts w:ascii="Arial Narrow" w:hAnsi="Arial Narrow"/>
                <w:b w:val="0"/>
                <w:bCs/>
                <w:sz w:val="20"/>
                <w:szCs w:val="20"/>
              </w:rPr>
              <w:t xml:space="preserve">July 2020 </w:t>
            </w:r>
          </w:p>
        </w:tc>
        <w:tc>
          <w:tcPr>
            <w:tcW w:w="1149" w:type="dxa"/>
            <w:tcMar>
              <w:left w:w="28" w:type="dxa"/>
              <w:right w:w="28" w:type="dxa"/>
            </w:tcMar>
          </w:tcPr>
          <w:p w:rsidR="009B4DAF" w:rsidRPr="0028081E" w:rsidRDefault="009B4DAF" w:rsidP="00294A37">
            <w:pPr>
              <w:pStyle w:val="2Sections"/>
              <w:spacing w:before="0"/>
              <w:rPr>
                <w:rFonts w:ascii="Arial Narrow" w:hAnsi="Arial Narrow"/>
                <w:b w:val="0"/>
                <w:sz w:val="20"/>
                <w:szCs w:val="20"/>
              </w:rPr>
            </w:pPr>
            <w:r w:rsidRPr="0028081E">
              <w:rPr>
                <w:rFonts w:ascii="Arial Narrow" w:hAnsi="Arial Narrow"/>
                <w:b w:val="0"/>
                <w:sz w:val="20"/>
                <w:szCs w:val="20"/>
              </w:rPr>
              <w:t>Exenatide BID</w:t>
            </w:r>
          </w:p>
        </w:tc>
        <w:tc>
          <w:tcPr>
            <w:tcW w:w="1149" w:type="dxa"/>
          </w:tcPr>
          <w:p w:rsidR="009B4DAF" w:rsidRPr="0028081E" w:rsidRDefault="009B4DAF" w:rsidP="00294A37">
            <w:pPr>
              <w:pStyle w:val="2Sections"/>
              <w:spacing w:before="0"/>
              <w:rPr>
                <w:rFonts w:ascii="Arial Narrow" w:hAnsi="Arial Narrow"/>
                <w:b w:val="0"/>
                <w:sz w:val="20"/>
                <w:szCs w:val="20"/>
              </w:rPr>
            </w:pPr>
            <w:r w:rsidRPr="0028081E">
              <w:rPr>
                <w:rFonts w:ascii="Arial Narrow" w:hAnsi="Arial Narrow"/>
                <w:b w:val="0"/>
                <w:sz w:val="20"/>
                <w:szCs w:val="20"/>
              </w:rPr>
              <w:t>Exenatide QW</w:t>
            </w:r>
          </w:p>
        </w:tc>
        <w:tc>
          <w:tcPr>
            <w:tcW w:w="1149" w:type="dxa"/>
            <w:tcMar>
              <w:left w:w="28" w:type="dxa"/>
              <w:right w:w="28" w:type="dxa"/>
            </w:tcMar>
          </w:tcPr>
          <w:p w:rsidR="009B4DAF" w:rsidRPr="0028081E" w:rsidRDefault="009B4DAF" w:rsidP="00294A37">
            <w:pPr>
              <w:spacing w:after="120"/>
              <w:jc w:val="left"/>
              <w:rPr>
                <w:rFonts w:ascii="Arial Narrow" w:hAnsi="Arial Narrow" w:cstheme="minorHAnsi"/>
                <w:sz w:val="20"/>
                <w:szCs w:val="20"/>
              </w:rPr>
            </w:pPr>
            <w:r w:rsidRPr="0028081E">
              <w:rPr>
                <w:rFonts w:ascii="Arial Narrow" w:hAnsi="Arial Narrow" w:cstheme="minorHAnsi"/>
                <w:sz w:val="20"/>
                <w:szCs w:val="20"/>
              </w:rPr>
              <w:t>Pooled SGLT2</w:t>
            </w:r>
          </w:p>
        </w:tc>
        <w:tc>
          <w:tcPr>
            <w:tcW w:w="1149" w:type="dxa"/>
          </w:tcPr>
          <w:p w:rsidR="009B4DAF" w:rsidRPr="0028081E" w:rsidRDefault="009B4DAF" w:rsidP="00294A37">
            <w:pPr>
              <w:spacing w:after="120"/>
              <w:ind w:left="-10"/>
              <w:jc w:val="left"/>
              <w:rPr>
                <w:rFonts w:ascii="Arial Narrow" w:hAnsi="Arial Narrow" w:cstheme="minorHAnsi"/>
                <w:sz w:val="20"/>
                <w:szCs w:val="20"/>
              </w:rPr>
            </w:pPr>
            <w:r w:rsidRPr="0028081E">
              <w:rPr>
                <w:rFonts w:ascii="Arial Narrow" w:hAnsi="Arial Narrow" w:cstheme="minorHAnsi"/>
                <w:sz w:val="20"/>
                <w:szCs w:val="20"/>
              </w:rPr>
              <w:t>Pooled DPP-4</w:t>
            </w:r>
          </w:p>
        </w:tc>
        <w:tc>
          <w:tcPr>
            <w:tcW w:w="2298" w:type="dxa"/>
            <w:tcMar>
              <w:left w:w="28" w:type="dxa"/>
              <w:right w:w="28" w:type="dxa"/>
            </w:tcMar>
          </w:tcPr>
          <w:p w:rsidR="009B4DAF" w:rsidRPr="0028081E" w:rsidRDefault="009B4DAF" w:rsidP="00294A37">
            <w:pPr>
              <w:pStyle w:val="2Sections"/>
              <w:spacing w:before="0"/>
              <w:jc w:val="both"/>
              <w:rPr>
                <w:rFonts w:ascii="Arial Narrow" w:hAnsi="Arial Narrow"/>
                <w:b w:val="0"/>
                <w:bCs/>
                <w:sz w:val="20"/>
                <w:szCs w:val="20"/>
              </w:rPr>
            </w:pPr>
            <w:r w:rsidRPr="0028081E">
              <w:rPr>
                <w:rFonts w:ascii="Arial Narrow" w:hAnsi="Arial Narrow"/>
                <w:b w:val="0"/>
                <w:bCs/>
                <w:sz w:val="20"/>
                <w:szCs w:val="20"/>
              </w:rPr>
              <w:t xml:space="preserve">Comments </w:t>
            </w:r>
          </w:p>
        </w:tc>
      </w:tr>
      <w:tr w:rsidR="009B4DAF" w:rsidRPr="0028081E" w:rsidTr="00EE2641">
        <w:tc>
          <w:tcPr>
            <w:tcW w:w="2122" w:type="dxa"/>
            <w:tcMar>
              <w:left w:w="28" w:type="dxa"/>
              <w:right w:w="28" w:type="dxa"/>
            </w:tcMar>
          </w:tcPr>
          <w:p w:rsidR="009B4DAF" w:rsidRPr="0028081E" w:rsidRDefault="009B4DAF" w:rsidP="00294A37">
            <w:pPr>
              <w:spacing w:after="120"/>
              <w:jc w:val="right"/>
              <w:rPr>
                <w:rFonts w:ascii="Arial Narrow" w:hAnsi="Arial Narrow" w:cstheme="minorHAnsi"/>
                <w:sz w:val="20"/>
                <w:szCs w:val="20"/>
              </w:rPr>
            </w:pPr>
            <w:r w:rsidRPr="0028081E">
              <w:rPr>
                <w:rFonts w:ascii="Arial Narrow" w:hAnsi="Arial Narrow" w:cstheme="minorHAnsi"/>
                <w:sz w:val="20"/>
                <w:szCs w:val="20"/>
              </w:rPr>
              <w:t>Year 1 (2021)</w:t>
            </w:r>
          </w:p>
          <w:p w:rsidR="009B4DAF" w:rsidRPr="0028081E" w:rsidRDefault="009B4DAF" w:rsidP="00294A37">
            <w:pPr>
              <w:spacing w:after="120"/>
              <w:jc w:val="right"/>
              <w:rPr>
                <w:rFonts w:ascii="Arial Narrow" w:hAnsi="Arial Narrow" w:cstheme="minorHAnsi"/>
                <w:sz w:val="20"/>
                <w:szCs w:val="20"/>
              </w:rPr>
            </w:pPr>
            <w:r w:rsidRPr="0028081E">
              <w:rPr>
                <w:rFonts w:ascii="Arial Narrow" w:hAnsi="Arial Narrow" w:cstheme="minorHAnsi"/>
                <w:sz w:val="20"/>
                <w:szCs w:val="20"/>
              </w:rPr>
              <w:t>Year 2 (2022)</w:t>
            </w:r>
          </w:p>
          <w:p w:rsidR="009B4DAF" w:rsidRPr="0028081E" w:rsidRDefault="009B4DAF" w:rsidP="00294A37">
            <w:pPr>
              <w:spacing w:after="120"/>
              <w:jc w:val="right"/>
              <w:rPr>
                <w:rFonts w:ascii="Arial Narrow" w:hAnsi="Arial Narrow" w:cstheme="minorHAnsi"/>
                <w:sz w:val="20"/>
                <w:szCs w:val="20"/>
              </w:rPr>
            </w:pPr>
            <w:r w:rsidRPr="0028081E">
              <w:rPr>
                <w:rFonts w:ascii="Arial Narrow" w:hAnsi="Arial Narrow" w:cstheme="minorHAnsi"/>
                <w:sz w:val="20"/>
                <w:szCs w:val="20"/>
              </w:rPr>
              <w:t>Year 3 (2023)</w:t>
            </w:r>
          </w:p>
          <w:p w:rsidR="009B4DAF" w:rsidRPr="0028081E" w:rsidRDefault="009B4DAF" w:rsidP="00294A37">
            <w:pPr>
              <w:spacing w:after="120"/>
              <w:jc w:val="right"/>
              <w:rPr>
                <w:rFonts w:ascii="Arial Narrow" w:hAnsi="Arial Narrow" w:cstheme="minorHAnsi"/>
                <w:sz w:val="20"/>
                <w:szCs w:val="20"/>
              </w:rPr>
            </w:pPr>
            <w:r w:rsidRPr="0028081E">
              <w:rPr>
                <w:rFonts w:ascii="Arial Narrow" w:hAnsi="Arial Narrow" w:cstheme="minorHAnsi"/>
                <w:sz w:val="20"/>
                <w:szCs w:val="20"/>
              </w:rPr>
              <w:t>Year 4 (2024)</w:t>
            </w:r>
          </w:p>
          <w:p w:rsidR="009B4DAF" w:rsidRPr="0028081E" w:rsidRDefault="009B4DAF" w:rsidP="00294A37">
            <w:pPr>
              <w:spacing w:after="120"/>
              <w:jc w:val="right"/>
              <w:rPr>
                <w:rFonts w:ascii="Arial Narrow" w:hAnsi="Arial Narrow" w:cstheme="minorHAnsi"/>
                <w:sz w:val="20"/>
                <w:szCs w:val="20"/>
              </w:rPr>
            </w:pPr>
            <w:r w:rsidRPr="0028081E">
              <w:rPr>
                <w:rFonts w:ascii="Arial Narrow" w:hAnsi="Arial Narrow" w:cstheme="minorHAnsi"/>
                <w:sz w:val="20"/>
                <w:szCs w:val="20"/>
              </w:rPr>
              <w:t>Year 5 (2025)</w:t>
            </w:r>
          </w:p>
          <w:p w:rsidR="009B4DAF" w:rsidRPr="0028081E" w:rsidRDefault="009B4DAF" w:rsidP="00294A37">
            <w:pPr>
              <w:pStyle w:val="2Sections"/>
              <w:spacing w:before="0"/>
              <w:jc w:val="right"/>
              <w:rPr>
                <w:rFonts w:ascii="Arial Narrow" w:hAnsi="Arial Narrow" w:cstheme="minorHAnsi"/>
                <w:b w:val="0"/>
                <w:bCs/>
                <w:sz w:val="20"/>
                <w:szCs w:val="20"/>
              </w:rPr>
            </w:pPr>
            <w:r w:rsidRPr="0028081E">
              <w:rPr>
                <w:rFonts w:ascii="Arial Narrow" w:hAnsi="Arial Narrow" w:cstheme="minorHAnsi"/>
                <w:b w:val="0"/>
                <w:bCs/>
                <w:sz w:val="20"/>
                <w:szCs w:val="20"/>
              </w:rPr>
              <w:t>Year 6 (2026)</w:t>
            </w:r>
          </w:p>
        </w:tc>
        <w:tc>
          <w:tcPr>
            <w:tcW w:w="1149" w:type="dxa"/>
            <w:tcMar>
              <w:left w:w="28" w:type="dxa"/>
              <w:right w:w="28" w:type="dxa"/>
            </w:tcMar>
          </w:tcPr>
          <w:p w:rsidR="009B4DAF"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0%</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0%</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-0.4%</w:t>
            </w:r>
          </w:p>
        </w:tc>
        <w:tc>
          <w:tcPr>
            <w:tcW w:w="1149" w:type="dxa"/>
          </w:tcPr>
          <w:p w:rsidR="009B4DAF"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3%</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2%</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p w:rsidR="00C31692" w:rsidRPr="0028081E" w:rsidRDefault="00C31692" w:rsidP="00294A37">
            <w:pPr>
              <w:pStyle w:val="2Sections"/>
              <w:spacing w:before="0"/>
              <w:jc w:val="right"/>
              <w:rPr>
                <w:rFonts w:ascii="Arial Narrow" w:hAnsi="Arial Narrow"/>
                <w:b w:val="0"/>
                <w:sz w:val="20"/>
                <w:szCs w:val="20"/>
              </w:rPr>
            </w:pPr>
            <w:r w:rsidRPr="0028081E">
              <w:rPr>
                <w:rFonts w:ascii="Arial Narrow" w:hAnsi="Arial Narrow"/>
                <w:b w:val="0"/>
                <w:sz w:val="20"/>
                <w:szCs w:val="20"/>
              </w:rPr>
              <w:t>1%</w:t>
            </w:r>
          </w:p>
        </w:tc>
        <w:tc>
          <w:tcPr>
            <w:tcW w:w="1149" w:type="dxa"/>
            <w:tcMar>
              <w:left w:w="28" w:type="dxa"/>
              <w:right w:w="28" w:type="dxa"/>
            </w:tcMar>
          </w:tcPr>
          <w:p w:rsidR="009B4DAF"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5%</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3%</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3%</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2%</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2%</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2%</w:t>
            </w:r>
          </w:p>
        </w:tc>
        <w:tc>
          <w:tcPr>
            <w:tcW w:w="1149" w:type="dxa"/>
          </w:tcPr>
          <w:p w:rsidR="009B4DAF"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4%</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3%</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2%</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2%</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2%</w:t>
            </w:r>
          </w:p>
          <w:p w:rsidR="00C31692" w:rsidRPr="0028081E" w:rsidRDefault="00C31692" w:rsidP="00294A37">
            <w:pPr>
              <w:spacing w:after="120"/>
              <w:jc w:val="right"/>
              <w:rPr>
                <w:rFonts w:ascii="Arial Narrow" w:hAnsi="Arial Narrow" w:cstheme="minorHAnsi"/>
                <w:sz w:val="20"/>
                <w:szCs w:val="20"/>
              </w:rPr>
            </w:pPr>
            <w:r w:rsidRPr="0028081E">
              <w:rPr>
                <w:rFonts w:ascii="Arial Narrow" w:hAnsi="Arial Narrow" w:cstheme="minorHAnsi"/>
                <w:sz w:val="20"/>
                <w:szCs w:val="20"/>
              </w:rPr>
              <w:t>1%</w:t>
            </w:r>
          </w:p>
        </w:tc>
        <w:tc>
          <w:tcPr>
            <w:tcW w:w="2298" w:type="dxa"/>
            <w:tcMar>
              <w:left w:w="28" w:type="dxa"/>
              <w:right w:w="28" w:type="dxa"/>
            </w:tcMar>
          </w:tcPr>
          <w:p w:rsidR="009B4DAF" w:rsidRPr="0028081E" w:rsidRDefault="002D3CED" w:rsidP="00294A37">
            <w:pPr>
              <w:pStyle w:val="2Sections"/>
              <w:spacing w:before="0"/>
              <w:jc w:val="both"/>
              <w:rPr>
                <w:rFonts w:ascii="Arial Narrow" w:hAnsi="Arial Narrow"/>
                <w:b w:val="0"/>
                <w:bCs/>
                <w:i/>
                <w:iCs/>
                <w:sz w:val="20"/>
                <w:szCs w:val="20"/>
              </w:rPr>
            </w:pPr>
            <w:r w:rsidRPr="0028081E">
              <w:rPr>
                <w:rFonts w:ascii="Arial Narrow" w:hAnsi="Arial Narrow"/>
                <w:b w:val="0"/>
                <w:bCs/>
                <w:sz w:val="20"/>
                <w:szCs w:val="20"/>
              </w:rPr>
              <w:t xml:space="preserve">Sensitivity analyses </w:t>
            </w:r>
            <w:r w:rsidR="00C31692" w:rsidRPr="0028081E">
              <w:rPr>
                <w:rFonts w:ascii="Arial Narrow" w:hAnsi="Arial Narrow"/>
                <w:b w:val="0"/>
                <w:bCs/>
                <w:sz w:val="20"/>
                <w:szCs w:val="20"/>
              </w:rPr>
              <w:t>provided</w:t>
            </w:r>
            <w:r w:rsidRPr="0028081E">
              <w:rPr>
                <w:rFonts w:ascii="Arial Narrow" w:hAnsi="Arial Narrow"/>
                <w:b w:val="0"/>
                <w:bCs/>
                <w:sz w:val="20"/>
                <w:szCs w:val="20"/>
              </w:rPr>
              <w:t xml:space="preserve"> in </w:t>
            </w:r>
            <w:r w:rsidR="00842326" w:rsidRPr="0028081E">
              <w:rPr>
                <w:rFonts w:ascii="Arial Narrow" w:hAnsi="Arial Narrow" w:cstheme="minorHAnsi"/>
                <w:b w:val="0"/>
                <w:bCs/>
                <w:sz w:val="20"/>
                <w:szCs w:val="20"/>
              </w:rPr>
              <w:t xml:space="preserve">Table </w:t>
            </w:r>
            <w:r w:rsidR="00842326" w:rsidRPr="00793BA6">
              <w:rPr>
                <w:rFonts w:ascii="Arial Narrow" w:hAnsi="Arial Narrow" w:cstheme="minorHAnsi"/>
                <w:b w:val="0"/>
                <w:bCs/>
                <w:sz w:val="20"/>
                <w:szCs w:val="20"/>
              </w:rPr>
              <w:t>5</w:t>
            </w:r>
            <w:r w:rsidR="002B5BCE" w:rsidRPr="0028081E">
              <w:rPr>
                <w:rFonts w:ascii="Arial Narrow" w:hAnsi="Arial Narrow"/>
                <w:b w:val="0"/>
                <w:bCs/>
                <w:i/>
                <w:iCs/>
                <w:sz w:val="20"/>
                <w:szCs w:val="20"/>
              </w:rPr>
              <w:t>.</w:t>
            </w:r>
          </w:p>
        </w:tc>
      </w:tr>
    </w:tbl>
    <w:p w:rsidR="00003577" w:rsidRPr="0028081E" w:rsidRDefault="00003577" w:rsidP="00FE1C05">
      <w:pPr>
        <w:pStyle w:val="3Bodytext"/>
        <w:numPr>
          <w:ilvl w:val="0"/>
          <w:numId w:val="0"/>
        </w:numPr>
        <w:spacing w:after="0"/>
        <w:ind w:hanging="11"/>
        <w:rPr>
          <w:rStyle w:val="st1"/>
          <w:rFonts w:ascii="Arial Narrow" w:hAnsi="Arial Narrow" w:cs="Arial"/>
          <w:sz w:val="18"/>
          <w:szCs w:val="18"/>
        </w:rPr>
      </w:pPr>
      <w:r w:rsidRPr="0028081E">
        <w:rPr>
          <w:rFonts w:ascii="Arial Narrow" w:hAnsi="Arial Narrow"/>
          <w:sz w:val="18"/>
          <w:szCs w:val="18"/>
        </w:rPr>
        <w:t>Abbreviation: GLP-1 RA: glucagon-like peptide-1 receptor agonist; SGLT2</w:t>
      </w:r>
      <w:r w:rsidR="00DC7941" w:rsidRPr="0028081E">
        <w:rPr>
          <w:rFonts w:ascii="Arial Narrow" w:hAnsi="Arial Narrow"/>
          <w:sz w:val="18"/>
          <w:szCs w:val="18"/>
        </w:rPr>
        <w:t xml:space="preserve"> inhibitor</w:t>
      </w:r>
      <w:r w:rsidRPr="0028081E">
        <w:rPr>
          <w:rFonts w:ascii="Arial Narrow" w:hAnsi="Arial Narrow"/>
          <w:sz w:val="18"/>
          <w:szCs w:val="18"/>
        </w:rPr>
        <w:t>: sodium-glucose co-transporter-2 inhibitor</w:t>
      </w:r>
      <w:r w:rsidR="00670322" w:rsidRPr="0028081E">
        <w:rPr>
          <w:rFonts w:ascii="Arial Narrow" w:hAnsi="Arial Narrow"/>
          <w:sz w:val="18"/>
          <w:szCs w:val="18"/>
        </w:rPr>
        <w:t xml:space="preserve">; </w:t>
      </w:r>
      <w:r w:rsidRPr="0028081E">
        <w:rPr>
          <w:rStyle w:val="Emphasis"/>
          <w:rFonts w:ascii="Arial Narrow" w:hAnsi="Arial Narrow" w:cs="Arial"/>
          <w:b w:val="0"/>
          <w:bCs w:val="0"/>
          <w:color w:val="4D5156"/>
          <w:sz w:val="18"/>
          <w:szCs w:val="18"/>
        </w:rPr>
        <w:t>DPP</w:t>
      </w:r>
      <w:r w:rsidRPr="0028081E">
        <w:rPr>
          <w:rStyle w:val="st1"/>
          <w:rFonts w:ascii="Arial Narrow" w:hAnsi="Arial Narrow" w:cs="Arial"/>
          <w:b/>
          <w:bCs/>
          <w:color w:val="4D5156"/>
          <w:sz w:val="18"/>
          <w:szCs w:val="18"/>
        </w:rPr>
        <w:t>-</w:t>
      </w:r>
      <w:r w:rsidRPr="0028081E">
        <w:rPr>
          <w:rStyle w:val="Emphasis"/>
          <w:rFonts w:ascii="Arial Narrow" w:hAnsi="Arial Narrow" w:cs="Arial"/>
          <w:b w:val="0"/>
          <w:bCs w:val="0"/>
          <w:color w:val="4D5156"/>
          <w:sz w:val="18"/>
          <w:szCs w:val="18"/>
        </w:rPr>
        <w:t>4</w:t>
      </w:r>
      <w:r w:rsidR="00DC7941" w:rsidRPr="0028081E">
        <w:rPr>
          <w:rStyle w:val="Emphasis"/>
          <w:rFonts w:ascii="Arial Narrow" w:hAnsi="Arial Narrow" w:cs="Arial"/>
          <w:b w:val="0"/>
          <w:bCs w:val="0"/>
          <w:color w:val="4D5156"/>
          <w:sz w:val="18"/>
          <w:szCs w:val="18"/>
        </w:rPr>
        <w:t xml:space="preserve"> </w:t>
      </w:r>
      <w:r w:rsidR="00DC7941" w:rsidRPr="0028081E">
        <w:rPr>
          <w:rStyle w:val="Emphasis"/>
          <w:rFonts w:ascii="Arial Narrow" w:hAnsi="Arial Narrow" w:cs="Arial"/>
          <w:b w:val="0"/>
          <w:bCs w:val="0"/>
          <w:sz w:val="18"/>
          <w:szCs w:val="18"/>
        </w:rPr>
        <w:t>inhibitor</w:t>
      </w:r>
      <w:r w:rsidRPr="0028081E">
        <w:rPr>
          <w:rStyle w:val="Emphasis"/>
          <w:rFonts w:ascii="Arial Narrow" w:hAnsi="Arial Narrow" w:cs="Arial"/>
          <w:b w:val="0"/>
          <w:bCs w:val="0"/>
          <w:sz w:val="18"/>
          <w:szCs w:val="18"/>
        </w:rPr>
        <w:t xml:space="preserve">: </w:t>
      </w:r>
      <w:r w:rsidR="00670322" w:rsidRPr="0028081E">
        <w:rPr>
          <w:rStyle w:val="Emphasis"/>
          <w:rFonts w:ascii="Arial Narrow" w:hAnsi="Arial Narrow" w:cs="Arial"/>
          <w:b w:val="0"/>
          <w:bCs w:val="0"/>
          <w:sz w:val="18"/>
          <w:szCs w:val="18"/>
        </w:rPr>
        <w:t xml:space="preserve">dipeptidyl </w:t>
      </w:r>
      <w:r w:rsidRPr="0028081E">
        <w:rPr>
          <w:rStyle w:val="Emphasis"/>
          <w:rFonts w:ascii="Arial Narrow" w:hAnsi="Arial Narrow" w:cs="Arial"/>
          <w:b w:val="0"/>
          <w:bCs w:val="0"/>
          <w:sz w:val="18"/>
          <w:szCs w:val="18"/>
        </w:rPr>
        <w:t>peptidase</w:t>
      </w:r>
      <w:r w:rsidRPr="0028081E">
        <w:rPr>
          <w:rStyle w:val="st1"/>
          <w:rFonts w:ascii="Arial Narrow" w:hAnsi="Arial Narrow" w:cs="Arial"/>
          <w:b/>
          <w:bCs/>
          <w:sz w:val="18"/>
          <w:szCs w:val="18"/>
        </w:rPr>
        <w:t>-</w:t>
      </w:r>
      <w:r w:rsidRPr="0028081E">
        <w:rPr>
          <w:rStyle w:val="Emphasis"/>
          <w:rFonts w:ascii="Arial Narrow" w:hAnsi="Arial Narrow" w:cs="Arial"/>
          <w:b w:val="0"/>
          <w:bCs w:val="0"/>
          <w:sz w:val="18"/>
          <w:szCs w:val="18"/>
        </w:rPr>
        <w:t>4</w:t>
      </w:r>
      <w:r w:rsidRPr="0028081E">
        <w:rPr>
          <w:rStyle w:val="st1"/>
          <w:rFonts w:ascii="Arial Narrow" w:hAnsi="Arial Narrow" w:cs="Arial"/>
          <w:sz w:val="18"/>
          <w:szCs w:val="18"/>
        </w:rPr>
        <w:t xml:space="preserve"> inhibitor ('gliptin')</w:t>
      </w:r>
    </w:p>
    <w:p w:rsidR="005D0260" w:rsidRPr="0028081E" w:rsidRDefault="005D0260" w:rsidP="00FE1C05">
      <w:pPr>
        <w:pStyle w:val="3Bodytext"/>
        <w:numPr>
          <w:ilvl w:val="0"/>
          <w:numId w:val="0"/>
        </w:numPr>
        <w:spacing w:after="0"/>
        <w:ind w:hanging="11"/>
        <w:jc w:val="both"/>
        <w:rPr>
          <w:rFonts w:ascii="Arial Narrow" w:hAnsi="Arial Narrow"/>
          <w:sz w:val="18"/>
          <w:szCs w:val="18"/>
        </w:rPr>
      </w:pPr>
      <w:r w:rsidRPr="0028081E">
        <w:rPr>
          <w:rStyle w:val="st1"/>
          <w:rFonts w:ascii="Arial Narrow" w:hAnsi="Arial Narrow" w:cs="Arial"/>
          <w:sz w:val="18"/>
          <w:szCs w:val="18"/>
        </w:rPr>
        <w:t xml:space="preserve">Note: </w:t>
      </w:r>
      <w:r w:rsidRPr="0028081E">
        <w:rPr>
          <w:rFonts w:ascii="Arial Narrow" w:hAnsi="Arial Narrow"/>
          <w:sz w:val="18"/>
          <w:szCs w:val="18"/>
        </w:rPr>
        <w:t>the resubmission estimated the number of patients</w:t>
      </w:r>
      <w:r w:rsidR="00575EDB" w:rsidRPr="0028081E">
        <w:rPr>
          <w:rFonts w:ascii="Arial Narrow" w:hAnsi="Arial Narrow"/>
          <w:sz w:val="18"/>
          <w:szCs w:val="18"/>
        </w:rPr>
        <w:t xml:space="preserve"> (with insulin)</w:t>
      </w:r>
      <w:r w:rsidRPr="0028081E">
        <w:rPr>
          <w:rFonts w:ascii="Arial Narrow" w:hAnsi="Arial Narrow"/>
          <w:sz w:val="18"/>
          <w:szCs w:val="18"/>
        </w:rPr>
        <w:t xml:space="preserve"> in the absence of a dulaglutide listing, using a 10% </w:t>
      </w:r>
      <w:r w:rsidR="00841905" w:rsidRPr="0028081E">
        <w:rPr>
          <w:rFonts w:ascii="Arial Narrow" w:hAnsi="Arial Narrow"/>
          <w:sz w:val="18"/>
          <w:szCs w:val="18"/>
        </w:rPr>
        <w:t xml:space="preserve">sample of </w:t>
      </w:r>
      <w:r w:rsidRPr="0028081E">
        <w:rPr>
          <w:rFonts w:ascii="Arial Narrow" w:hAnsi="Arial Narrow"/>
          <w:sz w:val="18"/>
          <w:szCs w:val="18"/>
        </w:rPr>
        <w:t>PBS</w:t>
      </w:r>
      <w:r w:rsidR="00841905" w:rsidRPr="0028081E">
        <w:rPr>
          <w:rFonts w:ascii="Arial Narrow" w:hAnsi="Arial Narrow"/>
          <w:sz w:val="18"/>
          <w:szCs w:val="18"/>
        </w:rPr>
        <w:t xml:space="preserve"> </w:t>
      </w:r>
      <w:r w:rsidR="006E0860" w:rsidRPr="0028081E">
        <w:rPr>
          <w:rFonts w:ascii="Arial Narrow" w:hAnsi="Arial Narrow"/>
          <w:sz w:val="18"/>
          <w:szCs w:val="18"/>
        </w:rPr>
        <w:t>data</w:t>
      </w:r>
      <w:r w:rsidRPr="0028081E">
        <w:rPr>
          <w:rFonts w:ascii="Arial Narrow" w:hAnsi="Arial Narrow"/>
          <w:sz w:val="18"/>
          <w:szCs w:val="18"/>
        </w:rPr>
        <w:t xml:space="preserve"> extrapolated over the 6 years of listing.</w:t>
      </w:r>
    </w:p>
    <w:p w:rsidR="00FC001F" w:rsidRPr="0028081E" w:rsidRDefault="00FC001F" w:rsidP="00FE1C05">
      <w:pPr>
        <w:pStyle w:val="3Bodytext"/>
        <w:numPr>
          <w:ilvl w:val="0"/>
          <w:numId w:val="0"/>
        </w:numPr>
        <w:spacing w:after="0"/>
        <w:ind w:hanging="11"/>
        <w:jc w:val="both"/>
        <w:rPr>
          <w:rFonts w:ascii="Arial Narrow" w:hAnsi="Arial Narrow"/>
          <w:sz w:val="18"/>
          <w:szCs w:val="18"/>
        </w:rPr>
      </w:pPr>
      <w:r w:rsidRPr="0028081E">
        <w:rPr>
          <w:rFonts w:ascii="Arial Narrow" w:hAnsi="Arial Narrow"/>
          <w:sz w:val="18"/>
          <w:szCs w:val="18"/>
          <w:vertAlign w:val="superscript"/>
        </w:rPr>
        <w:t>#</w:t>
      </w:r>
      <w:r w:rsidRPr="0028081E">
        <w:rPr>
          <w:rFonts w:ascii="Arial Narrow" w:hAnsi="Arial Narrow"/>
          <w:sz w:val="18"/>
          <w:szCs w:val="18"/>
        </w:rPr>
        <w:t xml:space="preserve"> Uptake rates for SGLT2</w:t>
      </w:r>
      <w:r w:rsidR="00436BE5" w:rsidRPr="0028081E">
        <w:rPr>
          <w:rFonts w:ascii="Arial Narrow" w:hAnsi="Arial Narrow"/>
          <w:sz w:val="18"/>
          <w:szCs w:val="18"/>
        </w:rPr>
        <w:t xml:space="preserve"> and </w:t>
      </w:r>
      <w:r w:rsidR="00436BE5" w:rsidRPr="0028081E">
        <w:rPr>
          <w:rStyle w:val="Emphasis"/>
          <w:rFonts w:ascii="Arial Narrow" w:hAnsi="Arial Narrow" w:cs="Arial"/>
          <w:b w:val="0"/>
          <w:bCs w:val="0"/>
          <w:sz w:val="18"/>
          <w:szCs w:val="18"/>
        </w:rPr>
        <w:t>DPP</w:t>
      </w:r>
      <w:r w:rsidR="00436BE5" w:rsidRPr="0028081E">
        <w:rPr>
          <w:rStyle w:val="st1"/>
          <w:rFonts w:ascii="Arial Narrow" w:hAnsi="Arial Narrow" w:cs="Arial"/>
          <w:b/>
          <w:bCs/>
          <w:sz w:val="18"/>
          <w:szCs w:val="18"/>
        </w:rPr>
        <w:t>-</w:t>
      </w:r>
      <w:r w:rsidR="00436BE5" w:rsidRPr="0028081E">
        <w:rPr>
          <w:rStyle w:val="Emphasis"/>
          <w:rFonts w:ascii="Arial Narrow" w:hAnsi="Arial Narrow" w:cs="Arial"/>
          <w:b w:val="0"/>
          <w:bCs w:val="0"/>
          <w:sz w:val="18"/>
          <w:szCs w:val="18"/>
        </w:rPr>
        <w:t xml:space="preserve">4 were estimated based </w:t>
      </w:r>
      <w:r w:rsidR="00DB7A65" w:rsidRPr="0028081E">
        <w:rPr>
          <w:rStyle w:val="Emphasis"/>
          <w:rFonts w:ascii="Arial Narrow" w:hAnsi="Arial Narrow" w:cs="Arial"/>
          <w:b w:val="0"/>
          <w:bCs w:val="0"/>
          <w:sz w:val="18"/>
          <w:szCs w:val="18"/>
        </w:rPr>
        <w:t xml:space="preserve">on a </w:t>
      </w:r>
      <w:r w:rsidR="00436BE5" w:rsidRPr="0028081E">
        <w:rPr>
          <w:rStyle w:val="Emphasis"/>
          <w:rFonts w:ascii="Arial Narrow" w:hAnsi="Arial Narrow" w:cs="Arial"/>
          <w:b w:val="0"/>
          <w:bCs w:val="0"/>
          <w:sz w:val="18"/>
          <w:szCs w:val="18"/>
        </w:rPr>
        <w:t xml:space="preserve">10% </w:t>
      </w:r>
      <w:r w:rsidR="00DB7A65" w:rsidRPr="0028081E">
        <w:rPr>
          <w:rStyle w:val="Emphasis"/>
          <w:rFonts w:ascii="Arial Narrow" w:hAnsi="Arial Narrow" w:cs="Arial"/>
          <w:b w:val="0"/>
          <w:bCs w:val="0"/>
          <w:sz w:val="18"/>
          <w:szCs w:val="18"/>
        </w:rPr>
        <w:t xml:space="preserve">sample of </w:t>
      </w:r>
      <w:r w:rsidR="00436BE5" w:rsidRPr="0028081E">
        <w:rPr>
          <w:rStyle w:val="Emphasis"/>
          <w:rFonts w:ascii="Arial Narrow" w:hAnsi="Arial Narrow" w:cs="Arial"/>
          <w:b w:val="0"/>
          <w:bCs w:val="0"/>
          <w:sz w:val="18"/>
          <w:szCs w:val="18"/>
        </w:rPr>
        <w:t>PBS data from June 2006 to December 2019 of patients who switch</w:t>
      </w:r>
      <w:r w:rsidR="00DB7A65" w:rsidRPr="0028081E">
        <w:rPr>
          <w:rStyle w:val="Emphasis"/>
          <w:rFonts w:ascii="Arial Narrow" w:hAnsi="Arial Narrow" w:cs="Arial"/>
          <w:b w:val="0"/>
          <w:bCs w:val="0"/>
          <w:sz w:val="18"/>
          <w:szCs w:val="18"/>
        </w:rPr>
        <w:t>ed</w:t>
      </w:r>
      <w:r w:rsidR="00436BE5" w:rsidRPr="0028081E">
        <w:rPr>
          <w:rStyle w:val="Emphasis"/>
          <w:rFonts w:ascii="Arial Narrow" w:hAnsi="Arial Narrow" w:cs="Arial"/>
          <w:b w:val="0"/>
          <w:bCs w:val="0"/>
          <w:sz w:val="18"/>
          <w:szCs w:val="18"/>
        </w:rPr>
        <w:t xml:space="preserve"> from </w:t>
      </w:r>
      <w:r w:rsidR="00436BE5" w:rsidRPr="0028081E">
        <w:rPr>
          <w:rFonts w:ascii="Arial Narrow" w:hAnsi="Arial Narrow"/>
          <w:sz w:val="18"/>
          <w:szCs w:val="18"/>
        </w:rPr>
        <w:t xml:space="preserve">SGLT2 or </w:t>
      </w:r>
      <w:r w:rsidR="00436BE5" w:rsidRPr="0028081E">
        <w:rPr>
          <w:rStyle w:val="Emphasis"/>
          <w:rFonts w:ascii="Arial Narrow" w:hAnsi="Arial Narrow" w:cs="Arial"/>
          <w:b w:val="0"/>
          <w:bCs w:val="0"/>
          <w:sz w:val="18"/>
          <w:szCs w:val="18"/>
        </w:rPr>
        <w:t>DPP</w:t>
      </w:r>
      <w:r w:rsidR="00436BE5" w:rsidRPr="0028081E">
        <w:rPr>
          <w:rStyle w:val="st1"/>
          <w:rFonts w:ascii="Arial Narrow" w:hAnsi="Arial Narrow" w:cs="Arial"/>
          <w:b/>
          <w:bCs/>
          <w:sz w:val="18"/>
          <w:szCs w:val="18"/>
        </w:rPr>
        <w:t>-</w:t>
      </w:r>
      <w:r w:rsidR="00436BE5" w:rsidRPr="0028081E">
        <w:rPr>
          <w:rStyle w:val="Emphasis"/>
          <w:rFonts w:ascii="Arial Narrow" w:hAnsi="Arial Narrow" w:cs="Arial"/>
          <w:b w:val="0"/>
          <w:bCs w:val="0"/>
          <w:sz w:val="18"/>
          <w:szCs w:val="18"/>
        </w:rPr>
        <w:t xml:space="preserve">4 to a GLP-1 RA. </w:t>
      </w:r>
      <w:r w:rsidR="00436BE5" w:rsidRPr="0028081E">
        <w:rPr>
          <w:rFonts w:ascii="Arial Narrow" w:hAnsi="Arial Narrow"/>
          <w:sz w:val="18"/>
          <w:szCs w:val="18"/>
        </w:rPr>
        <w:t xml:space="preserve">14% had received an SGLT2 and 43% had received a DPP4 prior to receiving exenatide BID during that time period. </w:t>
      </w:r>
    </w:p>
    <w:p w:rsidR="004667FC" w:rsidRPr="0028081E" w:rsidRDefault="00670322" w:rsidP="00FE1C05">
      <w:pPr>
        <w:pStyle w:val="3Bodytext"/>
        <w:numPr>
          <w:ilvl w:val="0"/>
          <w:numId w:val="0"/>
        </w:numPr>
        <w:spacing w:after="0"/>
        <w:rPr>
          <w:rFonts w:ascii="Arial Narrow" w:hAnsi="Arial Narrow"/>
          <w:bCs/>
          <w:sz w:val="18"/>
          <w:szCs w:val="18"/>
        </w:rPr>
      </w:pPr>
      <w:r w:rsidRPr="0028081E">
        <w:rPr>
          <w:rFonts w:ascii="Arial Narrow" w:hAnsi="Arial Narrow"/>
          <w:bCs/>
          <w:sz w:val="18"/>
          <w:szCs w:val="18"/>
        </w:rPr>
        <w:t xml:space="preserve">Source: compiled by the Secretariat, pp4-16, </w:t>
      </w:r>
      <w:r w:rsidR="00852D3E" w:rsidRPr="0028081E">
        <w:rPr>
          <w:rFonts w:ascii="Arial Narrow" w:hAnsi="Arial Narrow"/>
          <w:bCs/>
          <w:sz w:val="18"/>
          <w:szCs w:val="18"/>
        </w:rPr>
        <w:t xml:space="preserve">Table 2, p9 of the minor resubmission; </w:t>
      </w:r>
      <w:r w:rsidR="00852D3E" w:rsidRPr="0028081E">
        <w:rPr>
          <w:rFonts w:ascii="Arial Narrow" w:hAnsi="Arial Narrow"/>
          <w:sz w:val="18"/>
          <w:szCs w:val="18"/>
        </w:rPr>
        <w:t>Dulaglutide Section 4 Model</w:t>
      </w:r>
      <w:r w:rsidR="00C31692" w:rsidRPr="0028081E">
        <w:rPr>
          <w:rFonts w:ascii="Arial Narrow" w:hAnsi="Arial Narrow"/>
          <w:sz w:val="18"/>
          <w:szCs w:val="18"/>
        </w:rPr>
        <w:t>_April 2020</w:t>
      </w:r>
      <w:r w:rsidR="00852D3E" w:rsidRPr="0028081E">
        <w:rPr>
          <w:rFonts w:ascii="Arial Narrow" w:hAnsi="Arial Narrow"/>
          <w:sz w:val="18"/>
          <w:szCs w:val="18"/>
        </w:rPr>
        <w:t>.xlsx</w:t>
      </w:r>
    </w:p>
    <w:p w:rsidR="0073227F" w:rsidRPr="0028081E" w:rsidRDefault="0073227F" w:rsidP="00294A37">
      <w:pPr>
        <w:spacing w:after="120"/>
        <w:rPr>
          <w:i/>
          <w:iCs/>
        </w:rPr>
      </w:pPr>
    </w:p>
    <w:p w:rsidR="00371DE9" w:rsidRPr="006B02AC" w:rsidRDefault="004131B2" w:rsidP="00294A37">
      <w:pPr>
        <w:pStyle w:val="3Bodytext"/>
        <w:jc w:val="both"/>
        <w:rPr>
          <w:rFonts w:cstheme="minorHAnsi"/>
          <w:bCs/>
          <w:iCs/>
        </w:rPr>
      </w:pPr>
      <w:r w:rsidRPr="0028081E">
        <w:rPr>
          <w:rFonts w:cstheme="minorHAnsi"/>
          <w:bCs/>
        </w:rPr>
        <w:t xml:space="preserve">The PBAC previously considered that the </w:t>
      </w:r>
      <w:r w:rsidRPr="0028081E">
        <w:rPr>
          <w:rFonts w:eastAsia="Times New Roman" w:cstheme="minorHAnsi"/>
          <w:bCs/>
          <w:snapToGrid w:val="0"/>
          <w:szCs w:val="24"/>
        </w:rPr>
        <w:t xml:space="preserve">majority of prescribers would likely substitute exenatide BID with dulaglutide QW in patients currently treated with exenatide BID in combination with insulin given the more convenient dosing schedule </w:t>
      </w:r>
      <w:r w:rsidR="00BF52F1" w:rsidRPr="0028081E">
        <w:rPr>
          <w:rFonts w:cstheme="minorHAnsi"/>
          <w:bCs/>
        </w:rPr>
        <w:t>(</w:t>
      </w:r>
      <w:r w:rsidR="00F35251" w:rsidRPr="0028081E">
        <w:rPr>
          <w:rFonts w:cstheme="minorHAnsi"/>
          <w:bCs/>
        </w:rPr>
        <w:t>paragraph</w:t>
      </w:r>
      <w:r w:rsidR="00BF52F1" w:rsidRPr="0028081E">
        <w:rPr>
          <w:rFonts w:cstheme="minorHAnsi"/>
          <w:bCs/>
        </w:rPr>
        <w:t xml:space="preserve"> 7.9, dulaglutide </w:t>
      </w:r>
      <w:r w:rsidR="00763048">
        <w:rPr>
          <w:rFonts w:cstheme="minorHAnsi"/>
          <w:bCs/>
        </w:rPr>
        <w:t>Public Summary Document (</w:t>
      </w:r>
      <w:r w:rsidR="00BF52F1" w:rsidRPr="0028081E">
        <w:rPr>
          <w:rFonts w:cstheme="minorHAnsi"/>
          <w:bCs/>
        </w:rPr>
        <w:t>PSD</w:t>
      </w:r>
      <w:r w:rsidR="00763048">
        <w:rPr>
          <w:rFonts w:cstheme="minorHAnsi"/>
          <w:bCs/>
        </w:rPr>
        <w:t>)</w:t>
      </w:r>
      <w:r w:rsidR="00BF52F1" w:rsidRPr="0028081E">
        <w:rPr>
          <w:rFonts w:cstheme="minorHAnsi"/>
          <w:bCs/>
        </w:rPr>
        <w:t>, November 2019)</w:t>
      </w:r>
      <w:r w:rsidR="00A539A1" w:rsidRPr="0028081E">
        <w:rPr>
          <w:rFonts w:cstheme="minorHAnsi"/>
          <w:bCs/>
        </w:rPr>
        <w:t>.</w:t>
      </w:r>
      <w:r w:rsidR="00657ED5" w:rsidRPr="0028081E">
        <w:rPr>
          <w:rFonts w:cstheme="minorHAnsi"/>
          <w:bCs/>
        </w:rPr>
        <w:t xml:space="preserve"> </w:t>
      </w:r>
      <w:r w:rsidRPr="0028081E">
        <w:rPr>
          <w:rFonts w:cstheme="minorHAnsi"/>
          <w:bCs/>
        </w:rPr>
        <w:t>However</w:t>
      </w:r>
      <w:r w:rsidR="00657ED5" w:rsidRPr="0028081E">
        <w:rPr>
          <w:rFonts w:cstheme="minorHAnsi"/>
          <w:bCs/>
        </w:rPr>
        <w:t xml:space="preserve">, the sponsor considered that patients who are adequately controlled with exenatide BID (with insulin) are less likely to switch to </w:t>
      </w:r>
      <w:r w:rsidR="003A0ED4" w:rsidRPr="0028081E">
        <w:rPr>
          <w:rFonts w:cstheme="minorHAnsi"/>
          <w:bCs/>
        </w:rPr>
        <w:t xml:space="preserve">dulaglutide </w:t>
      </w:r>
      <w:r w:rsidR="001B3477" w:rsidRPr="0028081E">
        <w:rPr>
          <w:rFonts w:cstheme="minorHAnsi"/>
          <w:bCs/>
        </w:rPr>
        <w:t xml:space="preserve">QW </w:t>
      </w:r>
      <w:r w:rsidR="003A0ED4" w:rsidRPr="0028081E">
        <w:rPr>
          <w:rFonts w:cstheme="minorHAnsi"/>
          <w:bCs/>
        </w:rPr>
        <w:t>(with insulin)</w:t>
      </w:r>
      <w:r w:rsidR="00956EFE" w:rsidRPr="0028081E">
        <w:rPr>
          <w:rFonts w:cstheme="minorHAnsi"/>
          <w:bCs/>
        </w:rPr>
        <w:t xml:space="preserve"> thus the estimated uptake rates of dulaglutide </w:t>
      </w:r>
      <w:r w:rsidR="009F476A" w:rsidRPr="0028081E">
        <w:rPr>
          <w:rFonts w:cstheme="minorHAnsi"/>
          <w:bCs/>
        </w:rPr>
        <w:t xml:space="preserve">QW </w:t>
      </w:r>
      <w:r w:rsidR="00956EFE" w:rsidRPr="0028081E">
        <w:rPr>
          <w:rFonts w:cstheme="minorHAnsi"/>
          <w:bCs/>
        </w:rPr>
        <w:t>from exenatide BID were unchanged in the resubmission</w:t>
      </w:r>
      <w:r w:rsidR="0073241A" w:rsidRPr="0028081E">
        <w:rPr>
          <w:rFonts w:cstheme="minorHAnsi"/>
          <w:bCs/>
        </w:rPr>
        <w:t xml:space="preserve"> (see </w:t>
      </w:r>
      <w:r w:rsidR="00AC76FF" w:rsidRPr="0028081E">
        <w:rPr>
          <w:rFonts w:cstheme="minorHAnsi"/>
          <w:bCs/>
          <w:szCs w:val="24"/>
        </w:rPr>
        <w:t xml:space="preserve">Table </w:t>
      </w:r>
      <w:r w:rsidR="00AC76FF" w:rsidRPr="00793BA6">
        <w:rPr>
          <w:rFonts w:cstheme="minorHAnsi"/>
          <w:bCs/>
          <w:szCs w:val="24"/>
        </w:rPr>
        <w:t>3</w:t>
      </w:r>
      <w:r w:rsidR="0073241A" w:rsidRPr="0028081E">
        <w:rPr>
          <w:rFonts w:cstheme="minorHAnsi"/>
          <w:bCs/>
        </w:rPr>
        <w:t>)</w:t>
      </w:r>
      <w:r w:rsidR="00956EFE" w:rsidRPr="0028081E">
        <w:rPr>
          <w:rFonts w:cstheme="minorHAnsi"/>
          <w:bCs/>
        </w:rPr>
        <w:t>.</w:t>
      </w:r>
      <w:r w:rsidR="00993071" w:rsidRPr="0028081E">
        <w:rPr>
          <w:rFonts w:cstheme="minorHAnsi"/>
          <w:bCs/>
          <w:i/>
        </w:rPr>
        <w:t xml:space="preserve"> </w:t>
      </w:r>
      <w:r w:rsidR="00993071" w:rsidRPr="0028081E">
        <w:rPr>
          <w:rFonts w:cstheme="minorHAnsi"/>
          <w:bCs/>
          <w:iCs/>
        </w:rPr>
        <w:t xml:space="preserve">The sponsor indicated in the resubmission that the uptake rates presented in the previous submission were likely an overestimation, </w:t>
      </w:r>
      <w:r w:rsidR="00DA05A4" w:rsidRPr="0028081E">
        <w:rPr>
          <w:rFonts w:cstheme="minorHAnsi"/>
          <w:bCs/>
          <w:iCs/>
        </w:rPr>
        <w:t>however presented the</w:t>
      </w:r>
      <w:r w:rsidR="00993071" w:rsidRPr="0028081E">
        <w:rPr>
          <w:rFonts w:cstheme="minorHAnsi"/>
          <w:bCs/>
          <w:iCs/>
        </w:rPr>
        <w:t xml:space="preserve"> same uptake rates.</w:t>
      </w:r>
      <w:r w:rsidR="00983FBD" w:rsidRPr="0028081E">
        <w:rPr>
          <w:rFonts w:cstheme="minorHAnsi"/>
          <w:bCs/>
          <w:iCs/>
        </w:rPr>
        <w:t xml:space="preserve"> </w:t>
      </w:r>
      <w:r w:rsidR="00655AA6" w:rsidRPr="0028081E">
        <w:rPr>
          <w:rFonts w:cstheme="minorHAnsi"/>
          <w:bCs/>
          <w:iCs/>
        </w:rPr>
        <w:t>T</w:t>
      </w:r>
      <w:r w:rsidR="00983FBD" w:rsidRPr="0028081E">
        <w:rPr>
          <w:rFonts w:cstheme="minorHAnsi"/>
          <w:bCs/>
          <w:iCs/>
        </w:rPr>
        <w:t xml:space="preserve">he </w:t>
      </w:r>
      <w:r w:rsidR="009F476A" w:rsidRPr="0028081E">
        <w:rPr>
          <w:rFonts w:cstheme="minorHAnsi"/>
          <w:bCs/>
          <w:iCs/>
        </w:rPr>
        <w:t>p</w:t>
      </w:r>
      <w:r w:rsidR="00983FBD" w:rsidRPr="0028081E">
        <w:rPr>
          <w:rFonts w:cstheme="minorHAnsi"/>
          <w:bCs/>
          <w:iCs/>
        </w:rPr>
        <w:t xml:space="preserve">re-PBAC </w:t>
      </w:r>
      <w:r w:rsidR="009F476A" w:rsidRPr="0028081E">
        <w:rPr>
          <w:rFonts w:cstheme="minorHAnsi"/>
          <w:bCs/>
          <w:iCs/>
        </w:rPr>
        <w:t>r</w:t>
      </w:r>
      <w:r w:rsidR="00983FBD" w:rsidRPr="0028081E">
        <w:rPr>
          <w:rFonts w:cstheme="minorHAnsi"/>
          <w:bCs/>
          <w:iCs/>
        </w:rPr>
        <w:t xml:space="preserve">esponse </w:t>
      </w:r>
      <w:r w:rsidR="00CD5A1C" w:rsidRPr="0028081E">
        <w:rPr>
          <w:rFonts w:cstheme="minorHAnsi"/>
          <w:bCs/>
          <w:iCs/>
        </w:rPr>
        <w:t>noted</w:t>
      </w:r>
      <w:r w:rsidR="00AE6EFD" w:rsidRPr="0028081E">
        <w:rPr>
          <w:rFonts w:cstheme="minorHAnsi"/>
          <w:bCs/>
          <w:iCs/>
        </w:rPr>
        <w:t xml:space="preserve"> </w:t>
      </w:r>
      <w:r w:rsidR="00407886" w:rsidRPr="0028081E">
        <w:rPr>
          <w:rFonts w:cstheme="minorHAnsi"/>
          <w:bCs/>
          <w:iCs/>
        </w:rPr>
        <w:t xml:space="preserve">the </w:t>
      </w:r>
      <w:r w:rsidR="009F476A" w:rsidRPr="0028081E">
        <w:rPr>
          <w:rFonts w:cstheme="minorHAnsi"/>
          <w:bCs/>
        </w:rPr>
        <w:t>uptake rate of dulaglutide QW from exenatide BID</w:t>
      </w:r>
      <w:r w:rsidR="009F476A" w:rsidRPr="0028081E">
        <w:rPr>
          <w:rFonts w:cstheme="minorHAnsi"/>
          <w:bCs/>
          <w:iCs/>
        </w:rPr>
        <w:t xml:space="preserve"> </w:t>
      </w:r>
      <w:r w:rsidR="00CD5A1C" w:rsidRPr="0028081E">
        <w:rPr>
          <w:rFonts w:cstheme="minorHAnsi"/>
          <w:bCs/>
          <w:iCs/>
        </w:rPr>
        <w:t xml:space="preserve">applied in the estimates </w:t>
      </w:r>
      <w:r w:rsidR="00AB403B" w:rsidRPr="006B02AC">
        <w:rPr>
          <w:rFonts w:cstheme="minorHAnsi"/>
          <w:bCs/>
          <w:iCs/>
        </w:rPr>
        <w:t xml:space="preserve">at </w:t>
      </w:r>
      <w:r w:rsidR="00983FBD" w:rsidRPr="006B02AC">
        <w:rPr>
          <w:rFonts w:cstheme="minorHAnsi"/>
          <w:bCs/>
          <w:iCs/>
        </w:rPr>
        <w:t xml:space="preserve">61.5% </w:t>
      </w:r>
      <w:r w:rsidR="00407886" w:rsidRPr="006B02AC">
        <w:t>over the first 6 years of listing</w:t>
      </w:r>
      <w:r w:rsidR="00681BE9" w:rsidRPr="006B02AC">
        <w:rPr>
          <w:rFonts w:cstheme="minorHAnsi"/>
          <w:bCs/>
          <w:iCs/>
        </w:rPr>
        <w:t xml:space="preserve"> </w:t>
      </w:r>
      <w:r w:rsidR="00CD5A1C" w:rsidRPr="006B02AC">
        <w:rPr>
          <w:rFonts w:cstheme="minorHAnsi"/>
          <w:bCs/>
          <w:iCs/>
        </w:rPr>
        <w:t>was substantially</w:t>
      </w:r>
      <w:r w:rsidR="00AE6EFD" w:rsidRPr="006B02AC">
        <w:rPr>
          <w:rFonts w:cstheme="minorHAnsi"/>
          <w:bCs/>
          <w:iCs/>
        </w:rPr>
        <w:t xml:space="preserve"> higher than </w:t>
      </w:r>
      <w:r w:rsidR="009F476A" w:rsidRPr="006B02AC">
        <w:rPr>
          <w:rFonts w:cstheme="minorHAnsi"/>
          <w:bCs/>
          <w:iCs/>
        </w:rPr>
        <w:t xml:space="preserve">the uptake rate of </w:t>
      </w:r>
      <w:r w:rsidR="00AE6EFD" w:rsidRPr="006B02AC">
        <w:rPr>
          <w:rFonts w:cstheme="minorHAnsi"/>
          <w:bCs/>
          <w:iCs/>
        </w:rPr>
        <w:t>40.3%</w:t>
      </w:r>
      <w:r w:rsidR="0027093B" w:rsidRPr="006B02AC">
        <w:rPr>
          <w:rFonts w:cstheme="minorHAnsi"/>
          <w:bCs/>
          <w:iCs/>
        </w:rPr>
        <w:t xml:space="preserve"> previously</w:t>
      </w:r>
      <w:r w:rsidR="007732F5" w:rsidRPr="006B02AC">
        <w:rPr>
          <w:rFonts w:cstheme="minorHAnsi"/>
          <w:bCs/>
          <w:iCs/>
        </w:rPr>
        <w:t xml:space="preserve"> </w:t>
      </w:r>
      <w:r w:rsidR="00AE6EFD" w:rsidRPr="006B02AC">
        <w:rPr>
          <w:rFonts w:cstheme="minorHAnsi"/>
          <w:bCs/>
          <w:iCs/>
        </w:rPr>
        <w:t xml:space="preserve">accepted by the PBAC </w:t>
      </w:r>
      <w:r w:rsidR="0027093B" w:rsidRPr="006B02AC">
        <w:rPr>
          <w:rFonts w:cstheme="minorHAnsi"/>
          <w:bCs/>
          <w:iCs/>
        </w:rPr>
        <w:t>for</w:t>
      </w:r>
      <w:r w:rsidR="00AE6EFD" w:rsidRPr="006B02AC">
        <w:rPr>
          <w:rFonts w:cstheme="minorHAnsi"/>
          <w:bCs/>
          <w:iCs/>
        </w:rPr>
        <w:t xml:space="preserve"> dulaglutide QW </w:t>
      </w:r>
      <w:r w:rsidR="00AE6EFD" w:rsidRPr="006B02AC">
        <w:t xml:space="preserve">in November 2017. </w:t>
      </w:r>
      <w:r w:rsidR="0027093B" w:rsidRPr="006B02AC">
        <w:t xml:space="preserve">The pre-PBAC response </w:t>
      </w:r>
      <w:r w:rsidR="00681BE9" w:rsidRPr="006B02AC">
        <w:t xml:space="preserve">also </w:t>
      </w:r>
      <w:r w:rsidR="00B46595" w:rsidRPr="006B02AC">
        <w:t xml:space="preserve">noted </w:t>
      </w:r>
      <w:r w:rsidR="00FD09EC" w:rsidRPr="006B02AC">
        <w:t>that the displacement rates of exenatide BID for dulaglutide</w:t>
      </w:r>
      <w:r w:rsidR="00AB403B" w:rsidRPr="006B02AC">
        <w:t xml:space="preserve"> QW</w:t>
      </w:r>
      <w:r w:rsidR="00FD09EC" w:rsidRPr="006B02AC">
        <w:t xml:space="preserve"> in the oral combination </w:t>
      </w:r>
      <w:r w:rsidR="004F1497" w:rsidRPr="006B02AC">
        <w:t xml:space="preserve">market </w:t>
      </w:r>
      <w:r w:rsidR="00FD09EC" w:rsidRPr="006B02AC">
        <w:t xml:space="preserve">were </w:t>
      </w:r>
      <w:r w:rsidR="00FD09EC" w:rsidRPr="006B02AC">
        <w:rPr>
          <w:bCs/>
        </w:rPr>
        <w:t>16.4% and 29.5%</w:t>
      </w:r>
      <w:r w:rsidR="0076064A" w:rsidRPr="006B02AC">
        <w:rPr>
          <w:bCs/>
        </w:rPr>
        <w:t xml:space="preserve"> in Year</w:t>
      </w:r>
      <w:r w:rsidR="00B46595" w:rsidRPr="006B02AC">
        <w:rPr>
          <w:bCs/>
        </w:rPr>
        <w:t>s</w:t>
      </w:r>
      <w:r w:rsidR="0076064A" w:rsidRPr="006B02AC">
        <w:rPr>
          <w:bCs/>
        </w:rPr>
        <w:t xml:space="preserve"> 1 and 2 of listing </w:t>
      </w:r>
      <w:r w:rsidR="00FD09EC" w:rsidRPr="006B02AC">
        <w:rPr>
          <w:bCs/>
        </w:rPr>
        <w:t xml:space="preserve">which were </w:t>
      </w:r>
      <w:r w:rsidR="004F1497" w:rsidRPr="006B02AC">
        <w:rPr>
          <w:bCs/>
        </w:rPr>
        <w:t>lower than</w:t>
      </w:r>
      <w:r w:rsidR="00AB403B" w:rsidRPr="006B02AC">
        <w:rPr>
          <w:bCs/>
        </w:rPr>
        <w:t xml:space="preserve"> </w:t>
      </w:r>
      <w:r w:rsidR="00FD09EC" w:rsidRPr="006B02AC">
        <w:rPr>
          <w:bCs/>
        </w:rPr>
        <w:t>the uptake rates</w:t>
      </w:r>
      <w:r w:rsidR="00B46595" w:rsidRPr="006B02AC">
        <w:rPr>
          <w:bCs/>
        </w:rPr>
        <w:t xml:space="preserve"> from the exenatide BID market</w:t>
      </w:r>
      <w:r w:rsidR="0076064A" w:rsidRPr="006B02AC">
        <w:rPr>
          <w:bCs/>
        </w:rPr>
        <w:t xml:space="preserve"> applied in the resubmission (35% in Year 1 and 55% in Year 2)</w:t>
      </w:r>
      <w:r w:rsidR="00FD09EC" w:rsidRPr="006B02AC">
        <w:rPr>
          <w:bCs/>
        </w:rPr>
        <w:t xml:space="preserve">. </w:t>
      </w:r>
    </w:p>
    <w:p w:rsidR="0073227F" w:rsidRPr="0028081E" w:rsidRDefault="002905B6" w:rsidP="00294A37">
      <w:pPr>
        <w:pStyle w:val="3Bodytext"/>
        <w:jc w:val="both"/>
        <w:rPr>
          <w:rFonts w:cstheme="minorHAnsi"/>
          <w:bCs/>
        </w:rPr>
      </w:pPr>
      <w:r w:rsidRPr="006B02AC">
        <w:rPr>
          <w:rFonts w:cstheme="minorHAnsi"/>
          <w:bCs/>
          <w:iCs/>
        </w:rPr>
        <w:t>The resubmission used</w:t>
      </w:r>
      <w:r w:rsidR="008D575C" w:rsidRPr="006B02AC">
        <w:rPr>
          <w:rFonts w:cstheme="minorHAnsi"/>
          <w:bCs/>
          <w:iCs/>
        </w:rPr>
        <w:t xml:space="preserve"> </w:t>
      </w:r>
      <w:r w:rsidR="001711CA" w:rsidRPr="006B02AC">
        <w:rPr>
          <w:rFonts w:cstheme="minorHAnsi"/>
          <w:bCs/>
          <w:iCs/>
        </w:rPr>
        <w:t xml:space="preserve">a pragmatic approach to </w:t>
      </w:r>
      <w:r w:rsidR="006E6A29" w:rsidRPr="006B02AC">
        <w:rPr>
          <w:rFonts w:cstheme="minorHAnsi"/>
          <w:bCs/>
          <w:iCs/>
        </w:rPr>
        <w:t>derive the estimates of utilisation</w:t>
      </w:r>
      <w:r w:rsidRPr="006B02AC">
        <w:rPr>
          <w:rFonts w:cstheme="minorHAnsi"/>
          <w:bCs/>
          <w:iCs/>
        </w:rPr>
        <w:t xml:space="preserve"> from displacement of SGLT2 and DPP-4 inhibitors</w:t>
      </w:r>
      <w:r w:rsidR="00685D83" w:rsidRPr="006B02AC">
        <w:rPr>
          <w:rFonts w:cstheme="minorHAnsi"/>
          <w:bCs/>
          <w:iCs/>
        </w:rPr>
        <w:t>,</w:t>
      </w:r>
      <w:r w:rsidR="006E6A29" w:rsidRPr="006B02AC">
        <w:rPr>
          <w:rFonts w:cstheme="minorHAnsi"/>
          <w:bCs/>
          <w:iCs/>
        </w:rPr>
        <w:t xml:space="preserve"> </w:t>
      </w:r>
      <w:r w:rsidR="001711CA" w:rsidRPr="006B02AC">
        <w:rPr>
          <w:rFonts w:cstheme="minorHAnsi"/>
          <w:bCs/>
          <w:iCs/>
        </w:rPr>
        <w:t>where pooled data</w:t>
      </w:r>
      <w:r w:rsidR="001711CA" w:rsidRPr="0028081E">
        <w:rPr>
          <w:rFonts w:cstheme="minorHAnsi"/>
          <w:bCs/>
          <w:iCs/>
        </w:rPr>
        <w:t xml:space="preserve"> from all </w:t>
      </w:r>
      <w:r w:rsidR="006E6A29" w:rsidRPr="0028081E">
        <w:rPr>
          <w:rFonts w:cstheme="minorHAnsi"/>
          <w:bCs/>
          <w:iCs/>
        </w:rPr>
        <w:t>DPP</w:t>
      </w:r>
      <w:r w:rsidR="00436BE5" w:rsidRPr="0028081E">
        <w:rPr>
          <w:rFonts w:cstheme="minorHAnsi"/>
          <w:bCs/>
          <w:iCs/>
        </w:rPr>
        <w:t>-</w:t>
      </w:r>
      <w:r w:rsidR="006E6A29" w:rsidRPr="0028081E">
        <w:rPr>
          <w:rFonts w:cstheme="minorHAnsi"/>
          <w:bCs/>
          <w:iCs/>
        </w:rPr>
        <w:t>4/ SGLT2 inhibitors</w:t>
      </w:r>
      <w:r w:rsidRPr="0028081E">
        <w:rPr>
          <w:rFonts w:cstheme="minorHAnsi"/>
          <w:bCs/>
          <w:iCs/>
        </w:rPr>
        <w:t xml:space="preserve"> listed on the PBS</w:t>
      </w:r>
      <w:r w:rsidR="006E6A29" w:rsidRPr="0028081E">
        <w:rPr>
          <w:rFonts w:cstheme="minorHAnsi"/>
          <w:bCs/>
          <w:iCs/>
        </w:rPr>
        <w:t xml:space="preserve"> were </w:t>
      </w:r>
      <w:r w:rsidR="006A7A28" w:rsidRPr="0028081E">
        <w:rPr>
          <w:rFonts w:cstheme="minorHAnsi"/>
          <w:bCs/>
          <w:iCs/>
        </w:rPr>
        <w:t>included</w:t>
      </w:r>
      <w:r w:rsidRPr="0028081E">
        <w:rPr>
          <w:rFonts w:cstheme="minorHAnsi"/>
          <w:bCs/>
          <w:iCs/>
        </w:rPr>
        <w:t>.</w:t>
      </w:r>
      <w:r w:rsidR="00590962" w:rsidRPr="0028081E">
        <w:rPr>
          <w:rFonts w:cstheme="minorHAnsi"/>
          <w:bCs/>
          <w:iCs/>
        </w:rPr>
        <w:t xml:space="preserve"> </w:t>
      </w:r>
    </w:p>
    <w:p w:rsidR="00685D83" w:rsidRPr="0028081E" w:rsidRDefault="00685D83" w:rsidP="00294A37">
      <w:pPr>
        <w:pStyle w:val="ListParagraph"/>
        <w:widowControl w:val="0"/>
        <w:numPr>
          <w:ilvl w:val="1"/>
          <w:numId w:val="1"/>
        </w:numPr>
        <w:jc w:val="both"/>
        <w:rPr>
          <w:rFonts w:cstheme="minorHAnsi"/>
          <w:bCs/>
        </w:rPr>
      </w:pPr>
      <w:r w:rsidRPr="0028081E">
        <w:t xml:space="preserve">Semaglutide QW was recommended by the PBAC for </w:t>
      </w:r>
      <w:r w:rsidR="004E562F" w:rsidRPr="0028081E">
        <w:t xml:space="preserve">the </w:t>
      </w:r>
      <w:r w:rsidRPr="0028081E">
        <w:t xml:space="preserve">treatment of patients with </w:t>
      </w:r>
      <w:r w:rsidR="004E562F" w:rsidRPr="0028081E">
        <w:t xml:space="preserve">T2DM </w:t>
      </w:r>
      <w:r w:rsidRPr="0028081E">
        <w:t xml:space="preserve">who have inadequate glycaemic control, in combination with metformin </w:t>
      </w:r>
      <w:r w:rsidR="004E562F" w:rsidRPr="0028081E">
        <w:t>and/</w:t>
      </w:r>
      <w:r w:rsidRPr="0028081E">
        <w:t>or a sulfonylurea where either of these is contraindicated or not tolerated in November 2019. This may impact on the uptake of dulaglutide</w:t>
      </w:r>
      <w:r w:rsidR="00C46305" w:rsidRPr="0028081E">
        <w:t xml:space="preserve"> QW</w:t>
      </w:r>
      <w:r w:rsidRPr="0028081E">
        <w:t xml:space="preserve">. </w:t>
      </w:r>
    </w:p>
    <w:p w:rsidR="00512236" w:rsidRPr="0028081E" w:rsidRDefault="00F9102E" w:rsidP="00294A37">
      <w:pPr>
        <w:pStyle w:val="ListParagraph"/>
        <w:numPr>
          <w:ilvl w:val="1"/>
          <w:numId w:val="1"/>
        </w:numPr>
        <w:jc w:val="both"/>
      </w:pPr>
      <w:r w:rsidRPr="0028081E">
        <w:rPr>
          <w:rFonts w:cstheme="minorHAnsi"/>
          <w:bCs/>
        </w:rPr>
        <w:t xml:space="preserve">The </w:t>
      </w:r>
      <w:r w:rsidR="00645A53" w:rsidRPr="0028081E">
        <w:rPr>
          <w:rFonts w:cstheme="minorHAnsi"/>
          <w:bCs/>
        </w:rPr>
        <w:t xml:space="preserve">PBAC </w:t>
      </w:r>
      <w:r w:rsidRPr="0028081E">
        <w:rPr>
          <w:rFonts w:cstheme="minorHAnsi"/>
          <w:bCs/>
        </w:rPr>
        <w:t xml:space="preserve">previously </w:t>
      </w:r>
      <w:r w:rsidR="00645A53" w:rsidRPr="0028081E">
        <w:rPr>
          <w:rFonts w:cstheme="minorHAnsi"/>
          <w:bCs/>
        </w:rPr>
        <w:t xml:space="preserve">considered </w:t>
      </w:r>
      <w:r w:rsidR="00C22E7C" w:rsidRPr="0028081E">
        <w:rPr>
          <w:rFonts w:cstheme="minorHAnsi"/>
          <w:bCs/>
        </w:rPr>
        <w:t xml:space="preserve">that </w:t>
      </w:r>
      <w:r w:rsidR="00B0712C" w:rsidRPr="0028081E">
        <w:rPr>
          <w:bCs/>
        </w:rPr>
        <w:t>the dulaglutide market would likely grow beyond estimated</w:t>
      </w:r>
      <w:r w:rsidR="00FE031A" w:rsidRPr="0028081E">
        <w:rPr>
          <w:bCs/>
        </w:rPr>
        <w:t xml:space="preserve"> (1%</w:t>
      </w:r>
      <w:r w:rsidR="00AB12D9" w:rsidRPr="0028081E">
        <w:rPr>
          <w:bCs/>
        </w:rPr>
        <w:t xml:space="preserve"> per annum</w:t>
      </w:r>
      <w:r w:rsidR="00FE031A" w:rsidRPr="0028081E">
        <w:rPr>
          <w:bCs/>
        </w:rPr>
        <w:t>)</w:t>
      </w:r>
      <w:r w:rsidR="00B0712C" w:rsidRPr="0028081E">
        <w:rPr>
          <w:bCs/>
        </w:rPr>
        <w:t>, noting the changes in clinical place for GLP-1 RA therapies</w:t>
      </w:r>
      <w:r w:rsidR="001558E7" w:rsidRPr="0028081E">
        <w:rPr>
          <w:bCs/>
        </w:rPr>
        <w:t xml:space="preserve"> </w:t>
      </w:r>
      <w:r w:rsidR="001558E7" w:rsidRPr="0028081E">
        <w:rPr>
          <w:rFonts w:cstheme="minorHAnsi"/>
          <w:bCs/>
        </w:rPr>
        <w:t>(paragraphs 7.9, dulaglutide PSD, November 2019)</w:t>
      </w:r>
      <w:r w:rsidR="00A27095" w:rsidRPr="0028081E">
        <w:rPr>
          <w:bCs/>
        </w:rPr>
        <w:t>.</w:t>
      </w:r>
      <w:r w:rsidR="00C22E7C" w:rsidRPr="0028081E">
        <w:rPr>
          <w:bCs/>
        </w:rPr>
        <w:t xml:space="preserve"> </w:t>
      </w:r>
      <w:r w:rsidR="007C7D93" w:rsidRPr="0028081E">
        <w:rPr>
          <w:bCs/>
          <w:iCs/>
        </w:rPr>
        <w:t xml:space="preserve">The resubmission noted expert advice </w:t>
      </w:r>
      <w:r w:rsidR="004E26ED" w:rsidRPr="0028081E">
        <w:rPr>
          <w:bCs/>
          <w:iCs/>
        </w:rPr>
        <w:t xml:space="preserve">indicated that </w:t>
      </w:r>
      <w:r w:rsidR="00FB3904" w:rsidRPr="0028081E">
        <w:rPr>
          <w:bCs/>
          <w:iCs/>
        </w:rPr>
        <w:t xml:space="preserve">patients with T2DM are most likely to be treated with oral </w:t>
      </w:r>
      <w:r w:rsidR="00EA14E2" w:rsidRPr="0028081E">
        <w:rPr>
          <w:bCs/>
          <w:iCs/>
        </w:rPr>
        <w:t>combination therapy</w:t>
      </w:r>
      <w:r w:rsidR="00FB3904" w:rsidRPr="0028081E">
        <w:rPr>
          <w:bCs/>
          <w:iCs/>
        </w:rPr>
        <w:t xml:space="preserve"> prior to </w:t>
      </w:r>
      <w:r w:rsidR="005C35EA" w:rsidRPr="0028081E">
        <w:rPr>
          <w:bCs/>
          <w:iCs/>
        </w:rPr>
        <w:t>initiating injectable</w:t>
      </w:r>
      <w:r w:rsidR="00FB3904" w:rsidRPr="0028081E">
        <w:rPr>
          <w:bCs/>
          <w:iCs/>
        </w:rPr>
        <w:t xml:space="preserve"> therapy </w:t>
      </w:r>
      <w:r w:rsidR="007C7D93" w:rsidRPr="0028081E">
        <w:rPr>
          <w:rFonts w:cstheme="minorHAnsi"/>
          <w:iCs/>
        </w:rPr>
        <w:t>in clinical practice</w:t>
      </w:r>
      <w:r w:rsidR="00FB3904" w:rsidRPr="0028081E">
        <w:rPr>
          <w:bCs/>
          <w:iCs/>
        </w:rPr>
        <w:t xml:space="preserve">. </w:t>
      </w:r>
      <w:r w:rsidR="006D32E9" w:rsidRPr="0028081E">
        <w:rPr>
          <w:bCs/>
          <w:iCs/>
        </w:rPr>
        <w:t xml:space="preserve">However, the resubmission </w:t>
      </w:r>
      <w:r w:rsidR="00102CA5" w:rsidRPr="0028081E">
        <w:rPr>
          <w:bCs/>
          <w:iCs/>
        </w:rPr>
        <w:t>considered</w:t>
      </w:r>
      <w:r w:rsidR="006D32E9" w:rsidRPr="0028081E">
        <w:rPr>
          <w:bCs/>
          <w:iCs/>
        </w:rPr>
        <w:t xml:space="preserve"> that </w:t>
      </w:r>
      <w:r w:rsidR="009F3093" w:rsidRPr="0028081E">
        <w:rPr>
          <w:bCs/>
          <w:iCs/>
        </w:rPr>
        <w:t xml:space="preserve">if </w:t>
      </w:r>
      <w:r w:rsidR="006D32E9" w:rsidRPr="0028081E">
        <w:rPr>
          <w:bCs/>
          <w:iCs/>
        </w:rPr>
        <w:t xml:space="preserve">GLP-1 RA therapies are </w:t>
      </w:r>
      <w:r w:rsidR="009F3093" w:rsidRPr="0028081E">
        <w:rPr>
          <w:bCs/>
          <w:iCs/>
        </w:rPr>
        <w:t>used earlier</w:t>
      </w:r>
      <w:r w:rsidR="00FF3388" w:rsidRPr="0028081E">
        <w:rPr>
          <w:bCs/>
          <w:iCs/>
        </w:rPr>
        <w:t>,</w:t>
      </w:r>
      <w:r w:rsidR="009F3093" w:rsidRPr="0028081E">
        <w:rPr>
          <w:bCs/>
          <w:iCs/>
        </w:rPr>
        <w:t xml:space="preserve"> consistent with current clinical guidelines, this would mainly increase utilisation of GLP-1 RAs without insulin as it </w:t>
      </w:r>
      <w:r w:rsidR="00494DF0" w:rsidRPr="0028081E">
        <w:rPr>
          <w:bCs/>
          <w:iCs/>
        </w:rPr>
        <w:t>remain</w:t>
      </w:r>
      <w:r w:rsidR="009F3093" w:rsidRPr="0028081E">
        <w:rPr>
          <w:bCs/>
          <w:iCs/>
        </w:rPr>
        <w:t>s</w:t>
      </w:r>
      <w:r w:rsidR="00494DF0" w:rsidRPr="0028081E">
        <w:rPr>
          <w:bCs/>
          <w:iCs/>
        </w:rPr>
        <w:t xml:space="preserve"> </w:t>
      </w:r>
      <w:r w:rsidR="00494DF0" w:rsidRPr="0028081E">
        <w:rPr>
          <w:iCs/>
        </w:rPr>
        <w:t>as a later line of therapy</w:t>
      </w:r>
      <w:r w:rsidR="00494DF0" w:rsidRPr="0028081E">
        <w:rPr>
          <w:bCs/>
          <w:iCs/>
        </w:rPr>
        <w:t xml:space="preserve"> </w:t>
      </w:r>
      <w:r w:rsidR="006D32E9" w:rsidRPr="0028081E">
        <w:rPr>
          <w:bCs/>
          <w:iCs/>
        </w:rPr>
        <w:t>in the tre</w:t>
      </w:r>
      <w:r w:rsidR="008E39D7" w:rsidRPr="0028081E">
        <w:rPr>
          <w:bCs/>
          <w:iCs/>
        </w:rPr>
        <w:t>atment pathway</w:t>
      </w:r>
      <w:r w:rsidR="00494DF0" w:rsidRPr="0028081E">
        <w:rPr>
          <w:bCs/>
          <w:iCs/>
        </w:rPr>
        <w:t xml:space="preserve">. </w:t>
      </w:r>
      <w:r w:rsidR="00323494" w:rsidRPr="0028081E">
        <w:rPr>
          <w:bCs/>
        </w:rPr>
        <w:t xml:space="preserve">Whilst </w:t>
      </w:r>
      <w:r w:rsidR="00323494" w:rsidRPr="0028081E">
        <w:t xml:space="preserve">early use of </w:t>
      </w:r>
      <w:r w:rsidR="00323494" w:rsidRPr="0028081E">
        <w:rPr>
          <w:bCs/>
        </w:rPr>
        <w:t xml:space="preserve">GLP-1 RAs may </w:t>
      </w:r>
      <w:r w:rsidR="006B1DD8">
        <w:rPr>
          <w:bCs/>
        </w:rPr>
        <w:t xml:space="preserve">contribute </w:t>
      </w:r>
      <w:r w:rsidR="002452F3" w:rsidRPr="0028081E">
        <w:rPr>
          <w:bCs/>
        </w:rPr>
        <w:t xml:space="preserve">to delay in </w:t>
      </w:r>
      <w:r w:rsidR="00323494" w:rsidRPr="0028081E">
        <w:rPr>
          <w:bCs/>
        </w:rPr>
        <w:t xml:space="preserve">a combination of </w:t>
      </w:r>
      <w:r w:rsidR="00706965" w:rsidRPr="0028081E">
        <w:rPr>
          <w:bCs/>
        </w:rPr>
        <w:t xml:space="preserve">dulaglutide </w:t>
      </w:r>
      <w:r w:rsidR="00323494" w:rsidRPr="0028081E">
        <w:rPr>
          <w:bCs/>
        </w:rPr>
        <w:t>and insulin</w:t>
      </w:r>
      <w:r w:rsidR="002452F3" w:rsidRPr="0028081E">
        <w:rPr>
          <w:bCs/>
        </w:rPr>
        <w:t xml:space="preserve">, </w:t>
      </w:r>
      <w:r w:rsidR="003263C0" w:rsidRPr="0028081E">
        <w:t xml:space="preserve">the market size and projected growth for dulaglutide </w:t>
      </w:r>
      <w:r w:rsidR="00C86FF5" w:rsidRPr="0028081E">
        <w:t xml:space="preserve">QW </w:t>
      </w:r>
      <w:r w:rsidR="00FB1A88" w:rsidRPr="0028081E">
        <w:rPr>
          <w:bCs/>
        </w:rPr>
        <w:t>are</w:t>
      </w:r>
      <w:r w:rsidR="00B42C66" w:rsidRPr="0028081E">
        <w:rPr>
          <w:bCs/>
        </w:rPr>
        <w:t xml:space="preserve"> associated with </w:t>
      </w:r>
      <w:r w:rsidR="003263C0" w:rsidRPr="0028081E">
        <w:t>high</w:t>
      </w:r>
      <w:r w:rsidR="002452F3" w:rsidRPr="0028081E">
        <w:t xml:space="preserve"> uncertain</w:t>
      </w:r>
      <w:r w:rsidR="003263C0" w:rsidRPr="0028081E">
        <w:t xml:space="preserve">ties due to </w:t>
      </w:r>
      <w:r w:rsidR="00706965" w:rsidRPr="0028081E">
        <w:rPr>
          <w:rFonts w:cstheme="minorHAnsi"/>
        </w:rPr>
        <w:t xml:space="preserve">increasing </w:t>
      </w:r>
      <w:r w:rsidR="003263C0" w:rsidRPr="0028081E">
        <w:rPr>
          <w:rFonts w:cstheme="minorHAnsi"/>
        </w:rPr>
        <w:t>complex</w:t>
      </w:r>
      <w:r w:rsidR="00706965" w:rsidRPr="0028081E">
        <w:rPr>
          <w:rFonts w:cstheme="minorHAnsi"/>
        </w:rPr>
        <w:t xml:space="preserve">ity in </w:t>
      </w:r>
      <w:r w:rsidR="003263C0" w:rsidRPr="0028081E">
        <w:rPr>
          <w:rFonts w:cstheme="minorHAnsi"/>
        </w:rPr>
        <w:t>the management</w:t>
      </w:r>
      <w:r w:rsidR="00706965" w:rsidRPr="0028081E">
        <w:rPr>
          <w:rFonts w:cstheme="minorHAnsi"/>
        </w:rPr>
        <w:t xml:space="preserve"> of</w:t>
      </w:r>
      <w:r w:rsidR="003263C0" w:rsidRPr="0028081E">
        <w:rPr>
          <w:rFonts w:cstheme="minorHAnsi"/>
        </w:rPr>
        <w:t xml:space="preserve"> T2DM</w:t>
      </w:r>
      <w:r w:rsidR="002452F3" w:rsidRPr="0028081E">
        <w:t xml:space="preserve"> </w:t>
      </w:r>
      <w:r w:rsidR="003263C0" w:rsidRPr="0028081E">
        <w:t xml:space="preserve">and </w:t>
      </w:r>
      <w:r w:rsidR="00706965" w:rsidRPr="0028081E">
        <w:t xml:space="preserve">uncertain </w:t>
      </w:r>
      <w:r w:rsidR="002452F3" w:rsidRPr="0028081E">
        <w:t xml:space="preserve">GLP-1 </w:t>
      </w:r>
      <w:r w:rsidR="00706965" w:rsidRPr="0028081E">
        <w:t xml:space="preserve">RA </w:t>
      </w:r>
      <w:r w:rsidR="002452F3" w:rsidRPr="0028081E">
        <w:t>market dynamics</w:t>
      </w:r>
      <w:r w:rsidR="00B42C66" w:rsidRPr="0028081E">
        <w:t xml:space="preserve">. </w:t>
      </w:r>
      <w:r w:rsidR="00A7732A" w:rsidRPr="0028081E">
        <w:t>T</w:t>
      </w:r>
      <w:r w:rsidR="00323494" w:rsidRPr="0028081E">
        <w:rPr>
          <w:rFonts w:cs="Calibri"/>
          <w:snapToGrid/>
        </w:rPr>
        <w:t xml:space="preserve">he </w:t>
      </w:r>
      <w:r w:rsidR="00323494" w:rsidRPr="0028081E">
        <w:rPr>
          <w:rFonts w:cstheme="minorHAnsi"/>
        </w:rPr>
        <w:t xml:space="preserve">PBAC </w:t>
      </w:r>
      <w:r w:rsidR="00A7732A" w:rsidRPr="0028081E">
        <w:rPr>
          <w:rFonts w:cstheme="minorHAnsi"/>
        </w:rPr>
        <w:t xml:space="preserve">previously </w:t>
      </w:r>
      <w:r w:rsidR="00323494" w:rsidRPr="0028081E">
        <w:rPr>
          <w:rFonts w:cstheme="minorHAnsi"/>
        </w:rPr>
        <w:t xml:space="preserve">considered that use of dulaglutide </w:t>
      </w:r>
      <w:r w:rsidR="00C86FF5" w:rsidRPr="0028081E">
        <w:rPr>
          <w:rFonts w:cstheme="minorHAnsi"/>
        </w:rPr>
        <w:t xml:space="preserve">QW </w:t>
      </w:r>
      <w:r w:rsidR="00323494" w:rsidRPr="0028081E">
        <w:rPr>
          <w:rFonts w:cstheme="minorHAnsi"/>
        </w:rPr>
        <w:t>in combination with SGLT2 inhibitors</w:t>
      </w:r>
      <w:r w:rsidR="00B42C66" w:rsidRPr="0028081E">
        <w:rPr>
          <w:rFonts w:cstheme="minorHAnsi"/>
        </w:rPr>
        <w:t xml:space="preserve"> </w:t>
      </w:r>
      <w:r w:rsidR="00A7732A" w:rsidRPr="0028081E">
        <w:rPr>
          <w:rFonts w:cstheme="minorHAnsi"/>
        </w:rPr>
        <w:t xml:space="preserve">outside the current PBS restrictions </w:t>
      </w:r>
      <w:r w:rsidR="00B42C66" w:rsidRPr="0028081E">
        <w:rPr>
          <w:rFonts w:cstheme="minorHAnsi"/>
        </w:rPr>
        <w:t>was likely</w:t>
      </w:r>
      <w:r w:rsidR="00A7732A" w:rsidRPr="0028081E">
        <w:rPr>
          <w:rFonts w:cstheme="minorHAnsi"/>
        </w:rPr>
        <w:t xml:space="preserve"> </w:t>
      </w:r>
      <w:r w:rsidR="00323494" w:rsidRPr="0028081E">
        <w:rPr>
          <w:rFonts w:cstheme="minorHAnsi"/>
        </w:rPr>
        <w:t>due to cardiovascular benefits, lower risk of hypoglycaemia and weight loss benefits</w:t>
      </w:r>
      <w:r w:rsidR="00706965" w:rsidRPr="0028081E">
        <w:rPr>
          <w:rFonts w:cstheme="minorHAnsi"/>
        </w:rPr>
        <w:t xml:space="preserve"> (paragraph 7.10, dulaglutide PSD, November 2019)</w:t>
      </w:r>
      <w:r w:rsidR="00A75F07" w:rsidRPr="0028081E">
        <w:rPr>
          <w:rFonts w:cstheme="minorHAnsi"/>
        </w:rPr>
        <w:t xml:space="preserve">. </w:t>
      </w:r>
    </w:p>
    <w:p w:rsidR="00A95922" w:rsidRPr="0028081E" w:rsidRDefault="004D0414" w:rsidP="00212FDD">
      <w:pPr>
        <w:pStyle w:val="3Bodytext"/>
      </w:pPr>
      <w:r w:rsidRPr="0028081E">
        <w:t xml:space="preserve">Revised estimates shown in </w:t>
      </w:r>
      <w:r w:rsidR="00AC76FF" w:rsidRPr="0028081E">
        <w:rPr>
          <w:rFonts w:cstheme="minorHAnsi"/>
        </w:rPr>
        <w:t xml:space="preserve">Table </w:t>
      </w:r>
      <w:r w:rsidR="00AC76FF" w:rsidRPr="00793BA6">
        <w:rPr>
          <w:rFonts w:cstheme="minorHAnsi"/>
        </w:rPr>
        <w:t>4</w:t>
      </w:r>
      <w:r w:rsidRPr="0028081E">
        <w:t xml:space="preserve"> below </w:t>
      </w:r>
      <w:r w:rsidR="0088632A" w:rsidRPr="0028081E">
        <w:t>indicate the</w:t>
      </w:r>
      <w:r w:rsidRPr="0028081E">
        <w:t xml:space="preserve"> net cost to the PBS</w:t>
      </w:r>
      <w:r w:rsidR="0088632A" w:rsidRPr="0028081E">
        <w:t xml:space="preserve">/RPBS in Year 1 (2021) is </w:t>
      </w:r>
      <w:r w:rsidR="00212FDD" w:rsidRPr="00212FDD">
        <w:rPr>
          <w:rFonts w:eastAsia="Times New Roman" w:cs="Arial"/>
          <w:snapToGrid w:val="0"/>
          <w:szCs w:val="24"/>
        </w:rPr>
        <w:t>$0 to &lt; $10 million</w:t>
      </w:r>
      <w:r w:rsidRPr="0028081E">
        <w:t xml:space="preserve">, </w:t>
      </w:r>
      <w:r w:rsidR="0088632A" w:rsidRPr="0028081E">
        <w:t xml:space="preserve">increasing to </w:t>
      </w:r>
      <w:r w:rsidR="00212FDD" w:rsidRPr="00212FDD">
        <w:t>$0 to &lt; $10 million</w:t>
      </w:r>
      <w:r w:rsidR="0088632A" w:rsidRPr="0028081E">
        <w:t xml:space="preserve"> </w:t>
      </w:r>
      <w:r w:rsidR="000F143D" w:rsidRPr="0028081E">
        <w:t xml:space="preserve">in Year 6 (2026) </w:t>
      </w:r>
      <w:r w:rsidRPr="0028081E">
        <w:t>with a total net cost to the PBS</w:t>
      </w:r>
      <w:r w:rsidR="0088632A" w:rsidRPr="0028081E">
        <w:t xml:space="preserve">/RPBS of $30 </w:t>
      </w:r>
      <w:r w:rsidRPr="0028081E">
        <w:t>million</w:t>
      </w:r>
      <w:r w:rsidR="00212FDD">
        <w:t xml:space="preserve"> &lt; $40 million</w:t>
      </w:r>
      <w:r w:rsidRPr="0028081E">
        <w:t xml:space="preserve"> over the </w:t>
      </w:r>
      <w:r w:rsidR="0088632A" w:rsidRPr="0028081E">
        <w:t xml:space="preserve">first 6 years of listing </w:t>
      </w:r>
      <w:r w:rsidR="002C4913" w:rsidRPr="0028081E">
        <w:t xml:space="preserve">where </w:t>
      </w:r>
      <w:r w:rsidR="0088632A" w:rsidRPr="0028081E">
        <w:t>the proposed price advantage for dulaglutide over exenatide BID</w:t>
      </w:r>
      <w:r w:rsidR="002C4913" w:rsidRPr="0028081E">
        <w:t xml:space="preserve"> was unchanged</w:t>
      </w:r>
      <w:r w:rsidR="0088632A" w:rsidRPr="0028081E">
        <w:t xml:space="preserve">. </w:t>
      </w:r>
      <w:bookmarkStart w:id="4" w:name="_Ref21961607"/>
    </w:p>
    <w:p w:rsidR="00A95922" w:rsidRPr="0028081E" w:rsidRDefault="00AC76FF" w:rsidP="00ED7854">
      <w:pPr>
        <w:pStyle w:val="Caption"/>
        <w:keepNext/>
        <w:spacing w:after="0"/>
        <w:rPr>
          <w:rFonts w:ascii="Arial Narrow" w:hAnsi="Arial Narrow"/>
          <w:b/>
          <w:bCs/>
          <w:i w:val="0"/>
          <w:iCs w:val="0"/>
          <w:sz w:val="20"/>
          <w:szCs w:val="20"/>
        </w:rPr>
      </w:pPr>
      <w:bookmarkStart w:id="5" w:name="_Ref43799429"/>
      <w:r w:rsidRPr="0028081E">
        <w:rPr>
          <w:rFonts w:ascii="Arial Narrow" w:hAnsi="Arial Narrow"/>
          <w:b/>
          <w:bCs/>
          <w:i w:val="0"/>
          <w:iCs w:val="0"/>
          <w:sz w:val="20"/>
          <w:szCs w:val="20"/>
        </w:rPr>
        <w:t xml:space="preserve">Table </w:t>
      </w:r>
      <w:r w:rsidR="00821FBE" w:rsidRPr="00793BA6">
        <w:rPr>
          <w:rFonts w:ascii="Arial Narrow" w:hAnsi="Arial Narrow"/>
          <w:b/>
          <w:bCs/>
          <w:i w:val="0"/>
          <w:iCs w:val="0"/>
          <w:sz w:val="20"/>
          <w:szCs w:val="20"/>
        </w:rPr>
        <w:t>4</w:t>
      </w:r>
      <w:bookmarkEnd w:id="5"/>
      <w:r w:rsidRPr="0028081E">
        <w:rPr>
          <w:rFonts w:ascii="Arial Narrow" w:hAnsi="Arial Narrow"/>
          <w:b/>
          <w:bCs/>
          <w:i w:val="0"/>
          <w:iCs w:val="0"/>
          <w:sz w:val="20"/>
          <w:szCs w:val="20"/>
        </w:rPr>
        <w:t xml:space="preserve">: </w:t>
      </w:r>
      <w:r w:rsidRPr="0028081E">
        <w:rPr>
          <w:rStyle w:val="CommentReference"/>
          <w:rFonts w:ascii="Arial Narrow" w:hAnsi="Arial Narrow"/>
          <w:b/>
          <w:bCs/>
          <w:i w:val="0"/>
          <w:iCs w:val="0"/>
          <w:sz w:val="20"/>
          <w:szCs w:val="20"/>
        </w:rPr>
        <w:t>Estimated use and financial implications</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w:tblPr>
      <w:tblGrid>
        <w:gridCol w:w="2326"/>
        <w:gridCol w:w="1080"/>
        <w:gridCol w:w="1122"/>
        <w:gridCol w:w="1122"/>
        <w:gridCol w:w="1122"/>
        <w:gridCol w:w="1122"/>
        <w:gridCol w:w="1122"/>
      </w:tblGrid>
      <w:tr w:rsidR="004D0414" w:rsidRPr="0028081E" w:rsidTr="001C4C27">
        <w:trPr>
          <w:tblHeader/>
          <w:jc w:val="center"/>
        </w:trPr>
        <w:tc>
          <w:tcPr>
            <w:tcW w:w="2326" w:type="dxa"/>
            <w:tcBorders>
              <w:left w:val="single" w:sz="4" w:space="0" w:color="auto"/>
              <w:bottom w:val="single" w:sz="4" w:space="0" w:color="auto"/>
            </w:tcBorders>
            <w:shd w:val="clear" w:color="auto" w:fill="auto"/>
            <w:vAlign w:val="center"/>
          </w:tcPr>
          <w:p w:rsidR="004D0414" w:rsidRPr="0028081E" w:rsidRDefault="004D0414" w:rsidP="00294A37">
            <w:pPr>
              <w:spacing w:after="120"/>
              <w:rPr>
                <w:rFonts w:ascii="Arial Narrow" w:eastAsia="Calibri" w:hAnsi="Arial Narrow"/>
                <w:sz w:val="20"/>
                <w:szCs w:val="20"/>
              </w:rPr>
            </w:pPr>
          </w:p>
        </w:tc>
        <w:tc>
          <w:tcPr>
            <w:tcW w:w="1080" w:type="dxa"/>
            <w:tcBorders>
              <w:bottom w:val="single" w:sz="4" w:space="0" w:color="auto"/>
            </w:tcBorders>
            <w:shd w:val="clear" w:color="auto" w:fill="auto"/>
            <w:vAlign w:val="center"/>
          </w:tcPr>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Year 1</w:t>
            </w:r>
          </w:p>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(2021)</w:t>
            </w:r>
          </w:p>
        </w:tc>
        <w:tc>
          <w:tcPr>
            <w:tcW w:w="1122" w:type="dxa"/>
            <w:tcBorders>
              <w:bottom w:val="single" w:sz="4" w:space="0" w:color="auto"/>
            </w:tcBorders>
            <w:shd w:val="clear" w:color="auto" w:fill="auto"/>
            <w:vAlign w:val="center"/>
          </w:tcPr>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Year 2</w:t>
            </w:r>
          </w:p>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(2022)</w:t>
            </w:r>
          </w:p>
        </w:tc>
        <w:tc>
          <w:tcPr>
            <w:tcW w:w="1122" w:type="dxa"/>
            <w:tcBorders>
              <w:bottom w:val="single" w:sz="4" w:space="0" w:color="auto"/>
            </w:tcBorders>
            <w:shd w:val="clear" w:color="auto" w:fill="auto"/>
            <w:vAlign w:val="center"/>
          </w:tcPr>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Year 3</w:t>
            </w:r>
          </w:p>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(2023)</w:t>
            </w:r>
          </w:p>
        </w:tc>
        <w:tc>
          <w:tcPr>
            <w:tcW w:w="1122" w:type="dxa"/>
            <w:tcBorders>
              <w:bottom w:val="single" w:sz="4" w:space="0" w:color="auto"/>
            </w:tcBorders>
            <w:shd w:val="clear" w:color="auto" w:fill="auto"/>
            <w:vAlign w:val="center"/>
          </w:tcPr>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Year 4</w:t>
            </w:r>
          </w:p>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(2024)</w:t>
            </w:r>
          </w:p>
        </w:tc>
        <w:tc>
          <w:tcPr>
            <w:tcW w:w="1122" w:type="dxa"/>
            <w:tcBorders>
              <w:bottom w:val="single" w:sz="4" w:space="0" w:color="auto"/>
              <w:right w:val="single" w:sz="4" w:space="0" w:color="auto"/>
            </w:tcBorders>
            <w:shd w:val="clear" w:color="auto" w:fill="auto"/>
            <w:vAlign w:val="center"/>
          </w:tcPr>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 xml:space="preserve">Year 5 </w:t>
            </w:r>
          </w:p>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(2025)</w:t>
            </w:r>
          </w:p>
        </w:tc>
        <w:tc>
          <w:tcPr>
            <w:tcW w:w="1122" w:type="dxa"/>
            <w:tcBorders>
              <w:bottom w:val="single" w:sz="4" w:space="0" w:color="auto"/>
              <w:right w:val="single" w:sz="4" w:space="0" w:color="auto"/>
            </w:tcBorders>
            <w:vAlign w:val="center"/>
          </w:tcPr>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 xml:space="preserve">Year 6 </w:t>
            </w:r>
          </w:p>
          <w:p w:rsidR="004D0414" w:rsidRPr="0028081E" w:rsidRDefault="004D0414" w:rsidP="00294A37">
            <w:pPr>
              <w:spacing w:after="120"/>
              <w:jc w:val="center"/>
              <w:rPr>
                <w:rFonts w:ascii="Arial Narrow" w:eastAsia="Calibri" w:hAnsi="Arial Narrow"/>
                <w:b/>
                <w:bCs/>
                <w:sz w:val="20"/>
                <w:szCs w:val="20"/>
              </w:rPr>
            </w:pPr>
            <w:r w:rsidRPr="0028081E">
              <w:rPr>
                <w:rFonts w:ascii="Arial Narrow" w:eastAsia="Calibri" w:hAnsi="Arial Narrow"/>
                <w:b/>
                <w:bCs/>
                <w:sz w:val="20"/>
                <w:szCs w:val="20"/>
              </w:rPr>
              <w:t>(2026)</w:t>
            </w:r>
          </w:p>
        </w:tc>
      </w:tr>
      <w:tr w:rsidR="004D0414" w:rsidRPr="0028081E" w:rsidTr="00D3716D">
        <w:trPr>
          <w:jc w:val="center"/>
        </w:trPr>
        <w:tc>
          <w:tcPr>
            <w:tcW w:w="0" w:type="auto"/>
            <w:gridSpan w:val="7"/>
            <w:tcBorders>
              <w:left w:val="single" w:sz="4" w:space="0" w:color="auto"/>
              <w:bottom w:val="single" w:sz="4" w:space="0" w:color="auto"/>
            </w:tcBorders>
            <w:shd w:val="clear" w:color="auto" w:fill="auto"/>
            <w:vAlign w:val="center"/>
          </w:tcPr>
          <w:p w:rsidR="004D0414" w:rsidRPr="0028081E" w:rsidRDefault="000E5634" w:rsidP="00294A37">
            <w:pPr>
              <w:spacing w:after="120"/>
              <w:jc w:val="left"/>
              <w:rPr>
                <w:rFonts w:ascii="Arial Narrow" w:eastAsia="Calibri" w:hAnsi="Arial Narrow"/>
                <w:b/>
                <w:bCs/>
                <w:sz w:val="20"/>
                <w:szCs w:val="20"/>
              </w:rPr>
            </w:pPr>
            <w:r w:rsidRPr="0028081E">
              <w:rPr>
                <w:rFonts w:ascii="Arial Narrow" w:eastAsia="Calibri" w:hAnsi="Arial Narrow"/>
                <w:b/>
                <w:bCs/>
                <w:sz w:val="20"/>
                <w:szCs w:val="20"/>
              </w:rPr>
              <w:t xml:space="preserve">Estimated </w:t>
            </w:r>
            <w:r w:rsidR="004D0414" w:rsidRPr="0028081E">
              <w:rPr>
                <w:rFonts w:ascii="Arial Narrow" w:eastAsia="Calibri" w:hAnsi="Arial Narrow"/>
                <w:b/>
                <w:bCs/>
                <w:sz w:val="20"/>
                <w:szCs w:val="20"/>
              </w:rPr>
              <w:t xml:space="preserve">utilisation of </w:t>
            </w:r>
            <w:r w:rsidRPr="0028081E">
              <w:rPr>
                <w:rFonts w:ascii="Arial Narrow" w:eastAsia="Calibri" w:hAnsi="Arial Narrow"/>
                <w:b/>
                <w:bCs/>
                <w:sz w:val="20"/>
                <w:szCs w:val="20"/>
              </w:rPr>
              <w:t xml:space="preserve">dulaglutide from </w:t>
            </w:r>
            <w:r w:rsidR="004D0414" w:rsidRPr="0028081E">
              <w:rPr>
                <w:rFonts w:ascii="Arial Narrow" w:eastAsia="Calibri" w:hAnsi="Arial Narrow"/>
                <w:b/>
                <w:bCs/>
                <w:sz w:val="20"/>
                <w:szCs w:val="20"/>
              </w:rPr>
              <w:t xml:space="preserve">exenatide 5 mcg and 10 mcg twice daily (with insulin) </w:t>
            </w:r>
            <w:r w:rsidRPr="0028081E">
              <w:rPr>
                <w:rFonts w:ascii="Arial Narrow" w:eastAsia="Calibri" w:hAnsi="Arial Narrow"/>
                <w:b/>
                <w:bCs/>
                <w:sz w:val="20"/>
                <w:szCs w:val="20"/>
              </w:rPr>
              <w:t xml:space="preserve"> market </w:t>
            </w:r>
          </w:p>
        </w:tc>
      </w:tr>
      <w:tr w:rsidR="001648EE" w:rsidRPr="0028081E" w:rsidTr="001C4C27">
        <w:trPr>
          <w:jc w:val="center"/>
        </w:trPr>
        <w:tc>
          <w:tcPr>
            <w:tcW w:w="2326" w:type="dxa"/>
            <w:tcBorders>
              <w:left w:val="single" w:sz="4" w:space="0" w:color="auto"/>
              <w:bottom w:val="single" w:sz="4" w:space="0" w:color="auto"/>
            </w:tcBorders>
            <w:shd w:val="clear" w:color="auto" w:fill="auto"/>
            <w:vAlign w:val="center"/>
          </w:tcPr>
          <w:p w:rsidR="001648EE" w:rsidRPr="0028081E" w:rsidRDefault="001648EE" w:rsidP="00294A37">
            <w:pPr>
              <w:spacing w:after="120"/>
              <w:jc w:val="left"/>
              <w:rPr>
                <w:rFonts w:ascii="Arial Narrow" w:eastAsia="Calibri" w:hAnsi="Arial Narrow"/>
                <w:sz w:val="20"/>
                <w:szCs w:val="20"/>
              </w:rPr>
            </w:pPr>
            <w:r w:rsidRPr="0028081E">
              <w:rPr>
                <w:rFonts w:ascii="Arial Narrow" w:hAnsi="Arial Narrow"/>
                <w:sz w:val="20"/>
                <w:szCs w:val="20"/>
              </w:rPr>
              <w:t>Number of patients treated</w:t>
            </w:r>
            <w:r w:rsidR="005815B6" w:rsidRPr="0028081E">
              <w:rPr>
                <w:rFonts w:ascii="Arial Narrow" w:hAnsi="Arial Narrow"/>
                <w:sz w:val="20"/>
                <w:szCs w:val="20"/>
              </w:rPr>
              <w:t xml:space="preserve"> with exenatide BID</w:t>
            </w:r>
            <w:r w:rsidR="000E5634" w:rsidRPr="0028081E">
              <w:rPr>
                <w:rFonts w:ascii="Arial Narrow" w:hAnsi="Arial Narrow"/>
                <w:sz w:val="20"/>
                <w:szCs w:val="20"/>
              </w:rPr>
              <w:t xml:space="preserve"> in absence of dulaglutide </w:t>
            </w:r>
          </w:p>
        </w:tc>
        <w:tc>
          <w:tcPr>
            <w:tcW w:w="1080" w:type="dxa"/>
            <w:shd w:val="clear" w:color="auto" w:fill="auto"/>
            <w:vAlign w:val="center"/>
          </w:tcPr>
          <w:p w:rsidR="001648EE"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shd w:val="clear" w:color="auto" w:fill="auto"/>
            <w:vAlign w:val="center"/>
          </w:tcPr>
          <w:p w:rsidR="001648EE"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shd w:val="clear" w:color="auto" w:fill="auto"/>
            <w:vAlign w:val="center"/>
          </w:tcPr>
          <w:p w:rsidR="001648EE"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shd w:val="clear" w:color="auto" w:fill="auto"/>
            <w:vAlign w:val="center"/>
          </w:tcPr>
          <w:p w:rsidR="001648EE"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tcBorders>
              <w:right w:val="single" w:sz="4" w:space="0" w:color="auto"/>
            </w:tcBorders>
            <w:shd w:val="clear" w:color="auto" w:fill="auto"/>
            <w:vAlign w:val="center"/>
          </w:tcPr>
          <w:p w:rsidR="001648EE"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tcBorders>
              <w:right w:val="single" w:sz="4" w:space="0" w:color="auto"/>
            </w:tcBorders>
            <w:vAlign w:val="center"/>
          </w:tcPr>
          <w:p w:rsidR="001648EE"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r>
      <w:tr w:rsidR="005815B6" w:rsidRPr="0028081E" w:rsidTr="001C4C27">
        <w:trPr>
          <w:jc w:val="center"/>
        </w:trPr>
        <w:tc>
          <w:tcPr>
            <w:tcW w:w="2326" w:type="dxa"/>
            <w:tcBorders>
              <w:left w:val="single" w:sz="4" w:space="0" w:color="auto"/>
              <w:bottom w:val="single" w:sz="4" w:space="0" w:color="auto"/>
            </w:tcBorders>
            <w:shd w:val="clear" w:color="auto" w:fill="auto"/>
            <w:vAlign w:val="center"/>
          </w:tcPr>
          <w:p w:rsidR="005815B6" w:rsidRPr="0028081E" w:rsidRDefault="005815B6" w:rsidP="00294A37">
            <w:pPr>
              <w:spacing w:after="120"/>
              <w:jc w:val="left"/>
              <w:rPr>
                <w:rFonts w:ascii="Arial Narrow" w:hAnsi="Arial Narrow"/>
                <w:sz w:val="20"/>
                <w:szCs w:val="20"/>
              </w:rPr>
            </w:pPr>
            <w:r w:rsidRPr="0028081E">
              <w:rPr>
                <w:rFonts w:ascii="Arial Narrow" w:eastAsia="Calibri" w:hAnsi="Arial Narrow"/>
                <w:sz w:val="20"/>
                <w:szCs w:val="20"/>
              </w:rPr>
              <w:t>Estimated uptake rate of dulaglutide</w:t>
            </w:r>
            <w:r w:rsidR="0044569E" w:rsidRPr="0028081E">
              <w:rPr>
                <w:rFonts w:ascii="Arial Narrow" w:eastAsia="Calibri" w:hAnsi="Arial Narrow"/>
                <w:sz w:val="20"/>
                <w:szCs w:val="20"/>
              </w:rPr>
              <w:t xml:space="preserve"> (displacement of exenatide BID)</w:t>
            </w:r>
          </w:p>
        </w:tc>
        <w:tc>
          <w:tcPr>
            <w:tcW w:w="1080"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35%</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55%</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63%</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68%</w:t>
            </w:r>
          </w:p>
        </w:tc>
        <w:tc>
          <w:tcPr>
            <w:tcW w:w="1122" w:type="dxa"/>
            <w:tcBorders>
              <w:right w:val="single" w:sz="4" w:space="0" w:color="auto"/>
            </w:tcBorders>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72%</w:t>
            </w:r>
          </w:p>
        </w:tc>
        <w:tc>
          <w:tcPr>
            <w:tcW w:w="1122" w:type="dxa"/>
            <w:tcBorders>
              <w:right w:val="single" w:sz="4" w:space="0" w:color="auto"/>
            </w:tcBorders>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76%</w:t>
            </w:r>
          </w:p>
        </w:tc>
      </w:tr>
      <w:tr w:rsidR="005815B6" w:rsidRPr="0028081E" w:rsidTr="001C4C27">
        <w:trPr>
          <w:jc w:val="center"/>
        </w:trPr>
        <w:tc>
          <w:tcPr>
            <w:tcW w:w="2326" w:type="dxa"/>
            <w:tcBorders>
              <w:left w:val="single" w:sz="4" w:space="0" w:color="auto"/>
              <w:bottom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Number of scrip substituted</w:t>
            </w:r>
            <w:r w:rsidR="0044569E" w:rsidRPr="0028081E">
              <w:rPr>
                <w:rFonts w:ascii="Arial Narrow" w:hAnsi="Arial Narrow"/>
                <w:sz w:val="20"/>
                <w:szCs w:val="20"/>
              </w:rPr>
              <w:t xml:space="preserve"> by dulaglutide </w:t>
            </w:r>
          </w:p>
        </w:tc>
        <w:tc>
          <w:tcPr>
            <w:tcW w:w="1080"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r w:rsidR="005815B6" w:rsidRPr="0028081E">
              <w:rPr>
                <w:rFonts w:ascii="Arial Narrow" w:hAnsi="Arial Narrow" w:cs="Calibri"/>
                <w:color w:val="000000"/>
                <w:sz w:val="20"/>
                <w:szCs w:val="20"/>
              </w:rPr>
              <w:t xml:space="preserve"> </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r w:rsidR="005815B6" w:rsidRPr="0028081E">
              <w:rPr>
                <w:rFonts w:ascii="Arial Narrow" w:hAnsi="Arial Narrow" w:cs="Calibri"/>
                <w:color w:val="000000"/>
                <w:sz w:val="20"/>
                <w:szCs w:val="20"/>
              </w:rPr>
              <w:t xml:space="preserve"> </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r w:rsidR="005815B6" w:rsidRPr="0028081E">
              <w:rPr>
                <w:rFonts w:ascii="Arial Narrow" w:hAnsi="Arial Narrow" w:cs="Calibri"/>
                <w:color w:val="000000"/>
                <w:sz w:val="20"/>
                <w:szCs w:val="20"/>
              </w:rPr>
              <w:t xml:space="preserve"> </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r w:rsidR="005815B6" w:rsidRPr="0028081E">
              <w:rPr>
                <w:rFonts w:ascii="Arial Narrow" w:hAnsi="Arial Narrow" w:cs="Calibri"/>
                <w:color w:val="000000"/>
                <w:sz w:val="20"/>
                <w:szCs w:val="20"/>
              </w:rPr>
              <w:t xml:space="preserve"> </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r w:rsidR="005815B6" w:rsidRPr="0028081E">
              <w:rPr>
                <w:rFonts w:ascii="Arial Narrow" w:hAnsi="Arial Narrow" w:cs="Calibri"/>
                <w:color w:val="000000"/>
                <w:sz w:val="20"/>
                <w:szCs w:val="20"/>
              </w:rPr>
              <w:t xml:space="preserve"> </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r w:rsidR="005815B6" w:rsidRPr="0028081E">
              <w:rPr>
                <w:rFonts w:ascii="Arial Narrow" w:hAnsi="Arial Narrow" w:cs="Calibri"/>
                <w:color w:val="000000"/>
                <w:sz w:val="20"/>
                <w:szCs w:val="20"/>
              </w:rPr>
              <w:t xml:space="preserve"> </w:t>
            </w:r>
          </w:p>
        </w:tc>
      </w:tr>
      <w:tr w:rsidR="005815B6" w:rsidRPr="0028081E" w:rsidTr="001C4C27">
        <w:trPr>
          <w:jc w:val="center"/>
        </w:trPr>
        <w:tc>
          <w:tcPr>
            <w:tcW w:w="2326" w:type="dxa"/>
            <w:tcBorders>
              <w:left w:val="single" w:sz="4" w:space="0" w:color="auto"/>
              <w:bottom w:val="single" w:sz="4" w:space="0" w:color="auto"/>
            </w:tcBorders>
            <w:shd w:val="clear" w:color="auto" w:fill="auto"/>
            <w:vAlign w:val="center"/>
          </w:tcPr>
          <w:p w:rsidR="005815B6" w:rsidRPr="0028081E" w:rsidRDefault="00A95922" w:rsidP="00294A37">
            <w:pPr>
              <w:spacing w:after="120"/>
              <w:jc w:val="left"/>
              <w:rPr>
                <w:rFonts w:ascii="Arial Narrow" w:eastAsia="Calibri" w:hAnsi="Arial Narrow"/>
                <w:sz w:val="20"/>
                <w:szCs w:val="20"/>
              </w:rPr>
            </w:pPr>
            <w:r w:rsidRPr="0028081E">
              <w:rPr>
                <w:rFonts w:ascii="Arial Narrow" w:hAnsi="Arial Narrow"/>
                <w:sz w:val="20"/>
                <w:szCs w:val="20"/>
              </w:rPr>
              <w:t>Cost</w:t>
            </w:r>
            <w:r w:rsidR="001A3F80" w:rsidRPr="0028081E">
              <w:rPr>
                <w:rFonts w:ascii="Arial Narrow" w:hAnsi="Arial Narrow"/>
                <w:sz w:val="20"/>
                <w:szCs w:val="20"/>
              </w:rPr>
              <w:t xml:space="preserve"> </w:t>
            </w:r>
            <w:r w:rsidR="005815B6" w:rsidRPr="0028081E">
              <w:rPr>
                <w:rFonts w:ascii="Arial Narrow" w:hAnsi="Arial Narrow"/>
                <w:sz w:val="20"/>
                <w:szCs w:val="20"/>
              </w:rPr>
              <w:t>to PBS/RPBS less copayments</w:t>
            </w:r>
            <w:r w:rsidR="00A670C1" w:rsidRPr="0028081E">
              <w:rPr>
                <w:rFonts w:ascii="Arial Narrow" w:hAnsi="Arial Narrow"/>
                <w:sz w:val="20"/>
                <w:szCs w:val="20"/>
                <w:vertAlign w:val="superscript"/>
              </w:rPr>
              <w:t>a</w:t>
            </w:r>
            <w:r w:rsidRPr="0028081E">
              <w:rPr>
                <w:rFonts w:ascii="Arial Narrow" w:hAnsi="Arial Narrow"/>
                <w:sz w:val="20"/>
                <w:szCs w:val="20"/>
                <w:vertAlign w:val="superscript"/>
              </w:rPr>
              <w:t xml:space="preserve"> </w:t>
            </w:r>
            <w:r w:rsidR="00E71AFB" w:rsidRPr="0028081E">
              <w:rPr>
                <w:rFonts w:ascii="Arial Narrow" w:hAnsi="Arial Narrow"/>
                <w:sz w:val="20"/>
                <w:szCs w:val="20"/>
              </w:rPr>
              <w:t xml:space="preserve"> </w:t>
            </w:r>
            <w:r w:rsidR="001A3F80" w:rsidRPr="0028081E">
              <w:rPr>
                <w:rFonts w:ascii="Arial Narrow" w:hAnsi="Arial Narrow"/>
                <w:sz w:val="20"/>
                <w:szCs w:val="20"/>
              </w:rPr>
              <w:t xml:space="preserve">displaced from exenatide BID market </w:t>
            </w:r>
          </w:p>
        </w:tc>
        <w:tc>
          <w:tcPr>
            <w:tcW w:w="1080"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D3716D">
        <w:trPr>
          <w:jc w:val="center"/>
        </w:trPr>
        <w:tc>
          <w:tcPr>
            <w:tcW w:w="0" w:type="auto"/>
            <w:gridSpan w:val="7"/>
            <w:tcBorders>
              <w:left w:val="single" w:sz="4" w:space="0" w:color="auto"/>
              <w:bottom w:val="single" w:sz="4" w:space="0" w:color="auto"/>
            </w:tcBorders>
            <w:shd w:val="clear" w:color="auto" w:fill="auto"/>
            <w:vAlign w:val="center"/>
          </w:tcPr>
          <w:p w:rsidR="005815B6" w:rsidRPr="0028081E" w:rsidRDefault="000E5634" w:rsidP="00294A37">
            <w:pPr>
              <w:spacing w:after="120"/>
              <w:jc w:val="left"/>
              <w:rPr>
                <w:rFonts w:ascii="Arial Narrow" w:eastAsia="Calibri" w:hAnsi="Arial Narrow"/>
                <w:b/>
                <w:bCs/>
                <w:sz w:val="20"/>
                <w:szCs w:val="20"/>
              </w:rPr>
            </w:pPr>
            <w:r w:rsidRPr="0028081E">
              <w:rPr>
                <w:rFonts w:ascii="Arial Narrow" w:eastAsia="Calibri" w:hAnsi="Arial Narrow"/>
                <w:b/>
                <w:bCs/>
                <w:sz w:val="20"/>
                <w:szCs w:val="20"/>
              </w:rPr>
              <w:t xml:space="preserve">Estimated </w:t>
            </w:r>
            <w:r w:rsidR="005815B6" w:rsidRPr="0028081E">
              <w:rPr>
                <w:rFonts w:ascii="Arial Narrow" w:eastAsia="Calibri" w:hAnsi="Arial Narrow"/>
                <w:b/>
                <w:bCs/>
                <w:sz w:val="20"/>
                <w:szCs w:val="20"/>
              </w:rPr>
              <w:t xml:space="preserve">utilisation of </w:t>
            </w:r>
            <w:r w:rsidRPr="0028081E">
              <w:rPr>
                <w:rFonts w:ascii="Arial Narrow" w:eastAsia="Calibri" w:hAnsi="Arial Narrow"/>
                <w:b/>
                <w:bCs/>
                <w:sz w:val="20"/>
                <w:szCs w:val="20"/>
              </w:rPr>
              <w:t xml:space="preserve">dulaglutide from </w:t>
            </w:r>
            <w:r w:rsidR="005815B6" w:rsidRPr="0028081E">
              <w:rPr>
                <w:rFonts w:ascii="Arial Narrow" w:eastAsia="Calibri" w:hAnsi="Arial Narrow"/>
                <w:b/>
                <w:bCs/>
                <w:sz w:val="20"/>
                <w:szCs w:val="20"/>
              </w:rPr>
              <w:t xml:space="preserve">exenatide 2 mg once weekly (with insulin) </w:t>
            </w:r>
            <w:r w:rsidRPr="0028081E">
              <w:rPr>
                <w:rFonts w:ascii="Arial Narrow" w:eastAsia="Calibri" w:hAnsi="Arial Narrow"/>
                <w:b/>
                <w:bCs/>
                <w:sz w:val="20"/>
                <w:szCs w:val="20"/>
              </w:rPr>
              <w:t xml:space="preserve">market </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Number of patients treated with exenatide QW</w:t>
            </w:r>
            <w:r w:rsidR="000E5634" w:rsidRPr="0028081E">
              <w:rPr>
                <w:rFonts w:ascii="Arial Narrow" w:hAnsi="Arial Narrow"/>
                <w:sz w:val="20"/>
                <w:szCs w:val="20"/>
              </w:rPr>
              <w:t xml:space="preserve"> in absence of dulaglutide </w:t>
            </w:r>
          </w:p>
        </w:tc>
        <w:tc>
          <w:tcPr>
            <w:tcW w:w="1080"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hAnsi="Arial Narrow"/>
                <w:sz w:val="20"/>
                <w:szCs w:val="20"/>
              </w:rPr>
            </w:pPr>
            <w:r w:rsidRPr="0028081E">
              <w:rPr>
                <w:rFonts w:ascii="Arial Narrow" w:eastAsia="Calibri" w:hAnsi="Arial Narrow"/>
                <w:sz w:val="20"/>
                <w:szCs w:val="20"/>
              </w:rPr>
              <w:t>Estimated uptake rate of dulaglutide</w:t>
            </w:r>
            <w:r w:rsidR="0044569E" w:rsidRPr="0028081E">
              <w:rPr>
                <w:rFonts w:ascii="Arial Narrow" w:eastAsia="Calibri" w:hAnsi="Arial Narrow"/>
                <w:sz w:val="20"/>
                <w:szCs w:val="20"/>
              </w:rPr>
              <w:t xml:space="preserve"> (displacement of exenatide QW)</w:t>
            </w:r>
          </w:p>
        </w:tc>
        <w:tc>
          <w:tcPr>
            <w:tcW w:w="1080"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25%</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35%</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50%</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63%</w:t>
            </w:r>
          </w:p>
        </w:tc>
        <w:tc>
          <w:tcPr>
            <w:tcW w:w="1122" w:type="dxa"/>
            <w:tcBorders>
              <w:right w:val="single" w:sz="4" w:space="0" w:color="auto"/>
            </w:tcBorders>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68%</w:t>
            </w:r>
          </w:p>
        </w:tc>
        <w:tc>
          <w:tcPr>
            <w:tcW w:w="1122" w:type="dxa"/>
            <w:tcBorders>
              <w:right w:val="single" w:sz="4" w:space="0" w:color="auto"/>
            </w:tcBorders>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70%</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Number of scripts substituted</w:t>
            </w:r>
            <w:r w:rsidR="0044569E" w:rsidRPr="0028081E">
              <w:rPr>
                <w:rFonts w:ascii="Arial Narrow" w:hAnsi="Arial Narrow"/>
                <w:sz w:val="20"/>
                <w:szCs w:val="20"/>
              </w:rPr>
              <w:t xml:space="preserve"> by dulaglutide </w:t>
            </w:r>
          </w:p>
        </w:tc>
        <w:tc>
          <w:tcPr>
            <w:tcW w:w="1080"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 xml:space="preserve">''''''''''''' </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 xml:space="preserve">'''''''''''''' </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 xml:space="preserve">''''''''''''''' </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 xml:space="preserve">''''''''''''''''' </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 xml:space="preserve">'''''''''''''''' </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 xml:space="preserve">''''''''''''''''' </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b/>
                <w:sz w:val="20"/>
                <w:szCs w:val="20"/>
              </w:rPr>
            </w:pPr>
            <w:r w:rsidRPr="0028081E">
              <w:rPr>
                <w:rFonts w:ascii="Arial Narrow" w:hAnsi="Arial Narrow"/>
                <w:sz w:val="20"/>
                <w:szCs w:val="20"/>
              </w:rPr>
              <w:t>Cost to PBS/RPBS less copayments</w:t>
            </w:r>
            <w:r w:rsidR="00A670C1" w:rsidRPr="0028081E">
              <w:rPr>
                <w:rFonts w:ascii="Arial Narrow" w:hAnsi="Arial Narrow"/>
                <w:sz w:val="20"/>
                <w:szCs w:val="20"/>
                <w:vertAlign w:val="superscript"/>
              </w:rPr>
              <w:t>b</w:t>
            </w:r>
            <w:r w:rsidR="00E71AFB" w:rsidRPr="0028081E">
              <w:rPr>
                <w:rFonts w:ascii="Arial Narrow" w:hAnsi="Arial Narrow"/>
                <w:sz w:val="20"/>
                <w:szCs w:val="20"/>
              </w:rPr>
              <w:t xml:space="preserve"> </w:t>
            </w:r>
            <w:r w:rsidR="001A3F80" w:rsidRPr="0028081E">
              <w:rPr>
                <w:rFonts w:ascii="Arial Narrow" w:hAnsi="Arial Narrow"/>
                <w:sz w:val="20"/>
                <w:szCs w:val="20"/>
              </w:rPr>
              <w:t>displaced from exenatide QW market</w:t>
            </w:r>
          </w:p>
        </w:tc>
        <w:tc>
          <w:tcPr>
            <w:tcW w:w="1080"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D3716D">
        <w:trPr>
          <w:jc w:val="center"/>
        </w:trPr>
        <w:tc>
          <w:tcPr>
            <w:tcW w:w="0" w:type="auto"/>
            <w:gridSpan w:val="7"/>
            <w:tcBorders>
              <w:left w:val="single" w:sz="4" w:space="0" w:color="auto"/>
              <w:bottom w:val="single" w:sz="4" w:space="0" w:color="auto"/>
            </w:tcBorders>
            <w:shd w:val="clear" w:color="auto" w:fill="auto"/>
            <w:vAlign w:val="center"/>
          </w:tcPr>
          <w:p w:rsidR="005815B6" w:rsidRPr="0028081E" w:rsidRDefault="000E5634" w:rsidP="00294A37">
            <w:pPr>
              <w:spacing w:after="120"/>
              <w:jc w:val="left"/>
              <w:rPr>
                <w:rFonts w:ascii="Arial Narrow" w:eastAsia="Calibri" w:hAnsi="Arial Narrow"/>
                <w:b/>
                <w:bCs/>
                <w:sz w:val="20"/>
                <w:szCs w:val="20"/>
              </w:rPr>
            </w:pPr>
            <w:r w:rsidRPr="0028081E">
              <w:rPr>
                <w:rFonts w:ascii="Arial Narrow" w:eastAsia="Calibri" w:hAnsi="Arial Narrow"/>
                <w:b/>
                <w:bCs/>
                <w:sz w:val="20"/>
                <w:szCs w:val="20"/>
              </w:rPr>
              <w:t xml:space="preserve">Estimated </w:t>
            </w:r>
            <w:r w:rsidR="005815B6" w:rsidRPr="0028081E">
              <w:rPr>
                <w:rFonts w:ascii="Arial Narrow" w:eastAsia="Calibri" w:hAnsi="Arial Narrow"/>
                <w:b/>
                <w:bCs/>
                <w:sz w:val="20"/>
                <w:szCs w:val="20"/>
              </w:rPr>
              <w:t xml:space="preserve">utilisation of </w:t>
            </w:r>
            <w:r w:rsidRPr="0028081E">
              <w:rPr>
                <w:rFonts w:ascii="Arial Narrow" w:eastAsia="Calibri" w:hAnsi="Arial Narrow"/>
                <w:b/>
                <w:bCs/>
                <w:sz w:val="20"/>
                <w:szCs w:val="20"/>
              </w:rPr>
              <w:t xml:space="preserve">dulaglutide from </w:t>
            </w:r>
            <w:r w:rsidR="005815B6" w:rsidRPr="0028081E">
              <w:rPr>
                <w:rFonts w:ascii="Arial Narrow" w:eastAsia="Calibri" w:hAnsi="Arial Narrow"/>
                <w:b/>
                <w:bCs/>
                <w:sz w:val="20"/>
                <w:szCs w:val="20"/>
              </w:rPr>
              <w:t xml:space="preserve">SGLT2 inhibitors (with insulin) </w:t>
            </w:r>
            <w:r w:rsidRPr="0028081E">
              <w:rPr>
                <w:rFonts w:ascii="Arial Narrow" w:eastAsia="Calibri" w:hAnsi="Arial Narrow"/>
                <w:b/>
                <w:bCs/>
                <w:sz w:val="20"/>
                <w:szCs w:val="20"/>
              </w:rPr>
              <w:t>market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Number of patients treated with pooled SGLT2 inhibitors</w:t>
            </w:r>
            <w:r w:rsidR="00EC2A4A" w:rsidRPr="0028081E">
              <w:rPr>
                <w:rFonts w:ascii="Arial Narrow" w:hAnsi="Arial Narrow"/>
                <w:sz w:val="20"/>
                <w:szCs w:val="20"/>
              </w:rPr>
              <w:t xml:space="preserve"> in absence of dulaglutide </w:t>
            </w:r>
            <w:r w:rsidRPr="0028081E">
              <w:rPr>
                <w:rFonts w:ascii="Arial Narrow" w:hAnsi="Arial Narrow"/>
                <w:sz w:val="20"/>
                <w:szCs w:val="20"/>
              </w:rPr>
              <w:t xml:space="preserve"> </w:t>
            </w:r>
          </w:p>
        </w:tc>
        <w:tc>
          <w:tcPr>
            <w:tcW w:w="1080"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602B2" w:rsidRDefault="002602B2" w:rsidP="00294A37">
            <w:pPr>
              <w:spacing w:after="12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hAnsi="Arial Narrow"/>
                <w:sz w:val="20"/>
                <w:szCs w:val="20"/>
              </w:rPr>
            </w:pPr>
            <w:r w:rsidRPr="0028081E">
              <w:rPr>
                <w:rFonts w:ascii="Arial Narrow" w:eastAsia="Calibri" w:hAnsi="Arial Narrow"/>
                <w:sz w:val="20"/>
                <w:szCs w:val="20"/>
              </w:rPr>
              <w:t>Estimated uptake rate of dulaglutide</w:t>
            </w:r>
            <w:r w:rsidR="0044569E" w:rsidRPr="0028081E">
              <w:rPr>
                <w:rFonts w:ascii="Arial Narrow" w:eastAsia="Calibri" w:hAnsi="Arial Narrow"/>
                <w:sz w:val="20"/>
                <w:szCs w:val="20"/>
              </w:rPr>
              <w:t xml:space="preserve"> (displacement of SGLT2 inhibitors)</w:t>
            </w:r>
          </w:p>
        </w:tc>
        <w:tc>
          <w:tcPr>
            <w:tcW w:w="1080"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5%</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7%</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9%</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10%</w:t>
            </w:r>
          </w:p>
        </w:tc>
        <w:tc>
          <w:tcPr>
            <w:tcW w:w="1122" w:type="dxa"/>
            <w:tcBorders>
              <w:right w:val="single" w:sz="4" w:space="0" w:color="auto"/>
            </w:tcBorders>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12%</w:t>
            </w:r>
          </w:p>
        </w:tc>
        <w:tc>
          <w:tcPr>
            <w:tcW w:w="1122" w:type="dxa"/>
            <w:tcBorders>
              <w:right w:val="single" w:sz="4" w:space="0" w:color="auto"/>
            </w:tcBorders>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15%</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Number of scripts substituted</w:t>
            </w:r>
            <w:r w:rsidR="00551923" w:rsidRPr="0028081E">
              <w:rPr>
                <w:rFonts w:ascii="Arial Narrow" w:hAnsi="Arial Narrow"/>
                <w:sz w:val="20"/>
                <w:szCs w:val="20"/>
              </w:rPr>
              <w:t xml:space="preserve"> by dulaglutide</w:t>
            </w:r>
          </w:p>
        </w:tc>
        <w:tc>
          <w:tcPr>
            <w:tcW w:w="1080"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b/>
                <w:sz w:val="20"/>
                <w:szCs w:val="20"/>
              </w:rPr>
            </w:pPr>
            <w:r w:rsidRPr="0028081E">
              <w:rPr>
                <w:rFonts w:ascii="Arial Narrow" w:hAnsi="Arial Narrow"/>
                <w:sz w:val="20"/>
                <w:szCs w:val="20"/>
              </w:rPr>
              <w:t>Cost</w:t>
            </w:r>
            <w:r w:rsidR="001A3F80" w:rsidRPr="0028081E">
              <w:rPr>
                <w:rFonts w:ascii="Arial Narrow" w:hAnsi="Arial Narrow"/>
                <w:sz w:val="20"/>
                <w:szCs w:val="20"/>
              </w:rPr>
              <w:t xml:space="preserve"> </w:t>
            </w:r>
            <w:r w:rsidRPr="0028081E">
              <w:rPr>
                <w:rFonts w:ascii="Arial Narrow" w:hAnsi="Arial Narrow"/>
                <w:sz w:val="20"/>
                <w:szCs w:val="20"/>
              </w:rPr>
              <w:t>to PBS/RPBS less copayments</w:t>
            </w:r>
            <w:r w:rsidR="00A670C1" w:rsidRPr="0028081E">
              <w:rPr>
                <w:rFonts w:ascii="Arial Narrow" w:hAnsi="Arial Narrow"/>
                <w:sz w:val="20"/>
                <w:szCs w:val="20"/>
                <w:vertAlign w:val="superscript"/>
              </w:rPr>
              <w:t>c</w:t>
            </w:r>
            <w:r w:rsidR="00E71AFB" w:rsidRPr="0028081E">
              <w:rPr>
                <w:rFonts w:ascii="Arial Narrow" w:hAnsi="Arial Narrow"/>
                <w:sz w:val="20"/>
                <w:szCs w:val="20"/>
                <w:vertAlign w:val="superscript"/>
              </w:rPr>
              <w:t xml:space="preserve"> </w:t>
            </w:r>
            <w:r w:rsidR="001A3F80" w:rsidRPr="0028081E">
              <w:rPr>
                <w:rFonts w:ascii="Arial Narrow" w:hAnsi="Arial Narrow"/>
                <w:sz w:val="20"/>
                <w:szCs w:val="20"/>
              </w:rPr>
              <w:t xml:space="preserve">displaced from SGLT2 inhibitors market </w:t>
            </w:r>
          </w:p>
        </w:tc>
        <w:tc>
          <w:tcPr>
            <w:tcW w:w="1080"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D3716D">
        <w:trPr>
          <w:jc w:val="center"/>
        </w:trPr>
        <w:tc>
          <w:tcPr>
            <w:tcW w:w="0" w:type="auto"/>
            <w:gridSpan w:val="7"/>
            <w:tcBorders>
              <w:left w:val="single" w:sz="4" w:space="0" w:color="auto"/>
              <w:bottom w:val="single" w:sz="4" w:space="0" w:color="auto"/>
            </w:tcBorders>
            <w:shd w:val="clear" w:color="auto" w:fill="auto"/>
            <w:vAlign w:val="center"/>
          </w:tcPr>
          <w:p w:rsidR="005815B6" w:rsidRPr="0028081E" w:rsidRDefault="00551923" w:rsidP="00294A37">
            <w:pPr>
              <w:spacing w:after="120"/>
              <w:jc w:val="left"/>
              <w:rPr>
                <w:rFonts w:ascii="Arial Narrow" w:eastAsia="Calibri" w:hAnsi="Arial Narrow"/>
                <w:b/>
                <w:bCs/>
                <w:sz w:val="20"/>
                <w:szCs w:val="20"/>
              </w:rPr>
            </w:pPr>
            <w:r w:rsidRPr="0028081E">
              <w:rPr>
                <w:rFonts w:ascii="Arial Narrow" w:eastAsia="Calibri" w:hAnsi="Arial Narrow"/>
                <w:b/>
                <w:bCs/>
                <w:sz w:val="20"/>
                <w:szCs w:val="20"/>
              </w:rPr>
              <w:t xml:space="preserve">Estimated </w:t>
            </w:r>
            <w:r w:rsidR="005815B6" w:rsidRPr="0028081E">
              <w:rPr>
                <w:rFonts w:ascii="Arial Narrow" w:eastAsia="Calibri" w:hAnsi="Arial Narrow"/>
                <w:b/>
                <w:bCs/>
                <w:sz w:val="20"/>
                <w:szCs w:val="20"/>
              </w:rPr>
              <w:t xml:space="preserve">utilisation of </w:t>
            </w:r>
            <w:r w:rsidRPr="0028081E">
              <w:rPr>
                <w:rFonts w:ascii="Arial Narrow" w:eastAsia="Calibri" w:hAnsi="Arial Narrow"/>
                <w:b/>
                <w:bCs/>
                <w:sz w:val="20"/>
                <w:szCs w:val="20"/>
              </w:rPr>
              <w:t xml:space="preserve">dulaglutide from </w:t>
            </w:r>
            <w:r w:rsidR="005815B6" w:rsidRPr="0028081E">
              <w:rPr>
                <w:rFonts w:ascii="Arial Narrow" w:eastAsia="Calibri" w:hAnsi="Arial Narrow"/>
                <w:b/>
                <w:bCs/>
                <w:sz w:val="20"/>
                <w:szCs w:val="20"/>
              </w:rPr>
              <w:t xml:space="preserve">DPP-4 inhibitors (with insulin) </w:t>
            </w:r>
            <w:r w:rsidRPr="0028081E">
              <w:rPr>
                <w:rFonts w:ascii="Arial Narrow" w:eastAsia="Calibri" w:hAnsi="Arial Narrow"/>
                <w:b/>
                <w:bCs/>
                <w:sz w:val="20"/>
                <w:szCs w:val="20"/>
              </w:rPr>
              <w:t>market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 xml:space="preserve">Number of patients treated with DPP-4 inhibitors </w:t>
            </w:r>
            <w:r w:rsidR="00551923" w:rsidRPr="0028081E">
              <w:rPr>
                <w:rFonts w:ascii="Arial Narrow" w:hAnsi="Arial Narrow"/>
                <w:sz w:val="20"/>
                <w:szCs w:val="20"/>
              </w:rPr>
              <w:t xml:space="preserve">in absence of dulaglutide </w:t>
            </w:r>
          </w:p>
        </w:tc>
        <w:tc>
          <w:tcPr>
            <w:tcW w:w="1080"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hAnsi="Arial Narrow"/>
                <w:sz w:val="20"/>
                <w:szCs w:val="20"/>
              </w:rPr>
            </w:pPr>
            <w:r w:rsidRPr="0028081E">
              <w:rPr>
                <w:rFonts w:ascii="Arial Narrow" w:eastAsia="Calibri" w:hAnsi="Arial Narrow"/>
                <w:sz w:val="20"/>
                <w:szCs w:val="20"/>
              </w:rPr>
              <w:t>Estimated uptake rate of dulaglutide</w:t>
            </w:r>
            <w:r w:rsidR="00551923" w:rsidRPr="0028081E">
              <w:rPr>
                <w:rFonts w:ascii="Arial Narrow" w:eastAsia="Calibri" w:hAnsi="Arial Narrow"/>
                <w:sz w:val="20"/>
                <w:szCs w:val="20"/>
              </w:rPr>
              <w:t xml:space="preserve"> (displacement of DPP-4 inhibitors)</w:t>
            </w:r>
          </w:p>
        </w:tc>
        <w:tc>
          <w:tcPr>
            <w:tcW w:w="1080"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10%</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15%</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18%</w:t>
            </w:r>
          </w:p>
        </w:tc>
        <w:tc>
          <w:tcPr>
            <w:tcW w:w="1122" w:type="dxa"/>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23%</w:t>
            </w:r>
          </w:p>
        </w:tc>
        <w:tc>
          <w:tcPr>
            <w:tcW w:w="1122" w:type="dxa"/>
            <w:tcBorders>
              <w:right w:val="single" w:sz="4" w:space="0" w:color="auto"/>
            </w:tcBorders>
            <w:shd w:val="clear" w:color="auto" w:fill="auto"/>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23%</w:t>
            </w:r>
          </w:p>
        </w:tc>
        <w:tc>
          <w:tcPr>
            <w:tcW w:w="1122" w:type="dxa"/>
            <w:tcBorders>
              <w:right w:val="single" w:sz="4" w:space="0" w:color="auto"/>
            </w:tcBorders>
            <w:vAlign w:val="bottom"/>
          </w:tcPr>
          <w:p w:rsidR="005815B6" w:rsidRPr="006B02AC" w:rsidRDefault="005815B6" w:rsidP="00294A37">
            <w:pPr>
              <w:spacing w:after="120"/>
              <w:jc w:val="center"/>
              <w:rPr>
                <w:rFonts w:ascii="Arial Narrow" w:hAnsi="Arial Narrow" w:cs="Calibri"/>
                <w:color w:val="000000"/>
                <w:sz w:val="20"/>
                <w:szCs w:val="20"/>
              </w:rPr>
            </w:pPr>
            <w:r w:rsidRPr="006B02AC">
              <w:rPr>
                <w:rFonts w:ascii="Arial Narrow" w:hAnsi="Arial Narrow" w:cs="Calibri"/>
                <w:color w:val="000000"/>
                <w:sz w:val="20"/>
                <w:szCs w:val="20"/>
              </w:rPr>
              <w:t>23%</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sz w:val="20"/>
                <w:szCs w:val="20"/>
              </w:rPr>
            </w:pPr>
            <w:r w:rsidRPr="0028081E">
              <w:rPr>
                <w:rFonts w:ascii="Arial Narrow" w:hAnsi="Arial Narrow"/>
                <w:sz w:val="20"/>
                <w:szCs w:val="20"/>
              </w:rPr>
              <w:t>Number of scripts substituted</w:t>
            </w:r>
            <w:r w:rsidR="00741F6B" w:rsidRPr="0028081E">
              <w:rPr>
                <w:rFonts w:ascii="Arial Narrow" w:hAnsi="Arial Narrow"/>
                <w:sz w:val="20"/>
                <w:szCs w:val="20"/>
              </w:rPr>
              <w:t xml:space="preserve"> by dulaglutide </w:t>
            </w:r>
          </w:p>
        </w:tc>
        <w:tc>
          <w:tcPr>
            <w:tcW w:w="1080"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eastAsia="Calibri" w:hAnsi="Arial Narrow"/>
                <w:b/>
                <w:sz w:val="20"/>
                <w:szCs w:val="20"/>
              </w:rPr>
            </w:pPr>
            <w:r w:rsidRPr="0028081E">
              <w:rPr>
                <w:rFonts w:ascii="Arial Narrow" w:hAnsi="Arial Narrow"/>
                <w:sz w:val="20"/>
                <w:szCs w:val="20"/>
              </w:rPr>
              <w:t>Cost</w:t>
            </w:r>
            <w:r w:rsidR="003E29B4" w:rsidRPr="0028081E">
              <w:rPr>
                <w:rFonts w:ascii="Arial Narrow" w:hAnsi="Arial Narrow"/>
                <w:sz w:val="20"/>
                <w:szCs w:val="20"/>
              </w:rPr>
              <w:t xml:space="preserve"> </w:t>
            </w:r>
            <w:r w:rsidRPr="0028081E">
              <w:rPr>
                <w:rFonts w:ascii="Arial Narrow" w:hAnsi="Arial Narrow"/>
                <w:sz w:val="20"/>
                <w:szCs w:val="20"/>
              </w:rPr>
              <w:t>to PBS/RPBS less copayments</w:t>
            </w:r>
            <w:r w:rsidR="00A670C1" w:rsidRPr="0028081E">
              <w:rPr>
                <w:rFonts w:ascii="Arial Narrow" w:hAnsi="Arial Narrow"/>
                <w:sz w:val="20"/>
                <w:szCs w:val="20"/>
                <w:vertAlign w:val="superscript"/>
              </w:rPr>
              <w:t>d</w:t>
            </w:r>
            <w:r w:rsidR="003E29B4" w:rsidRPr="0028081E">
              <w:rPr>
                <w:rFonts w:ascii="Arial Narrow" w:hAnsi="Arial Narrow"/>
                <w:sz w:val="20"/>
                <w:szCs w:val="20"/>
              </w:rPr>
              <w:t xml:space="preserve"> </w:t>
            </w:r>
            <w:r w:rsidR="001A3F80" w:rsidRPr="0028081E">
              <w:rPr>
                <w:rFonts w:ascii="Arial Narrow" w:hAnsi="Arial Narrow"/>
                <w:sz w:val="20"/>
                <w:szCs w:val="20"/>
              </w:rPr>
              <w:t xml:space="preserve">displaced from DPP-4 inhibitors market </w:t>
            </w:r>
          </w:p>
        </w:tc>
        <w:tc>
          <w:tcPr>
            <w:tcW w:w="1080"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8081E" w:rsidRDefault="00D3716D" w:rsidP="00294A37">
            <w:pPr>
              <w:spacing w:after="120"/>
              <w:jc w:val="center"/>
              <w:rPr>
                <w:rFonts w:ascii="Arial Narrow" w:hAnsi="Arial Narrow"/>
                <w:bCs/>
                <w:sz w:val="20"/>
                <w:szCs w:val="20"/>
              </w:rPr>
            </w:pPr>
            <w:r w:rsidRPr="0028081E">
              <w:rPr>
                <w:rFonts w:ascii="Arial Narrow" w:hAnsi="Arial Narrow" w:cs="Calibri"/>
                <w:color w:val="000000"/>
                <w:sz w:val="20"/>
                <w:szCs w:val="20"/>
              </w:rPr>
              <w:t>-</w:t>
            </w:r>
            <w:r w:rsidR="005815B6"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5815B6" w:rsidRPr="0028081E" w:rsidTr="00D3716D">
        <w:trPr>
          <w:jc w:val="center"/>
        </w:trPr>
        <w:tc>
          <w:tcPr>
            <w:tcW w:w="0" w:type="auto"/>
            <w:gridSpan w:val="7"/>
            <w:tcBorders>
              <w:left w:val="single" w:sz="4" w:space="0" w:color="auto"/>
              <w:right w:val="single" w:sz="4" w:space="0" w:color="auto"/>
            </w:tcBorders>
            <w:shd w:val="clear" w:color="auto" w:fill="auto"/>
            <w:vAlign w:val="center"/>
          </w:tcPr>
          <w:p w:rsidR="005815B6" w:rsidRPr="0028081E" w:rsidRDefault="00B24298" w:rsidP="00294A37">
            <w:pPr>
              <w:spacing w:after="120"/>
              <w:jc w:val="left"/>
              <w:rPr>
                <w:rFonts w:ascii="Arial Narrow" w:hAnsi="Arial Narrow"/>
                <w:b/>
                <w:bCs/>
                <w:sz w:val="20"/>
                <w:szCs w:val="20"/>
              </w:rPr>
            </w:pPr>
            <w:r w:rsidRPr="0028081E">
              <w:rPr>
                <w:rFonts w:ascii="Arial Narrow" w:hAnsi="Arial Narrow"/>
                <w:b/>
                <w:color w:val="000000"/>
                <w:sz w:val="20"/>
                <w:szCs w:val="20"/>
              </w:rPr>
              <w:t>Estimated financial implications for the substituted medicines</w:t>
            </w:r>
            <w:r w:rsidR="00FC3CA1" w:rsidRPr="0028081E">
              <w:rPr>
                <w:rFonts w:ascii="Arial Narrow" w:hAnsi="Arial Narrow"/>
                <w:b/>
                <w:color w:val="000000"/>
                <w:sz w:val="20"/>
                <w:szCs w:val="20"/>
              </w:rPr>
              <w:t xml:space="preserve"> </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hAnsi="Arial Narrow"/>
                <w:sz w:val="20"/>
                <w:szCs w:val="20"/>
              </w:rPr>
            </w:pPr>
            <w:r w:rsidRPr="0028081E">
              <w:rPr>
                <w:rFonts w:ascii="Arial Narrow" w:hAnsi="Arial Narrow"/>
                <w:sz w:val="20"/>
                <w:szCs w:val="20"/>
              </w:rPr>
              <w:t>Total number of patients treated</w:t>
            </w:r>
            <w:r w:rsidR="001E60AA" w:rsidRPr="0028081E">
              <w:rPr>
                <w:rFonts w:ascii="Arial Narrow" w:hAnsi="Arial Narrow"/>
                <w:sz w:val="20"/>
                <w:szCs w:val="20"/>
              </w:rPr>
              <w:t xml:space="preserve"> in absence of dulaglutide</w:t>
            </w:r>
          </w:p>
        </w:tc>
        <w:tc>
          <w:tcPr>
            <w:tcW w:w="1080" w:type="dxa"/>
            <w:shd w:val="clear" w:color="auto" w:fill="auto"/>
            <w:vAlign w:val="bottom"/>
          </w:tcPr>
          <w:p w:rsidR="005815B6" w:rsidRPr="002602B2" w:rsidRDefault="002602B2" w:rsidP="00294A37">
            <w:pPr>
              <w:spacing w:after="12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602B2" w:rsidRDefault="002602B2" w:rsidP="00294A37">
            <w:pPr>
              <w:spacing w:after="12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602B2" w:rsidRDefault="002602B2" w:rsidP="00294A37">
            <w:pPr>
              <w:spacing w:after="120"/>
              <w:jc w:val="center"/>
              <w:rPr>
                <w:rFonts w:ascii="Arial Narrow" w:hAnsi="Arial Narrow"/>
                <w:bCs/>
                <w:sz w:val="20"/>
                <w:szCs w:val="20"/>
                <w:highlight w:val="black"/>
              </w:rPr>
            </w:pPr>
            <w:r>
              <w:rPr>
                <w:rFonts w:ascii="Arial Narrow" w:hAnsi="Arial Narrow" w:cs="Calibri"/>
                <w:noProof/>
                <w:color w:val="000000"/>
                <w:sz w:val="20"/>
                <w:szCs w:val="20"/>
                <w:highlight w:val="black"/>
              </w:rPr>
              <w:t>'''''''''''''''''</w:t>
            </w:r>
          </w:p>
        </w:tc>
      </w:tr>
      <w:tr w:rsidR="005815B6" w:rsidRPr="0028081E" w:rsidTr="001C4C27">
        <w:trPr>
          <w:jc w:val="center"/>
        </w:trPr>
        <w:tc>
          <w:tcPr>
            <w:tcW w:w="2326" w:type="dxa"/>
            <w:tcBorders>
              <w:left w:val="single" w:sz="4" w:space="0" w:color="auto"/>
            </w:tcBorders>
            <w:shd w:val="clear" w:color="auto" w:fill="auto"/>
            <w:vAlign w:val="center"/>
          </w:tcPr>
          <w:p w:rsidR="005815B6" w:rsidRPr="0028081E" w:rsidRDefault="005815B6" w:rsidP="00294A37">
            <w:pPr>
              <w:spacing w:after="120"/>
              <w:jc w:val="left"/>
              <w:rPr>
                <w:rFonts w:ascii="Arial Narrow" w:hAnsi="Arial Narrow"/>
                <w:sz w:val="20"/>
                <w:szCs w:val="20"/>
              </w:rPr>
            </w:pPr>
            <w:r w:rsidRPr="0028081E">
              <w:rPr>
                <w:rFonts w:ascii="Arial Narrow" w:hAnsi="Arial Narrow"/>
                <w:sz w:val="20"/>
                <w:szCs w:val="20"/>
              </w:rPr>
              <w:t>Total number of scripts substituted</w:t>
            </w:r>
            <w:r w:rsidR="003479B8" w:rsidRPr="0028081E">
              <w:rPr>
                <w:rFonts w:ascii="Arial Narrow" w:hAnsi="Arial Narrow"/>
                <w:sz w:val="20"/>
                <w:szCs w:val="20"/>
              </w:rPr>
              <w:t xml:space="preserve"> by dulaglutide  </w:t>
            </w:r>
          </w:p>
        </w:tc>
        <w:tc>
          <w:tcPr>
            <w:tcW w:w="1080" w:type="dxa"/>
            <w:shd w:val="clear" w:color="auto" w:fill="auto"/>
            <w:vAlign w:val="bottom"/>
          </w:tcPr>
          <w:p w:rsidR="005815B6"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bottom"/>
          </w:tcPr>
          <w:p w:rsidR="005815B6"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5815B6"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5815B6"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53D77" w:rsidRPr="0028081E" w:rsidTr="001C4C27">
        <w:trPr>
          <w:jc w:val="center"/>
        </w:trPr>
        <w:tc>
          <w:tcPr>
            <w:tcW w:w="2326" w:type="dxa"/>
            <w:tcBorders>
              <w:left w:val="single" w:sz="4" w:space="0" w:color="auto"/>
            </w:tcBorders>
            <w:shd w:val="clear" w:color="auto" w:fill="auto"/>
            <w:vAlign w:val="center"/>
          </w:tcPr>
          <w:p w:rsidR="00B53D77" w:rsidRPr="0028081E" w:rsidRDefault="00B53D77" w:rsidP="00294A37">
            <w:pPr>
              <w:spacing w:after="120"/>
              <w:jc w:val="left"/>
              <w:rPr>
                <w:rFonts w:ascii="Arial Narrow" w:eastAsia="Calibri" w:hAnsi="Arial Narrow"/>
                <w:b/>
                <w:sz w:val="20"/>
                <w:szCs w:val="20"/>
              </w:rPr>
            </w:pPr>
            <w:r w:rsidRPr="0028081E">
              <w:rPr>
                <w:rFonts w:ascii="Arial Narrow" w:eastAsia="Calibri" w:hAnsi="Arial Narrow"/>
                <w:b/>
                <w:sz w:val="20"/>
                <w:szCs w:val="20"/>
              </w:rPr>
              <w:t xml:space="preserve">Total cost </w:t>
            </w:r>
            <w:r w:rsidR="001A3F80" w:rsidRPr="0028081E">
              <w:rPr>
                <w:rFonts w:ascii="Arial Narrow" w:eastAsia="Calibri" w:hAnsi="Arial Narrow"/>
                <w:b/>
                <w:sz w:val="20"/>
                <w:szCs w:val="20"/>
              </w:rPr>
              <w:t xml:space="preserve"> to PBS/RPBS </w:t>
            </w:r>
            <w:r w:rsidRPr="0028081E">
              <w:rPr>
                <w:rFonts w:ascii="Arial Narrow" w:eastAsia="Calibri" w:hAnsi="Arial Narrow"/>
                <w:b/>
                <w:sz w:val="20"/>
                <w:szCs w:val="20"/>
              </w:rPr>
              <w:t>(effective) excluding copayments</w:t>
            </w:r>
            <w:r w:rsidR="001A3F80" w:rsidRPr="0028081E">
              <w:rPr>
                <w:rFonts w:ascii="Arial Narrow" w:eastAsia="Calibri" w:hAnsi="Arial Narrow"/>
                <w:b/>
                <w:sz w:val="20"/>
                <w:szCs w:val="20"/>
              </w:rPr>
              <w:t xml:space="preserve"> displaced by dulaglutide </w:t>
            </w:r>
          </w:p>
        </w:tc>
        <w:tc>
          <w:tcPr>
            <w:tcW w:w="1080"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c>
          <w:tcPr>
            <w:tcW w:w="1122" w:type="dxa"/>
            <w:tcBorders>
              <w:right w:val="single" w:sz="4" w:space="0" w:color="auto"/>
            </w:tcBorders>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color w:val="000000"/>
                <w:sz w:val="20"/>
                <w:szCs w:val="20"/>
              </w:rPr>
              <w:t>$</w:t>
            </w:r>
            <w:r w:rsidR="002602B2">
              <w:rPr>
                <w:rFonts w:ascii="Arial Narrow" w:hAnsi="Arial Narrow" w:cs="Calibri"/>
                <w:noProof/>
                <w:color w:val="000000"/>
                <w:sz w:val="20"/>
                <w:szCs w:val="20"/>
                <w:highlight w:val="black"/>
              </w:rPr>
              <w:t>'''''''''''''''''''''''''''''</w:t>
            </w:r>
          </w:p>
        </w:tc>
      </w:tr>
      <w:tr w:rsidR="00B53D77" w:rsidRPr="0028081E" w:rsidTr="00D3716D">
        <w:trPr>
          <w:jc w:val="center"/>
        </w:trPr>
        <w:tc>
          <w:tcPr>
            <w:tcW w:w="0" w:type="auto"/>
            <w:gridSpan w:val="7"/>
            <w:tcBorders>
              <w:left w:val="single" w:sz="4" w:space="0" w:color="auto"/>
              <w:bottom w:val="single" w:sz="4" w:space="0" w:color="auto"/>
            </w:tcBorders>
            <w:shd w:val="clear" w:color="auto" w:fill="auto"/>
            <w:vAlign w:val="center"/>
          </w:tcPr>
          <w:p w:rsidR="00B53D77" w:rsidRPr="0028081E" w:rsidRDefault="000B78A2" w:rsidP="00294A37">
            <w:pPr>
              <w:spacing w:after="120"/>
              <w:jc w:val="left"/>
              <w:rPr>
                <w:rFonts w:ascii="Arial Narrow" w:eastAsia="Calibri" w:hAnsi="Arial Narrow"/>
                <w:b/>
                <w:bCs/>
                <w:sz w:val="20"/>
                <w:szCs w:val="20"/>
              </w:rPr>
            </w:pPr>
            <w:r w:rsidRPr="0028081E">
              <w:rPr>
                <w:rFonts w:ascii="Arial Narrow" w:eastAsia="Calibri" w:hAnsi="Arial Narrow"/>
                <w:b/>
                <w:bCs/>
                <w:sz w:val="20"/>
                <w:szCs w:val="20"/>
              </w:rPr>
              <w:t xml:space="preserve">Estimated utilisation </w:t>
            </w:r>
            <w:r w:rsidR="00B53D77" w:rsidRPr="0028081E">
              <w:rPr>
                <w:rFonts w:ascii="Arial Narrow" w:eastAsia="Calibri" w:hAnsi="Arial Narrow"/>
                <w:b/>
                <w:bCs/>
                <w:sz w:val="20"/>
                <w:szCs w:val="20"/>
              </w:rPr>
              <w:t>of dulaglutide (with insulin)</w:t>
            </w:r>
          </w:p>
        </w:tc>
      </w:tr>
      <w:tr w:rsidR="00B53D77" w:rsidRPr="0028081E" w:rsidTr="001C4C27">
        <w:trPr>
          <w:jc w:val="center"/>
        </w:trPr>
        <w:tc>
          <w:tcPr>
            <w:tcW w:w="2326" w:type="dxa"/>
            <w:tcBorders>
              <w:left w:val="single" w:sz="4" w:space="0" w:color="auto"/>
            </w:tcBorders>
            <w:shd w:val="clear" w:color="auto" w:fill="auto"/>
            <w:vAlign w:val="center"/>
          </w:tcPr>
          <w:p w:rsidR="00B53D77" w:rsidRPr="0028081E" w:rsidRDefault="00B53D77" w:rsidP="00294A37">
            <w:pPr>
              <w:spacing w:after="120"/>
              <w:jc w:val="left"/>
              <w:rPr>
                <w:rFonts w:ascii="Arial Narrow" w:hAnsi="Arial Narrow"/>
                <w:sz w:val="20"/>
                <w:szCs w:val="20"/>
              </w:rPr>
            </w:pPr>
            <w:r w:rsidRPr="0028081E">
              <w:rPr>
                <w:rFonts w:ascii="Arial Narrow" w:hAnsi="Arial Narrow"/>
                <w:sz w:val="20"/>
                <w:szCs w:val="20"/>
              </w:rPr>
              <w:t>Number of patients treated with dulaglutide QW</w:t>
            </w:r>
          </w:p>
        </w:tc>
        <w:tc>
          <w:tcPr>
            <w:tcW w:w="1080"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tcBorders>
              <w:right w:val="single" w:sz="4" w:space="0" w:color="auto"/>
            </w:tcBorders>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53D77" w:rsidRPr="0028081E" w:rsidTr="001C4C27">
        <w:trPr>
          <w:jc w:val="center"/>
        </w:trPr>
        <w:tc>
          <w:tcPr>
            <w:tcW w:w="2326" w:type="dxa"/>
            <w:tcBorders>
              <w:left w:val="single" w:sz="4" w:space="0" w:color="auto"/>
            </w:tcBorders>
            <w:shd w:val="clear" w:color="auto" w:fill="auto"/>
            <w:vAlign w:val="center"/>
          </w:tcPr>
          <w:p w:rsidR="00B53D77" w:rsidRPr="0028081E" w:rsidRDefault="00B53D77" w:rsidP="00294A37">
            <w:pPr>
              <w:spacing w:after="120"/>
              <w:jc w:val="left"/>
              <w:rPr>
                <w:rFonts w:ascii="Arial Narrow" w:hAnsi="Arial Narrow"/>
                <w:sz w:val="20"/>
                <w:szCs w:val="20"/>
                <w:highlight w:val="yellow"/>
                <w:vertAlign w:val="superscript"/>
              </w:rPr>
            </w:pPr>
            <w:r w:rsidRPr="0028081E">
              <w:rPr>
                <w:rFonts w:ascii="Arial Narrow" w:hAnsi="Arial Narrow"/>
                <w:sz w:val="20"/>
                <w:szCs w:val="20"/>
              </w:rPr>
              <w:t>Number of scripts dispensed</w:t>
            </w:r>
          </w:p>
        </w:tc>
        <w:tc>
          <w:tcPr>
            <w:tcW w:w="1080"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22"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tcBorders>
              <w:right w:val="single" w:sz="4" w:space="0" w:color="auto"/>
            </w:tcBorders>
            <w:shd w:val="clear" w:color="auto" w:fill="auto"/>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c>
          <w:tcPr>
            <w:tcW w:w="1122" w:type="dxa"/>
            <w:tcBorders>
              <w:right w:val="single" w:sz="4" w:space="0" w:color="auto"/>
            </w:tcBorders>
            <w:vAlign w:val="center"/>
          </w:tcPr>
          <w:p w:rsidR="00B53D77" w:rsidRPr="002602B2" w:rsidRDefault="002602B2" w:rsidP="00294A37">
            <w:pPr>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 xml:space="preserve">''''''''''''''''''''' </w:t>
            </w:r>
          </w:p>
        </w:tc>
      </w:tr>
      <w:tr w:rsidR="00B53D77" w:rsidRPr="0028081E" w:rsidTr="001C4C27">
        <w:trPr>
          <w:jc w:val="center"/>
        </w:trPr>
        <w:tc>
          <w:tcPr>
            <w:tcW w:w="2326" w:type="dxa"/>
            <w:tcBorders>
              <w:left w:val="single" w:sz="4" w:space="0" w:color="auto"/>
            </w:tcBorders>
            <w:shd w:val="clear" w:color="auto" w:fill="auto"/>
            <w:vAlign w:val="center"/>
          </w:tcPr>
          <w:p w:rsidR="00B53D77" w:rsidRPr="0028081E" w:rsidRDefault="00B53D77" w:rsidP="00294A37">
            <w:pPr>
              <w:spacing w:after="120"/>
              <w:jc w:val="left"/>
              <w:rPr>
                <w:rFonts w:ascii="Arial Narrow" w:eastAsia="Calibri" w:hAnsi="Arial Narrow"/>
                <w:sz w:val="20"/>
                <w:szCs w:val="20"/>
              </w:rPr>
            </w:pPr>
            <w:r w:rsidRPr="0028081E">
              <w:rPr>
                <w:rFonts w:ascii="Arial Narrow" w:hAnsi="Arial Narrow"/>
                <w:sz w:val="20"/>
                <w:szCs w:val="20"/>
              </w:rPr>
              <w:t>Cost to PBS/RPBS less copayments</w:t>
            </w:r>
            <w:r w:rsidR="0069698B" w:rsidRPr="0028081E">
              <w:rPr>
                <w:rFonts w:ascii="Arial Narrow" w:hAnsi="Arial Narrow"/>
                <w:sz w:val="20"/>
                <w:szCs w:val="20"/>
                <w:vertAlign w:val="superscript"/>
              </w:rPr>
              <w:t>e,f</w:t>
            </w:r>
          </w:p>
        </w:tc>
        <w:tc>
          <w:tcPr>
            <w:tcW w:w="1080" w:type="dxa"/>
            <w:shd w:val="clear" w:color="auto" w:fill="auto"/>
            <w:vAlign w:val="bottom"/>
          </w:tcPr>
          <w:p w:rsidR="00B53D77" w:rsidRPr="0028081E" w:rsidRDefault="00B53D77" w:rsidP="00294A37">
            <w:pPr>
              <w:spacing w:after="120"/>
              <w:jc w:val="center"/>
              <w:rPr>
                <w:rFonts w:ascii="Arial Narrow" w:hAnsi="Arial Narrow" w:cs="Calibri"/>
                <w:iCs/>
                <w:color w:val="000000"/>
                <w:sz w:val="20"/>
                <w:szCs w:val="20"/>
              </w:rPr>
            </w:pPr>
            <w:r w:rsidRPr="0028081E">
              <w:rPr>
                <w:rFonts w:ascii="Arial Narrow" w:hAnsi="Arial Narrow" w:cs="Calibri"/>
                <w:iCs/>
                <w:color w:val="000000"/>
                <w:sz w:val="20"/>
                <w:szCs w:val="20"/>
              </w:rPr>
              <w:t>$</w:t>
            </w:r>
            <w:r w:rsidR="002602B2">
              <w:rPr>
                <w:rFonts w:ascii="Arial Narrow" w:hAnsi="Arial Narrow" w:cs="Calibri"/>
                <w:iCs/>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iCs/>
                <w:color w:val="000000"/>
                <w:sz w:val="20"/>
                <w:szCs w:val="20"/>
              </w:rPr>
            </w:pPr>
            <w:r w:rsidRPr="0028081E">
              <w:rPr>
                <w:rFonts w:ascii="Arial Narrow" w:hAnsi="Arial Narrow" w:cs="Calibri"/>
                <w:iCs/>
                <w:color w:val="000000"/>
                <w:sz w:val="20"/>
                <w:szCs w:val="20"/>
              </w:rPr>
              <w:t>$</w:t>
            </w:r>
            <w:r w:rsidR="002602B2">
              <w:rPr>
                <w:rFonts w:ascii="Arial Narrow" w:hAnsi="Arial Narrow" w:cs="Calibri"/>
                <w:iCs/>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iCs/>
                <w:color w:val="000000"/>
                <w:sz w:val="20"/>
                <w:szCs w:val="20"/>
              </w:rPr>
            </w:pPr>
            <w:r w:rsidRPr="0028081E">
              <w:rPr>
                <w:rFonts w:ascii="Arial Narrow" w:hAnsi="Arial Narrow" w:cs="Calibri"/>
                <w:iCs/>
                <w:color w:val="000000"/>
                <w:sz w:val="20"/>
                <w:szCs w:val="20"/>
              </w:rPr>
              <w:t>$</w:t>
            </w:r>
            <w:r w:rsidR="002602B2">
              <w:rPr>
                <w:rFonts w:ascii="Arial Narrow" w:hAnsi="Arial Narrow" w:cs="Calibri"/>
                <w:iCs/>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iCs/>
                <w:color w:val="000000"/>
                <w:sz w:val="20"/>
                <w:szCs w:val="20"/>
              </w:rPr>
            </w:pPr>
            <w:r w:rsidRPr="0028081E">
              <w:rPr>
                <w:rFonts w:ascii="Arial Narrow" w:hAnsi="Arial Narrow" w:cs="Calibri"/>
                <w:iCs/>
                <w:color w:val="000000"/>
                <w:sz w:val="20"/>
                <w:szCs w:val="20"/>
              </w:rPr>
              <w:t>$</w:t>
            </w:r>
            <w:r w:rsidR="002602B2">
              <w:rPr>
                <w:rFonts w:ascii="Arial Narrow" w:hAnsi="Arial Narrow" w:cs="Calibri"/>
                <w:iCs/>
                <w:noProof/>
                <w:color w:val="000000"/>
                <w:sz w:val="20"/>
                <w:szCs w:val="20"/>
                <w:highlight w:val="black"/>
              </w:rPr>
              <w:t>''''''''''''''''''''''''''''</w:t>
            </w:r>
          </w:p>
        </w:tc>
        <w:tc>
          <w:tcPr>
            <w:tcW w:w="1122" w:type="dxa"/>
            <w:tcBorders>
              <w:right w:val="single" w:sz="4" w:space="0" w:color="auto"/>
            </w:tcBorders>
            <w:shd w:val="clear" w:color="auto" w:fill="auto"/>
            <w:vAlign w:val="bottom"/>
          </w:tcPr>
          <w:p w:rsidR="00B53D77" w:rsidRPr="0028081E" w:rsidRDefault="00B53D77" w:rsidP="00294A37">
            <w:pPr>
              <w:spacing w:after="120"/>
              <w:jc w:val="center"/>
              <w:rPr>
                <w:rFonts w:ascii="Arial Narrow" w:hAnsi="Arial Narrow" w:cs="Calibri"/>
                <w:iCs/>
                <w:color w:val="000000"/>
                <w:sz w:val="20"/>
                <w:szCs w:val="20"/>
              </w:rPr>
            </w:pPr>
            <w:r w:rsidRPr="0028081E">
              <w:rPr>
                <w:rFonts w:ascii="Arial Narrow" w:hAnsi="Arial Narrow" w:cs="Calibri"/>
                <w:iCs/>
                <w:color w:val="000000"/>
                <w:sz w:val="20"/>
                <w:szCs w:val="20"/>
              </w:rPr>
              <w:t>$</w:t>
            </w:r>
            <w:r w:rsidR="002602B2">
              <w:rPr>
                <w:rFonts w:ascii="Arial Narrow" w:hAnsi="Arial Narrow" w:cs="Calibri"/>
                <w:iCs/>
                <w:noProof/>
                <w:color w:val="000000"/>
                <w:sz w:val="20"/>
                <w:szCs w:val="20"/>
                <w:highlight w:val="black"/>
              </w:rPr>
              <w:t>'''''''''''''''''''''''''''</w:t>
            </w:r>
          </w:p>
        </w:tc>
        <w:tc>
          <w:tcPr>
            <w:tcW w:w="1122" w:type="dxa"/>
            <w:tcBorders>
              <w:right w:val="single" w:sz="4" w:space="0" w:color="auto"/>
            </w:tcBorders>
            <w:vAlign w:val="bottom"/>
          </w:tcPr>
          <w:p w:rsidR="00B53D77" w:rsidRPr="0028081E" w:rsidRDefault="00B53D77" w:rsidP="00294A37">
            <w:pPr>
              <w:spacing w:after="120"/>
              <w:jc w:val="center"/>
              <w:rPr>
                <w:rFonts w:ascii="Arial Narrow" w:hAnsi="Arial Narrow" w:cs="Calibri"/>
                <w:iCs/>
                <w:color w:val="000000"/>
                <w:sz w:val="20"/>
                <w:szCs w:val="20"/>
              </w:rPr>
            </w:pPr>
            <w:r w:rsidRPr="0028081E">
              <w:rPr>
                <w:rFonts w:ascii="Arial Narrow" w:hAnsi="Arial Narrow" w:cs="Calibri"/>
                <w:iCs/>
                <w:color w:val="000000"/>
                <w:sz w:val="20"/>
                <w:szCs w:val="20"/>
              </w:rPr>
              <w:t>$</w:t>
            </w:r>
            <w:r w:rsidR="002602B2">
              <w:rPr>
                <w:rFonts w:ascii="Arial Narrow" w:hAnsi="Arial Narrow" w:cs="Calibri"/>
                <w:iCs/>
                <w:noProof/>
                <w:color w:val="000000"/>
                <w:sz w:val="20"/>
                <w:szCs w:val="20"/>
                <w:highlight w:val="black"/>
              </w:rPr>
              <w:t>''''''''''''''''''''''''''''</w:t>
            </w:r>
          </w:p>
        </w:tc>
      </w:tr>
      <w:tr w:rsidR="00B53D77" w:rsidRPr="0028081E" w:rsidTr="00D3716D">
        <w:trPr>
          <w:jc w:val="center"/>
        </w:trPr>
        <w:tc>
          <w:tcPr>
            <w:tcW w:w="0" w:type="auto"/>
            <w:gridSpan w:val="7"/>
            <w:tcBorders>
              <w:left w:val="single" w:sz="4" w:space="0" w:color="auto"/>
              <w:right w:val="single" w:sz="4" w:space="0" w:color="auto"/>
            </w:tcBorders>
            <w:shd w:val="clear" w:color="auto" w:fill="auto"/>
            <w:vAlign w:val="center"/>
          </w:tcPr>
          <w:p w:rsidR="00B53D77" w:rsidRPr="0028081E" w:rsidRDefault="00B53D77" w:rsidP="00294A37">
            <w:pPr>
              <w:spacing w:after="120"/>
              <w:jc w:val="left"/>
              <w:rPr>
                <w:rFonts w:ascii="Arial Narrow" w:hAnsi="Arial Narrow"/>
                <w:b/>
                <w:sz w:val="20"/>
                <w:szCs w:val="20"/>
              </w:rPr>
            </w:pPr>
            <w:r w:rsidRPr="0028081E">
              <w:rPr>
                <w:rFonts w:ascii="Arial Narrow" w:hAnsi="Arial Narrow"/>
                <w:b/>
                <w:sz w:val="20"/>
                <w:szCs w:val="20"/>
              </w:rPr>
              <w:t>Net cost to the PBS/RPBS</w:t>
            </w:r>
          </w:p>
        </w:tc>
      </w:tr>
      <w:tr w:rsidR="00B53D77" w:rsidRPr="0028081E" w:rsidTr="001C4C27">
        <w:trPr>
          <w:jc w:val="center"/>
        </w:trPr>
        <w:tc>
          <w:tcPr>
            <w:tcW w:w="2326" w:type="dxa"/>
            <w:tcBorders>
              <w:left w:val="single" w:sz="4" w:space="0" w:color="auto"/>
            </w:tcBorders>
            <w:shd w:val="clear" w:color="auto" w:fill="auto"/>
            <w:vAlign w:val="center"/>
          </w:tcPr>
          <w:p w:rsidR="00B53D77" w:rsidRPr="0028081E" w:rsidRDefault="00B53D77" w:rsidP="00294A37">
            <w:pPr>
              <w:spacing w:after="120"/>
              <w:jc w:val="left"/>
              <w:rPr>
                <w:rFonts w:ascii="Arial Narrow" w:hAnsi="Arial Narrow"/>
                <w:b/>
                <w:sz w:val="20"/>
                <w:szCs w:val="20"/>
              </w:rPr>
            </w:pPr>
            <w:r w:rsidRPr="0028081E">
              <w:rPr>
                <w:rFonts w:ascii="Arial Narrow" w:hAnsi="Arial Narrow"/>
                <w:b/>
                <w:sz w:val="20"/>
                <w:szCs w:val="20"/>
              </w:rPr>
              <w:t>Net cost (effective) excluding copayments</w:t>
            </w:r>
          </w:p>
        </w:tc>
        <w:tc>
          <w:tcPr>
            <w:tcW w:w="1080"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b/>
                <w:bCs/>
                <w:color w:val="000000"/>
                <w:sz w:val="20"/>
                <w:szCs w:val="20"/>
              </w:rPr>
              <w:t>$</w:t>
            </w:r>
            <w:r w:rsidR="002602B2">
              <w:rPr>
                <w:rFonts w:ascii="Arial Narrow" w:hAnsi="Arial Narrow" w:cs="Calibri"/>
                <w:b/>
                <w:bCs/>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b/>
                <w:bCs/>
                <w:color w:val="000000"/>
                <w:sz w:val="20"/>
                <w:szCs w:val="20"/>
              </w:rPr>
              <w:t>$</w:t>
            </w:r>
            <w:r w:rsidR="002602B2">
              <w:rPr>
                <w:rFonts w:ascii="Arial Narrow" w:hAnsi="Arial Narrow" w:cs="Calibri"/>
                <w:b/>
                <w:bCs/>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b/>
                <w:bCs/>
                <w:color w:val="000000"/>
                <w:sz w:val="20"/>
                <w:szCs w:val="20"/>
              </w:rPr>
              <w:t>$</w:t>
            </w:r>
            <w:r w:rsidR="002602B2">
              <w:rPr>
                <w:rFonts w:ascii="Arial Narrow" w:hAnsi="Arial Narrow" w:cs="Calibri"/>
                <w:b/>
                <w:bCs/>
                <w:noProof/>
                <w:color w:val="000000"/>
                <w:sz w:val="20"/>
                <w:szCs w:val="20"/>
                <w:highlight w:val="black"/>
              </w:rPr>
              <w:t>'''''''''''''''''''</w:t>
            </w:r>
          </w:p>
        </w:tc>
        <w:tc>
          <w:tcPr>
            <w:tcW w:w="1122" w:type="dxa"/>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b/>
                <w:bCs/>
                <w:color w:val="000000"/>
                <w:sz w:val="20"/>
                <w:szCs w:val="20"/>
              </w:rPr>
              <w:t>$</w:t>
            </w:r>
            <w:r w:rsidR="002602B2">
              <w:rPr>
                <w:rFonts w:ascii="Arial Narrow" w:hAnsi="Arial Narrow" w:cs="Calibri"/>
                <w:b/>
                <w:bCs/>
                <w:noProof/>
                <w:color w:val="000000"/>
                <w:sz w:val="20"/>
                <w:szCs w:val="20"/>
                <w:highlight w:val="black"/>
              </w:rPr>
              <w:t>''''''''''''''''''''</w:t>
            </w:r>
          </w:p>
        </w:tc>
        <w:tc>
          <w:tcPr>
            <w:tcW w:w="1122" w:type="dxa"/>
            <w:tcBorders>
              <w:right w:val="single" w:sz="4" w:space="0" w:color="auto"/>
            </w:tcBorders>
            <w:shd w:val="clear" w:color="auto" w:fill="auto"/>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b/>
                <w:bCs/>
                <w:color w:val="000000"/>
                <w:sz w:val="20"/>
                <w:szCs w:val="20"/>
              </w:rPr>
              <w:t>$</w:t>
            </w:r>
            <w:r w:rsidR="002602B2">
              <w:rPr>
                <w:rFonts w:ascii="Arial Narrow" w:hAnsi="Arial Narrow" w:cs="Calibri"/>
                <w:b/>
                <w:bCs/>
                <w:noProof/>
                <w:color w:val="000000"/>
                <w:sz w:val="20"/>
                <w:szCs w:val="20"/>
                <w:highlight w:val="black"/>
              </w:rPr>
              <w:t>'''''''''''''''''''</w:t>
            </w:r>
          </w:p>
        </w:tc>
        <w:tc>
          <w:tcPr>
            <w:tcW w:w="1122" w:type="dxa"/>
            <w:tcBorders>
              <w:right w:val="single" w:sz="4" w:space="0" w:color="auto"/>
            </w:tcBorders>
            <w:vAlign w:val="bottom"/>
          </w:tcPr>
          <w:p w:rsidR="00B53D77" w:rsidRPr="0028081E" w:rsidRDefault="00B53D77" w:rsidP="00294A37">
            <w:pPr>
              <w:spacing w:after="120"/>
              <w:jc w:val="center"/>
              <w:rPr>
                <w:rFonts w:ascii="Arial Narrow" w:hAnsi="Arial Narrow" w:cs="Calibri"/>
                <w:bCs/>
                <w:color w:val="000000"/>
                <w:sz w:val="20"/>
                <w:szCs w:val="20"/>
              </w:rPr>
            </w:pPr>
            <w:r w:rsidRPr="0028081E">
              <w:rPr>
                <w:rFonts w:ascii="Arial Narrow" w:hAnsi="Arial Narrow" w:cs="Calibri"/>
                <w:b/>
                <w:bCs/>
                <w:color w:val="000000"/>
                <w:sz w:val="20"/>
                <w:szCs w:val="20"/>
              </w:rPr>
              <w:t>$</w:t>
            </w:r>
            <w:r w:rsidR="002602B2">
              <w:rPr>
                <w:rFonts w:ascii="Arial Narrow" w:hAnsi="Arial Narrow" w:cs="Calibri"/>
                <w:b/>
                <w:bCs/>
                <w:noProof/>
                <w:color w:val="000000"/>
                <w:sz w:val="20"/>
                <w:szCs w:val="20"/>
                <w:highlight w:val="black"/>
              </w:rPr>
              <w:t>''''''''''''''''''''</w:t>
            </w:r>
          </w:p>
        </w:tc>
      </w:tr>
      <w:tr w:rsidR="001C4C27" w:rsidRPr="0028081E" w:rsidTr="001C4C27">
        <w:trPr>
          <w:jc w:val="center"/>
        </w:trPr>
        <w:tc>
          <w:tcPr>
            <w:tcW w:w="2326" w:type="dxa"/>
            <w:tcBorders>
              <w:left w:val="single" w:sz="4" w:space="0" w:color="auto"/>
              <w:bottom w:val="single" w:sz="4" w:space="0" w:color="auto"/>
            </w:tcBorders>
            <w:shd w:val="clear" w:color="auto" w:fill="auto"/>
            <w:vAlign w:val="center"/>
          </w:tcPr>
          <w:p w:rsidR="001C4C27" w:rsidRPr="0028081E" w:rsidRDefault="001C4C27" w:rsidP="00294A37">
            <w:pPr>
              <w:spacing w:after="120"/>
              <w:jc w:val="left"/>
              <w:rPr>
                <w:rFonts w:ascii="Arial Narrow" w:hAnsi="Arial Narrow"/>
                <w:b/>
                <w:sz w:val="20"/>
                <w:szCs w:val="20"/>
              </w:rPr>
            </w:pPr>
            <w:r w:rsidRPr="0028081E">
              <w:rPr>
                <w:rFonts w:ascii="Arial Narrow" w:hAnsi="Arial Narrow"/>
                <w:b/>
                <w:sz w:val="20"/>
                <w:szCs w:val="20"/>
              </w:rPr>
              <w:t>Net cost (effective) excluding copayments from November 2019 submission</w:t>
            </w:r>
          </w:p>
        </w:tc>
        <w:tc>
          <w:tcPr>
            <w:tcW w:w="1080" w:type="dxa"/>
            <w:shd w:val="clear" w:color="auto" w:fill="auto"/>
            <w:vAlign w:val="center"/>
          </w:tcPr>
          <w:p w:rsidR="001C4C27" w:rsidRPr="0028081E" w:rsidRDefault="001C4C27" w:rsidP="00294A37">
            <w:pPr>
              <w:spacing w:after="120"/>
              <w:jc w:val="center"/>
              <w:rPr>
                <w:rFonts w:ascii="Arial Narrow" w:hAnsi="Arial Narrow" w:cs="Calibri"/>
                <w:b/>
                <w:bCs/>
                <w:color w:val="000000"/>
                <w:sz w:val="20"/>
                <w:szCs w:val="20"/>
              </w:rPr>
            </w:pPr>
            <w:r w:rsidRPr="0028081E">
              <w:rPr>
                <w:rFonts w:ascii="Arial Narrow" w:hAnsi="Arial Narrow" w:cs="Calibri"/>
                <w:bCs/>
                <w:color w:val="000000"/>
                <w:sz w:val="20"/>
                <w:szCs w:val="20"/>
              </w:rPr>
              <w:t>$</w:t>
            </w:r>
            <w:r w:rsidR="002602B2">
              <w:rPr>
                <w:rFonts w:ascii="Arial Narrow" w:hAnsi="Arial Narrow" w:cs="Calibri"/>
                <w:bCs/>
                <w:noProof/>
                <w:color w:val="000000"/>
                <w:sz w:val="20"/>
                <w:szCs w:val="20"/>
                <w:highlight w:val="black"/>
              </w:rPr>
              <w:t>''''''''''''''''''''</w:t>
            </w:r>
          </w:p>
        </w:tc>
        <w:tc>
          <w:tcPr>
            <w:tcW w:w="1122" w:type="dxa"/>
            <w:shd w:val="clear" w:color="auto" w:fill="auto"/>
            <w:vAlign w:val="center"/>
          </w:tcPr>
          <w:p w:rsidR="001C4C27" w:rsidRPr="0028081E" w:rsidRDefault="001C4C27" w:rsidP="00294A37">
            <w:pPr>
              <w:spacing w:after="120"/>
              <w:jc w:val="center"/>
              <w:rPr>
                <w:rFonts w:ascii="Arial Narrow" w:hAnsi="Arial Narrow" w:cs="Calibri"/>
                <w:b/>
                <w:bCs/>
                <w:color w:val="000000"/>
                <w:sz w:val="20"/>
                <w:szCs w:val="20"/>
              </w:rPr>
            </w:pPr>
            <w:r w:rsidRPr="0028081E">
              <w:rPr>
                <w:rFonts w:ascii="Arial Narrow" w:hAnsi="Arial Narrow" w:cs="Calibri"/>
                <w:bCs/>
                <w:color w:val="000000"/>
                <w:sz w:val="20"/>
                <w:szCs w:val="20"/>
              </w:rPr>
              <w:t>$</w:t>
            </w:r>
            <w:r w:rsidR="002602B2">
              <w:rPr>
                <w:rFonts w:ascii="Arial Narrow" w:hAnsi="Arial Narrow" w:cs="Calibri"/>
                <w:bCs/>
                <w:noProof/>
                <w:color w:val="000000"/>
                <w:sz w:val="20"/>
                <w:szCs w:val="20"/>
                <w:highlight w:val="black"/>
              </w:rPr>
              <w:t>''''''''''''''''''''''</w:t>
            </w:r>
          </w:p>
        </w:tc>
        <w:tc>
          <w:tcPr>
            <w:tcW w:w="1122" w:type="dxa"/>
            <w:shd w:val="clear" w:color="auto" w:fill="auto"/>
            <w:vAlign w:val="center"/>
          </w:tcPr>
          <w:p w:rsidR="001C4C27" w:rsidRPr="0028081E" w:rsidRDefault="001C4C27" w:rsidP="00294A37">
            <w:pPr>
              <w:spacing w:after="120"/>
              <w:jc w:val="center"/>
              <w:rPr>
                <w:rFonts w:ascii="Arial Narrow" w:hAnsi="Arial Narrow" w:cs="Calibri"/>
                <w:b/>
                <w:bCs/>
                <w:color w:val="000000"/>
                <w:sz w:val="20"/>
                <w:szCs w:val="20"/>
              </w:rPr>
            </w:pPr>
            <w:r w:rsidRPr="0028081E">
              <w:rPr>
                <w:rFonts w:ascii="Arial Narrow" w:hAnsi="Arial Narrow" w:cs="Calibri"/>
                <w:bCs/>
                <w:color w:val="000000"/>
                <w:sz w:val="20"/>
                <w:szCs w:val="20"/>
              </w:rPr>
              <w:t>$</w:t>
            </w:r>
            <w:r w:rsidR="002602B2">
              <w:rPr>
                <w:rFonts w:ascii="Arial Narrow" w:hAnsi="Arial Narrow" w:cs="Calibri"/>
                <w:bCs/>
                <w:noProof/>
                <w:color w:val="000000"/>
                <w:sz w:val="20"/>
                <w:szCs w:val="20"/>
                <w:highlight w:val="black"/>
              </w:rPr>
              <w:t>'''''''''''''''''''''</w:t>
            </w:r>
          </w:p>
        </w:tc>
        <w:tc>
          <w:tcPr>
            <w:tcW w:w="1122" w:type="dxa"/>
            <w:shd w:val="clear" w:color="auto" w:fill="auto"/>
            <w:vAlign w:val="center"/>
          </w:tcPr>
          <w:p w:rsidR="001C4C27" w:rsidRPr="0028081E" w:rsidRDefault="001C4C27" w:rsidP="00294A37">
            <w:pPr>
              <w:spacing w:after="120"/>
              <w:jc w:val="center"/>
              <w:rPr>
                <w:rFonts w:ascii="Arial Narrow" w:hAnsi="Arial Narrow" w:cs="Calibri"/>
                <w:b/>
                <w:bCs/>
                <w:color w:val="000000"/>
                <w:sz w:val="20"/>
                <w:szCs w:val="20"/>
              </w:rPr>
            </w:pPr>
            <w:r w:rsidRPr="0028081E">
              <w:rPr>
                <w:rFonts w:ascii="Arial Narrow" w:hAnsi="Arial Narrow" w:cs="Calibri"/>
                <w:bCs/>
                <w:color w:val="000000"/>
                <w:sz w:val="20"/>
                <w:szCs w:val="20"/>
              </w:rPr>
              <w:t>$</w:t>
            </w:r>
            <w:r w:rsidR="002602B2">
              <w:rPr>
                <w:rFonts w:ascii="Arial Narrow" w:hAnsi="Arial Narrow" w:cs="Calibri"/>
                <w:bCs/>
                <w:noProof/>
                <w:color w:val="000000"/>
                <w:sz w:val="20"/>
                <w:szCs w:val="20"/>
                <w:highlight w:val="black"/>
              </w:rPr>
              <w:t>'''''''''''''''''''''''''</w:t>
            </w:r>
          </w:p>
        </w:tc>
        <w:tc>
          <w:tcPr>
            <w:tcW w:w="1122" w:type="dxa"/>
            <w:tcBorders>
              <w:right w:val="single" w:sz="4" w:space="0" w:color="auto"/>
            </w:tcBorders>
            <w:shd w:val="clear" w:color="auto" w:fill="auto"/>
            <w:vAlign w:val="center"/>
          </w:tcPr>
          <w:p w:rsidR="001C4C27" w:rsidRPr="0028081E" w:rsidRDefault="001C4C27" w:rsidP="00294A37">
            <w:pPr>
              <w:spacing w:after="120"/>
              <w:jc w:val="center"/>
              <w:rPr>
                <w:rFonts w:ascii="Arial Narrow" w:hAnsi="Arial Narrow" w:cs="Calibri"/>
                <w:b/>
                <w:bCs/>
                <w:color w:val="000000"/>
                <w:sz w:val="20"/>
                <w:szCs w:val="20"/>
              </w:rPr>
            </w:pPr>
            <w:r w:rsidRPr="0028081E">
              <w:rPr>
                <w:rFonts w:ascii="Arial Narrow" w:hAnsi="Arial Narrow" w:cs="Calibri"/>
                <w:bCs/>
                <w:color w:val="000000"/>
                <w:sz w:val="20"/>
                <w:szCs w:val="20"/>
              </w:rPr>
              <w:t>$</w:t>
            </w:r>
            <w:r w:rsidR="002602B2">
              <w:rPr>
                <w:rFonts w:ascii="Arial Narrow" w:hAnsi="Arial Narrow" w:cs="Calibri"/>
                <w:bCs/>
                <w:noProof/>
                <w:color w:val="000000"/>
                <w:sz w:val="20"/>
                <w:szCs w:val="20"/>
                <w:highlight w:val="black"/>
              </w:rPr>
              <w:t>''''''''''''''''''''''</w:t>
            </w:r>
          </w:p>
        </w:tc>
        <w:tc>
          <w:tcPr>
            <w:tcW w:w="1122" w:type="dxa"/>
            <w:tcBorders>
              <w:right w:val="single" w:sz="4" w:space="0" w:color="auto"/>
            </w:tcBorders>
            <w:vAlign w:val="center"/>
          </w:tcPr>
          <w:p w:rsidR="001C4C27" w:rsidRPr="0028081E" w:rsidRDefault="001C4C27" w:rsidP="00294A37">
            <w:pPr>
              <w:spacing w:after="120"/>
              <w:jc w:val="center"/>
              <w:rPr>
                <w:rFonts w:ascii="Arial Narrow" w:hAnsi="Arial Narrow" w:cs="Calibri"/>
                <w:b/>
                <w:bCs/>
                <w:color w:val="000000"/>
                <w:sz w:val="20"/>
                <w:szCs w:val="20"/>
              </w:rPr>
            </w:pPr>
            <w:r w:rsidRPr="0028081E">
              <w:rPr>
                <w:rFonts w:ascii="Arial Narrow" w:hAnsi="Arial Narrow" w:cs="Calibri"/>
                <w:bCs/>
                <w:color w:val="000000"/>
                <w:sz w:val="20"/>
                <w:szCs w:val="20"/>
              </w:rPr>
              <w:t>$</w:t>
            </w:r>
            <w:r w:rsidR="002602B2">
              <w:rPr>
                <w:rFonts w:ascii="Arial Narrow" w:hAnsi="Arial Narrow" w:cs="Calibri"/>
                <w:bCs/>
                <w:noProof/>
                <w:color w:val="000000"/>
                <w:sz w:val="20"/>
                <w:szCs w:val="20"/>
                <w:highlight w:val="black"/>
              </w:rPr>
              <w:t>'''''''''''''''''''''''''</w:t>
            </w:r>
          </w:p>
        </w:tc>
      </w:tr>
    </w:tbl>
    <w:p w:rsidR="004D0414" w:rsidRPr="0028081E" w:rsidRDefault="004D0414" w:rsidP="00FE1C05">
      <w:pPr>
        <w:pStyle w:val="TableFooter"/>
        <w:widowControl/>
      </w:pPr>
      <w:r w:rsidRPr="0028081E">
        <w:t>Note: Scripts per patient per year</w:t>
      </w:r>
      <w:r w:rsidR="008740C6" w:rsidRPr="0028081E">
        <w:t xml:space="preserve"> were 13.04 for dulaglutide; 12.18 for </w:t>
      </w:r>
      <w:r w:rsidR="00D93585" w:rsidRPr="0028081E">
        <w:t>exenatide</w:t>
      </w:r>
      <w:r w:rsidR="008740C6" w:rsidRPr="0028081E">
        <w:t xml:space="preserve"> BID, exenatide QW, and pooled SGLT2; 13.04 for pooled DPP-4 </w:t>
      </w:r>
      <w:r w:rsidRPr="0028081E">
        <w:t>and assuming 100% compliance.</w:t>
      </w:r>
    </w:p>
    <w:p w:rsidR="004D0414" w:rsidRPr="0028081E" w:rsidRDefault="00351765" w:rsidP="00FE1C05">
      <w:pPr>
        <w:pStyle w:val="TableFooter"/>
        <w:widowControl/>
      </w:pPr>
      <w:r w:rsidRPr="0028081E">
        <w:rPr>
          <w:vertAlign w:val="superscript"/>
        </w:rPr>
        <w:t xml:space="preserve">a </w:t>
      </w:r>
      <w:r w:rsidR="004D0414" w:rsidRPr="0028081E">
        <w:t>Exenatide 5 mcg DPMQ $66.39; 10 mcg DPMQ $</w:t>
      </w:r>
      <w:r w:rsidRPr="0028081E">
        <w:t>89.93</w:t>
      </w:r>
    </w:p>
    <w:p w:rsidR="00D93585" w:rsidRPr="0028081E" w:rsidRDefault="00351765" w:rsidP="00FE1C05">
      <w:pPr>
        <w:pStyle w:val="TableFooter"/>
        <w:widowControl/>
      </w:pPr>
      <w:r w:rsidRPr="0028081E">
        <w:rPr>
          <w:vertAlign w:val="superscript"/>
        </w:rPr>
        <w:t>b</w:t>
      </w:r>
      <w:r w:rsidRPr="0028081E">
        <w:t xml:space="preserve"> </w:t>
      </w:r>
      <w:r w:rsidR="00D93585" w:rsidRPr="0028081E">
        <w:t>Exenatide QW DPMQ: $131.30</w:t>
      </w:r>
    </w:p>
    <w:p w:rsidR="00D93585" w:rsidRPr="0028081E" w:rsidRDefault="00351765" w:rsidP="00FE1C05">
      <w:pPr>
        <w:pStyle w:val="TableFooter"/>
        <w:widowControl/>
      </w:pPr>
      <w:r w:rsidRPr="0028081E">
        <w:rPr>
          <w:vertAlign w:val="superscript"/>
        </w:rPr>
        <w:t>c</w:t>
      </w:r>
      <w:r w:rsidRPr="0028081E">
        <w:t xml:space="preserve"> </w:t>
      </w:r>
      <w:r w:rsidR="00D93585" w:rsidRPr="0028081E">
        <w:t>Pooled SGLT2 inhibitors weighted average DPMQ: $59.73</w:t>
      </w:r>
    </w:p>
    <w:p w:rsidR="00D93585" w:rsidRPr="0028081E" w:rsidRDefault="00351765" w:rsidP="00FE1C05">
      <w:pPr>
        <w:pStyle w:val="TableFooter"/>
        <w:widowControl/>
      </w:pPr>
      <w:r w:rsidRPr="0028081E">
        <w:rPr>
          <w:vertAlign w:val="superscript"/>
        </w:rPr>
        <w:t>d</w:t>
      </w:r>
      <w:r w:rsidRPr="0028081E">
        <w:t xml:space="preserve"> </w:t>
      </w:r>
      <w:r w:rsidR="00D93585" w:rsidRPr="0028081E">
        <w:t>Pooled DPP-4 inhibitors weighted average DPMQ: $55.31</w:t>
      </w:r>
    </w:p>
    <w:p w:rsidR="00351765" w:rsidRPr="0028081E" w:rsidRDefault="00351765" w:rsidP="00FE1C05">
      <w:pPr>
        <w:pStyle w:val="TableFooter"/>
        <w:widowControl/>
      </w:pPr>
      <w:r w:rsidRPr="0028081E">
        <w:rPr>
          <w:vertAlign w:val="superscript"/>
        </w:rPr>
        <w:t>e</w:t>
      </w:r>
      <w:r w:rsidRPr="0028081E">
        <w:t xml:space="preserve"> Dulaglutide effective DPMQ: $</w:t>
      </w:r>
      <w:r w:rsidR="002602B2">
        <w:rPr>
          <w:noProof/>
          <w:color w:val="000000"/>
          <w:highlight w:val="black"/>
        </w:rPr>
        <w:t>'''''''''''''''</w:t>
      </w:r>
    </w:p>
    <w:p w:rsidR="00B91852" w:rsidRPr="0028081E" w:rsidRDefault="00351765" w:rsidP="00FE1C05">
      <w:pPr>
        <w:pStyle w:val="TableFooter"/>
        <w:widowControl/>
        <w:tabs>
          <w:tab w:val="left" w:pos="142"/>
        </w:tabs>
        <w:rPr>
          <w:szCs w:val="18"/>
        </w:rPr>
      </w:pPr>
      <w:r w:rsidRPr="0028081E">
        <w:rPr>
          <w:szCs w:val="18"/>
          <w:vertAlign w:val="superscript"/>
        </w:rPr>
        <w:t>f</w:t>
      </w:r>
      <w:r w:rsidRPr="0028081E">
        <w:rPr>
          <w:szCs w:val="18"/>
        </w:rPr>
        <w:t xml:space="preserve"> </w:t>
      </w:r>
      <w:r w:rsidR="00B91852" w:rsidRPr="0028081E">
        <w:rPr>
          <w:szCs w:val="18"/>
        </w:rPr>
        <w:t xml:space="preserve">A minor calculation error in </w:t>
      </w:r>
      <w:r w:rsidR="00B53D77" w:rsidRPr="0028081E">
        <w:rPr>
          <w:szCs w:val="18"/>
        </w:rPr>
        <w:t xml:space="preserve">Table 6 of </w:t>
      </w:r>
      <w:r w:rsidR="00B91852" w:rsidRPr="0028081E">
        <w:rPr>
          <w:szCs w:val="18"/>
        </w:rPr>
        <w:t>the submission. The co</w:t>
      </w:r>
      <w:r w:rsidR="00B53D77" w:rsidRPr="0028081E">
        <w:rPr>
          <w:szCs w:val="18"/>
        </w:rPr>
        <w:t>rrected estimates are presented as per ‘3c. Impact - EFF’ in Section 4 workbook.</w:t>
      </w:r>
      <w:r w:rsidR="00B91852" w:rsidRPr="0028081E">
        <w:rPr>
          <w:szCs w:val="18"/>
        </w:rPr>
        <w:t xml:space="preserve"> </w:t>
      </w:r>
    </w:p>
    <w:p w:rsidR="00351765" w:rsidRPr="0028081E" w:rsidRDefault="00351765" w:rsidP="00FE1C05">
      <w:pPr>
        <w:pStyle w:val="TableFooter"/>
        <w:widowControl/>
      </w:pPr>
      <w:r w:rsidRPr="0028081E">
        <w:t>Source: Dulaglutide Section 4 Model_April 2020.xlsx</w:t>
      </w:r>
    </w:p>
    <w:p w:rsidR="0015086E" w:rsidRPr="00604A0F" w:rsidRDefault="0015086E" w:rsidP="00604A0F">
      <w:pPr>
        <w:pStyle w:val="3Bodytext"/>
        <w:numPr>
          <w:ilvl w:val="0"/>
          <w:numId w:val="0"/>
        </w:numPr>
        <w:spacing w:after="0"/>
        <w:ind w:left="720" w:hanging="720"/>
        <w:jc w:val="both"/>
        <w:rPr>
          <w:rFonts w:cstheme="minorHAnsi"/>
          <w:bCs/>
          <w:i/>
          <w:szCs w:val="24"/>
        </w:rPr>
      </w:pPr>
      <w:r w:rsidRPr="00604A0F">
        <w:rPr>
          <w:rFonts w:cstheme="minorHAnsi"/>
          <w:bCs/>
          <w:i/>
          <w:szCs w:val="24"/>
        </w:rPr>
        <w:t>The redacted table shows the following</w:t>
      </w:r>
      <w:r w:rsidR="0082389A" w:rsidRPr="00604A0F">
        <w:rPr>
          <w:rFonts w:cstheme="minorHAnsi"/>
          <w:bCs/>
          <w:i/>
          <w:szCs w:val="24"/>
        </w:rPr>
        <w:t xml:space="preserve"> estimates</w:t>
      </w:r>
      <w:r w:rsidRPr="00604A0F">
        <w:rPr>
          <w:rFonts w:cstheme="minorHAnsi"/>
          <w:bCs/>
          <w:i/>
          <w:szCs w:val="24"/>
        </w:rPr>
        <w:t xml:space="preserve"> at Year 6:</w:t>
      </w:r>
    </w:p>
    <w:p w:rsidR="0015086E" w:rsidRPr="00604A0F" w:rsidRDefault="009A216E" w:rsidP="00604A0F">
      <w:pPr>
        <w:pStyle w:val="3Bodytext"/>
        <w:numPr>
          <w:ilvl w:val="0"/>
          <w:numId w:val="39"/>
        </w:numPr>
        <w:spacing w:after="0"/>
        <w:jc w:val="both"/>
        <w:rPr>
          <w:rFonts w:cstheme="minorHAnsi"/>
          <w:bCs/>
          <w:i/>
          <w:szCs w:val="24"/>
        </w:rPr>
      </w:pPr>
      <w:r w:rsidRPr="00604A0F">
        <w:rPr>
          <w:rFonts w:cstheme="minorHAnsi"/>
          <w:bCs/>
          <w:i/>
          <w:szCs w:val="24"/>
        </w:rPr>
        <w:t>N</w:t>
      </w:r>
      <w:r w:rsidR="0015086E" w:rsidRPr="00604A0F">
        <w:rPr>
          <w:rFonts w:cstheme="minorHAnsi"/>
          <w:bCs/>
          <w:i/>
          <w:szCs w:val="24"/>
        </w:rPr>
        <w:t>umber of patients treated with exenatide BID in absence of dulaglutide was 5,000 to &lt; 10,000 and number of scripts substituted by dulaglutide for this group was 50,000 to &lt; 60,000;</w:t>
      </w:r>
    </w:p>
    <w:p w:rsidR="0015086E" w:rsidRPr="00604A0F" w:rsidRDefault="009A216E" w:rsidP="00604A0F">
      <w:pPr>
        <w:pStyle w:val="3Bodytext"/>
        <w:numPr>
          <w:ilvl w:val="0"/>
          <w:numId w:val="39"/>
        </w:numPr>
        <w:spacing w:after="0"/>
        <w:jc w:val="both"/>
        <w:rPr>
          <w:rFonts w:cstheme="minorHAnsi"/>
          <w:bCs/>
          <w:i/>
          <w:szCs w:val="24"/>
        </w:rPr>
      </w:pPr>
      <w:r w:rsidRPr="00604A0F">
        <w:rPr>
          <w:rFonts w:cstheme="minorHAnsi"/>
          <w:bCs/>
          <w:i/>
          <w:szCs w:val="24"/>
        </w:rPr>
        <w:t>N</w:t>
      </w:r>
      <w:r w:rsidR="0015086E" w:rsidRPr="00604A0F">
        <w:rPr>
          <w:rFonts w:cstheme="minorHAnsi"/>
          <w:bCs/>
          <w:i/>
          <w:szCs w:val="24"/>
        </w:rPr>
        <w:t>umber of patients treated with exenatide QW in absence of dulaglutide was 500 to &lt; 5,000 and number of scripts substituted by dulaglutide for this group was 10,000 to &lt; 20,000;</w:t>
      </w:r>
    </w:p>
    <w:p w:rsidR="0015086E" w:rsidRPr="00604A0F" w:rsidRDefault="009A216E" w:rsidP="00604A0F">
      <w:pPr>
        <w:pStyle w:val="3Bodytext"/>
        <w:numPr>
          <w:ilvl w:val="0"/>
          <w:numId w:val="39"/>
        </w:numPr>
        <w:spacing w:after="0"/>
        <w:jc w:val="both"/>
        <w:rPr>
          <w:rFonts w:cstheme="minorHAnsi"/>
          <w:bCs/>
          <w:i/>
          <w:szCs w:val="24"/>
        </w:rPr>
      </w:pPr>
      <w:r w:rsidRPr="00604A0F">
        <w:rPr>
          <w:rFonts w:cstheme="minorHAnsi"/>
          <w:bCs/>
          <w:i/>
          <w:szCs w:val="24"/>
        </w:rPr>
        <w:t>N</w:t>
      </w:r>
      <w:r w:rsidR="0015086E" w:rsidRPr="00604A0F">
        <w:rPr>
          <w:rFonts w:cstheme="minorHAnsi"/>
          <w:bCs/>
          <w:i/>
          <w:szCs w:val="24"/>
        </w:rPr>
        <w:t>umber of patients treated with pooled SGLT2 inhibitors in absence of dulaglutide was 20,000 to &lt; 30,000 and number of scripts substituted by dulaglutide for this group was 50,000 to &lt; 60,000;</w:t>
      </w:r>
      <w:r w:rsidRPr="00604A0F">
        <w:rPr>
          <w:rFonts w:cstheme="minorHAnsi"/>
          <w:bCs/>
          <w:i/>
          <w:szCs w:val="24"/>
        </w:rPr>
        <w:t>N</w:t>
      </w:r>
      <w:r w:rsidR="0015086E" w:rsidRPr="00604A0F">
        <w:rPr>
          <w:rFonts w:cstheme="minorHAnsi"/>
          <w:bCs/>
          <w:i/>
          <w:szCs w:val="24"/>
        </w:rPr>
        <w:t xml:space="preserve">umber of patients treated with DPP-4 inhibitors in absence of dulaglutide was 20,000 to &lt; 30,000 and number of scripts substituted by dulaglutide for this group was </w:t>
      </w:r>
      <w:r w:rsidR="00B24A5B">
        <w:rPr>
          <w:rFonts w:cstheme="minorHAnsi"/>
          <w:bCs/>
          <w:i/>
          <w:szCs w:val="24"/>
        </w:rPr>
        <w:t>7</w:t>
      </w:r>
      <w:r w:rsidR="0015086E" w:rsidRPr="00604A0F">
        <w:rPr>
          <w:rFonts w:cstheme="minorHAnsi"/>
          <w:bCs/>
          <w:i/>
          <w:szCs w:val="24"/>
        </w:rPr>
        <w:t>0,000 to &lt; </w:t>
      </w:r>
      <w:r w:rsidR="00B24A5B">
        <w:rPr>
          <w:rFonts w:cstheme="minorHAnsi"/>
          <w:bCs/>
          <w:i/>
          <w:szCs w:val="24"/>
        </w:rPr>
        <w:t>8</w:t>
      </w:r>
      <w:r w:rsidR="0015086E" w:rsidRPr="00604A0F">
        <w:rPr>
          <w:rFonts w:cstheme="minorHAnsi"/>
          <w:bCs/>
          <w:i/>
          <w:szCs w:val="24"/>
        </w:rPr>
        <w:t>0,000</w:t>
      </w:r>
      <w:r w:rsidRPr="00604A0F">
        <w:rPr>
          <w:rFonts w:cstheme="minorHAnsi"/>
          <w:bCs/>
          <w:i/>
          <w:szCs w:val="24"/>
        </w:rPr>
        <w:t>;</w:t>
      </w:r>
    </w:p>
    <w:p w:rsidR="0015086E" w:rsidRPr="00604A0F" w:rsidRDefault="009A216E" w:rsidP="00604A0F">
      <w:pPr>
        <w:pStyle w:val="3Bodytext"/>
        <w:numPr>
          <w:ilvl w:val="0"/>
          <w:numId w:val="39"/>
        </w:numPr>
        <w:spacing w:after="0"/>
        <w:jc w:val="both"/>
        <w:rPr>
          <w:rFonts w:cstheme="minorHAnsi"/>
          <w:bCs/>
          <w:i/>
          <w:szCs w:val="24"/>
        </w:rPr>
      </w:pPr>
      <w:r w:rsidRPr="00604A0F">
        <w:rPr>
          <w:rFonts w:cstheme="minorHAnsi"/>
          <w:bCs/>
          <w:i/>
          <w:szCs w:val="24"/>
        </w:rPr>
        <w:t>T</w:t>
      </w:r>
      <w:r w:rsidR="0082389A" w:rsidRPr="00604A0F">
        <w:rPr>
          <w:rFonts w:cstheme="minorHAnsi"/>
          <w:bCs/>
          <w:i/>
          <w:szCs w:val="24"/>
        </w:rPr>
        <w:t>otal number of patients treated in absence of dulaglutide was 60,000 to &lt; 70,000 and total number of scripts substituted by dulaglutide for this group was 100,000 to &lt; 200,000;</w:t>
      </w:r>
    </w:p>
    <w:p w:rsidR="0082389A" w:rsidRPr="00604A0F" w:rsidRDefault="0082389A" w:rsidP="00604A0F">
      <w:pPr>
        <w:pStyle w:val="3Bodytext"/>
        <w:numPr>
          <w:ilvl w:val="0"/>
          <w:numId w:val="39"/>
        </w:numPr>
        <w:spacing w:after="0"/>
        <w:jc w:val="both"/>
        <w:rPr>
          <w:rFonts w:cstheme="minorHAnsi"/>
          <w:bCs/>
          <w:i/>
          <w:szCs w:val="24"/>
        </w:rPr>
      </w:pPr>
      <w:r w:rsidRPr="00604A0F">
        <w:rPr>
          <w:rFonts w:cstheme="minorHAnsi"/>
          <w:bCs/>
          <w:i/>
          <w:szCs w:val="24"/>
        </w:rPr>
        <w:t>Number of patients treated with dulaglutide QW was 10,000 to &lt; 20,000 and the number of scripts dispensed was 200,000 to &lt; 300,000;</w:t>
      </w:r>
    </w:p>
    <w:p w:rsidR="0082389A" w:rsidRPr="00604A0F" w:rsidRDefault="0082389A" w:rsidP="00604A0F">
      <w:pPr>
        <w:pStyle w:val="3Bodytext"/>
        <w:numPr>
          <w:ilvl w:val="0"/>
          <w:numId w:val="39"/>
        </w:numPr>
        <w:spacing w:after="0"/>
        <w:jc w:val="both"/>
        <w:rPr>
          <w:rFonts w:cstheme="minorHAnsi"/>
          <w:bCs/>
          <w:i/>
          <w:szCs w:val="24"/>
        </w:rPr>
      </w:pPr>
      <w:r w:rsidRPr="00604A0F">
        <w:rPr>
          <w:rFonts w:cstheme="minorHAnsi"/>
          <w:bCs/>
          <w:i/>
          <w:szCs w:val="24"/>
        </w:rPr>
        <w:t>Net cost (effective) excluding copayments was $0 to &lt; $10 million and net cost (effective) excluding copayments from November 2019 submission was $0 to &lt; $10 million.</w:t>
      </w:r>
    </w:p>
    <w:p w:rsidR="0091121C" w:rsidRPr="0015086E" w:rsidRDefault="005D7A6E" w:rsidP="0015086E">
      <w:pPr>
        <w:pStyle w:val="3Bodytext"/>
        <w:jc w:val="both"/>
        <w:rPr>
          <w:rFonts w:ascii="Arial Narrow" w:hAnsi="Arial Narrow"/>
          <w:b/>
          <w:bCs/>
          <w:sz w:val="20"/>
          <w:szCs w:val="20"/>
        </w:rPr>
      </w:pPr>
      <w:r w:rsidRPr="0028081E">
        <w:t>The resubmission presented results of s</w:t>
      </w:r>
      <w:r w:rsidR="002D3CED" w:rsidRPr="0028081E">
        <w:t xml:space="preserve">ensitivity analyses </w:t>
      </w:r>
      <w:r w:rsidR="0091121C" w:rsidRPr="0028081E">
        <w:t xml:space="preserve">(Table </w:t>
      </w:r>
      <w:r w:rsidR="0008614D" w:rsidRPr="0028081E">
        <w:t>5</w:t>
      </w:r>
      <w:r w:rsidR="0091121C" w:rsidRPr="0028081E">
        <w:t xml:space="preserve">) </w:t>
      </w:r>
      <w:r w:rsidR="002D3CED" w:rsidRPr="0028081E">
        <w:t>to evaluate the impact of variable changes on the</w:t>
      </w:r>
      <w:r w:rsidRPr="0028081E">
        <w:t xml:space="preserve"> financial estimates</w:t>
      </w:r>
      <w:r w:rsidR="002D3CED" w:rsidRPr="0028081E">
        <w:t>. The variables tested include</w:t>
      </w:r>
      <w:r w:rsidRPr="0028081E">
        <w:t>d</w:t>
      </w:r>
      <w:r w:rsidR="002D3CED" w:rsidRPr="0028081E">
        <w:t xml:space="preserve"> the use of a linear </w:t>
      </w:r>
      <w:r w:rsidR="00BB6C79" w:rsidRPr="0028081E">
        <w:t>trend line</w:t>
      </w:r>
      <w:r w:rsidR="006613B9" w:rsidRPr="0028081E">
        <w:t xml:space="preserve"> to extrapolate </w:t>
      </w:r>
      <w:r w:rsidR="006613B9" w:rsidRPr="0015086E">
        <w:rPr>
          <w:rFonts w:eastAsia="Times New Roman" w:cs="Arial"/>
          <w:snapToGrid w:val="0"/>
          <w:szCs w:val="24"/>
        </w:rPr>
        <w:t>exenatide BID, SGLT2</w:t>
      </w:r>
      <w:r w:rsidR="005119B4" w:rsidRPr="0015086E">
        <w:rPr>
          <w:rFonts w:eastAsia="Times New Roman" w:cs="Arial"/>
          <w:snapToGrid w:val="0"/>
          <w:szCs w:val="24"/>
        </w:rPr>
        <w:t>,</w:t>
      </w:r>
      <w:r w:rsidR="006613B9" w:rsidRPr="0015086E">
        <w:rPr>
          <w:rFonts w:eastAsia="Times New Roman" w:cs="Arial"/>
          <w:snapToGrid w:val="0"/>
          <w:szCs w:val="24"/>
        </w:rPr>
        <w:t xml:space="preserve"> DPP4 </w:t>
      </w:r>
      <w:r w:rsidR="005119B4" w:rsidRPr="0015086E">
        <w:rPr>
          <w:rFonts w:eastAsia="Times New Roman" w:cs="Arial"/>
          <w:snapToGrid w:val="0"/>
          <w:szCs w:val="24"/>
        </w:rPr>
        <w:t xml:space="preserve">inhibitors, </w:t>
      </w:r>
      <w:r w:rsidR="006613B9" w:rsidRPr="0015086E">
        <w:rPr>
          <w:rFonts w:eastAsia="Times New Roman" w:cs="Arial"/>
          <w:snapToGrid w:val="0"/>
          <w:szCs w:val="24"/>
        </w:rPr>
        <w:t>and exenatide QW utilisation</w:t>
      </w:r>
      <w:r w:rsidR="002D3CED" w:rsidRPr="0028081E">
        <w:t xml:space="preserve">, increasing growth rates of patients treated with insulin across </w:t>
      </w:r>
      <w:r w:rsidRPr="0028081E">
        <w:t xml:space="preserve">the nominated </w:t>
      </w:r>
      <w:r w:rsidR="002D3CED" w:rsidRPr="0028081E">
        <w:t xml:space="preserve">therapies, and increasing dulaglutide market share from baseline estimates. </w:t>
      </w:r>
      <w:r w:rsidR="0091121C" w:rsidRPr="0028081E">
        <w:t>R</w:t>
      </w:r>
      <w:r w:rsidR="002D3CED" w:rsidRPr="0028081E">
        <w:t>esult</w:t>
      </w:r>
      <w:r w:rsidRPr="0028081E">
        <w:t>s</w:t>
      </w:r>
      <w:r w:rsidR="002D3CED" w:rsidRPr="0028081E">
        <w:t xml:space="preserve"> of the </w:t>
      </w:r>
      <w:r w:rsidRPr="0028081E">
        <w:t xml:space="preserve">sensitivity analyses </w:t>
      </w:r>
      <w:r w:rsidR="005009A5" w:rsidRPr="0028081E">
        <w:t>indicated that</w:t>
      </w:r>
      <w:r w:rsidR="002D3CED" w:rsidRPr="0028081E">
        <w:t xml:space="preserve"> </w:t>
      </w:r>
      <w:r w:rsidR="0091121C" w:rsidRPr="0028081E">
        <w:t xml:space="preserve">the financial estimates are likely to be </w:t>
      </w:r>
      <w:r w:rsidR="002D3CED" w:rsidRPr="0028081E">
        <w:t xml:space="preserve">sensitive to </w:t>
      </w:r>
      <w:bookmarkStart w:id="6" w:name="_Ref26436098"/>
      <w:r w:rsidR="0091121C" w:rsidRPr="0028081E">
        <w:t xml:space="preserve">changes in these variables. </w:t>
      </w:r>
    </w:p>
    <w:p w:rsidR="002D3CED" w:rsidRPr="0028081E" w:rsidRDefault="00821FBE" w:rsidP="00C8174F">
      <w:pPr>
        <w:pStyle w:val="Caption"/>
        <w:keepNext/>
        <w:spacing w:after="0"/>
        <w:rPr>
          <w:rFonts w:ascii="Arial Narrow" w:hAnsi="Arial Narrow" w:cstheme="minorHAnsi"/>
          <w:b/>
          <w:bCs/>
          <w:i w:val="0"/>
          <w:iCs w:val="0"/>
          <w:sz w:val="20"/>
          <w:szCs w:val="20"/>
        </w:rPr>
      </w:pPr>
      <w:bookmarkStart w:id="7" w:name="_Ref43799567"/>
      <w:r w:rsidRPr="0028081E">
        <w:rPr>
          <w:rFonts w:ascii="Arial Narrow" w:hAnsi="Arial Narrow" w:cstheme="minorHAnsi"/>
          <w:b/>
          <w:bCs/>
          <w:i w:val="0"/>
          <w:iCs w:val="0"/>
          <w:sz w:val="20"/>
          <w:szCs w:val="20"/>
        </w:rPr>
        <w:t xml:space="preserve">Table </w:t>
      </w:r>
      <w:r w:rsidRPr="00793BA6">
        <w:rPr>
          <w:rFonts w:ascii="Arial Narrow" w:hAnsi="Arial Narrow" w:cstheme="minorHAnsi"/>
          <w:b/>
          <w:bCs/>
          <w:i w:val="0"/>
          <w:iCs w:val="0"/>
          <w:sz w:val="20"/>
          <w:szCs w:val="20"/>
        </w:rPr>
        <w:t>5</w:t>
      </w:r>
      <w:bookmarkEnd w:id="7"/>
      <w:r w:rsidRPr="0028081E">
        <w:rPr>
          <w:rFonts w:ascii="Arial Narrow" w:hAnsi="Arial Narrow" w:cstheme="minorHAnsi"/>
          <w:b/>
          <w:bCs/>
          <w:i w:val="0"/>
          <w:iCs w:val="0"/>
          <w:sz w:val="20"/>
          <w:szCs w:val="20"/>
        </w:rPr>
        <w:t>: Sensitivity Analyses to evaluate the impact of the financial estimates</w:t>
      </w:r>
      <w:bookmarkEnd w:id="6"/>
    </w:p>
    <w:tbl>
      <w:tblPr>
        <w:tblStyle w:val="TableGrid402"/>
        <w:tblW w:w="5000" w:type="pct"/>
        <w:tblLayout w:type="fixed"/>
        <w:tblLook w:val="04A0" w:firstRow="1" w:lastRow="0" w:firstColumn="1" w:lastColumn="0" w:noHBand="0" w:noVBand="1"/>
        <w:tblCaption w:val="Table 5: Sensitivity Analyses to evaluate the impact of the financial estimates "/>
      </w:tblPr>
      <w:tblGrid>
        <w:gridCol w:w="1978"/>
        <w:gridCol w:w="1172"/>
        <w:gridCol w:w="1174"/>
        <w:gridCol w:w="1174"/>
        <w:gridCol w:w="1174"/>
        <w:gridCol w:w="1174"/>
        <w:gridCol w:w="1170"/>
      </w:tblGrid>
      <w:tr w:rsidR="005009A5" w:rsidRPr="0028081E" w:rsidTr="00BC3385">
        <w:trPr>
          <w:tblHeader/>
        </w:trPr>
        <w:tc>
          <w:tcPr>
            <w:tcW w:w="1097" w:type="pct"/>
            <w:shd w:val="clear" w:color="auto" w:fill="F2F2F2" w:themeFill="background1" w:themeFillShade="F2"/>
          </w:tcPr>
          <w:p w:rsidR="005009A5" w:rsidRPr="0028081E" w:rsidRDefault="005009A5" w:rsidP="00294A37">
            <w:pPr>
              <w:keepNext/>
              <w:keepLines/>
              <w:spacing w:after="120"/>
              <w:rPr>
                <w:rFonts w:ascii="Arial Narrow" w:hAnsi="Arial Narrow" w:cstheme="minorHAnsi"/>
                <w:b/>
                <w:sz w:val="20"/>
                <w:szCs w:val="20"/>
              </w:rPr>
            </w:pPr>
          </w:p>
        </w:tc>
        <w:tc>
          <w:tcPr>
            <w:tcW w:w="650" w:type="pct"/>
            <w:shd w:val="clear" w:color="auto" w:fill="F2F2F2" w:themeFill="background1" w:themeFillShade="F2"/>
            <w:vAlign w:val="center"/>
          </w:tcPr>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Year 1</w:t>
            </w:r>
          </w:p>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(2021)</w:t>
            </w:r>
          </w:p>
        </w:tc>
        <w:tc>
          <w:tcPr>
            <w:tcW w:w="651" w:type="pct"/>
            <w:shd w:val="clear" w:color="auto" w:fill="F2F2F2" w:themeFill="background1" w:themeFillShade="F2"/>
            <w:vAlign w:val="center"/>
          </w:tcPr>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Year 2</w:t>
            </w:r>
          </w:p>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(2022)</w:t>
            </w:r>
          </w:p>
        </w:tc>
        <w:tc>
          <w:tcPr>
            <w:tcW w:w="651" w:type="pct"/>
            <w:shd w:val="clear" w:color="auto" w:fill="F2F2F2" w:themeFill="background1" w:themeFillShade="F2"/>
            <w:vAlign w:val="center"/>
          </w:tcPr>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Year 3</w:t>
            </w:r>
          </w:p>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(2023)</w:t>
            </w:r>
          </w:p>
        </w:tc>
        <w:tc>
          <w:tcPr>
            <w:tcW w:w="651" w:type="pct"/>
            <w:shd w:val="clear" w:color="auto" w:fill="F2F2F2" w:themeFill="background1" w:themeFillShade="F2"/>
            <w:vAlign w:val="center"/>
          </w:tcPr>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Year 4</w:t>
            </w:r>
          </w:p>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(2024)</w:t>
            </w:r>
          </w:p>
        </w:tc>
        <w:tc>
          <w:tcPr>
            <w:tcW w:w="651" w:type="pct"/>
            <w:shd w:val="clear" w:color="auto" w:fill="F2F2F2" w:themeFill="background1" w:themeFillShade="F2"/>
            <w:vAlign w:val="center"/>
          </w:tcPr>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Year 5</w:t>
            </w:r>
          </w:p>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(2025)</w:t>
            </w:r>
          </w:p>
        </w:tc>
        <w:tc>
          <w:tcPr>
            <w:tcW w:w="651" w:type="pct"/>
            <w:shd w:val="clear" w:color="auto" w:fill="F2F2F2" w:themeFill="background1" w:themeFillShade="F2"/>
            <w:vAlign w:val="center"/>
          </w:tcPr>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Year 6</w:t>
            </w:r>
          </w:p>
          <w:p w:rsidR="005009A5" w:rsidRPr="0028081E" w:rsidRDefault="005009A5" w:rsidP="00294A37">
            <w:pPr>
              <w:keepNext/>
              <w:keepLines/>
              <w:spacing w:after="120"/>
              <w:jc w:val="center"/>
              <w:rPr>
                <w:rFonts w:ascii="Arial Narrow" w:hAnsi="Arial Narrow" w:cstheme="minorHAnsi"/>
                <w:b/>
                <w:sz w:val="20"/>
                <w:szCs w:val="20"/>
              </w:rPr>
            </w:pPr>
            <w:r w:rsidRPr="0028081E">
              <w:rPr>
                <w:rFonts w:ascii="Arial Narrow" w:hAnsi="Arial Narrow" w:cstheme="minorHAnsi"/>
                <w:b/>
                <w:sz w:val="20"/>
                <w:szCs w:val="20"/>
              </w:rPr>
              <w:t>(2026)</w:t>
            </w:r>
          </w:p>
        </w:tc>
      </w:tr>
      <w:tr w:rsidR="005009A5" w:rsidRPr="0028081E" w:rsidTr="005009A5">
        <w:tc>
          <w:tcPr>
            <w:tcW w:w="1097" w:type="pct"/>
            <w:tcBorders>
              <w:top w:val="single" w:sz="4" w:space="0" w:color="auto"/>
              <w:left w:val="single" w:sz="4" w:space="0" w:color="auto"/>
              <w:bottom w:val="single" w:sz="4" w:space="0" w:color="auto"/>
              <w:right w:val="nil"/>
            </w:tcBorders>
            <w:shd w:val="clear" w:color="000000" w:fill="FFFFFF"/>
            <w:vAlign w:val="center"/>
          </w:tcPr>
          <w:p w:rsidR="005009A5" w:rsidRPr="0028081E" w:rsidRDefault="005009A5" w:rsidP="00294A37">
            <w:pPr>
              <w:keepNext/>
              <w:keepLines/>
              <w:spacing w:after="120"/>
              <w:rPr>
                <w:rFonts w:ascii="Arial Narrow" w:hAnsi="Arial Narrow" w:cs="Calibri"/>
                <w:b/>
                <w:bCs/>
                <w:color w:val="000000"/>
                <w:sz w:val="20"/>
                <w:szCs w:val="20"/>
              </w:rPr>
            </w:pPr>
            <w:r w:rsidRPr="0028081E">
              <w:rPr>
                <w:rFonts w:ascii="Arial Narrow" w:hAnsi="Arial Narrow" w:cs="Calibri"/>
                <w:b/>
                <w:bCs/>
                <w:color w:val="000000"/>
                <w:sz w:val="20"/>
                <w:szCs w:val="20"/>
              </w:rPr>
              <w:t xml:space="preserve">Base case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b/>
                <w:color w:val="000000"/>
                <w:sz w:val="20"/>
                <w:szCs w:val="20"/>
                <w:highlight w:val="black"/>
              </w:rPr>
            </w:pPr>
            <w:r>
              <w:rPr>
                <w:rFonts w:ascii="Arial Narrow" w:hAnsi="Arial Narrow" w:cs="Calibri"/>
                <w:b/>
                <w:bCs/>
                <w:noProof/>
                <w:color w:val="000000"/>
                <w:sz w:val="20"/>
                <w:szCs w:val="20"/>
                <w:highlight w:val="black"/>
              </w:rPr>
              <w:t>'''''''''''''''''''''''</w:t>
            </w:r>
          </w:p>
        </w:tc>
        <w:tc>
          <w:tcPr>
            <w:tcW w:w="651" w:type="pct"/>
            <w:tcBorders>
              <w:top w:val="single" w:sz="4" w:space="0" w:color="auto"/>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b/>
                <w:color w:val="000000"/>
                <w:sz w:val="20"/>
                <w:szCs w:val="20"/>
                <w:highlight w:val="black"/>
              </w:rPr>
            </w:pPr>
            <w:r>
              <w:rPr>
                <w:rFonts w:ascii="Arial Narrow" w:hAnsi="Arial Narrow" w:cs="Calibri"/>
                <w:b/>
                <w:bCs/>
                <w:noProof/>
                <w:color w:val="000000"/>
                <w:sz w:val="20"/>
                <w:szCs w:val="20"/>
                <w:highlight w:val="black"/>
              </w:rPr>
              <w:t>'''''''''''''''''''''</w:t>
            </w:r>
          </w:p>
        </w:tc>
        <w:tc>
          <w:tcPr>
            <w:tcW w:w="651" w:type="pct"/>
            <w:tcBorders>
              <w:top w:val="single" w:sz="4" w:space="0" w:color="auto"/>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b/>
                <w:color w:val="000000"/>
                <w:sz w:val="20"/>
                <w:szCs w:val="20"/>
                <w:highlight w:val="black"/>
              </w:rPr>
            </w:pPr>
            <w:r>
              <w:rPr>
                <w:rFonts w:ascii="Arial Narrow" w:hAnsi="Arial Narrow" w:cs="Calibri"/>
                <w:b/>
                <w:bCs/>
                <w:noProof/>
                <w:color w:val="000000"/>
                <w:sz w:val="20"/>
                <w:szCs w:val="20"/>
                <w:highlight w:val="black"/>
              </w:rPr>
              <w:t>''''''''''''''''''''''</w:t>
            </w:r>
          </w:p>
        </w:tc>
        <w:tc>
          <w:tcPr>
            <w:tcW w:w="651" w:type="pct"/>
            <w:tcBorders>
              <w:top w:val="single" w:sz="4" w:space="0" w:color="auto"/>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b/>
                <w:color w:val="000000"/>
                <w:sz w:val="20"/>
                <w:szCs w:val="20"/>
                <w:highlight w:val="black"/>
              </w:rPr>
            </w:pPr>
            <w:r>
              <w:rPr>
                <w:rFonts w:ascii="Arial Narrow" w:hAnsi="Arial Narrow" w:cs="Calibri"/>
                <w:b/>
                <w:bCs/>
                <w:noProof/>
                <w:color w:val="000000"/>
                <w:sz w:val="20"/>
                <w:szCs w:val="20"/>
                <w:highlight w:val="black"/>
              </w:rPr>
              <w:t>'''''''''''''''''''''</w:t>
            </w:r>
          </w:p>
        </w:tc>
        <w:tc>
          <w:tcPr>
            <w:tcW w:w="651" w:type="pct"/>
            <w:tcBorders>
              <w:top w:val="single" w:sz="4" w:space="0" w:color="auto"/>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b/>
                <w:color w:val="000000"/>
                <w:sz w:val="20"/>
                <w:szCs w:val="20"/>
                <w:highlight w:val="black"/>
              </w:rPr>
            </w:pPr>
            <w:r>
              <w:rPr>
                <w:rFonts w:ascii="Arial Narrow" w:hAnsi="Arial Narrow" w:cs="Calibri"/>
                <w:b/>
                <w:bCs/>
                <w:noProof/>
                <w:color w:val="000000"/>
                <w:sz w:val="20"/>
                <w:szCs w:val="20"/>
                <w:highlight w:val="black"/>
              </w:rPr>
              <w:t>''''''''''''''''''''</w:t>
            </w:r>
          </w:p>
        </w:tc>
        <w:tc>
          <w:tcPr>
            <w:tcW w:w="651" w:type="pct"/>
            <w:tcBorders>
              <w:top w:val="single" w:sz="4" w:space="0" w:color="auto"/>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b/>
                <w:color w:val="000000"/>
                <w:sz w:val="20"/>
                <w:szCs w:val="20"/>
                <w:highlight w:val="black"/>
              </w:rPr>
            </w:pPr>
            <w:r>
              <w:rPr>
                <w:rFonts w:ascii="Arial Narrow" w:hAnsi="Arial Narrow" w:cs="Calibri"/>
                <w:b/>
                <w:bCs/>
                <w:noProof/>
                <w:color w:val="000000"/>
                <w:sz w:val="20"/>
                <w:szCs w:val="20"/>
                <w:highlight w:val="black"/>
              </w:rPr>
              <w:t>''''''''''''''''''''''</w:t>
            </w:r>
          </w:p>
        </w:tc>
      </w:tr>
      <w:tr w:rsidR="005009A5" w:rsidRPr="0028081E" w:rsidTr="005009A5">
        <w:tc>
          <w:tcPr>
            <w:tcW w:w="1097" w:type="pct"/>
            <w:tcBorders>
              <w:top w:val="nil"/>
              <w:left w:val="single" w:sz="4" w:space="0" w:color="auto"/>
              <w:bottom w:val="single" w:sz="4" w:space="0" w:color="auto"/>
              <w:right w:val="nil"/>
            </w:tcBorders>
            <w:shd w:val="clear" w:color="000000" w:fill="FFFFFF"/>
            <w:vAlign w:val="center"/>
          </w:tcPr>
          <w:p w:rsidR="005009A5" w:rsidRPr="0028081E" w:rsidRDefault="005009A5" w:rsidP="00294A37">
            <w:pPr>
              <w:keepNext/>
              <w:keepLines/>
              <w:spacing w:after="120"/>
              <w:jc w:val="left"/>
              <w:rPr>
                <w:rFonts w:ascii="Arial Narrow" w:hAnsi="Arial Narrow" w:cs="Calibri"/>
                <w:color w:val="000000"/>
                <w:sz w:val="20"/>
                <w:szCs w:val="20"/>
              </w:rPr>
            </w:pPr>
            <w:r w:rsidRPr="0028081E">
              <w:rPr>
                <w:rFonts w:ascii="Arial Narrow" w:hAnsi="Arial Narrow" w:cs="Calibri"/>
                <w:color w:val="000000"/>
                <w:sz w:val="20"/>
                <w:szCs w:val="20"/>
              </w:rPr>
              <w:t>Linear trend line</w:t>
            </w:r>
            <w:r w:rsidR="00B35901">
              <w:rPr>
                <w:rFonts w:ascii="Arial Narrow" w:hAnsi="Arial Narrow" w:cs="Calibri"/>
                <w:color w:val="000000"/>
                <w:sz w:val="20"/>
                <w:szCs w:val="20"/>
              </w:rPr>
              <w:t xml:space="preserve"> ($)</w:t>
            </w:r>
          </w:p>
        </w:tc>
        <w:tc>
          <w:tcPr>
            <w:tcW w:w="650" w:type="pct"/>
            <w:tcBorders>
              <w:top w:val="nil"/>
              <w:left w:val="single" w:sz="4" w:space="0" w:color="auto"/>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r>
      <w:tr w:rsidR="005009A5" w:rsidRPr="0028081E" w:rsidTr="005009A5">
        <w:tc>
          <w:tcPr>
            <w:tcW w:w="1097" w:type="pct"/>
            <w:tcBorders>
              <w:top w:val="nil"/>
              <w:left w:val="single" w:sz="4" w:space="0" w:color="auto"/>
              <w:bottom w:val="single" w:sz="4" w:space="0" w:color="auto"/>
              <w:right w:val="nil"/>
            </w:tcBorders>
            <w:shd w:val="clear" w:color="000000" w:fill="FFFFFF"/>
            <w:vAlign w:val="center"/>
          </w:tcPr>
          <w:p w:rsidR="005009A5" w:rsidRPr="0028081E" w:rsidRDefault="005009A5" w:rsidP="00294A37">
            <w:pPr>
              <w:keepNext/>
              <w:keepLines/>
              <w:spacing w:after="120"/>
              <w:jc w:val="left"/>
              <w:rPr>
                <w:rFonts w:ascii="Arial Narrow" w:hAnsi="Arial Narrow" w:cs="Calibri"/>
                <w:color w:val="000000"/>
                <w:sz w:val="20"/>
                <w:szCs w:val="20"/>
              </w:rPr>
            </w:pPr>
            <w:r w:rsidRPr="0028081E">
              <w:rPr>
                <w:rFonts w:ascii="Arial Narrow" w:hAnsi="Arial Narrow" w:cs="Calibri"/>
                <w:color w:val="000000"/>
                <w:sz w:val="20"/>
                <w:szCs w:val="20"/>
              </w:rPr>
              <w:t xml:space="preserve">Increased exenatide growth rate </w:t>
            </w:r>
            <w:r w:rsidR="00B35901">
              <w:rPr>
                <w:rFonts w:ascii="Arial Narrow" w:hAnsi="Arial Narrow" w:cs="Calibri"/>
                <w:color w:val="000000"/>
                <w:sz w:val="20"/>
                <w:szCs w:val="20"/>
              </w:rPr>
              <w:t>($)</w:t>
            </w:r>
          </w:p>
          <w:p w:rsidR="005009A5" w:rsidRPr="0028081E" w:rsidRDefault="005009A5" w:rsidP="00294A37">
            <w:pPr>
              <w:keepNext/>
              <w:keepLines/>
              <w:spacing w:after="120"/>
              <w:jc w:val="left"/>
              <w:rPr>
                <w:rFonts w:ascii="Arial Narrow" w:hAnsi="Arial Narrow" w:cstheme="minorHAnsi"/>
                <w:sz w:val="20"/>
                <w:szCs w:val="20"/>
              </w:rPr>
            </w:pPr>
            <w:r w:rsidRPr="0028081E">
              <w:rPr>
                <w:rFonts w:ascii="Arial Narrow" w:hAnsi="Arial Narrow" w:cs="Calibri"/>
                <w:color w:val="000000"/>
                <w:sz w:val="20"/>
                <w:szCs w:val="20"/>
              </w:rPr>
              <w:t>(3% year on year)</w:t>
            </w:r>
          </w:p>
        </w:tc>
        <w:tc>
          <w:tcPr>
            <w:tcW w:w="650" w:type="pct"/>
            <w:tcBorders>
              <w:top w:val="nil"/>
              <w:left w:val="single" w:sz="4" w:space="0" w:color="auto"/>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5009A5" w:rsidRPr="0028081E" w:rsidTr="005009A5">
        <w:tc>
          <w:tcPr>
            <w:tcW w:w="1097" w:type="pct"/>
            <w:tcBorders>
              <w:top w:val="nil"/>
              <w:left w:val="single" w:sz="4" w:space="0" w:color="auto"/>
              <w:bottom w:val="single" w:sz="4" w:space="0" w:color="auto"/>
              <w:right w:val="nil"/>
            </w:tcBorders>
            <w:shd w:val="clear" w:color="000000" w:fill="FFFFFF"/>
            <w:vAlign w:val="center"/>
          </w:tcPr>
          <w:p w:rsidR="005009A5" w:rsidRPr="0028081E" w:rsidRDefault="005009A5" w:rsidP="00294A37">
            <w:pPr>
              <w:keepNext/>
              <w:keepLines/>
              <w:spacing w:after="120"/>
              <w:jc w:val="left"/>
              <w:rPr>
                <w:rFonts w:ascii="Arial Narrow" w:hAnsi="Arial Narrow"/>
                <w:sz w:val="20"/>
                <w:szCs w:val="20"/>
              </w:rPr>
            </w:pPr>
            <w:r w:rsidRPr="0028081E">
              <w:rPr>
                <w:rFonts w:ascii="Arial Narrow" w:hAnsi="Arial Narrow" w:cs="Calibri"/>
                <w:color w:val="000000"/>
                <w:sz w:val="20"/>
                <w:szCs w:val="20"/>
              </w:rPr>
              <w:t>Increased SGLT2 &amp; DPP4 growth rate</w:t>
            </w:r>
            <w:r w:rsidR="00B35901">
              <w:rPr>
                <w:rFonts w:ascii="Arial Narrow" w:hAnsi="Arial Narrow" w:cs="Calibri"/>
                <w:color w:val="000000"/>
                <w:sz w:val="20"/>
                <w:szCs w:val="20"/>
              </w:rPr>
              <w:t xml:space="preserve"> ($)</w:t>
            </w:r>
            <w:r w:rsidRPr="0028081E">
              <w:rPr>
                <w:rFonts w:ascii="Arial Narrow" w:hAnsi="Arial Narrow" w:cs="Calibri"/>
                <w:color w:val="000000"/>
                <w:sz w:val="20"/>
                <w:szCs w:val="20"/>
              </w:rPr>
              <w:t xml:space="preserve"> (double historic trend)</w:t>
            </w:r>
          </w:p>
        </w:tc>
        <w:tc>
          <w:tcPr>
            <w:tcW w:w="650" w:type="pct"/>
            <w:tcBorders>
              <w:top w:val="nil"/>
              <w:left w:val="single" w:sz="4" w:space="0" w:color="auto"/>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color w:val="000000"/>
                <w:sz w:val="20"/>
                <w:szCs w:val="20"/>
                <w:highlight w:val="black"/>
              </w:rPr>
            </w:pPr>
            <w:r>
              <w:rPr>
                <w:rFonts w:ascii="Arial Narrow" w:hAnsi="Arial Narrow" w:cs="Calibri"/>
                <w:noProof/>
                <w:color w:val="000000"/>
                <w:sz w:val="20"/>
                <w:szCs w:val="20"/>
                <w:highlight w:val="black"/>
              </w:rPr>
              <w:t>''''''''''''''''''''''''''</w:t>
            </w:r>
          </w:p>
        </w:tc>
      </w:tr>
      <w:tr w:rsidR="005009A5" w:rsidRPr="0028081E" w:rsidTr="005009A5">
        <w:tc>
          <w:tcPr>
            <w:tcW w:w="1097" w:type="pct"/>
            <w:tcBorders>
              <w:top w:val="nil"/>
              <w:left w:val="single" w:sz="4" w:space="0" w:color="auto"/>
              <w:bottom w:val="single" w:sz="4" w:space="0" w:color="auto"/>
              <w:right w:val="nil"/>
            </w:tcBorders>
            <w:shd w:val="clear" w:color="000000" w:fill="FFFFFF"/>
            <w:vAlign w:val="center"/>
          </w:tcPr>
          <w:p w:rsidR="005009A5" w:rsidRPr="0028081E" w:rsidRDefault="005009A5" w:rsidP="00294A37">
            <w:pPr>
              <w:keepNext/>
              <w:keepLines/>
              <w:spacing w:after="120"/>
              <w:jc w:val="left"/>
              <w:rPr>
                <w:rFonts w:ascii="Arial Narrow" w:hAnsi="Arial Narrow" w:cstheme="minorHAnsi"/>
                <w:sz w:val="20"/>
                <w:szCs w:val="20"/>
              </w:rPr>
            </w:pPr>
            <w:r w:rsidRPr="0028081E">
              <w:rPr>
                <w:rFonts w:ascii="Arial Narrow" w:hAnsi="Arial Narrow" w:cs="Calibri"/>
                <w:color w:val="000000"/>
                <w:sz w:val="20"/>
                <w:szCs w:val="20"/>
              </w:rPr>
              <w:t>Increased dulaglutide market share</w:t>
            </w:r>
            <w:r w:rsidR="00B35901">
              <w:rPr>
                <w:rFonts w:ascii="Arial Narrow" w:hAnsi="Arial Narrow" w:cs="Calibri"/>
                <w:color w:val="000000"/>
                <w:sz w:val="20"/>
                <w:szCs w:val="20"/>
              </w:rPr>
              <w:t xml:space="preserve"> ($)</w:t>
            </w:r>
          </w:p>
        </w:tc>
        <w:tc>
          <w:tcPr>
            <w:tcW w:w="650" w:type="pct"/>
            <w:tcBorders>
              <w:top w:val="nil"/>
              <w:left w:val="single" w:sz="4" w:space="0" w:color="auto"/>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theme="minorHAnsi"/>
                <w:sz w:val="20"/>
                <w:szCs w:val="20"/>
                <w:highlight w:val="black"/>
              </w:rPr>
            </w:pPr>
            <w:r>
              <w:rPr>
                <w:rFonts w:ascii="Arial Narrow" w:hAnsi="Arial Narrow" w:cs="Calibri"/>
                <w:noProof/>
                <w:color w:val="000000"/>
                <w:sz w:val="20"/>
                <w:szCs w:val="20"/>
                <w:highlight w:val="black"/>
              </w:rPr>
              <w:t>'''''''''''''''''''''''''''''</w:t>
            </w:r>
          </w:p>
        </w:tc>
      </w:tr>
      <w:tr w:rsidR="005009A5" w:rsidRPr="0028081E" w:rsidTr="005009A5">
        <w:tc>
          <w:tcPr>
            <w:tcW w:w="1097" w:type="pct"/>
            <w:tcBorders>
              <w:top w:val="nil"/>
              <w:left w:val="single" w:sz="4" w:space="0" w:color="auto"/>
              <w:bottom w:val="single" w:sz="4" w:space="0" w:color="auto"/>
              <w:right w:val="nil"/>
            </w:tcBorders>
            <w:shd w:val="clear" w:color="000000" w:fill="FFFFFF"/>
            <w:vAlign w:val="center"/>
          </w:tcPr>
          <w:p w:rsidR="005009A5" w:rsidRPr="0028081E" w:rsidRDefault="005009A5" w:rsidP="00294A37">
            <w:pPr>
              <w:keepNext/>
              <w:keepLines/>
              <w:spacing w:after="120"/>
              <w:jc w:val="left"/>
              <w:rPr>
                <w:rFonts w:ascii="Arial Narrow" w:hAnsi="Arial Narrow" w:cs="Calibri"/>
                <w:color w:val="000000"/>
                <w:sz w:val="20"/>
                <w:szCs w:val="20"/>
              </w:rPr>
            </w:pPr>
            <w:r w:rsidRPr="0028081E">
              <w:rPr>
                <w:rFonts w:ascii="Arial Narrow" w:hAnsi="Arial Narrow" w:cs="Calibri"/>
                <w:color w:val="000000"/>
                <w:sz w:val="20"/>
                <w:szCs w:val="20"/>
              </w:rPr>
              <w:t xml:space="preserve">Increased growth rates &amp; market share </w:t>
            </w:r>
            <w:r w:rsidR="00B35901">
              <w:rPr>
                <w:rFonts w:ascii="Arial Narrow" w:hAnsi="Arial Narrow" w:cs="Calibri"/>
                <w:color w:val="000000"/>
                <w:sz w:val="20"/>
                <w:szCs w:val="20"/>
              </w:rPr>
              <w:t>($)</w:t>
            </w:r>
          </w:p>
        </w:tc>
        <w:tc>
          <w:tcPr>
            <w:tcW w:w="650" w:type="pct"/>
            <w:tcBorders>
              <w:top w:val="nil"/>
              <w:left w:val="single" w:sz="4" w:space="0" w:color="auto"/>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51" w:type="pct"/>
            <w:tcBorders>
              <w:top w:val="nil"/>
              <w:left w:val="nil"/>
              <w:bottom w:val="single" w:sz="4" w:space="0" w:color="auto"/>
              <w:right w:val="single" w:sz="4" w:space="0" w:color="auto"/>
            </w:tcBorders>
            <w:shd w:val="clear" w:color="auto" w:fill="auto"/>
            <w:vAlign w:val="center"/>
          </w:tcPr>
          <w:p w:rsidR="005009A5" w:rsidRPr="002602B2" w:rsidRDefault="002602B2" w:rsidP="00294A37">
            <w:pPr>
              <w:keepNext/>
              <w:keepLines/>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bl>
    <w:p w:rsidR="005009A5" w:rsidRPr="0028081E" w:rsidRDefault="005009A5" w:rsidP="00FE1C05">
      <w:pPr>
        <w:pStyle w:val="TableFooter"/>
        <w:keepNext/>
        <w:keepLines/>
        <w:widowControl/>
      </w:pPr>
      <w:r w:rsidRPr="0028081E">
        <w:t xml:space="preserve">Note: sensitivity analyses were </w:t>
      </w:r>
      <w:r w:rsidR="00D2128B" w:rsidRPr="0028081E">
        <w:t xml:space="preserve">performed </w:t>
      </w:r>
      <w:r w:rsidRPr="0028081E">
        <w:t>based on dulaglutide effective DPMQ: $</w:t>
      </w:r>
      <w:r w:rsidR="002602B2">
        <w:rPr>
          <w:noProof/>
          <w:color w:val="000000"/>
          <w:highlight w:val="black"/>
        </w:rPr>
        <w:t>'''''''''''''''</w:t>
      </w:r>
    </w:p>
    <w:p w:rsidR="00D2128B" w:rsidRPr="0028081E" w:rsidRDefault="00D2128B" w:rsidP="00FE1C05">
      <w:pPr>
        <w:pStyle w:val="TableFooter"/>
        <w:keepNext/>
        <w:keepLines/>
        <w:widowControl/>
        <w:rPr>
          <w:rStyle w:val="st1"/>
          <w:szCs w:val="18"/>
        </w:rPr>
      </w:pPr>
      <w:r w:rsidRPr="0028081E">
        <w:rPr>
          <w:szCs w:val="18"/>
        </w:rPr>
        <w:t xml:space="preserve">Abbreviation: SGLT2 inhibitor: sodium-glucose co-transporter-2 inhibitor; </w:t>
      </w:r>
      <w:r w:rsidRPr="0028081E">
        <w:rPr>
          <w:rStyle w:val="Emphasis"/>
          <w:b w:val="0"/>
          <w:bCs w:val="0"/>
          <w:szCs w:val="18"/>
        </w:rPr>
        <w:t>DPP</w:t>
      </w:r>
      <w:r w:rsidRPr="0028081E">
        <w:rPr>
          <w:rStyle w:val="st1"/>
          <w:b/>
          <w:bCs/>
          <w:szCs w:val="18"/>
        </w:rPr>
        <w:t>-</w:t>
      </w:r>
      <w:r w:rsidRPr="0028081E">
        <w:rPr>
          <w:rStyle w:val="Emphasis"/>
          <w:b w:val="0"/>
          <w:bCs w:val="0"/>
          <w:szCs w:val="18"/>
        </w:rPr>
        <w:t>4 inhibitor: dipeptidyl peptidase</w:t>
      </w:r>
      <w:r w:rsidRPr="0028081E">
        <w:rPr>
          <w:rStyle w:val="st1"/>
          <w:b/>
          <w:bCs/>
          <w:szCs w:val="18"/>
        </w:rPr>
        <w:t>-</w:t>
      </w:r>
      <w:r w:rsidRPr="0028081E">
        <w:rPr>
          <w:rStyle w:val="Emphasis"/>
          <w:b w:val="0"/>
          <w:bCs w:val="0"/>
          <w:szCs w:val="18"/>
        </w:rPr>
        <w:t>4</w:t>
      </w:r>
      <w:r w:rsidRPr="0028081E">
        <w:rPr>
          <w:rStyle w:val="st1"/>
          <w:szCs w:val="18"/>
        </w:rPr>
        <w:t xml:space="preserve"> inhibitor </w:t>
      </w:r>
    </w:p>
    <w:p w:rsidR="002776F1" w:rsidRPr="0028081E" w:rsidRDefault="002776F1" w:rsidP="00FE1C05">
      <w:pPr>
        <w:pStyle w:val="TableFooter"/>
        <w:keepNext/>
        <w:keepLines/>
        <w:widowControl/>
        <w:rPr>
          <w:rStyle w:val="st1"/>
          <w:szCs w:val="18"/>
        </w:rPr>
      </w:pPr>
      <w:r w:rsidRPr="0028081E">
        <w:rPr>
          <w:rStyle w:val="st1"/>
          <w:szCs w:val="18"/>
        </w:rPr>
        <w:t>Source: Table 12, p16 of the submission</w:t>
      </w:r>
    </w:p>
    <w:p w:rsidR="006B02AC" w:rsidRDefault="006B02AC" w:rsidP="00A81717">
      <w:pPr>
        <w:pStyle w:val="3Bodytext"/>
        <w:numPr>
          <w:ilvl w:val="0"/>
          <w:numId w:val="0"/>
        </w:numPr>
        <w:ind w:left="720" w:hanging="720"/>
        <w:jc w:val="both"/>
        <w:rPr>
          <w:i/>
          <w:iCs/>
        </w:rPr>
      </w:pPr>
    </w:p>
    <w:p w:rsidR="00A81717" w:rsidRDefault="00A81717" w:rsidP="006B02AC">
      <w:pPr>
        <w:pStyle w:val="3Bodytext"/>
        <w:numPr>
          <w:ilvl w:val="0"/>
          <w:numId w:val="0"/>
        </w:numPr>
        <w:jc w:val="both"/>
        <w:rPr>
          <w:i/>
          <w:iCs/>
        </w:rPr>
      </w:pPr>
      <w:r>
        <w:rPr>
          <w:i/>
          <w:iCs/>
        </w:rPr>
        <w:t>The redacted table shows financial estimates in the range of $</w:t>
      </w:r>
      <w:r w:rsidRPr="00A81717">
        <w:rPr>
          <w:i/>
          <w:iCs/>
        </w:rPr>
        <w:t>0 to &lt; $10 million</w:t>
      </w:r>
      <w:r>
        <w:rPr>
          <w:i/>
          <w:iCs/>
        </w:rPr>
        <w:t xml:space="preserve"> and $10 million to &lt; $20,000 million.</w:t>
      </w:r>
    </w:p>
    <w:p w:rsidR="006B02AC" w:rsidRPr="00A81717" w:rsidRDefault="006B02AC" w:rsidP="006B02AC">
      <w:pPr>
        <w:pStyle w:val="3Bodytext"/>
        <w:numPr>
          <w:ilvl w:val="0"/>
          <w:numId w:val="0"/>
        </w:numPr>
        <w:jc w:val="both"/>
        <w:rPr>
          <w:i/>
          <w:iCs/>
        </w:rPr>
      </w:pPr>
    </w:p>
    <w:p w:rsidR="00BA347C" w:rsidRPr="0028081E" w:rsidRDefault="00BA347C" w:rsidP="00294A37">
      <w:pPr>
        <w:pStyle w:val="3Bodytext"/>
        <w:jc w:val="both"/>
        <w:rPr>
          <w:iCs/>
        </w:rPr>
      </w:pPr>
      <w:r w:rsidRPr="0028081E">
        <w:rPr>
          <w:iCs/>
        </w:rPr>
        <w:t>As a minor submission, the financial estimates have not been independently evaluated.</w:t>
      </w:r>
    </w:p>
    <w:p w:rsidR="001B40C5" w:rsidRDefault="001B40C5" w:rsidP="00294A37">
      <w:pPr>
        <w:pStyle w:val="3Bodytext"/>
        <w:numPr>
          <w:ilvl w:val="0"/>
          <w:numId w:val="0"/>
        </w:numPr>
        <w:ind w:left="720"/>
        <w:rPr>
          <w:i/>
          <w:iCs/>
        </w:rPr>
      </w:pPr>
      <w:r w:rsidRPr="0028081E">
        <w:rPr>
          <w:i/>
          <w:iCs/>
        </w:rPr>
        <w:t>For more detail on PBAC’s view, see section 6 PBAC outcome.</w:t>
      </w:r>
    </w:p>
    <w:p w:rsidR="006B02AC" w:rsidRPr="0028081E" w:rsidRDefault="006B02AC" w:rsidP="00294A37">
      <w:pPr>
        <w:pStyle w:val="3Bodytext"/>
        <w:numPr>
          <w:ilvl w:val="0"/>
          <w:numId w:val="0"/>
        </w:numPr>
        <w:ind w:left="720"/>
        <w:rPr>
          <w:i/>
          <w:iCs/>
        </w:rPr>
      </w:pPr>
    </w:p>
    <w:p w:rsidR="001862AE" w:rsidRPr="0028081E" w:rsidRDefault="001862AE" w:rsidP="00294A37">
      <w:pPr>
        <w:pStyle w:val="Heading1"/>
        <w:keepLines/>
        <w:numPr>
          <w:ilvl w:val="0"/>
          <w:numId w:val="1"/>
        </w:numPr>
        <w:ind w:left="709" w:hanging="709"/>
        <w:rPr>
          <w:sz w:val="32"/>
          <w:szCs w:val="32"/>
        </w:rPr>
      </w:pPr>
      <w:r w:rsidRPr="0028081E">
        <w:rPr>
          <w:sz w:val="32"/>
          <w:szCs w:val="32"/>
        </w:rPr>
        <w:t>PBAC Outcome</w:t>
      </w:r>
    </w:p>
    <w:p w:rsidR="003756EE" w:rsidRPr="0028081E" w:rsidRDefault="001862AE" w:rsidP="00294A37">
      <w:pPr>
        <w:pStyle w:val="3Bodytext"/>
        <w:jc w:val="both"/>
      </w:pPr>
      <w:r w:rsidRPr="0028081E">
        <w:t xml:space="preserve">The PBAC recommended </w:t>
      </w:r>
      <w:r w:rsidR="009B7907" w:rsidRPr="0028081E">
        <w:t xml:space="preserve">extending the existing listing </w:t>
      </w:r>
      <w:r w:rsidR="009B6E6D" w:rsidRPr="0028081E">
        <w:rPr>
          <w:snapToGrid w:val="0"/>
        </w:rPr>
        <w:t xml:space="preserve">of dulaglutide </w:t>
      </w:r>
      <w:r w:rsidR="009B7907" w:rsidRPr="0028081E">
        <w:rPr>
          <w:snapToGrid w:val="0"/>
        </w:rPr>
        <w:t xml:space="preserve">to include </w:t>
      </w:r>
      <w:r w:rsidR="009B6E6D" w:rsidRPr="0028081E">
        <w:rPr>
          <w:snapToGrid w:val="0"/>
        </w:rPr>
        <w:t xml:space="preserve">the treatment of T2DM in combination with insulin and metformin unless contraindicated or not tolerated. </w:t>
      </w:r>
      <w:r w:rsidR="009B6E6D" w:rsidRPr="0028081E">
        <w:rPr>
          <w:bCs/>
          <w:snapToGrid w:val="0"/>
        </w:rPr>
        <w:t>The PBAC’s recommendation for listing was based on, among other matters, its assessment, that the cost-effectiveness of dulaglutide</w:t>
      </w:r>
      <w:r w:rsidR="00C84DA9">
        <w:rPr>
          <w:bCs/>
          <w:snapToGrid w:val="0"/>
        </w:rPr>
        <w:t xml:space="preserve"> </w:t>
      </w:r>
      <w:r w:rsidR="00C84DA9" w:rsidRPr="0028081E">
        <w:rPr>
          <w:szCs w:val="24"/>
        </w:rPr>
        <w:t>1.5 mg</w:t>
      </w:r>
      <w:r w:rsidR="00C84DA9" w:rsidRPr="00C84DA9">
        <w:rPr>
          <w:rFonts w:eastAsia="Times New Roman" w:cs="Arial"/>
          <w:snapToGrid w:val="0"/>
          <w:szCs w:val="24"/>
        </w:rPr>
        <w:t xml:space="preserve"> </w:t>
      </w:r>
      <w:r w:rsidR="00C84DA9" w:rsidRPr="0028081E">
        <w:rPr>
          <w:rFonts w:eastAsia="Times New Roman" w:cs="Arial"/>
          <w:snapToGrid w:val="0"/>
          <w:szCs w:val="24"/>
        </w:rPr>
        <w:t>once weekly</w:t>
      </w:r>
      <w:r w:rsidR="009B6E6D" w:rsidRPr="0028081E">
        <w:rPr>
          <w:bCs/>
          <w:snapToGrid w:val="0"/>
        </w:rPr>
        <w:t xml:space="preserve"> </w:t>
      </w:r>
      <w:r w:rsidR="00C84DA9">
        <w:rPr>
          <w:bCs/>
          <w:snapToGrid w:val="0"/>
        </w:rPr>
        <w:t>(</w:t>
      </w:r>
      <w:r w:rsidR="009B6E6D" w:rsidRPr="0028081E">
        <w:rPr>
          <w:bCs/>
          <w:snapToGrid w:val="0"/>
        </w:rPr>
        <w:t>QW</w:t>
      </w:r>
      <w:r w:rsidR="00C84DA9">
        <w:rPr>
          <w:bCs/>
          <w:snapToGrid w:val="0"/>
        </w:rPr>
        <w:t>)</w:t>
      </w:r>
      <w:r w:rsidR="009B6E6D" w:rsidRPr="0028081E">
        <w:rPr>
          <w:bCs/>
          <w:snapToGrid w:val="0"/>
        </w:rPr>
        <w:t xml:space="preserve"> </w:t>
      </w:r>
      <w:r w:rsidR="009D637F" w:rsidRPr="0028081E">
        <w:rPr>
          <w:bCs/>
          <w:snapToGrid w:val="0"/>
        </w:rPr>
        <w:t xml:space="preserve">under </w:t>
      </w:r>
      <w:r w:rsidR="009B7907" w:rsidRPr="0028081E">
        <w:rPr>
          <w:bCs/>
          <w:snapToGrid w:val="0"/>
        </w:rPr>
        <w:t xml:space="preserve">the requested </w:t>
      </w:r>
      <w:r w:rsidR="009D637F" w:rsidRPr="0028081E">
        <w:rPr>
          <w:bCs/>
          <w:snapToGrid w:val="0"/>
        </w:rPr>
        <w:t xml:space="preserve">restriction </w:t>
      </w:r>
      <w:r w:rsidR="009B6E6D" w:rsidRPr="0028081E">
        <w:rPr>
          <w:bCs/>
          <w:snapToGrid w:val="0"/>
        </w:rPr>
        <w:t xml:space="preserve">would be acceptable if it were cost-minimised against exenatide 10 mcg </w:t>
      </w:r>
      <w:r w:rsidR="001C12CE" w:rsidRPr="0028081E">
        <w:rPr>
          <w:bCs/>
          <w:snapToGrid w:val="0"/>
        </w:rPr>
        <w:t xml:space="preserve">twice daily </w:t>
      </w:r>
      <w:r w:rsidR="001C12CE">
        <w:rPr>
          <w:bCs/>
          <w:snapToGrid w:val="0"/>
        </w:rPr>
        <w:t>(</w:t>
      </w:r>
      <w:r w:rsidR="009B6E6D" w:rsidRPr="0028081E">
        <w:rPr>
          <w:bCs/>
          <w:snapToGrid w:val="0"/>
        </w:rPr>
        <w:t>BID</w:t>
      </w:r>
      <w:r w:rsidR="001C12CE">
        <w:rPr>
          <w:bCs/>
          <w:snapToGrid w:val="0"/>
        </w:rPr>
        <w:t>)</w:t>
      </w:r>
      <w:r w:rsidR="009B6E6D" w:rsidRPr="0028081E">
        <w:rPr>
          <w:bCs/>
          <w:snapToGrid w:val="0"/>
        </w:rPr>
        <w:t xml:space="preserve">. </w:t>
      </w:r>
    </w:p>
    <w:p w:rsidR="008032AC" w:rsidRPr="0028081E" w:rsidRDefault="003756EE">
      <w:pPr>
        <w:pStyle w:val="3Bodytext"/>
        <w:jc w:val="both"/>
        <w:rPr>
          <w:bCs/>
        </w:rPr>
      </w:pPr>
      <w:r w:rsidRPr="0028081E">
        <w:t xml:space="preserve">The PBAC </w:t>
      </w:r>
      <w:r w:rsidR="006C1B8B" w:rsidRPr="0028081E">
        <w:t xml:space="preserve">considered </w:t>
      </w:r>
      <w:r w:rsidRPr="0028081E">
        <w:t xml:space="preserve">that </w:t>
      </w:r>
      <w:r w:rsidR="006C1B8B" w:rsidRPr="0028081E">
        <w:t xml:space="preserve">the </w:t>
      </w:r>
      <w:r w:rsidR="00053D8C" w:rsidRPr="0028081E">
        <w:t>QW</w:t>
      </w:r>
      <w:r w:rsidR="006C1B8B" w:rsidRPr="0028081E">
        <w:t xml:space="preserve"> dosing regimen of dulaglutide may improve </w:t>
      </w:r>
      <w:r w:rsidR="005766CE" w:rsidRPr="0028081E">
        <w:t xml:space="preserve">health outcomes </w:t>
      </w:r>
      <w:r w:rsidR="006C1B8B" w:rsidRPr="0028081E">
        <w:t>for some patients</w:t>
      </w:r>
      <w:r w:rsidR="00ED5A37" w:rsidRPr="0028081E">
        <w:t xml:space="preserve"> with high clinical needs</w:t>
      </w:r>
      <w:r w:rsidR="008814EF" w:rsidRPr="0028081E">
        <w:t>, particularly those</w:t>
      </w:r>
      <w:r w:rsidR="006C1B8B" w:rsidRPr="0028081E">
        <w:t xml:space="preserve"> </w:t>
      </w:r>
      <w:r w:rsidR="006C1B8B" w:rsidRPr="0028081E">
        <w:rPr>
          <w:iCs/>
        </w:rPr>
        <w:t>with</w:t>
      </w:r>
      <w:r w:rsidR="005766CE" w:rsidRPr="0028081E">
        <w:rPr>
          <w:iCs/>
        </w:rPr>
        <w:t xml:space="preserve"> poor adherence</w:t>
      </w:r>
      <w:r w:rsidR="008814EF" w:rsidRPr="0028081E">
        <w:rPr>
          <w:iCs/>
        </w:rPr>
        <w:t>,</w:t>
      </w:r>
      <w:r w:rsidR="006C1B8B" w:rsidRPr="0028081E">
        <w:rPr>
          <w:iCs/>
        </w:rPr>
        <w:t xml:space="preserve"> due to less frequent injections compared with exenatide BID</w:t>
      </w:r>
      <w:r w:rsidR="00053D8C" w:rsidRPr="0028081E">
        <w:t>.</w:t>
      </w:r>
    </w:p>
    <w:p w:rsidR="000E2A77" w:rsidRPr="0028081E" w:rsidRDefault="006F1391" w:rsidP="00ED5A37">
      <w:pPr>
        <w:pStyle w:val="3Bodytext"/>
        <w:jc w:val="both"/>
      </w:pPr>
      <w:r w:rsidRPr="0028081E">
        <w:t xml:space="preserve">The PBAC noted that the resubmission requested the </w:t>
      </w:r>
      <w:r w:rsidR="007D7C84" w:rsidRPr="0028081E">
        <w:t>same price advantage per week</w:t>
      </w:r>
      <w:r w:rsidR="006D227A" w:rsidRPr="0028081E">
        <w:t xml:space="preserve"> </w:t>
      </w:r>
      <w:r w:rsidR="007D7C84" w:rsidRPr="0028081E">
        <w:t>over exenatide BID as the previous submission</w:t>
      </w:r>
      <w:r w:rsidR="006D227A" w:rsidRPr="0028081E">
        <w:t xml:space="preserve"> ($</w:t>
      </w:r>
      <w:r w:rsidR="002602B2">
        <w:rPr>
          <w:noProof/>
          <w:color w:val="000000"/>
          <w:highlight w:val="black"/>
        </w:rPr>
        <w:t>''''''''</w:t>
      </w:r>
      <w:r w:rsidR="006D227A" w:rsidRPr="0028081E">
        <w:t>)</w:t>
      </w:r>
      <w:r w:rsidR="00DD27AF" w:rsidRPr="0028081E">
        <w:t xml:space="preserve"> despite its previous advice </w:t>
      </w:r>
      <w:r w:rsidR="00A31A3D" w:rsidRPr="0028081E">
        <w:t xml:space="preserve">that </w:t>
      </w:r>
      <w:r w:rsidR="00A31A3D" w:rsidRPr="0028081E">
        <w:rPr>
          <w:rFonts w:cstheme="minorHAnsi"/>
          <w:szCs w:val="24"/>
        </w:rPr>
        <w:t>any price advantage applied should only account for the proportion of patients with high clinical needs who are likely to benefit from the simplified dosing regimen of dulaglutide QW</w:t>
      </w:r>
      <w:r w:rsidR="00E617D8" w:rsidRPr="0028081E">
        <w:rPr>
          <w:rFonts w:cstheme="minorHAnsi"/>
          <w:szCs w:val="24"/>
        </w:rPr>
        <w:t>. The PBAC noted that the resubmission</w:t>
      </w:r>
      <w:r w:rsidR="006D227A" w:rsidRPr="0028081E">
        <w:rPr>
          <w:rFonts w:cstheme="minorHAnsi"/>
          <w:szCs w:val="24"/>
        </w:rPr>
        <w:t xml:space="preserve"> </w:t>
      </w:r>
      <w:r w:rsidR="00A75B3D" w:rsidRPr="0028081E">
        <w:rPr>
          <w:rFonts w:cstheme="minorHAnsi"/>
          <w:szCs w:val="24"/>
        </w:rPr>
        <w:t xml:space="preserve">indicated that </w:t>
      </w:r>
      <w:r w:rsidR="008D23BA" w:rsidRPr="0028081E">
        <w:rPr>
          <w:rFonts w:cstheme="minorHAnsi"/>
          <w:szCs w:val="24"/>
        </w:rPr>
        <w:t xml:space="preserve">most </w:t>
      </w:r>
      <w:r w:rsidR="00A75B3D" w:rsidRPr="0028081E">
        <w:rPr>
          <w:rFonts w:cstheme="minorHAnsi"/>
          <w:szCs w:val="24"/>
        </w:rPr>
        <w:t xml:space="preserve">T2DM patients who would be treated with dulaglutide in combination with insulin </w:t>
      </w:r>
      <w:r w:rsidR="008D23BA" w:rsidRPr="0028081E">
        <w:t>coul</w:t>
      </w:r>
      <w:r w:rsidR="00A75B3D" w:rsidRPr="0028081E">
        <w:t xml:space="preserve">d be classified as </w:t>
      </w:r>
      <w:r w:rsidR="008D23BA" w:rsidRPr="0028081E">
        <w:t>having high clinical need</w:t>
      </w:r>
      <w:r w:rsidR="00A75B3D" w:rsidRPr="0028081E">
        <w:t>s on the basis that these patients are likely to have comorbidities and require specialist management due to high clinical complexity.</w:t>
      </w:r>
      <w:r w:rsidR="00FD0864" w:rsidRPr="0028081E">
        <w:t xml:space="preserve"> The PBAC considered </w:t>
      </w:r>
      <w:r w:rsidR="0069749F" w:rsidRPr="0028081E">
        <w:t xml:space="preserve">there was a distinction between patients with comorbidities and patients </w:t>
      </w:r>
      <w:r w:rsidR="001C5E87" w:rsidRPr="0028081E">
        <w:t>with high clinical needs who</w:t>
      </w:r>
      <w:r w:rsidR="0069749F" w:rsidRPr="0028081E">
        <w:t xml:space="preserve"> w</w:t>
      </w:r>
      <w:r w:rsidR="008D23BA" w:rsidRPr="0028081E">
        <w:t xml:space="preserve">ould derive benefit from likely improved adherence with dulaglutide QW. </w:t>
      </w:r>
    </w:p>
    <w:p w:rsidR="008D23BA" w:rsidRPr="0028081E" w:rsidRDefault="008D23BA" w:rsidP="00ED5A37">
      <w:pPr>
        <w:pStyle w:val="3Bodytext"/>
        <w:jc w:val="both"/>
      </w:pPr>
      <w:r w:rsidRPr="0028081E">
        <w:t>The PBAC noted that the pre-PBAC response</w:t>
      </w:r>
      <w:r w:rsidR="00860789" w:rsidRPr="0028081E">
        <w:t xml:space="preserve"> provided an al</w:t>
      </w:r>
      <w:r w:rsidR="001C5E87" w:rsidRPr="0028081E">
        <w:t xml:space="preserve">ternative </w:t>
      </w:r>
      <w:r w:rsidR="007E511C" w:rsidRPr="0028081E">
        <w:t>method for determining a</w:t>
      </w:r>
      <w:r w:rsidR="001C5E87" w:rsidRPr="0028081E">
        <w:t xml:space="preserve"> pr</w:t>
      </w:r>
      <w:r w:rsidR="00655502" w:rsidRPr="0028081E">
        <w:t>ice advantage for dulaglutid</w:t>
      </w:r>
      <w:r w:rsidR="00793E89" w:rsidRPr="0028081E">
        <w:t xml:space="preserve">e QW based on the estimated proportion of T2DM patients in aged care facilities receiving insulin </w:t>
      </w:r>
      <w:r w:rsidR="00FB2625" w:rsidRPr="0028081E">
        <w:t xml:space="preserve">combination </w:t>
      </w:r>
      <w:r w:rsidR="00793E89" w:rsidRPr="0028081E">
        <w:t>ther</w:t>
      </w:r>
      <w:r w:rsidR="00FB2625" w:rsidRPr="0028081E">
        <w:t xml:space="preserve">apy (see paragraph </w:t>
      </w:r>
      <w:r w:rsidR="00FA413B" w:rsidRPr="0028081E">
        <w:t xml:space="preserve">5.4). The PBAC noted </w:t>
      </w:r>
      <w:r w:rsidR="001A774D" w:rsidRPr="0028081E">
        <w:t>that the alternative price advantage of $</w:t>
      </w:r>
      <w:r w:rsidR="002602B2">
        <w:rPr>
          <w:noProof/>
          <w:color w:val="000000"/>
          <w:highlight w:val="black"/>
        </w:rPr>
        <w:t>''''''''</w:t>
      </w:r>
      <w:r w:rsidR="001A774D" w:rsidRPr="0028081E">
        <w:t xml:space="preserve"> was d</w:t>
      </w:r>
      <w:r w:rsidR="00BA72BC" w:rsidRPr="0028081E">
        <w:t>etermined</w:t>
      </w:r>
      <w:r w:rsidR="001A774D" w:rsidRPr="0028081E">
        <w:t xml:space="preserve"> by</w:t>
      </w:r>
      <w:r w:rsidR="006C4DDB" w:rsidRPr="0028081E">
        <w:t xml:space="preserve"> </w:t>
      </w:r>
      <w:r w:rsidR="00BA72BC" w:rsidRPr="0028081E">
        <w:t>applying</w:t>
      </w:r>
      <w:r w:rsidR="006C4DDB" w:rsidRPr="0028081E">
        <w:t xml:space="preserve"> the</w:t>
      </w:r>
      <w:r w:rsidR="00BA72BC" w:rsidRPr="0028081E">
        <w:t xml:space="preserve"> estimated</w:t>
      </w:r>
      <w:r w:rsidR="006C4DDB" w:rsidRPr="0028081E">
        <w:t xml:space="preserve"> proportion of aged care facility patients</w:t>
      </w:r>
      <w:r w:rsidR="001A774D" w:rsidRPr="0028081E">
        <w:t xml:space="preserve"> </w:t>
      </w:r>
      <w:r w:rsidR="006C4DDB" w:rsidRPr="0028081E">
        <w:t>treated with insulin combination therapy relative to the proportion of patients</w:t>
      </w:r>
      <w:r w:rsidR="001A774D" w:rsidRPr="0028081E">
        <w:t xml:space="preserve"> </w:t>
      </w:r>
      <w:r w:rsidR="006C4DDB" w:rsidRPr="0028081E">
        <w:t xml:space="preserve">treated </w:t>
      </w:r>
      <w:r w:rsidR="001A774D" w:rsidRPr="0028081E">
        <w:t xml:space="preserve">with oral therapies (62%) using data from Haines et al., 2016, </w:t>
      </w:r>
      <w:r w:rsidR="0058646F" w:rsidRPr="0028081E">
        <w:t>to the pricing advantage of exenatid</w:t>
      </w:r>
      <w:r w:rsidR="001A774D" w:rsidRPr="0028081E">
        <w:t>e QW over exenatide BID ($</w:t>
      </w:r>
      <w:r w:rsidR="002602B2">
        <w:rPr>
          <w:noProof/>
          <w:color w:val="000000"/>
          <w:highlight w:val="black"/>
        </w:rPr>
        <w:t>'''''''''</w:t>
      </w:r>
      <w:r w:rsidR="001A774D" w:rsidRPr="0028081E">
        <w:t>)</w:t>
      </w:r>
      <w:r w:rsidR="004540BF" w:rsidRPr="0028081E">
        <w:t xml:space="preserve">. The PBAC considered that Haines et al., 2016 was not a reliable basis to determine a reasonable price advantage for dulaglutide QW due to the issues noted in paragraph 5.4. </w:t>
      </w:r>
      <w:r w:rsidR="00BD26F3" w:rsidRPr="0028081E">
        <w:t>I</w:t>
      </w:r>
      <w:r w:rsidR="008F1ABD" w:rsidRPr="0028081E">
        <w:t xml:space="preserve">rrespective of these issues, the PBAC considered </w:t>
      </w:r>
      <w:r w:rsidR="00935062" w:rsidRPr="0028081E">
        <w:t>that dulaglutide QW was unlikely to confer</w:t>
      </w:r>
      <w:r w:rsidR="00A808A0" w:rsidRPr="0028081E">
        <w:t xml:space="preserve"> additional</w:t>
      </w:r>
      <w:r w:rsidR="00935062" w:rsidRPr="0028081E">
        <w:t xml:space="preserve"> bene</w:t>
      </w:r>
      <w:r w:rsidR="00A808A0" w:rsidRPr="0028081E">
        <w:t xml:space="preserve">fits from improved adherence to T2DM patients in aged care </w:t>
      </w:r>
      <w:r w:rsidR="001A24D8" w:rsidRPr="0028081E">
        <w:t>facilities,</w:t>
      </w:r>
      <w:r w:rsidR="00A808A0" w:rsidRPr="0028081E">
        <w:t xml:space="preserve"> as</w:t>
      </w:r>
      <w:r w:rsidR="00BD26F3" w:rsidRPr="0028081E">
        <w:t xml:space="preserve"> </w:t>
      </w:r>
      <w:r w:rsidR="001A24D8" w:rsidRPr="0028081E">
        <w:t xml:space="preserve">staff would usually administer </w:t>
      </w:r>
      <w:r w:rsidR="009819E7" w:rsidRPr="0028081E">
        <w:t>injectable therapy</w:t>
      </w:r>
      <w:r w:rsidR="001A24D8" w:rsidRPr="0028081E">
        <w:t>. While</w:t>
      </w:r>
      <w:r w:rsidR="009A7D8C" w:rsidRPr="0028081E">
        <w:t xml:space="preserve"> the PBAC considered that</w:t>
      </w:r>
      <w:r w:rsidR="007F154E" w:rsidRPr="0028081E">
        <w:t xml:space="preserve"> the</w:t>
      </w:r>
      <w:r w:rsidR="009A7D8C" w:rsidRPr="0028081E">
        <w:t xml:space="preserve"> patients who would benefit from likely improved adherence with dulaglutide QW </w:t>
      </w:r>
      <w:r w:rsidR="007F154E" w:rsidRPr="0028081E">
        <w:t xml:space="preserve">are a subpopulation of </w:t>
      </w:r>
      <w:r w:rsidR="00A7167C" w:rsidRPr="0028081E">
        <w:t xml:space="preserve">all </w:t>
      </w:r>
      <w:r w:rsidR="007F154E" w:rsidRPr="0028081E">
        <w:t xml:space="preserve">T2DM patients with comorbidities, the PBAC acknowledged it may be difficult to estimate the size of this subpopulation. </w:t>
      </w:r>
      <w:r w:rsidR="00A7167C" w:rsidRPr="0028081E">
        <w:t xml:space="preserve">As such, the PBAC advised it would be reasonable if the current price advantage that dulaglutide QW has over exenatide 10 mcg </w:t>
      </w:r>
      <w:r w:rsidR="00793BA6">
        <w:t xml:space="preserve">BID </w:t>
      </w:r>
      <w:r w:rsidR="00DA46AE" w:rsidRPr="0028081E">
        <w:t xml:space="preserve">was applied to this extended listing. </w:t>
      </w:r>
    </w:p>
    <w:p w:rsidR="00105B59" w:rsidRPr="0028081E" w:rsidRDefault="00105B59" w:rsidP="00A710A6">
      <w:pPr>
        <w:pStyle w:val="3Bodytext"/>
        <w:jc w:val="both"/>
        <w:rPr>
          <w:rFonts w:cstheme="minorHAnsi"/>
          <w:szCs w:val="24"/>
        </w:rPr>
      </w:pPr>
      <w:r w:rsidRPr="0028081E">
        <w:rPr>
          <w:rFonts w:cstheme="minorHAnsi"/>
          <w:szCs w:val="24"/>
        </w:rPr>
        <w:t xml:space="preserve">The PBAC </w:t>
      </w:r>
      <w:r w:rsidR="002F3BA0" w:rsidRPr="0028081E">
        <w:rPr>
          <w:rFonts w:cstheme="minorHAnsi"/>
          <w:szCs w:val="24"/>
        </w:rPr>
        <w:t xml:space="preserve">maintained </w:t>
      </w:r>
      <w:r w:rsidRPr="0028081E">
        <w:rPr>
          <w:rFonts w:cstheme="minorHAnsi"/>
          <w:szCs w:val="24"/>
        </w:rPr>
        <w:t xml:space="preserve">that exenatide BID </w:t>
      </w:r>
      <w:r w:rsidR="002F3BA0" w:rsidRPr="0028081E">
        <w:rPr>
          <w:rFonts w:cstheme="minorHAnsi"/>
          <w:szCs w:val="24"/>
        </w:rPr>
        <w:t>was</w:t>
      </w:r>
      <w:r w:rsidRPr="0028081E">
        <w:rPr>
          <w:rFonts w:cstheme="minorHAnsi"/>
          <w:szCs w:val="24"/>
        </w:rPr>
        <w:t xml:space="preserve"> the appropriate comparator</w:t>
      </w:r>
      <w:r w:rsidR="002F3BA0" w:rsidRPr="0028081E">
        <w:rPr>
          <w:rFonts w:cstheme="minorHAnsi"/>
          <w:szCs w:val="24"/>
        </w:rPr>
        <w:t>.</w:t>
      </w:r>
    </w:p>
    <w:p w:rsidR="00D51496" w:rsidRPr="0028081E" w:rsidRDefault="00D51496" w:rsidP="00A710A6">
      <w:pPr>
        <w:pStyle w:val="3Bodytext"/>
        <w:jc w:val="both"/>
      </w:pPr>
      <w:r w:rsidRPr="0028081E">
        <w:t xml:space="preserve">The PBAC </w:t>
      </w:r>
      <w:r w:rsidR="002F3BA0" w:rsidRPr="0028081E">
        <w:t xml:space="preserve">recalled it </w:t>
      </w:r>
      <w:r w:rsidRPr="0028081E">
        <w:t xml:space="preserve">previously </w:t>
      </w:r>
      <w:r w:rsidR="005A5432" w:rsidRPr="0028081E">
        <w:t xml:space="preserve">considered </w:t>
      </w:r>
      <w:r w:rsidRPr="0028081E">
        <w:t>that dulaglutide QW was non-inferior to exenatide BID in terms of comparative effectiveness and safety</w:t>
      </w:r>
      <w:r w:rsidR="005A5432" w:rsidRPr="0028081E">
        <w:t>,</w:t>
      </w:r>
      <w:r w:rsidR="005F5855" w:rsidRPr="0028081E">
        <w:t xml:space="preserve"> and </w:t>
      </w:r>
      <w:r w:rsidR="005F5855" w:rsidRPr="0028081E">
        <w:rPr>
          <w:bCs/>
        </w:rPr>
        <w:t xml:space="preserve">the equi-effective doses </w:t>
      </w:r>
      <w:r w:rsidR="00CF1270" w:rsidRPr="0028081E">
        <w:rPr>
          <w:bCs/>
        </w:rPr>
        <w:t xml:space="preserve">are </w:t>
      </w:r>
      <w:r w:rsidR="005F5855" w:rsidRPr="0028081E">
        <w:rPr>
          <w:bCs/>
        </w:rPr>
        <w:t>dulaglutide 1.5 mg QW and exenatide 10 mcg BID.</w:t>
      </w:r>
    </w:p>
    <w:p w:rsidR="00A710A6" w:rsidRPr="0028081E" w:rsidRDefault="00CF1270" w:rsidP="00A710A6">
      <w:pPr>
        <w:pStyle w:val="3Bodytext"/>
        <w:jc w:val="both"/>
      </w:pPr>
      <w:r w:rsidRPr="0028081E">
        <w:t xml:space="preserve">The PBAC </w:t>
      </w:r>
      <w:r w:rsidR="003447C6" w:rsidRPr="0028081E">
        <w:t xml:space="preserve">recalled it previously considered </w:t>
      </w:r>
      <w:r w:rsidRPr="0028081E">
        <w:t>that a</w:t>
      </w:r>
      <w:r w:rsidR="000D4F4A" w:rsidRPr="0028081E">
        <w:t xml:space="preserve"> cost-offset for reduced needle use</w:t>
      </w:r>
      <w:r w:rsidR="003447C6" w:rsidRPr="0028081E">
        <w:t xml:space="preserve"> in the cost-minimisation analysis, based on </w:t>
      </w:r>
      <w:r w:rsidR="000D4F4A" w:rsidRPr="0028081E">
        <w:t>50% of the needle costs for one week’s supply</w:t>
      </w:r>
      <w:r w:rsidR="00053D8C" w:rsidRPr="0028081E">
        <w:t>,</w:t>
      </w:r>
      <w:r w:rsidR="003447C6" w:rsidRPr="0028081E">
        <w:t xml:space="preserve"> </w:t>
      </w:r>
      <w:r w:rsidR="000D4F4A" w:rsidRPr="0028081E">
        <w:t xml:space="preserve">was reasonable. </w:t>
      </w:r>
    </w:p>
    <w:p w:rsidR="00CA13BC" w:rsidRPr="0028081E" w:rsidRDefault="00470489" w:rsidP="008E270B">
      <w:pPr>
        <w:pStyle w:val="3Bodytext"/>
        <w:jc w:val="both"/>
      </w:pPr>
      <w:r w:rsidRPr="0028081E">
        <w:t>The PBAC noted the resubmission presented</w:t>
      </w:r>
      <w:r w:rsidR="00CA13BC" w:rsidRPr="0028081E">
        <w:t xml:space="preserve"> revised financial estimates </w:t>
      </w:r>
      <w:r w:rsidRPr="0028081E">
        <w:t xml:space="preserve">to </w:t>
      </w:r>
      <w:r w:rsidR="00CA13BC" w:rsidRPr="0028081E">
        <w:t xml:space="preserve">address </w:t>
      </w:r>
      <w:r w:rsidR="006C3A23" w:rsidRPr="0028081E">
        <w:t>its previous concerns</w:t>
      </w:r>
      <w:r w:rsidR="00CA13BC" w:rsidRPr="0028081E">
        <w:t xml:space="preserve"> </w:t>
      </w:r>
      <w:r w:rsidR="006C3A23" w:rsidRPr="0028081E">
        <w:t>that utilisation of dulaglutide in combination with insulin was underestimated</w:t>
      </w:r>
      <w:r w:rsidR="00CA13BC" w:rsidRPr="0028081E">
        <w:t>.</w:t>
      </w:r>
      <w:r w:rsidR="004C1B2F" w:rsidRPr="0028081E">
        <w:t xml:space="preserve"> The PBAC noted that the revised estimated number of patients utilising dulaglutide in combination with insulin was </w:t>
      </w:r>
      <w:r w:rsidR="00B35901" w:rsidRPr="00B35901">
        <w:t>5,000 to &lt; 10,000</w:t>
      </w:r>
      <w:r w:rsidR="00B35901">
        <w:t xml:space="preserve"> patients</w:t>
      </w:r>
      <w:r w:rsidR="008E270B">
        <w:t xml:space="preserve"> </w:t>
      </w:r>
      <w:r w:rsidR="004C1B2F" w:rsidRPr="0028081E">
        <w:t xml:space="preserve">in Year 1 increasing to </w:t>
      </w:r>
      <w:r w:rsidR="00B35901">
        <w:t>10,000 to &lt; 20,000 patients</w:t>
      </w:r>
      <w:r w:rsidR="004C1B2F" w:rsidRPr="0028081E">
        <w:t xml:space="preserve"> in Year 6.</w:t>
      </w:r>
      <w:r w:rsidR="00CA13BC" w:rsidRPr="0028081E">
        <w:t xml:space="preserve"> </w:t>
      </w:r>
      <w:r w:rsidR="00CE48A7" w:rsidRPr="0028081E">
        <w:t>The PBAC noted</w:t>
      </w:r>
      <w:r w:rsidR="00396462" w:rsidRPr="0028081E">
        <w:t xml:space="preserve"> that </w:t>
      </w:r>
      <w:r w:rsidR="00A16E1F" w:rsidRPr="0028081E">
        <w:t xml:space="preserve">the </w:t>
      </w:r>
      <w:r w:rsidR="00041B24" w:rsidRPr="0028081E">
        <w:t xml:space="preserve">resubmission </w:t>
      </w:r>
      <w:r w:rsidR="00396462" w:rsidRPr="0028081E">
        <w:t>adopted a market share approach using</w:t>
      </w:r>
      <w:r w:rsidR="00041B24" w:rsidRPr="0028081E">
        <w:t xml:space="preserve"> </w:t>
      </w:r>
      <w:r w:rsidR="00CA13BC" w:rsidRPr="0028081E">
        <w:t xml:space="preserve">a 10% sample of PBS data </w:t>
      </w:r>
      <w:r w:rsidR="00396462" w:rsidRPr="0028081E">
        <w:t xml:space="preserve">and that the </w:t>
      </w:r>
      <w:r w:rsidR="00CA13BC" w:rsidRPr="0028081E">
        <w:t xml:space="preserve">revised </w:t>
      </w:r>
      <w:r w:rsidR="00396462" w:rsidRPr="0028081E">
        <w:t xml:space="preserve">estimates also </w:t>
      </w:r>
      <w:r w:rsidR="00CA13BC" w:rsidRPr="0028081E">
        <w:t>include</w:t>
      </w:r>
      <w:r w:rsidR="00396462" w:rsidRPr="0028081E">
        <w:t>d estimates of</w:t>
      </w:r>
      <w:r w:rsidR="00CA13BC" w:rsidRPr="0028081E">
        <w:t xml:space="preserve"> uptake from patients who would otherwise be treated with SGLT2 inhibitors, DPP-4 inhibitors</w:t>
      </w:r>
      <w:r w:rsidR="00144FFA" w:rsidRPr="0028081E">
        <w:t>,</w:t>
      </w:r>
      <w:r w:rsidR="00CA13BC" w:rsidRPr="0028081E">
        <w:t xml:space="preserve"> and exenatide </w:t>
      </w:r>
      <w:r w:rsidR="00144FFA" w:rsidRPr="0028081E">
        <w:t xml:space="preserve">2 mg </w:t>
      </w:r>
      <w:r w:rsidR="00CA13BC" w:rsidRPr="0028081E">
        <w:t>QW in addition to uptake from patients treated with exenatide 5 mcg and 10 mcg BID.</w:t>
      </w:r>
    </w:p>
    <w:p w:rsidR="000B451A" w:rsidRPr="0028081E" w:rsidRDefault="00144834" w:rsidP="00294A37">
      <w:pPr>
        <w:pStyle w:val="3Bodytext"/>
        <w:widowControl w:val="0"/>
        <w:ind w:right="113"/>
        <w:jc w:val="both"/>
        <w:rPr>
          <w:rFonts w:cstheme="minorHAnsi"/>
          <w:bCs/>
          <w:szCs w:val="24"/>
        </w:rPr>
      </w:pPr>
      <w:r w:rsidRPr="0028081E">
        <w:rPr>
          <w:rFonts w:cstheme="minorHAnsi"/>
          <w:bCs/>
          <w:szCs w:val="24"/>
        </w:rPr>
        <w:t xml:space="preserve">The PBAC affirmed that the </w:t>
      </w:r>
      <w:r w:rsidRPr="0028081E">
        <w:rPr>
          <w:rFonts w:eastAsia="Times New Roman" w:cstheme="minorHAnsi"/>
          <w:bCs/>
          <w:snapToGrid w:val="0"/>
          <w:szCs w:val="24"/>
        </w:rPr>
        <w:t>majority of patients receiving exenatide BID would switch to dulaglutide QW</w:t>
      </w:r>
      <w:r w:rsidR="00C51F94">
        <w:rPr>
          <w:rFonts w:eastAsia="Times New Roman" w:cstheme="minorHAnsi"/>
          <w:bCs/>
          <w:snapToGrid w:val="0"/>
          <w:szCs w:val="24"/>
        </w:rPr>
        <w:t xml:space="preserve"> if it</w:t>
      </w:r>
      <w:r w:rsidRPr="0028081E">
        <w:rPr>
          <w:rFonts w:eastAsia="Times New Roman" w:cstheme="minorHAnsi"/>
          <w:bCs/>
          <w:snapToGrid w:val="0"/>
          <w:szCs w:val="24"/>
        </w:rPr>
        <w:t xml:space="preserve"> becomes available on the PBS, due to </w:t>
      </w:r>
      <w:r w:rsidR="00350AB2" w:rsidRPr="0028081E">
        <w:rPr>
          <w:rFonts w:eastAsia="Times New Roman" w:cstheme="minorHAnsi"/>
          <w:bCs/>
          <w:snapToGrid w:val="0"/>
          <w:szCs w:val="24"/>
        </w:rPr>
        <w:t xml:space="preserve">less frequent injections </w:t>
      </w:r>
      <w:r w:rsidRPr="0028081E">
        <w:rPr>
          <w:rFonts w:cstheme="minorHAnsi"/>
          <w:szCs w:val="24"/>
        </w:rPr>
        <w:t>compared with exenatide BID</w:t>
      </w:r>
      <w:r w:rsidR="00350AB2" w:rsidRPr="0028081E">
        <w:rPr>
          <w:rFonts w:cstheme="minorHAnsi"/>
          <w:szCs w:val="24"/>
        </w:rPr>
        <w:t xml:space="preserve"> </w:t>
      </w:r>
      <w:r w:rsidR="00FB3640" w:rsidRPr="0028081E">
        <w:rPr>
          <w:rFonts w:cstheme="minorHAnsi"/>
          <w:szCs w:val="24"/>
        </w:rPr>
        <w:t>and noted</w:t>
      </w:r>
      <w:r w:rsidR="00350AB2" w:rsidRPr="0028081E">
        <w:rPr>
          <w:rFonts w:cstheme="minorHAnsi"/>
          <w:szCs w:val="24"/>
        </w:rPr>
        <w:t xml:space="preserve"> the uptake rates of dulaglutide QW for exenatide BID as an add-on to oral therapies (metformin and/or a sulfonylurea) were lower than the estimated uptake rates for use with insulin (see paragraph 5.11).</w:t>
      </w:r>
      <w:r w:rsidRPr="0028081E">
        <w:rPr>
          <w:rFonts w:eastAsia="Times New Roman" w:cstheme="minorHAnsi"/>
          <w:bCs/>
          <w:snapToGrid w:val="0"/>
          <w:szCs w:val="24"/>
        </w:rPr>
        <w:t xml:space="preserve"> </w:t>
      </w:r>
      <w:r w:rsidR="00B24465" w:rsidRPr="0028081E">
        <w:rPr>
          <w:rFonts w:eastAsia="Times New Roman" w:cstheme="minorHAnsi"/>
          <w:bCs/>
          <w:snapToGrid w:val="0"/>
          <w:szCs w:val="24"/>
        </w:rPr>
        <w:t xml:space="preserve">While </w:t>
      </w:r>
      <w:r w:rsidR="00B24465" w:rsidRPr="0028081E">
        <w:rPr>
          <w:rFonts w:cstheme="minorHAnsi"/>
          <w:szCs w:val="24"/>
        </w:rPr>
        <w:t>t</w:t>
      </w:r>
      <w:r w:rsidR="00890118" w:rsidRPr="0028081E">
        <w:rPr>
          <w:rFonts w:cstheme="minorHAnsi"/>
          <w:szCs w:val="24"/>
        </w:rPr>
        <w:t>he PBAC considered</w:t>
      </w:r>
      <w:r w:rsidR="00FB3640" w:rsidRPr="0028081E">
        <w:rPr>
          <w:rFonts w:cstheme="minorHAnsi"/>
          <w:szCs w:val="24"/>
        </w:rPr>
        <w:t xml:space="preserve"> there was some remaining uncertainty around the estimated utilisation</w:t>
      </w:r>
      <w:r w:rsidR="00477C02" w:rsidRPr="0028081E">
        <w:rPr>
          <w:rFonts w:cstheme="minorHAnsi"/>
          <w:szCs w:val="24"/>
        </w:rPr>
        <w:t xml:space="preserve"> given the changing GLP-1 RA market</w:t>
      </w:r>
      <w:r w:rsidR="004B15D4" w:rsidRPr="0028081E">
        <w:rPr>
          <w:rFonts w:cstheme="minorHAnsi"/>
          <w:szCs w:val="24"/>
        </w:rPr>
        <w:t xml:space="preserve"> (e.g. the listing of semaglutide), </w:t>
      </w:r>
      <w:r w:rsidR="00890118" w:rsidRPr="0028081E">
        <w:rPr>
          <w:rFonts w:cstheme="minorHAnsi"/>
          <w:szCs w:val="24"/>
        </w:rPr>
        <w:t>the</w:t>
      </w:r>
      <w:r w:rsidR="004B15D4" w:rsidRPr="0028081E">
        <w:rPr>
          <w:rFonts w:cstheme="minorHAnsi"/>
          <w:szCs w:val="24"/>
        </w:rPr>
        <w:t xml:space="preserve"> PBAC considered that overall, the</w:t>
      </w:r>
      <w:r w:rsidR="00890118" w:rsidRPr="0028081E">
        <w:rPr>
          <w:rFonts w:cstheme="minorHAnsi"/>
          <w:szCs w:val="24"/>
        </w:rPr>
        <w:t xml:space="preserve"> </w:t>
      </w:r>
      <w:r w:rsidR="00931F36" w:rsidRPr="0028081E">
        <w:rPr>
          <w:rFonts w:cstheme="minorHAnsi"/>
          <w:szCs w:val="24"/>
        </w:rPr>
        <w:t xml:space="preserve">revised </w:t>
      </w:r>
      <w:r w:rsidR="00B24465" w:rsidRPr="0028081E">
        <w:rPr>
          <w:rFonts w:cstheme="minorHAnsi"/>
          <w:szCs w:val="24"/>
        </w:rPr>
        <w:t xml:space="preserve">utilisation of dulaglutide QW </w:t>
      </w:r>
      <w:r w:rsidR="000B451A" w:rsidRPr="0028081E">
        <w:rPr>
          <w:rFonts w:cstheme="minorHAnsi"/>
          <w:szCs w:val="24"/>
        </w:rPr>
        <w:t xml:space="preserve">in combination </w:t>
      </w:r>
      <w:r w:rsidR="00B24465" w:rsidRPr="0028081E">
        <w:rPr>
          <w:rFonts w:cstheme="minorHAnsi"/>
          <w:szCs w:val="24"/>
        </w:rPr>
        <w:t xml:space="preserve">with insulin </w:t>
      </w:r>
      <w:r w:rsidR="000B451A" w:rsidRPr="0028081E">
        <w:rPr>
          <w:rFonts w:cstheme="minorHAnsi"/>
          <w:szCs w:val="24"/>
        </w:rPr>
        <w:t>was reasonable</w:t>
      </w:r>
      <w:r w:rsidR="004B15D4" w:rsidRPr="0028081E">
        <w:rPr>
          <w:rFonts w:cstheme="minorHAnsi"/>
          <w:szCs w:val="24"/>
        </w:rPr>
        <w:t>.</w:t>
      </w:r>
      <w:r w:rsidR="000B451A" w:rsidRPr="0028081E">
        <w:rPr>
          <w:rFonts w:cstheme="minorHAnsi"/>
          <w:szCs w:val="24"/>
        </w:rPr>
        <w:t xml:space="preserve"> </w:t>
      </w:r>
    </w:p>
    <w:p w:rsidR="00AD74E0" w:rsidRPr="0028081E" w:rsidRDefault="00AD74E0" w:rsidP="00294A37">
      <w:pPr>
        <w:pStyle w:val="3Bodytext"/>
        <w:widowControl w:val="0"/>
        <w:ind w:right="113"/>
        <w:jc w:val="both"/>
        <w:rPr>
          <w:rFonts w:cstheme="minorHAnsi"/>
          <w:bCs/>
          <w:szCs w:val="24"/>
        </w:rPr>
      </w:pPr>
      <w:r w:rsidRPr="0028081E">
        <w:rPr>
          <w:rFonts w:cstheme="minorHAnsi"/>
        </w:rPr>
        <w:t xml:space="preserve">The PBAC recommended that the restriction for the requested listing should be consistent with </w:t>
      </w:r>
      <w:r w:rsidRPr="0028081E">
        <w:t>the current listings of exenatide 5 mcg and 10 mcg BID for the same indication.</w:t>
      </w:r>
    </w:p>
    <w:p w:rsidR="0058132F" w:rsidRPr="0028081E" w:rsidRDefault="0058132F" w:rsidP="00294A37">
      <w:pPr>
        <w:pStyle w:val="3Bodytext"/>
        <w:widowControl w:val="0"/>
        <w:ind w:right="113"/>
        <w:jc w:val="both"/>
        <w:rPr>
          <w:rFonts w:cstheme="minorHAnsi"/>
          <w:bCs/>
          <w:szCs w:val="24"/>
        </w:rPr>
      </w:pPr>
      <w:r w:rsidRPr="0028081E">
        <w:rPr>
          <w:rFonts w:cstheme="minorHAnsi"/>
          <w:bCs/>
          <w:szCs w:val="24"/>
        </w:rPr>
        <w:t xml:space="preserve">The PBAC, noting that its recommendation was on a cost-minimisation basis, advised that as dulaglutide was not expected to provide a substantial and clinically relevant improvement in efficacy or a reduction in toxicity over exenatide </w:t>
      </w:r>
      <w:r w:rsidR="00CE48A7" w:rsidRPr="0028081E">
        <w:rPr>
          <w:rFonts w:cstheme="minorHAnsi"/>
          <w:bCs/>
          <w:szCs w:val="24"/>
        </w:rPr>
        <w:t xml:space="preserve">BID </w:t>
      </w:r>
      <w:r w:rsidRPr="0028081E">
        <w:rPr>
          <w:rFonts w:cstheme="minorHAnsi"/>
          <w:bCs/>
          <w:szCs w:val="24"/>
        </w:rPr>
        <w:t xml:space="preserve">and not expected to address a high and urgent unmet clinical need, the criteria prescribed by the </w:t>
      </w:r>
      <w:r w:rsidRPr="00A91045">
        <w:rPr>
          <w:rFonts w:cstheme="minorHAnsi"/>
          <w:bCs/>
          <w:i/>
          <w:szCs w:val="24"/>
        </w:rPr>
        <w:t>National Health (Pharmaceuticals and Vaccines – Cost Recovery) Regulations 2009</w:t>
      </w:r>
      <w:r w:rsidRPr="0028081E">
        <w:rPr>
          <w:rFonts w:cstheme="minorHAnsi"/>
          <w:bCs/>
          <w:szCs w:val="24"/>
        </w:rPr>
        <w:t xml:space="preserve"> for Pricing Pathway A were not met.</w:t>
      </w:r>
    </w:p>
    <w:p w:rsidR="009E556A" w:rsidRPr="0028081E" w:rsidRDefault="009E556A" w:rsidP="00294A37">
      <w:pPr>
        <w:pStyle w:val="3Bodytext"/>
        <w:jc w:val="both"/>
        <w:rPr>
          <w:snapToGrid w:val="0"/>
        </w:rPr>
      </w:pPr>
      <w:r w:rsidRPr="0028081E">
        <w:rPr>
          <w:snapToGrid w:val="0"/>
        </w:rPr>
        <w:t xml:space="preserve">The PBAC noted that this submission is not eligible for an Independent Review as it received a positive recommendation. </w:t>
      </w:r>
    </w:p>
    <w:p w:rsidR="001862AE" w:rsidRPr="0028081E" w:rsidRDefault="001862AE" w:rsidP="00294A37">
      <w:pPr>
        <w:spacing w:after="120"/>
        <w:rPr>
          <w:rFonts w:asciiTheme="minorHAnsi" w:hAnsiTheme="minorHAnsi"/>
          <w:b/>
          <w:bCs/>
          <w:snapToGrid w:val="0"/>
        </w:rPr>
      </w:pPr>
      <w:r w:rsidRPr="0028081E">
        <w:rPr>
          <w:rFonts w:asciiTheme="minorHAnsi" w:hAnsiTheme="minorHAnsi"/>
          <w:b/>
          <w:bCs/>
          <w:snapToGrid w:val="0"/>
        </w:rPr>
        <w:t>Outcome:</w:t>
      </w:r>
    </w:p>
    <w:p w:rsidR="001862AE" w:rsidRPr="0028081E" w:rsidRDefault="001862AE" w:rsidP="00294A37">
      <w:pPr>
        <w:spacing w:after="120"/>
        <w:rPr>
          <w:rFonts w:asciiTheme="minorHAnsi" w:hAnsiTheme="minorHAnsi"/>
          <w:bCs/>
          <w:snapToGrid w:val="0"/>
        </w:rPr>
      </w:pPr>
      <w:r w:rsidRPr="0028081E">
        <w:rPr>
          <w:rFonts w:asciiTheme="minorHAnsi" w:hAnsiTheme="minorHAnsi"/>
          <w:bCs/>
          <w:snapToGrid w:val="0"/>
        </w:rPr>
        <w:t xml:space="preserve">Recommended </w:t>
      </w:r>
    </w:p>
    <w:p w:rsidR="001862AE" w:rsidRPr="0028081E" w:rsidRDefault="001862AE" w:rsidP="002105B0">
      <w:pPr>
        <w:pStyle w:val="2-SectionHeading"/>
        <w:keepLines/>
        <w:numPr>
          <w:ilvl w:val="0"/>
          <w:numId w:val="1"/>
        </w:numPr>
        <w:spacing w:before="0"/>
      </w:pPr>
      <w:r w:rsidRPr="0028081E">
        <w:t>Recommended listing</w:t>
      </w:r>
    </w:p>
    <w:p w:rsidR="00801B2B" w:rsidRPr="0028081E" w:rsidRDefault="00801B2B" w:rsidP="00294A37">
      <w:pPr>
        <w:pStyle w:val="3Bodytext"/>
      </w:pPr>
      <w:r w:rsidRPr="0028081E">
        <w:t>Add new restriction to dulaglutide (11364D) as follows:</w:t>
      </w:r>
    </w:p>
    <w:tbl>
      <w:tblPr>
        <w:tblW w:w="5000" w:type="pct"/>
        <w:tblCellMar>
          <w:left w:w="28" w:type="dxa"/>
          <w:right w:w="28" w:type="dxa"/>
        </w:tblCellMar>
        <w:tblLook w:val="0000" w:firstRow="0" w:lastRow="0" w:firstColumn="0" w:lastColumn="0" w:noHBand="0" w:noVBand="0"/>
      </w:tblPr>
      <w:tblGrid>
        <w:gridCol w:w="2293"/>
        <w:gridCol w:w="2244"/>
        <w:gridCol w:w="850"/>
        <w:gridCol w:w="850"/>
        <w:gridCol w:w="2789"/>
      </w:tblGrid>
      <w:tr w:rsidR="00801B2B" w:rsidRPr="0028081E" w:rsidTr="00801B2B">
        <w:trPr>
          <w:trHeight w:val="463"/>
        </w:trPr>
        <w:tc>
          <w:tcPr>
            <w:tcW w:w="2513" w:type="pct"/>
            <w:gridSpan w:val="2"/>
            <w:tcBorders>
              <w:top w:val="single" w:sz="4" w:space="0" w:color="auto"/>
              <w:bottom w:val="single" w:sz="4" w:space="0" w:color="auto"/>
            </w:tcBorders>
          </w:tcPr>
          <w:p w:rsidR="00801B2B" w:rsidRPr="0028081E" w:rsidRDefault="00801B2B" w:rsidP="00294A37">
            <w:pPr>
              <w:spacing w:after="120"/>
              <w:jc w:val="left"/>
              <w:rPr>
                <w:rFonts w:ascii="Arial Narrow" w:hAnsi="Arial Narrow"/>
                <w:b/>
                <w:sz w:val="20"/>
                <w:szCs w:val="20"/>
              </w:rPr>
            </w:pPr>
            <w:r w:rsidRPr="0028081E">
              <w:rPr>
                <w:rFonts w:ascii="Arial Narrow" w:hAnsi="Arial Narrow"/>
                <w:b/>
                <w:sz w:val="20"/>
                <w:szCs w:val="20"/>
              </w:rPr>
              <w:t>Name, Restriction,</w:t>
            </w:r>
          </w:p>
          <w:p w:rsidR="00801B2B" w:rsidRPr="0028081E" w:rsidRDefault="00801B2B" w:rsidP="00294A37">
            <w:pPr>
              <w:spacing w:after="120"/>
              <w:jc w:val="left"/>
              <w:rPr>
                <w:rFonts w:ascii="Arial Narrow" w:hAnsi="Arial Narrow"/>
                <w:b/>
                <w:sz w:val="20"/>
                <w:szCs w:val="20"/>
              </w:rPr>
            </w:pPr>
            <w:r w:rsidRPr="0028081E">
              <w:rPr>
                <w:rFonts w:ascii="Arial Narrow" w:hAnsi="Arial Narrow"/>
                <w:b/>
                <w:sz w:val="20"/>
                <w:szCs w:val="20"/>
              </w:rPr>
              <w:t>Manner of administration and form</w:t>
            </w:r>
          </w:p>
        </w:tc>
        <w:tc>
          <w:tcPr>
            <w:tcW w:w="471" w:type="pct"/>
            <w:tcBorders>
              <w:top w:val="single" w:sz="4" w:space="0" w:color="auto"/>
              <w:bottom w:val="single" w:sz="4" w:space="0" w:color="auto"/>
            </w:tcBorders>
          </w:tcPr>
          <w:p w:rsidR="00801B2B" w:rsidRPr="0028081E" w:rsidRDefault="00801B2B" w:rsidP="00294A37">
            <w:pPr>
              <w:spacing w:after="120"/>
              <w:jc w:val="center"/>
              <w:rPr>
                <w:rFonts w:ascii="Arial Narrow" w:hAnsi="Arial Narrow"/>
                <w:b/>
                <w:sz w:val="20"/>
                <w:szCs w:val="20"/>
              </w:rPr>
            </w:pPr>
            <w:r w:rsidRPr="0028081E">
              <w:rPr>
                <w:rFonts w:ascii="Arial Narrow" w:hAnsi="Arial Narrow"/>
                <w:b/>
                <w:sz w:val="20"/>
                <w:szCs w:val="20"/>
              </w:rPr>
              <w:t>Max.</w:t>
            </w:r>
          </w:p>
          <w:p w:rsidR="00801B2B" w:rsidRPr="0028081E" w:rsidRDefault="00801B2B" w:rsidP="00294A37">
            <w:pPr>
              <w:spacing w:after="120"/>
              <w:jc w:val="center"/>
              <w:rPr>
                <w:rFonts w:ascii="Arial Narrow" w:hAnsi="Arial Narrow"/>
                <w:b/>
                <w:sz w:val="20"/>
                <w:szCs w:val="20"/>
              </w:rPr>
            </w:pPr>
            <w:r w:rsidRPr="0028081E">
              <w:rPr>
                <w:rFonts w:ascii="Arial Narrow" w:hAnsi="Arial Narrow"/>
                <w:b/>
                <w:sz w:val="20"/>
                <w:szCs w:val="20"/>
              </w:rPr>
              <w:t xml:space="preserve">Qty </w:t>
            </w:r>
          </w:p>
        </w:tc>
        <w:tc>
          <w:tcPr>
            <w:tcW w:w="471" w:type="pct"/>
            <w:tcBorders>
              <w:top w:val="single" w:sz="4" w:space="0" w:color="auto"/>
              <w:bottom w:val="single" w:sz="4" w:space="0" w:color="auto"/>
            </w:tcBorders>
          </w:tcPr>
          <w:p w:rsidR="00801B2B" w:rsidRPr="0028081E" w:rsidRDefault="00801B2B" w:rsidP="00294A37">
            <w:pPr>
              <w:spacing w:after="120"/>
              <w:jc w:val="center"/>
              <w:rPr>
                <w:rFonts w:ascii="Arial Narrow" w:hAnsi="Arial Narrow"/>
                <w:b/>
                <w:sz w:val="20"/>
                <w:szCs w:val="20"/>
              </w:rPr>
            </w:pPr>
            <w:r w:rsidRPr="0028081E">
              <w:rPr>
                <w:rFonts w:ascii="Arial Narrow" w:hAnsi="Arial Narrow"/>
                <w:b/>
                <w:sz w:val="20"/>
                <w:szCs w:val="20"/>
              </w:rPr>
              <w:t>№.of</w:t>
            </w:r>
          </w:p>
          <w:p w:rsidR="00801B2B" w:rsidRPr="0028081E" w:rsidRDefault="00801B2B" w:rsidP="00294A37">
            <w:pPr>
              <w:spacing w:after="120"/>
              <w:jc w:val="center"/>
              <w:rPr>
                <w:rFonts w:ascii="Arial Narrow" w:hAnsi="Arial Narrow"/>
                <w:b/>
                <w:sz w:val="20"/>
                <w:szCs w:val="20"/>
              </w:rPr>
            </w:pPr>
            <w:r w:rsidRPr="0028081E">
              <w:rPr>
                <w:rFonts w:ascii="Arial Narrow" w:hAnsi="Arial Narrow"/>
                <w:b/>
                <w:sz w:val="20"/>
                <w:szCs w:val="20"/>
              </w:rPr>
              <w:t>Rpts</w:t>
            </w:r>
          </w:p>
        </w:tc>
        <w:tc>
          <w:tcPr>
            <w:tcW w:w="1545" w:type="pct"/>
            <w:tcBorders>
              <w:top w:val="single" w:sz="4" w:space="0" w:color="auto"/>
              <w:bottom w:val="single" w:sz="4" w:space="0" w:color="auto"/>
            </w:tcBorders>
          </w:tcPr>
          <w:p w:rsidR="00801B2B" w:rsidRPr="0028081E" w:rsidRDefault="00801B2B" w:rsidP="00294A37">
            <w:pPr>
              <w:spacing w:after="120"/>
              <w:jc w:val="center"/>
              <w:rPr>
                <w:rFonts w:ascii="Arial Narrow" w:hAnsi="Arial Narrow"/>
                <w:b/>
                <w:sz w:val="20"/>
                <w:szCs w:val="20"/>
              </w:rPr>
            </w:pPr>
            <w:r w:rsidRPr="0028081E">
              <w:rPr>
                <w:rFonts w:ascii="Arial Narrow" w:hAnsi="Arial Narrow"/>
                <w:b/>
                <w:sz w:val="20"/>
                <w:szCs w:val="20"/>
              </w:rPr>
              <w:t>Proprietary Name and Manufacturer</w:t>
            </w:r>
          </w:p>
        </w:tc>
      </w:tr>
      <w:tr w:rsidR="00801B2B" w:rsidRPr="0028081E" w:rsidTr="00801B2B">
        <w:trPr>
          <w:trHeight w:val="567"/>
        </w:trPr>
        <w:tc>
          <w:tcPr>
            <w:tcW w:w="2513" w:type="pct"/>
            <w:gridSpan w:val="2"/>
          </w:tcPr>
          <w:p w:rsidR="00801B2B" w:rsidRPr="0028081E" w:rsidRDefault="00801B2B" w:rsidP="00294A37">
            <w:pPr>
              <w:spacing w:after="120"/>
              <w:jc w:val="left"/>
              <w:rPr>
                <w:rFonts w:ascii="Arial Narrow" w:hAnsi="Arial Narrow"/>
                <w:sz w:val="20"/>
                <w:szCs w:val="20"/>
              </w:rPr>
            </w:pPr>
            <w:r w:rsidRPr="0028081E">
              <w:rPr>
                <w:rFonts w:ascii="Arial Narrow" w:hAnsi="Arial Narrow"/>
                <w:sz w:val="20"/>
                <w:szCs w:val="20"/>
              </w:rPr>
              <w:t xml:space="preserve">Dulaglutide 1.5 mg per 0.5 mL solution for injection, </w:t>
            </w:r>
          </w:p>
          <w:p w:rsidR="00801B2B" w:rsidRPr="0028081E" w:rsidRDefault="00801B2B" w:rsidP="00294A37">
            <w:pPr>
              <w:spacing w:after="120"/>
              <w:jc w:val="left"/>
              <w:rPr>
                <w:rFonts w:ascii="Arial Narrow" w:hAnsi="Arial Narrow"/>
                <w:sz w:val="20"/>
                <w:szCs w:val="20"/>
              </w:rPr>
            </w:pPr>
            <w:r w:rsidRPr="0028081E">
              <w:rPr>
                <w:rFonts w:ascii="Arial Narrow" w:hAnsi="Arial Narrow"/>
                <w:sz w:val="20"/>
                <w:szCs w:val="20"/>
              </w:rPr>
              <w:t>4 x 1.5 mg single use pen (auto-injector)</w:t>
            </w:r>
          </w:p>
        </w:tc>
        <w:tc>
          <w:tcPr>
            <w:tcW w:w="471" w:type="pct"/>
          </w:tcPr>
          <w:p w:rsidR="00801B2B" w:rsidRPr="0028081E" w:rsidRDefault="00801B2B" w:rsidP="00294A37">
            <w:pPr>
              <w:spacing w:after="120"/>
              <w:jc w:val="center"/>
              <w:rPr>
                <w:rFonts w:ascii="Arial Narrow" w:hAnsi="Arial Narrow"/>
                <w:sz w:val="20"/>
                <w:szCs w:val="20"/>
              </w:rPr>
            </w:pPr>
            <w:r w:rsidRPr="0028081E">
              <w:rPr>
                <w:rFonts w:ascii="Arial Narrow" w:hAnsi="Arial Narrow"/>
                <w:sz w:val="20"/>
                <w:szCs w:val="20"/>
              </w:rPr>
              <w:t>1</w:t>
            </w:r>
          </w:p>
        </w:tc>
        <w:tc>
          <w:tcPr>
            <w:tcW w:w="471" w:type="pct"/>
          </w:tcPr>
          <w:p w:rsidR="00801B2B" w:rsidRPr="0028081E" w:rsidRDefault="00801B2B" w:rsidP="00294A37">
            <w:pPr>
              <w:spacing w:after="120"/>
              <w:jc w:val="center"/>
              <w:rPr>
                <w:rFonts w:ascii="Arial Narrow" w:hAnsi="Arial Narrow"/>
                <w:sz w:val="20"/>
                <w:szCs w:val="20"/>
              </w:rPr>
            </w:pPr>
            <w:r w:rsidRPr="0028081E">
              <w:rPr>
                <w:rFonts w:ascii="Arial Narrow" w:hAnsi="Arial Narrow"/>
                <w:sz w:val="20"/>
                <w:szCs w:val="20"/>
              </w:rPr>
              <w:t>5</w:t>
            </w:r>
          </w:p>
        </w:tc>
        <w:tc>
          <w:tcPr>
            <w:tcW w:w="1545" w:type="pct"/>
          </w:tcPr>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Trulicity</w:t>
            </w:r>
            <w:r w:rsidRPr="0028081E">
              <w:rPr>
                <w:rFonts w:ascii="Arial Narrow" w:hAnsi="Arial Narrow"/>
                <w:sz w:val="20"/>
                <w:szCs w:val="20"/>
                <w:vertAlign w:val="superscript"/>
              </w:rPr>
              <w:t>®</w:t>
            </w:r>
            <w:r w:rsidRPr="0028081E">
              <w:rPr>
                <w:rFonts w:ascii="Arial Narrow" w:hAnsi="Arial Narrow"/>
                <w:sz w:val="20"/>
                <w:szCs w:val="20"/>
              </w:rPr>
              <w:t xml:space="preserve">, </w:t>
            </w:r>
          </w:p>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Eli Lilly Australia</w:t>
            </w:r>
          </w:p>
        </w:tc>
      </w:tr>
      <w:tr w:rsidR="00801B2B" w:rsidRPr="0028081E" w:rsidTr="000D4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hideMark/>
          </w:tcPr>
          <w:p w:rsidR="00801B2B" w:rsidRPr="0028081E" w:rsidRDefault="00801B2B" w:rsidP="00294A37">
            <w:pPr>
              <w:spacing w:after="120"/>
              <w:rPr>
                <w:rFonts w:ascii="Arial Narrow" w:hAnsi="Arial Narrow"/>
                <w:b/>
                <w:sz w:val="20"/>
                <w:szCs w:val="20"/>
              </w:rPr>
            </w:pPr>
            <w:r w:rsidRPr="0028081E">
              <w:rPr>
                <w:rFonts w:ascii="Arial Narrow" w:hAnsi="Arial Narrow"/>
                <w:b/>
                <w:sz w:val="20"/>
                <w:szCs w:val="20"/>
              </w:rPr>
              <w:t>Category/Program:</w:t>
            </w:r>
          </w:p>
        </w:tc>
        <w:tc>
          <w:tcPr>
            <w:tcW w:w="3730" w:type="pct"/>
            <w:gridSpan w:val="4"/>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Authority Required (STREAMLINED)</w:t>
            </w:r>
          </w:p>
        </w:tc>
      </w:tr>
      <w:tr w:rsidR="00801B2B" w:rsidRPr="0028081E" w:rsidTr="000D4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hideMark/>
          </w:tcPr>
          <w:p w:rsidR="00801B2B" w:rsidRPr="0028081E" w:rsidRDefault="00801B2B" w:rsidP="00294A37">
            <w:pPr>
              <w:spacing w:after="120"/>
              <w:rPr>
                <w:rFonts w:ascii="Arial Narrow" w:hAnsi="Arial Narrow"/>
                <w:b/>
                <w:sz w:val="20"/>
                <w:szCs w:val="20"/>
              </w:rPr>
            </w:pPr>
            <w:r w:rsidRPr="0028081E">
              <w:rPr>
                <w:rFonts w:ascii="Arial Narrow" w:hAnsi="Arial Narrow"/>
                <w:b/>
                <w:sz w:val="20"/>
                <w:szCs w:val="20"/>
              </w:rPr>
              <w:t>PBS indication:</w:t>
            </w:r>
          </w:p>
        </w:tc>
        <w:tc>
          <w:tcPr>
            <w:tcW w:w="3730" w:type="pct"/>
            <w:gridSpan w:val="4"/>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Diabetes mellitus type 2</w:t>
            </w:r>
          </w:p>
        </w:tc>
      </w:tr>
      <w:tr w:rsidR="00801B2B" w:rsidRPr="0028081E" w:rsidTr="000D4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rPr>
                <w:rFonts w:ascii="Arial Narrow" w:hAnsi="Arial Narrow"/>
                <w:b/>
                <w:sz w:val="20"/>
                <w:szCs w:val="20"/>
              </w:rPr>
            </w:pPr>
            <w:r w:rsidRPr="0028081E">
              <w:rPr>
                <w:rFonts w:ascii="Arial Narrow" w:hAnsi="Arial Narrow"/>
                <w:b/>
                <w:sz w:val="20"/>
                <w:szCs w:val="20"/>
              </w:rPr>
              <w:t>Clinical criteria:</w:t>
            </w:r>
          </w:p>
        </w:tc>
        <w:tc>
          <w:tcPr>
            <w:tcW w:w="3730" w:type="pct"/>
            <w:gridSpan w:val="4"/>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contextualSpacing/>
              <w:jc w:val="left"/>
              <w:rPr>
                <w:rFonts w:ascii="Arial Narrow" w:hAnsi="Arial Narrow"/>
                <w:sz w:val="20"/>
                <w:szCs w:val="20"/>
              </w:rPr>
            </w:pPr>
            <w:r w:rsidRPr="0028081E">
              <w:rPr>
                <w:rFonts w:ascii="Arial Narrow" w:hAnsi="Arial Narrow"/>
                <w:sz w:val="20"/>
                <w:szCs w:val="20"/>
              </w:rPr>
              <w:t>The treatment must be in combination with insulin,</w:t>
            </w:r>
          </w:p>
          <w:p w:rsidR="00801B2B" w:rsidRPr="0028081E" w:rsidRDefault="00801B2B" w:rsidP="00294A37">
            <w:pPr>
              <w:spacing w:after="120"/>
              <w:rPr>
                <w:rFonts w:ascii="Arial Narrow" w:hAnsi="Arial Narrow"/>
                <w:bCs/>
                <w:sz w:val="20"/>
                <w:szCs w:val="20"/>
              </w:rPr>
            </w:pPr>
            <w:r w:rsidRPr="0028081E">
              <w:rPr>
                <w:rFonts w:ascii="Arial Narrow" w:hAnsi="Arial Narrow"/>
                <w:bCs/>
                <w:sz w:val="20"/>
                <w:szCs w:val="20"/>
              </w:rPr>
              <w:t xml:space="preserve">AND </w:t>
            </w:r>
          </w:p>
          <w:p w:rsidR="00801B2B" w:rsidRPr="0028081E" w:rsidRDefault="00801B2B" w:rsidP="00294A37">
            <w:pPr>
              <w:spacing w:after="120"/>
              <w:contextualSpacing/>
              <w:rPr>
                <w:rFonts w:ascii="Arial Narrow" w:hAnsi="Arial Narrow"/>
                <w:sz w:val="20"/>
                <w:szCs w:val="20"/>
              </w:rPr>
            </w:pPr>
            <w:r w:rsidRPr="0028081E">
              <w:rPr>
                <w:rFonts w:ascii="Arial Narrow" w:hAnsi="Arial Narrow"/>
                <w:sz w:val="20"/>
                <w:szCs w:val="20"/>
              </w:rPr>
              <w:t xml:space="preserve">The treatment must be in combination with metformin unless contraindicated or not tolerated, </w:t>
            </w:r>
          </w:p>
          <w:p w:rsidR="00801B2B" w:rsidRPr="0028081E" w:rsidRDefault="00801B2B" w:rsidP="00294A37">
            <w:pPr>
              <w:spacing w:after="120"/>
              <w:rPr>
                <w:rFonts w:ascii="Arial Narrow" w:hAnsi="Arial Narrow"/>
                <w:bCs/>
                <w:sz w:val="20"/>
                <w:szCs w:val="20"/>
              </w:rPr>
            </w:pPr>
            <w:r w:rsidRPr="0028081E">
              <w:rPr>
                <w:rFonts w:ascii="Arial Narrow" w:hAnsi="Arial Narrow"/>
                <w:bCs/>
                <w:sz w:val="20"/>
                <w:szCs w:val="20"/>
              </w:rPr>
              <w:t xml:space="preserve">AND </w:t>
            </w:r>
          </w:p>
          <w:p w:rsidR="00801B2B" w:rsidRPr="0028081E" w:rsidRDefault="00801B2B" w:rsidP="00294A37">
            <w:pPr>
              <w:spacing w:after="120"/>
              <w:contextualSpacing/>
              <w:rPr>
                <w:rFonts w:ascii="Arial Narrow" w:hAnsi="Arial Narrow"/>
                <w:sz w:val="20"/>
                <w:szCs w:val="20"/>
              </w:rPr>
            </w:pPr>
            <w:r w:rsidRPr="0028081E">
              <w:rPr>
                <w:rFonts w:ascii="Arial Narrow" w:hAnsi="Arial Narrow"/>
                <w:sz w:val="20"/>
                <w:szCs w:val="20"/>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801B2B" w:rsidRPr="0028081E" w:rsidRDefault="00801B2B" w:rsidP="00294A37">
            <w:pPr>
              <w:spacing w:after="120"/>
              <w:rPr>
                <w:rFonts w:ascii="Arial Narrow" w:hAnsi="Arial Narrow"/>
                <w:sz w:val="20"/>
                <w:szCs w:val="20"/>
              </w:rPr>
            </w:pPr>
            <w:r w:rsidRPr="0028081E">
              <w:rPr>
                <w:rFonts w:ascii="Arial Narrow" w:hAnsi="Arial Narrow" w:cs="Arial"/>
                <w:sz w:val="20"/>
                <w:szCs w:val="20"/>
                <w:lang w:eastAsia="en-US"/>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tc>
      </w:tr>
      <w:tr w:rsidR="00801B2B" w:rsidRPr="0028081E" w:rsidTr="000D4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rPr>
                <w:rFonts w:ascii="Arial Narrow" w:hAnsi="Arial Narrow"/>
                <w:b/>
                <w:sz w:val="20"/>
                <w:szCs w:val="20"/>
              </w:rPr>
            </w:pPr>
            <w:r w:rsidRPr="0028081E">
              <w:rPr>
                <w:rFonts w:ascii="Arial Narrow" w:hAnsi="Arial Narrow"/>
                <w:b/>
                <w:sz w:val="20"/>
                <w:szCs w:val="20"/>
              </w:rPr>
              <w:t>Prescriber Instructions:</w:t>
            </w:r>
          </w:p>
        </w:tc>
        <w:tc>
          <w:tcPr>
            <w:tcW w:w="3730" w:type="pct"/>
            <w:gridSpan w:val="4"/>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 xml:space="preserve">The HbA1c must be no more than 4 months old at the time treatment with a gliptin, a glitazone, a glucagon-like peptide-1 or an SGLT2 inhibitor was initiated. </w:t>
            </w:r>
          </w:p>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 xml:space="preserve">Blood glucose monitoring may be used as an alternative assessment to HbA1c levels in the following circumstances: </w:t>
            </w:r>
          </w:p>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 xml:space="preserve">(a) A clinical condition with reduced red blood cell survival, including haemolytic anaemias and haemoglobinopathies; and/or </w:t>
            </w:r>
          </w:p>
          <w:p w:rsidR="00801B2B" w:rsidRPr="0028081E" w:rsidRDefault="00801B2B" w:rsidP="00294A37">
            <w:pPr>
              <w:spacing w:after="120"/>
              <w:rPr>
                <w:rFonts w:ascii="Arial Narrow" w:hAnsi="Arial Narrow"/>
                <w:sz w:val="20"/>
                <w:szCs w:val="20"/>
              </w:rPr>
            </w:pPr>
            <w:r w:rsidRPr="0028081E">
              <w:rPr>
                <w:rFonts w:ascii="Arial Narrow" w:hAnsi="Arial Narrow"/>
                <w:sz w:val="20"/>
                <w:szCs w:val="20"/>
              </w:rPr>
              <w:t>(b) Had red cell transfusion within the previous 3 months.</w:t>
            </w:r>
          </w:p>
          <w:p w:rsidR="00801B2B" w:rsidRPr="0028081E" w:rsidRDefault="00801B2B" w:rsidP="00294A37">
            <w:pPr>
              <w:spacing w:after="120"/>
              <w:contextualSpacing/>
              <w:rPr>
                <w:rFonts w:ascii="Arial Narrow" w:hAnsi="Arial Narrow"/>
                <w:sz w:val="20"/>
                <w:szCs w:val="20"/>
              </w:rPr>
            </w:pPr>
            <w:r w:rsidRPr="0028081E">
              <w:rPr>
                <w:rFonts w:ascii="Arial Narrow" w:hAnsi="Arial Narrow"/>
                <w:sz w:val="20"/>
                <w:szCs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801B2B" w:rsidRPr="0028081E" w:rsidTr="000D4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rPr>
                <w:rFonts w:ascii="Arial Narrow" w:hAnsi="Arial Narrow"/>
                <w:b/>
                <w:sz w:val="20"/>
                <w:szCs w:val="20"/>
              </w:rPr>
            </w:pPr>
            <w:r w:rsidRPr="0028081E">
              <w:rPr>
                <w:rFonts w:ascii="Arial Narrow" w:hAnsi="Arial Narrow"/>
                <w:b/>
                <w:sz w:val="20"/>
                <w:szCs w:val="20"/>
              </w:rPr>
              <w:t>Administrative Advice:</w:t>
            </w:r>
          </w:p>
        </w:tc>
        <w:tc>
          <w:tcPr>
            <w:tcW w:w="3730" w:type="pct"/>
            <w:gridSpan w:val="4"/>
            <w:tcBorders>
              <w:top w:val="single" w:sz="4" w:space="0" w:color="auto"/>
              <w:left w:val="single" w:sz="4" w:space="0" w:color="auto"/>
              <w:bottom w:val="single" w:sz="4" w:space="0" w:color="auto"/>
              <w:right w:val="single" w:sz="4" w:space="0" w:color="auto"/>
            </w:tcBorders>
          </w:tcPr>
          <w:p w:rsidR="00801B2B" w:rsidRPr="0028081E" w:rsidRDefault="00801B2B" w:rsidP="00294A37">
            <w:pPr>
              <w:spacing w:after="120"/>
              <w:jc w:val="left"/>
              <w:rPr>
                <w:rFonts w:ascii="Arial Narrow" w:hAnsi="Arial Narrow"/>
                <w:sz w:val="20"/>
                <w:szCs w:val="20"/>
              </w:rPr>
            </w:pPr>
            <w:r w:rsidRPr="0028081E">
              <w:rPr>
                <w:rFonts w:ascii="Arial Narrow" w:hAnsi="Arial Narrow"/>
                <w:sz w:val="20"/>
                <w:szCs w:val="20"/>
              </w:rPr>
              <w:t>This drug is not PBS-subsidised for use as monotherapy or in combination with a dipeptidyl peptidase 4 inhibitor (gliptin), a thiazolidinedione (glitazone), or an SGLT2 inhibitor.</w:t>
            </w:r>
          </w:p>
          <w:p w:rsidR="00801B2B" w:rsidRPr="0028081E" w:rsidRDefault="00801B2B" w:rsidP="00294A37">
            <w:pPr>
              <w:spacing w:after="120"/>
              <w:jc w:val="left"/>
              <w:rPr>
                <w:rFonts w:ascii="Arial Narrow" w:hAnsi="Arial Narrow"/>
                <w:iCs/>
                <w:sz w:val="20"/>
                <w:szCs w:val="20"/>
              </w:rPr>
            </w:pPr>
            <w:r w:rsidRPr="0028081E">
              <w:rPr>
                <w:rFonts w:ascii="Arial Narrow" w:hAnsi="Arial Narrow"/>
                <w:iCs/>
                <w:sz w:val="20"/>
                <w:szCs w:val="20"/>
              </w:rPr>
              <w:t>Special pricing arrangements apply</w:t>
            </w:r>
            <w:r w:rsidR="00153C69" w:rsidRPr="0028081E">
              <w:rPr>
                <w:rFonts w:ascii="Arial Narrow" w:hAnsi="Arial Narrow"/>
                <w:iCs/>
                <w:sz w:val="20"/>
                <w:szCs w:val="20"/>
              </w:rPr>
              <w:t>.</w:t>
            </w:r>
          </w:p>
        </w:tc>
      </w:tr>
    </w:tbl>
    <w:p w:rsidR="00875BFD" w:rsidRDefault="00875BFD" w:rsidP="00294A37">
      <w:pPr>
        <w:pStyle w:val="Bodytextitalics"/>
        <w:rPr>
          <w:rFonts w:eastAsiaTheme="majorEastAsia" w:cstheme="majorBidi"/>
          <w:b/>
          <w:iCs/>
          <w:lang w:eastAsia="en-US"/>
        </w:rPr>
      </w:pPr>
      <w:r w:rsidRPr="0028081E">
        <w:rPr>
          <w:rFonts w:eastAsiaTheme="majorEastAsia" w:cstheme="majorBidi"/>
          <w:b/>
          <w:iCs/>
          <w:lang w:eastAsia="en-US"/>
        </w:rPr>
        <w:t>This restriction may be subject to further review. Should there be any changes made to the restriction the Sponsor will be informed.</w:t>
      </w:r>
    </w:p>
    <w:p w:rsidR="006B02AC" w:rsidRPr="0028081E" w:rsidRDefault="006B02AC" w:rsidP="00294A37">
      <w:pPr>
        <w:pStyle w:val="Bodytextitalics"/>
        <w:rPr>
          <w:rFonts w:eastAsiaTheme="majorEastAsia" w:cstheme="majorBidi"/>
          <w:b/>
          <w:iCs/>
          <w:lang w:eastAsia="en-US"/>
        </w:rPr>
      </w:pPr>
    </w:p>
    <w:p w:rsidR="006E37A0" w:rsidRDefault="006E37A0" w:rsidP="006E37A0">
      <w:pPr>
        <w:pStyle w:val="2-SectionHeading"/>
        <w:keepLines/>
        <w:numPr>
          <w:ilvl w:val="0"/>
          <w:numId w:val="1"/>
        </w:numPr>
        <w:spacing w:before="0"/>
        <w:rPr>
          <w:bCs/>
          <w:lang w:val="en-GB"/>
        </w:rPr>
      </w:pPr>
      <w:r w:rsidRPr="00C07617">
        <w:t>Context for Decision</w:t>
      </w:r>
    </w:p>
    <w:p w:rsidR="006E37A0" w:rsidRDefault="006E37A0" w:rsidP="006B02AC">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B02AC" w:rsidRPr="007129F2" w:rsidRDefault="006B02AC" w:rsidP="006B02AC">
      <w:pPr>
        <w:spacing w:after="120"/>
        <w:rPr>
          <w:rFonts w:asciiTheme="minorHAnsi" w:hAnsiTheme="minorHAnsi" w:cs="Arial"/>
          <w:bCs/>
          <w:lang w:val="en-GB"/>
        </w:rPr>
      </w:pPr>
    </w:p>
    <w:p w:rsidR="006E37A0" w:rsidRPr="00C07617" w:rsidRDefault="006E37A0" w:rsidP="006E37A0">
      <w:pPr>
        <w:pStyle w:val="2-SectionHeading"/>
        <w:keepLines/>
        <w:numPr>
          <w:ilvl w:val="0"/>
          <w:numId w:val="1"/>
        </w:numPr>
        <w:spacing w:before="0"/>
        <w:rPr>
          <w:b w:val="0"/>
        </w:rPr>
      </w:pPr>
      <w:r>
        <w:t>Sponsor’s Comment</w:t>
      </w:r>
    </w:p>
    <w:p w:rsidR="006E37A0" w:rsidRPr="001179AC" w:rsidRDefault="006E37A0" w:rsidP="006B02AC">
      <w:pPr>
        <w:spacing w:after="120"/>
        <w:rPr>
          <w:rFonts w:asciiTheme="minorHAnsi" w:hAnsiTheme="minorHAnsi" w:cs="Arial"/>
          <w:bCs/>
        </w:rPr>
      </w:pPr>
      <w:r w:rsidRPr="00C07617">
        <w:rPr>
          <w:rFonts w:asciiTheme="minorHAnsi" w:hAnsiTheme="minorHAnsi" w:cs="Arial"/>
          <w:bCs/>
        </w:rPr>
        <w:t>The sponsor had no comment.</w:t>
      </w:r>
    </w:p>
    <w:p w:rsidR="001862AE" w:rsidRPr="0028081E" w:rsidRDefault="001862AE" w:rsidP="006E37A0">
      <w:pPr>
        <w:pStyle w:val="ListBullet"/>
        <w:numPr>
          <w:ilvl w:val="0"/>
          <w:numId w:val="0"/>
        </w:numPr>
        <w:spacing w:after="120"/>
      </w:pPr>
    </w:p>
    <w:p w:rsidR="00751968" w:rsidRPr="0028081E" w:rsidRDefault="00751968" w:rsidP="002105B0">
      <w:pPr>
        <w:pStyle w:val="3Bodytext"/>
        <w:numPr>
          <w:ilvl w:val="0"/>
          <w:numId w:val="0"/>
        </w:numPr>
      </w:pPr>
    </w:p>
    <w:sectPr w:rsidR="00751968" w:rsidRPr="0028081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2B2" w:rsidRDefault="002602B2">
      <w:r>
        <w:separator/>
      </w:r>
    </w:p>
    <w:p w:rsidR="002602B2" w:rsidRDefault="002602B2"/>
  </w:endnote>
  <w:endnote w:type="continuationSeparator" w:id="0">
    <w:p w:rsidR="002602B2" w:rsidRDefault="002602B2">
      <w:r>
        <w:continuationSeparator/>
      </w:r>
    </w:p>
    <w:p w:rsidR="002602B2" w:rsidRDefault="00260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5086E" w:rsidTr="005A3173">
      <w:trPr>
        <w:trHeight w:val="151"/>
      </w:trPr>
      <w:tc>
        <w:tcPr>
          <w:tcW w:w="2250" w:type="pct"/>
          <w:tcBorders>
            <w:top w:val="nil"/>
            <w:left w:val="nil"/>
            <w:bottom w:val="single" w:sz="4" w:space="0" w:color="4F81BD"/>
            <w:right w:val="nil"/>
          </w:tcBorders>
        </w:tcPr>
        <w:p w:rsidR="0015086E" w:rsidRPr="005A3173" w:rsidRDefault="0015086E" w:rsidP="005A3173">
          <w:pPr>
            <w:pStyle w:val="Header"/>
            <w:spacing w:line="276" w:lineRule="auto"/>
            <w:rPr>
              <w:rFonts w:eastAsia="MS Gothic"/>
              <w:b/>
              <w:bCs/>
              <w:color w:val="4F81BD"/>
            </w:rPr>
          </w:pPr>
        </w:p>
      </w:tc>
      <w:tc>
        <w:tcPr>
          <w:tcW w:w="500" w:type="pct"/>
          <w:vMerge w:val="restart"/>
          <w:noWrap/>
          <w:vAlign w:val="center"/>
          <w:hideMark/>
        </w:tcPr>
        <w:p w:rsidR="0015086E" w:rsidRPr="005A3173" w:rsidRDefault="001508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5086E" w:rsidRPr="005A3173" w:rsidRDefault="0015086E" w:rsidP="005A3173">
          <w:pPr>
            <w:pStyle w:val="Header"/>
            <w:spacing w:line="276" w:lineRule="auto"/>
            <w:rPr>
              <w:rFonts w:eastAsia="MS Gothic"/>
              <w:b/>
              <w:bCs/>
              <w:color w:val="4F81BD"/>
            </w:rPr>
          </w:pPr>
        </w:p>
      </w:tc>
    </w:tr>
    <w:tr w:rsidR="0015086E" w:rsidTr="005A3173">
      <w:trPr>
        <w:trHeight w:val="150"/>
      </w:trPr>
      <w:tc>
        <w:tcPr>
          <w:tcW w:w="2250" w:type="pct"/>
          <w:tcBorders>
            <w:top w:val="single" w:sz="4" w:space="0" w:color="4F81BD"/>
            <w:left w:val="nil"/>
            <w:bottom w:val="nil"/>
            <w:right w:val="nil"/>
          </w:tcBorders>
        </w:tcPr>
        <w:p w:rsidR="0015086E" w:rsidRPr="005A3173" w:rsidRDefault="0015086E" w:rsidP="005A3173">
          <w:pPr>
            <w:pStyle w:val="Header"/>
            <w:spacing w:line="276" w:lineRule="auto"/>
            <w:rPr>
              <w:rFonts w:eastAsia="MS Gothic"/>
              <w:b/>
              <w:bCs/>
              <w:color w:val="4F81BD"/>
            </w:rPr>
          </w:pPr>
        </w:p>
      </w:tc>
      <w:tc>
        <w:tcPr>
          <w:tcW w:w="0" w:type="auto"/>
          <w:vMerge/>
          <w:vAlign w:val="center"/>
          <w:hideMark/>
        </w:tcPr>
        <w:p w:rsidR="0015086E" w:rsidRPr="005A3173" w:rsidRDefault="0015086E" w:rsidP="005A3173">
          <w:pPr>
            <w:rPr>
              <w:color w:val="365F91"/>
              <w:sz w:val="22"/>
              <w:szCs w:val="22"/>
            </w:rPr>
          </w:pPr>
        </w:p>
      </w:tc>
      <w:tc>
        <w:tcPr>
          <w:tcW w:w="2250" w:type="pct"/>
          <w:tcBorders>
            <w:top w:val="single" w:sz="4" w:space="0" w:color="4F81BD"/>
            <w:left w:val="nil"/>
            <w:bottom w:val="nil"/>
            <w:right w:val="nil"/>
          </w:tcBorders>
        </w:tcPr>
        <w:p w:rsidR="0015086E" w:rsidRPr="005A3173" w:rsidRDefault="0015086E" w:rsidP="005A3173">
          <w:pPr>
            <w:pStyle w:val="Header"/>
            <w:spacing w:line="276" w:lineRule="auto"/>
            <w:rPr>
              <w:rFonts w:eastAsia="MS Gothic"/>
              <w:b/>
              <w:bCs/>
              <w:color w:val="4F81BD"/>
            </w:rPr>
          </w:pPr>
        </w:p>
      </w:tc>
    </w:tr>
  </w:tbl>
  <w:p w:rsidR="0015086E" w:rsidRDefault="0015086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086E" w:rsidRDefault="0015086E">
    <w:pPr>
      <w:pStyle w:val="Footer"/>
    </w:pPr>
  </w:p>
  <w:p w:rsidR="0015086E" w:rsidRDefault="001508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E" w:rsidRDefault="0015086E" w:rsidP="000231D3">
    <w:pPr>
      <w:pStyle w:val="Footer"/>
      <w:jc w:val="center"/>
      <w:rPr>
        <w:caps/>
        <w:color w:val="4F81BD" w:themeColor="accent1"/>
      </w:rPr>
    </w:pPr>
  </w:p>
  <w:p w:rsidR="0015086E" w:rsidRPr="000231D3" w:rsidRDefault="0015086E" w:rsidP="000231D3">
    <w:pPr>
      <w:pStyle w:val="Footer"/>
      <w:jc w:val="center"/>
      <w:rPr>
        <w:b/>
        <w:bCs/>
        <w:caps/>
        <w:noProof/>
      </w:rPr>
    </w:pPr>
    <w:r w:rsidRPr="000231D3">
      <w:rPr>
        <w:b/>
        <w:bCs/>
        <w:caps/>
      </w:rPr>
      <w:fldChar w:fldCharType="begin"/>
    </w:r>
    <w:r w:rsidRPr="000231D3">
      <w:rPr>
        <w:b/>
        <w:bCs/>
        <w:caps/>
      </w:rPr>
      <w:instrText xml:space="preserve"> PAGE   \* MERGEFORMAT </w:instrText>
    </w:r>
    <w:r w:rsidRPr="000231D3">
      <w:rPr>
        <w:b/>
        <w:bCs/>
        <w:caps/>
      </w:rPr>
      <w:fldChar w:fldCharType="separate"/>
    </w:r>
    <w:r w:rsidR="00281C04">
      <w:rPr>
        <w:b/>
        <w:bCs/>
        <w:caps/>
        <w:noProof/>
      </w:rPr>
      <w:t>1</w:t>
    </w:r>
    <w:r w:rsidRPr="000231D3">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5086E" w:rsidTr="005A3173">
      <w:trPr>
        <w:trHeight w:val="151"/>
      </w:trPr>
      <w:tc>
        <w:tcPr>
          <w:tcW w:w="2250" w:type="pct"/>
          <w:tcBorders>
            <w:top w:val="nil"/>
            <w:left w:val="nil"/>
            <w:bottom w:val="single" w:sz="4" w:space="0" w:color="4F81BD"/>
            <w:right w:val="nil"/>
          </w:tcBorders>
        </w:tcPr>
        <w:p w:rsidR="0015086E" w:rsidRPr="005A3173" w:rsidRDefault="0015086E" w:rsidP="005A3173">
          <w:pPr>
            <w:pStyle w:val="Header"/>
            <w:spacing w:line="276" w:lineRule="auto"/>
            <w:rPr>
              <w:rFonts w:eastAsia="MS Gothic"/>
              <w:b/>
              <w:bCs/>
              <w:color w:val="4F81BD"/>
            </w:rPr>
          </w:pPr>
        </w:p>
      </w:tc>
      <w:tc>
        <w:tcPr>
          <w:tcW w:w="500" w:type="pct"/>
          <w:vMerge w:val="restart"/>
          <w:noWrap/>
          <w:vAlign w:val="center"/>
          <w:hideMark/>
        </w:tcPr>
        <w:p w:rsidR="0015086E" w:rsidRPr="005A3173" w:rsidRDefault="001508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5086E" w:rsidRPr="005A3173" w:rsidRDefault="0015086E" w:rsidP="005A3173">
          <w:pPr>
            <w:pStyle w:val="Header"/>
            <w:spacing w:line="276" w:lineRule="auto"/>
            <w:rPr>
              <w:rFonts w:eastAsia="MS Gothic"/>
              <w:b/>
              <w:bCs/>
              <w:color w:val="4F81BD"/>
            </w:rPr>
          </w:pPr>
        </w:p>
      </w:tc>
    </w:tr>
    <w:tr w:rsidR="0015086E" w:rsidTr="005A3173">
      <w:trPr>
        <w:trHeight w:val="150"/>
      </w:trPr>
      <w:tc>
        <w:tcPr>
          <w:tcW w:w="2250" w:type="pct"/>
          <w:tcBorders>
            <w:top w:val="single" w:sz="4" w:space="0" w:color="4F81BD"/>
            <w:left w:val="nil"/>
            <w:bottom w:val="nil"/>
            <w:right w:val="nil"/>
          </w:tcBorders>
        </w:tcPr>
        <w:p w:rsidR="0015086E" w:rsidRPr="005A3173" w:rsidRDefault="0015086E" w:rsidP="005A3173">
          <w:pPr>
            <w:pStyle w:val="Header"/>
            <w:spacing w:line="276" w:lineRule="auto"/>
            <w:rPr>
              <w:rFonts w:eastAsia="MS Gothic"/>
              <w:b/>
              <w:bCs/>
              <w:color w:val="4F81BD"/>
            </w:rPr>
          </w:pPr>
        </w:p>
      </w:tc>
      <w:tc>
        <w:tcPr>
          <w:tcW w:w="0" w:type="auto"/>
          <w:vMerge/>
          <w:vAlign w:val="center"/>
          <w:hideMark/>
        </w:tcPr>
        <w:p w:rsidR="0015086E" w:rsidRPr="005A3173" w:rsidRDefault="0015086E" w:rsidP="005A3173">
          <w:pPr>
            <w:rPr>
              <w:color w:val="365F91"/>
              <w:sz w:val="22"/>
              <w:szCs w:val="22"/>
            </w:rPr>
          </w:pPr>
        </w:p>
      </w:tc>
      <w:tc>
        <w:tcPr>
          <w:tcW w:w="2250" w:type="pct"/>
          <w:tcBorders>
            <w:top w:val="single" w:sz="4" w:space="0" w:color="4F81BD"/>
            <w:left w:val="nil"/>
            <w:bottom w:val="nil"/>
            <w:right w:val="nil"/>
          </w:tcBorders>
        </w:tcPr>
        <w:p w:rsidR="0015086E" w:rsidRPr="005A3173" w:rsidRDefault="0015086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5086E" w:rsidTr="005A3173">
      <w:trPr>
        <w:trHeight w:val="151"/>
      </w:trPr>
      <w:tc>
        <w:tcPr>
          <w:tcW w:w="2250" w:type="pct"/>
          <w:tcBorders>
            <w:top w:val="nil"/>
            <w:left w:val="nil"/>
            <w:bottom w:val="single" w:sz="4" w:space="0" w:color="4F81BD"/>
            <w:right w:val="nil"/>
          </w:tcBorders>
        </w:tcPr>
        <w:p w:rsidR="0015086E" w:rsidRPr="005A3173" w:rsidRDefault="0015086E" w:rsidP="005A3173">
          <w:pPr>
            <w:pStyle w:val="Header"/>
            <w:spacing w:line="276" w:lineRule="auto"/>
            <w:rPr>
              <w:rFonts w:eastAsia="MS Gothic"/>
              <w:b/>
              <w:bCs/>
              <w:color w:val="4F81BD"/>
            </w:rPr>
          </w:pPr>
        </w:p>
      </w:tc>
      <w:tc>
        <w:tcPr>
          <w:tcW w:w="500" w:type="pct"/>
          <w:vMerge w:val="restart"/>
          <w:noWrap/>
          <w:vAlign w:val="center"/>
          <w:hideMark/>
        </w:tcPr>
        <w:p w:rsidR="0015086E" w:rsidRPr="005A3173" w:rsidRDefault="001508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5086E" w:rsidRPr="005A3173" w:rsidRDefault="0015086E" w:rsidP="005A3173">
          <w:pPr>
            <w:pStyle w:val="Header"/>
            <w:spacing w:line="276" w:lineRule="auto"/>
            <w:rPr>
              <w:rFonts w:eastAsia="MS Gothic"/>
              <w:b/>
              <w:bCs/>
              <w:color w:val="4F81BD"/>
            </w:rPr>
          </w:pPr>
        </w:p>
      </w:tc>
    </w:tr>
    <w:tr w:rsidR="0015086E" w:rsidTr="005A3173">
      <w:trPr>
        <w:trHeight w:val="150"/>
      </w:trPr>
      <w:tc>
        <w:tcPr>
          <w:tcW w:w="2250" w:type="pct"/>
          <w:tcBorders>
            <w:top w:val="single" w:sz="4" w:space="0" w:color="4F81BD"/>
            <w:left w:val="nil"/>
            <w:bottom w:val="nil"/>
            <w:right w:val="nil"/>
          </w:tcBorders>
        </w:tcPr>
        <w:p w:rsidR="0015086E" w:rsidRPr="005A3173" w:rsidRDefault="0015086E" w:rsidP="005A3173">
          <w:pPr>
            <w:pStyle w:val="Header"/>
            <w:spacing w:line="276" w:lineRule="auto"/>
            <w:rPr>
              <w:rFonts w:eastAsia="MS Gothic"/>
              <w:b/>
              <w:bCs/>
              <w:color w:val="4F81BD"/>
            </w:rPr>
          </w:pPr>
        </w:p>
      </w:tc>
      <w:tc>
        <w:tcPr>
          <w:tcW w:w="0" w:type="auto"/>
          <w:vMerge/>
          <w:vAlign w:val="center"/>
          <w:hideMark/>
        </w:tcPr>
        <w:p w:rsidR="0015086E" w:rsidRPr="005A3173" w:rsidRDefault="0015086E" w:rsidP="005A3173">
          <w:pPr>
            <w:rPr>
              <w:color w:val="365F91"/>
              <w:sz w:val="22"/>
              <w:szCs w:val="22"/>
            </w:rPr>
          </w:pPr>
        </w:p>
      </w:tc>
      <w:tc>
        <w:tcPr>
          <w:tcW w:w="2250" w:type="pct"/>
          <w:tcBorders>
            <w:top w:val="single" w:sz="4" w:space="0" w:color="4F81BD"/>
            <w:left w:val="nil"/>
            <w:bottom w:val="nil"/>
            <w:right w:val="nil"/>
          </w:tcBorders>
        </w:tcPr>
        <w:p w:rsidR="0015086E" w:rsidRPr="005A3173" w:rsidRDefault="0015086E" w:rsidP="005A3173">
          <w:pPr>
            <w:pStyle w:val="Header"/>
            <w:spacing w:line="276" w:lineRule="auto"/>
            <w:rPr>
              <w:rFonts w:eastAsia="MS Gothic"/>
              <w:b/>
              <w:bCs/>
              <w:color w:val="4F81BD"/>
            </w:rPr>
          </w:pPr>
        </w:p>
      </w:tc>
    </w:tr>
  </w:tbl>
  <w:p w:rsidR="0015086E" w:rsidRPr="007C0F57" w:rsidRDefault="0015086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15086E" w:rsidRPr="007C0F57" w:rsidRDefault="0015086E" w:rsidP="007C0F57">
    <w:pPr>
      <w:pStyle w:val="Footer"/>
      <w:jc w:val="center"/>
      <w:rPr>
        <w:b/>
        <w:i/>
        <w:sz w:val="20"/>
        <w:szCs w:val="20"/>
      </w:rPr>
    </w:pPr>
    <w:r w:rsidRPr="007C0F57">
      <w:rPr>
        <w:b/>
        <w:i/>
        <w:sz w:val="20"/>
        <w:szCs w:val="20"/>
      </w:rPr>
      <w:t>Commercial-in-Confidence</w:t>
    </w:r>
  </w:p>
  <w:p w:rsidR="0015086E" w:rsidRDefault="001508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2B2" w:rsidRDefault="002602B2">
      <w:r>
        <w:separator/>
      </w:r>
    </w:p>
    <w:p w:rsidR="002602B2" w:rsidRDefault="002602B2"/>
  </w:footnote>
  <w:footnote w:type="continuationSeparator" w:id="0">
    <w:p w:rsidR="002602B2" w:rsidRDefault="002602B2">
      <w:r>
        <w:continuationSeparator/>
      </w:r>
    </w:p>
    <w:p w:rsidR="002602B2" w:rsidRDefault="002602B2"/>
  </w:footnote>
  <w:footnote w:id="1">
    <w:p w:rsidR="0015086E" w:rsidRDefault="0015086E">
      <w:pPr>
        <w:pStyle w:val="FootnoteText"/>
      </w:pPr>
      <w:r>
        <w:rPr>
          <w:rStyle w:val="FootnoteReference"/>
        </w:rPr>
        <w:footnoteRef/>
      </w:r>
      <w:r>
        <w:t xml:space="preserve"> </w:t>
      </w:r>
      <w:r w:rsidRPr="006F6FEB">
        <w:rPr>
          <w:rFonts w:ascii="Arial Narrow" w:hAnsi="Arial Narrow"/>
          <w:sz w:val="18"/>
          <w:szCs w:val="18"/>
        </w:rPr>
        <w:t>Haines, Helen M., Bannon Murphy, Holly., Amos, Tim., Krones, Robert. “Prevalence and management of diabetes in residential aged care facilities in north-east Victoria, Australia”, Volume 45, No.12, December 2016 Pages 908-911. Royal Australian College of General Practitioners 2016. REPRINTED FROM AFP VOL.45, NO.12, DECEMBER 2016</w:t>
      </w:r>
    </w:p>
  </w:footnote>
  <w:footnote w:id="2">
    <w:p w:rsidR="0015086E" w:rsidRPr="005D56F4" w:rsidRDefault="0015086E" w:rsidP="0000782F">
      <w:pPr>
        <w:spacing w:after="80"/>
        <w:contextualSpacing/>
        <w:rPr>
          <w:rFonts w:ascii="Arial Narrow" w:hAnsi="Arial Narrow"/>
          <w:sz w:val="18"/>
          <w:szCs w:val="18"/>
        </w:rPr>
      </w:pPr>
      <w:r>
        <w:rPr>
          <w:rStyle w:val="FootnoteReference"/>
        </w:rPr>
        <w:footnoteRef/>
      </w:r>
      <w:r>
        <w:t xml:space="preserve"> </w:t>
      </w:r>
      <w:r w:rsidRPr="005D56F4">
        <w:rPr>
          <w:rFonts w:ascii="Arial Narrow" w:hAnsi="Arial Narrow"/>
          <w:sz w:val="18"/>
          <w:szCs w:val="18"/>
        </w:rPr>
        <w:t>Mody R, Huang Q, Yu M, et al. Adherence, persistence, glycaemic control and costs among patients with type 2 diabetes initiating dulaglutide compared with liraglutide or exenatide once weekly at 12-month follow-up in a real-world setting in the United States. Diabetes Obes Metab. 2019;1–10. https://doi.org/10.1111/dom.13603</w:t>
      </w:r>
    </w:p>
    <w:p w:rsidR="0015086E" w:rsidRDefault="0015086E" w:rsidP="0000782F">
      <w:pPr>
        <w:pStyle w:val="FootnoteText"/>
      </w:pPr>
    </w:p>
  </w:footnote>
  <w:footnote w:id="3">
    <w:p w:rsidR="0015086E" w:rsidRPr="001B6776" w:rsidRDefault="0015086E" w:rsidP="00FE1C05">
      <w:pPr>
        <w:spacing w:after="80"/>
        <w:contextualSpacing/>
        <w:rPr>
          <w:rFonts w:ascii="Arial Narrow" w:hAnsi="Arial Narrow"/>
          <w:sz w:val="18"/>
          <w:szCs w:val="18"/>
        </w:rPr>
      </w:pPr>
      <w:r>
        <w:rPr>
          <w:rStyle w:val="FootnoteReference"/>
        </w:rPr>
        <w:footnoteRef/>
      </w:r>
      <w:r>
        <w:t xml:space="preserve"> </w:t>
      </w:r>
      <w:r w:rsidRPr="001B6776">
        <w:rPr>
          <w:rFonts w:ascii="Arial Narrow" w:hAnsi="Arial Narrow"/>
          <w:sz w:val="18"/>
          <w:szCs w:val="18"/>
        </w:rPr>
        <w:t>Mody et al Dulaglutide Has Higher Adherence and Persistence than Semaglutide and Exenatide QW: 6 month follow up from US real Word Data, American Diabetes Association 80</w:t>
      </w:r>
      <w:r w:rsidRPr="001B6776">
        <w:rPr>
          <w:rFonts w:ascii="Arial Narrow" w:hAnsi="Arial Narrow"/>
          <w:sz w:val="18"/>
          <w:szCs w:val="18"/>
          <w:vertAlign w:val="superscript"/>
        </w:rPr>
        <w:t>th</w:t>
      </w:r>
      <w:r w:rsidRPr="001B6776">
        <w:rPr>
          <w:rFonts w:ascii="Arial Narrow" w:hAnsi="Arial Narrow"/>
          <w:sz w:val="18"/>
          <w:szCs w:val="18"/>
        </w:rPr>
        <w:t xml:space="preserve"> Annual Scientific Sessions, Chicago, IL;  June 12-16 2020 (P-928)</w:t>
      </w:r>
    </w:p>
  </w:footnote>
  <w:footnote w:id="4">
    <w:p w:rsidR="0015086E" w:rsidRPr="00AC6711" w:rsidRDefault="0015086E" w:rsidP="00150E7B">
      <w:pPr>
        <w:spacing w:after="80"/>
        <w:contextualSpacing/>
        <w:rPr>
          <w:rFonts w:ascii="Arial Narrow" w:hAnsi="Arial Narrow"/>
          <w:sz w:val="18"/>
          <w:szCs w:val="18"/>
        </w:rPr>
      </w:pPr>
      <w:r>
        <w:rPr>
          <w:rStyle w:val="FootnoteReference"/>
        </w:rPr>
        <w:footnoteRef/>
      </w:r>
      <w:r>
        <w:t xml:space="preserve"> </w:t>
      </w:r>
      <w:r w:rsidRPr="00AC6711">
        <w:rPr>
          <w:rFonts w:ascii="Arial Narrow" w:hAnsi="Arial Narrow"/>
          <w:sz w:val="18"/>
          <w:szCs w:val="18"/>
        </w:rPr>
        <w:t>Weiner JZ et. al., Use and Discontinuation of Insulin Treatment Among Adults Aged 75 to 79 Years With Type 2 Diabetes, JAMA Intern Med. 2019;179(12):1633-1641]</w:t>
      </w:r>
    </w:p>
    <w:p w:rsidR="0015086E" w:rsidRDefault="0015086E" w:rsidP="00150E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5086E" w:rsidRPr="008E0D90" w:rsidTr="00A06225">
      <w:trPr>
        <w:trHeight w:val="151"/>
      </w:trPr>
      <w:tc>
        <w:tcPr>
          <w:tcW w:w="2389" w:type="pct"/>
          <w:tcBorders>
            <w:top w:val="nil"/>
            <w:left w:val="nil"/>
            <w:bottom w:val="single" w:sz="4" w:space="0" w:color="4F81BD"/>
            <w:right w:val="nil"/>
          </w:tcBorders>
        </w:tcPr>
        <w:p w:rsidR="0015086E" w:rsidRPr="00A06225" w:rsidRDefault="0015086E">
          <w:pPr>
            <w:pStyle w:val="Header"/>
            <w:spacing w:line="276" w:lineRule="auto"/>
            <w:rPr>
              <w:rFonts w:ascii="Cambria" w:eastAsia="MS Gothic" w:hAnsi="Cambria"/>
              <w:b/>
              <w:bCs/>
              <w:color w:val="4F81BD"/>
            </w:rPr>
          </w:pPr>
        </w:p>
      </w:tc>
      <w:tc>
        <w:tcPr>
          <w:tcW w:w="333" w:type="pct"/>
          <w:vMerge w:val="restart"/>
          <w:noWrap/>
          <w:vAlign w:val="center"/>
          <w:hideMark/>
        </w:tcPr>
        <w:p w:rsidR="0015086E" w:rsidRPr="00A06225" w:rsidRDefault="0015086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5086E" w:rsidRPr="00A06225" w:rsidRDefault="0015086E">
          <w:pPr>
            <w:pStyle w:val="Header"/>
            <w:spacing w:line="276" w:lineRule="auto"/>
            <w:rPr>
              <w:rFonts w:ascii="Cambria" w:eastAsia="MS Gothic" w:hAnsi="Cambria"/>
              <w:b/>
              <w:bCs/>
              <w:color w:val="4F81BD"/>
            </w:rPr>
          </w:pPr>
        </w:p>
      </w:tc>
    </w:tr>
    <w:tr w:rsidR="0015086E" w:rsidRPr="008E0D90" w:rsidTr="00A06225">
      <w:trPr>
        <w:trHeight w:val="150"/>
      </w:trPr>
      <w:tc>
        <w:tcPr>
          <w:tcW w:w="2389" w:type="pct"/>
          <w:tcBorders>
            <w:top w:val="single" w:sz="4" w:space="0" w:color="4F81BD"/>
            <w:left w:val="nil"/>
            <w:bottom w:val="nil"/>
            <w:right w:val="nil"/>
          </w:tcBorders>
        </w:tcPr>
        <w:p w:rsidR="0015086E" w:rsidRPr="00A06225" w:rsidRDefault="0015086E">
          <w:pPr>
            <w:pStyle w:val="Header"/>
            <w:spacing w:line="276" w:lineRule="auto"/>
            <w:rPr>
              <w:rFonts w:ascii="Cambria" w:eastAsia="MS Gothic" w:hAnsi="Cambria"/>
              <w:b/>
              <w:bCs/>
              <w:color w:val="4F81BD"/>
            </w:rPr>
          </w:pPr>
        </w:p>
      </w:tc>
      <w:tc>
        <w:tcPr>
          <w:tcW w:w="0" w:type="auto"/>
          <w:vMerge/>
          <w:vAlign w:val="center"/>
          <w:hideMark/>
        </w:tcPr>
        <w:p w:rsidR="0015086E" w:rsidRPr="00A06225" w:rsidRDefault="0015086E">
          <w:pPr>
            <w:rPr>
              <w:rFonts w:ascii="Cambria" w:hAnsi="Cambria"/>
              <w:color w:val="4F81BD"/>
              <w:sz w:val="22"/>
              <w:szCs w:val="22"/>
            </w:rPr>
          </w:pPr>
        </w:p>
      </w:tc>
      <w:tc>
        <w:tcPr>
          <w:tcW w:w="2278" w:type="pct"/>
          <w:tcBorders>
            <w:top w:val="single" w:sz="4" w:space="0" w:color="4F81BD"/>
            <w:left w:val="nil"/>
            <w:bottom w:val="nil"/>
            <w:right w:val="nil"/>
          </w:tcBorders>
        </w:tcPr>
        <w:p w:rsidR="0015086E" w:rsidRPr="00A06225" w:rsidRDefault="0015086E">
          <w:pPr>
            <w:pStyle w:val="Header"/>
            <w:spacing w:line="276" w:lineRule="auto"/>
            <w:rPr>
              <w:rFonts w:ascii="Cambria" w:eastAsia="MS Gothic" w:hAnsi="Cambria"/>
              <w:b/>
              <w:bCs/>
              <w:color w:val="4F81BD"/>
            </w:rPr>
          </w:pPr>
        </w:p>
      </w:tc>
    </w:tr>
  </w:tbl>
  <w:p w:rsidR="0015086E" w:rsidRDefault="0015086E">
    <w:pPr>
      <w:pStyle w:val="Header"/>
    </w:pPr>
  </w:p>
  <w:p w:rsidR="0015086E" w:rsidRDefault="001508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E" w:rsidRPr="00DD0CAD" w:rsidRDefault="0015086E" w:rsidP="000231D3">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July 2020</w:t>
    </w:r>
    <w:r w:rsidRPr="00DD0CAD">
      <w:rPr>
        <w:rFonts w:asciiTheme="minorHAnsi" w:hAnsiTheme="minorHAnsi" w:cstheme="minorHAnsi"/>
        <w:i/>
        <w:iCs/>
      </w:rPr>
      <w:t xml:space="preserve"> PBAC Meeting</w:t>
    </w:r>
  </w:p>
  <w:p w:rsidR="0015086E" w:rsidRDefault="0015086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85" w:rsidRDefault="00BC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64E4C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06DF7"/>
    <w:multiLevelType w:val="hybridMultilevel"/>
    <w:tmpl w:val="FD98564A"/>
    <w:lvl w:ilvl="0" w:tplc="EAD482C4">
      <w:start w:val="1"/>
      <w:numFmt w:val="bullet"/>
      <w:lvlText w:val="•"/>
      <w:lvlJc w:val="left"/>
      <w:pPr>
        <w:tabs>
          <w:tab w:val="num" w:pos="720"/>
        </w:tabs>
        <w:ind w:left="720" w:hanging="360"/>
      </w:pPr>
      <w:rPr>
        <w:rFonts w:ascii="Arial" w:hAnsi="Arial" w:hint="default"/>
      </w:rPr>
    </w:lvl>
    <w:lvl w:ilvl="1" w:tplc="10307E9A" w:tentative="1">
      <w:start w:val="1"/>
      <w:numFmt w:val="bullet"/>
      <w:lvlText w:val="•"/>
      <w:lvlJc w:val="left"/>
      <w:pPr>
        <w:tabs>
          <w:tab w:val="num" w:pos="1440"/>
        </w:tabs>
        <w:ind w:left="1440" w:hanging="360"/>
      </w:pPr>
      <w:rPr>
        <w:rFonts w:ascii="Arial" w:hAnsi="Arial" w:hint="default"/>
      </w:rPr>
    </w:lvl>
    <w:lvl w:ilvl="2" w:tplc="663466EE" w:tentative="1">
      <w:start w:val="1"/>
      <w:numFmt w:val="bullet"/>
      <w:lvlText w:val="•"/>
      <w:lvlJc w:val="left"/>
      <w:pPr>
        <w:tabs>
          <w:tab w:val="num" w:pos="2160"/>
        </w:tabs>
        <w:ind w:left="2160" w:hanging="360"/>
      </w:pPr>
      <w:rPr>
        <w:rFonts w:ascii="Arial" w:hAnsi="Arial" w:hint="default"/>
      </w:rPr>
    </w:lvl>
    <w:lvl w:ilvl="3" w:tplc="1D3AA0DE" w:tentative="1">
      <w:start w:val="1"/>
      <w:numFmt w:val="bullet"/>
      <w:lvlText w:val="•"/>
      <w:lvlJc w:val="left"/>
      <w:pPr>
        <w:tabs>
          <w:tab w:val="num" w:pos="2880"/>
        </w:tabs>
        <w:ind w:left="2880" w:hanging="360"/>
      </w:pPr>
      <w:rPr>
        <w:rFonts w:ascii="Arial" w:hAnsi="Arial" w:hint="default"/>
      </w:rPr>
    </w:lvl>
    <w:lvl w:ilvl="4" w:tplc="F2C4D5EA" w:tentative="1">
      <w:start w:val="1"/>
      <w:numFmt w:val="bullet"/>
      <w:lvlText w:val="•"/>
      <w:lvlJc w:val="left"/>
      <w:pPr>
        <w:tabs>
          <w:tab w:val="num" w:pos="3600"/>
        </w:tabs>
        <w:ind w:left="3600" w:hanging="360"/>
      </w:pPr>
      <w:rPr>
        <w:rFonts w:ascii="Arial" w:hAnsi="Arial" w:hint="default"/>
      </w:rPr>
    </w:lvl>
    <w:lvl w:ilvl="5" w:tplc="0FC669E0" w:tentative="1">
      <w:start w:val="1"/>
      <w:numFmt w:val="bullet"/>
      <w:lvlText w:val="•"/>
      <w:lvlJc w:val="left"/>
      <w:pPr>
        <w:tabs>
          <w:tab w:val="num" w:pos="4320"/>
        </w:tabs>
        <w:ind w:left="4320" w:hanging="360"/>
      </w:pPr>
      <w:rPr>
        <w:rFonts w:ascii="Arial" w:hAnsi="Arial" w:hint="default"/>
      </w:rPr>
    </w:lvl>
    <w:lvl w:ilvl="6" w:tplc="58D203FE" w:tentative="1">
      <w:start w:val="1"/>
      <w:numFmt w:val="bullet"/>
      <w:lvlText w:val="•"/>
      <w:lvlJc w:val="left"/>
      <w:pPr>
        <w:tabs>
          <w:tab w:val="num" w:pos="5040"/>
        </w:tabs>
        <w:ind w:left="5040" w:hanging="360"/>
      </w:pPr>
      <w:rPr>
        <w:rFonts w:ascii="Arial" w:hAnsi="Arial" w:hint="default"/>
      </w:rPr>
    </w:lvl>
    <w:lvl w:ilvl="7" w:tplc="5F9C72F6" w:tentative="1">
      <w:start w:val="1"/>
      <w:numFmt w:val="bullet"/>
      <w:lvlText w:val="•"/>
      <w:lvlJc w:val="left"/>
      <w:pPr>
        <w:tabs>
          <w:tab w:val="num" w:pos="5760"/>
        </w:tabs>
        <w:ind w:left="5760" w:hanging="360"/>
      </w:pPr>
      <w:rPr>
        <w:rFonts w:ascii="Arial" w:hAnsi="Arial" w:hint="default"/>
      </w:rPr>
    </w:lvl>
    <w:lvl w:ilvl="8" w:tplc="E4CA9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D6C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74FCB"/>
    <w:multiLevelType w:val="hybridMultilevel"/>
    <w:tmpl w:val="C2D4F852"/>
    <w:lvl w:ilvl="0" w:tplc="0A56EEF8">
      <w:start w:val="1"/>
      <w:numFmt w:val="bullet"/>
      <w:lvlText w:val="•"/>
      <w:lvlJc w:val="left"/>
      <w:pPr>
        <w:tabs>
          <w:tab w:val="num" w:pos="720"/>
        </w:tabs>
        <w:ind w:left="720" w:hanging="360"/>
      </w:pPr>
      <w:rPr>
        <w:rFonts w:ascii="Arial" w:hAnsi="Arial" w:hint="default"/>
      </w:rPr>
    </w:lvl>
    <w:lvl w:ilvl="1" w:tplc="20BC53A2" w:tentative="1">
      <w:start w:val="1"/>
      <w:numFmt w:val="bullet"/>
      <w:lvlText w:val="•"/>
      <w:lvlJc w:val="left"/>
      <w:pPr>
        <w:tabs>
          <w:tab w:val="num" w:pos="1440"/>
        </w:tabs>
        <w:ind w:left="1440" w:hanging="360"/>
      </w:pPr>
      <w:rPr>
        <w:rFonts w:ascii="Arial" w:hAnsi="Arial" w:hint="default"/>
      </w:rPr>
    </w:lvl>
    <w:lvl w:ilvl="2" w:tplc="FF36701C" w:tentative="1">
      <w:start w:val="1"/>
      <w:numFmt w:val="bullet"/>
      <w:lvlText w:val="•"/>
      <w:lvlJc w:val="left"/>
      <w:pPr>
        <w:tabs>
          <w:tab w:val="num" w:pos="2160"/>
        </w:tabs>
        <w:ind w:left="2160" w:hanging="360"/>
      </w:pPr>
      <w:rPr>
        <w:rFonts w:ascii="Arial" w:hAnsi="Arial" w:hint="default"/>
      </w:rPr>
    </w:lvl>
    <w:lvl w:ilvl="3" w:tplc="6696E69E" w:tentative="1">
      <w:start w:val="1"/>
      <w:numFmt w:val="bullet"/>
      <w:lvlText w:val="•"/>
      <w:lvlJc w:val="left"/>
      <w:pPr>
        <w:tabs>
          <w:tab w:val="num" w:pos="2880"/>
        </w:tabs>
        <w:ind w:left="2880" w:hanging="360"/>
      </w:pPr>
      <w:rPr>
        <w:rFonts w:ascii="Arial" w:hAnsi="Arial" w:hint="default"/>
      </w:rPr>
    </w:lvl>
    <w:lvl w:ilvl="4" w:tplc="EB1E8560" w:tentative="1">
      <w:start w:val="1"/>
      <w:numFmt w:val="bullet"/>
      <w:lvlText w:val="•"/>
      <w:lvlJc w:val="left"/>
      <w:pPr>
        <w:tabs>
          <w:tab w:val="num" w:pos="3600"/>
        </w:tabs>
        <w:ind w:left="3600" w:hanging="360"/>
      </w:pPr>
      <w:rPr>
        <w:rFonts w:ascii="Arial" w:hAnsi="Arial" w:hint="default"/>
      </w:rPr>
    </w:lvl>
    <w:lvl w:ilvl="5" w:tplc="5C8E2E16" w:tentative="1">
      <w:start w:val="1"/>
      <w:numFmt w:val="bullet"/>
      <w:lvlText w:val="•"/>
      <w:lvlJc w:val="left"/>
      <w:pPr>
        <w:tabs>
          <w:tab w:val="num" w:pos="4320"/>
        </w:tabs>
        <w:ind w:left="4320" w:hanging="360"/>
      </w:pPr>
      <w:rPr>
        <w:rFonts w:ascii="Arial" w:hAnsi="Arial" w:hint="default"/>
      </w:rPr>
    </w:lvl>
    <w:lvl w:ilvl="6" w:tplc="682E34AC" w:tentative="1">
      <w:start w:val="1"/>
      <w:numFmt w:val="bullet"/>
      <w:lvlText w:val="•"/>
      <w:lvlJc w:val="left"/>
      <w:pPr>
        <w:tabs>
          <w:tab w:val="num" w:pos="5040"/>
        </w:tabs>
        <w:ind w:left="5040" w:hanging="360"/>
      </w:pPr>
      <w:rPr>
        <w:rFonts w:ascii="Arial" w:hAnsi="Arial" w:hint="default"/>
      </w:rPr>
    </w:lvl>
    <w:lvl w:ilvl="7" w:tplc="2EDAAA56" w:tentative="1">
      <w:start w:val="1"/>
      <w:numFmt w:val="bullet"/>
      <w:lvlText w:val="•"/>
      <w:lvlJc w:val="left"/>
      <w:pPr>
        <w:tabs>
          <w:tab w:val="num" w:pos="5760"/>
        </w:tabs>
        <w:ind w:left="5760" w:hanging="360"/>
      </w:pPr>
      <w:rPr>
        <w:rFonts w:ascii="Arial" w:hAnsi="Arial" w:hint="default"/>
      </w:rPr>
    </w:lvl>
    <w:lvl w:ilvl="8" w:tplc="5AF4A8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DD0502"/>
    <w:multiLevelType w:val="hybridMultilevel"/>
    <w:tmpl w:val="BA4CA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0458C1"/>
    <w:multiLevelType w:val="multilevel"/>
    <w:tmpl w:val="569AE12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C47236"/>
    <w:multiLevelType w:val="hybridMultilevel"/>
    <w:tmpl w:val="9ABC84D0"/>
    <w:lvl w:ilvl="0" w:tplc="924CF0DE">
      <w:start w:val="1"/>
      <w:numFmt w:val="bullet"/>
      <w:lvlText w:val="•"/>
      <w:lvlJc w:val="left"/>
      <w:pPr>
        <w:tabs>
          <w:tab w:val="num" w:pos="720"/>
        </w:tabs>
        <w:ind w:left="720" w:hanging="360"/>
      </w:pPr>
      <w:rPr>
        <w:rFonts w:ascii="Arial" w:hAnsi="Arial" w:hint="default"/>
      </w:rPr>
    </w:lvl>
    <w:lvl w:ilvl="1" w:tplc="3506AF8E" w:tentative="1">
      <w:start w:val="1"/>
      <w:numFmt w:val="bullet"/>
      <w:lvlText w:val="•"/>
      <w:lvlJc w:val="left"/>
      <w:pPr>
        <w:tabs>
          <w:tab w:val="num" w:pos="1440"/>
        </w:tabs>
        <w:ind w:left="1440" w:hanging="360"/>
      </w:pPr>
      <w:rPr>
        <w:rFonts w:ascii="Arial" w:hAnsi="Arial" w:hint="default"/>
      </w:rPr>
    </w:lvl>
    <w:lvl w:ilvl="2" w:tplc="837EDADE" w:tentative="1">
      <w:start w:val="1"/>
      <w:numFmt w:val="bullet"/>
      <w:lvlText w:val="•"/>
      <w:lvlJc w:val="left"/>
      <w:pPr>
        <w:tabs>
          <w:tab w:val="num" w:pos="2160"/>
        </w:tabs>
        <w:ind w:left="2160" w:hanging="360"/>
      </w:pPr>
      <w:rPr>
        <w:rFonts w:ascii="Arial" w:hAnsi="Arial" w:hint="default"/>
      </w:rPr>
    </w:lvl>
    <w:lvl w:ilvl="3" w:tplc="32C6209C" w:tentative="1">
      <w:start w:val="1"/>
      <w:numFmt w:val="bullet"/>
      <w:lvlText w:val="•"/>
      <w:lvlJc w:val="left"/>
      <w:pPr>
        <w:tabs>
          <w:tab w:val="num" w:pos="2880"/>
        </w:tabs>
        <w:ind w:left="2880" w:hanging="360"/>
      </w:pPr>
      <w:rPr>
        <w:rFonts w:ascii="Arial" w:hAnsi="Arial" w:hint="default"/>
      </w:rPr>
    </w:lvl>
    <w:lvl w:ilvl="4" w:tplc="89422AB0" w:tentative="1">
      <w:start w:val="1"/>
      <w:numFmt w:val="bullet"/>
      <w:lvlText w:val="•"/>
      <w:lvlJc w:val="left"/>
      <w:pPr>
        <w:tabs>
          <w:tab w:val="num" w:pos="3600"/>
        </w:tabs>
        <w:ind w:left="3600" w:hanging="360"/>
      </w:pPr>
      <w:rPr>
        <w:rFonts w:ascii="Arial" w:hAnsi="Arial" w:hint="default"/>
      </w:rPr>
    </w:lvl>
    <w:lvl w:ilvl="5" w:tplc="2318D1E6" w:tentative="1">
      <w:start w:val="1"/>
      <w:numFmt w:val="bullet"/>
      <w:lvlText w:val="•"/>
      <w:lvlJc w:val="left"/>
      <w:pPr>
        <w:tabs>
          <w:tab w:val="num" w:pos="4320"/>
        </w:tabs>
        <w:ind w:left="4320" w:hanging="360"/>
      </w:pPr>
      <w:rPr>
        <w:rFonts w:ascii="Arial" w:hAnsi="Arial" w:hint="default"/>
      </w:rPr>
    </w:lvl>
    <w:lvl w:ilvl="6" w:tplc="F20ECB46" w:tentative="1">
      <w:start w:val="1"/>
      <w:numFmt w:val="bullet"/>
      <w:lvlText w:val="•"/>
      <w:lvlJc w:val="left"/>
      <w:pPr>
        <w:tabs>
          <w:tab w:val="num" w:pos="5040"/>
        </w:tabs>
        <w:ind w:left="5040" w:hanging="360"/>
      </w:pPr>
      <w:rPr>
        <w:rFonts w:ascii="Arial" w:hAnsi="Arial" w:hint="default"/>
      </w:rPr>
    </w:lvl>
    <w:lvl w:ilvl="7" w:tplc="D1CE41E0" w:tentative="1">
      <w:start w:val="1"/>
      <w:numFmt w:val="bullet"/>
      <w:lvlText w:val="•"/>
      <w:lvlJc w:val="left"/>
      <w:pPr>
        <w:tabs>
          <w:tab w:val="num" w:pos="5760"/>
        </w:tabs>
        <w:ind w:left="5760" w:hanging="360"/>
      </w:pPr>
      <w:rPr>
        <w:rFonts w:ascii="Arial" w:hAnsi="Arial" w:hint="default"/>
      </w:rPr>
    </w:lvl>
    <w:lvl w:ilvl="8" w:tplc="AA68F6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4E6825"/>
    <w:multiLevelType w:val="multilevel"/>
    <w:tmpl w:val="FE8848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91D688E"/>
    <w:multiLevelType w:val="hybridMultilevel"/>
    <w:tmpl w:val="510EE13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173A90"/>
    <w:multiLevelType w:val="hybridMultilevel"/>
    <w:tmpl w:val="F97829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6E3530A"/>
    <w:multiLevelType w:val="hybridMultilevel"/>
    <w:tmpl w:val="BB0C3E42"/>
    <w:lvl w:ilvl="0" w:tplc="D70C8E06">
      <w:start w:val="1"/>
      <w:numFmt w:val="bullet"/>
      <w:lvlText w:val="•"/>
      <w:lvlJc w:val="left"/>
      <w:pPr>
        <w:tabs>
          <w:tab w:val="num" w:pos="720"/>
        </w:tabs>
        <w:ind w:left="720" w:hanging="360"/>
      </w:pPr>
      <w:rPr>
        <w:rFonts w:ascii="Arial" w:hAnsi="Arial" w:hint="default"/>
      </w:rPr>
    </w:lvl>
    <w:lvl w:ilvl="1" w:tplc="EA184AEE" w:tentative="1">
      <w:start w:val="1"/>
      <w:numFmt w:val="bullet"/>
      <w:lvlText w:val="•"/>
      <w:lvlJc w:val="left"/>
      <w:pPr>
        <w:tabs>
          <w:tab w:val="num" w:pos="1440"/>
        </w:tabs>
        <w:ind w:left="1440" w:hanging="360"/>
      </w:pPr>
      <w:rPr>
        <w:rFonts w:ascii="Arial" w:hAnsi="Arial" w:hint="default"/>
      </w:rPr>
    </w:lvl>
    <w:lvl w:ilvl="2" w:tplc="042ED81C" w:tentative="1">
      <w:start w:val="1"/>
      <w:numFmt w:val="bullet"/>
      <w:lvlText w:val="•"/>
      <w:lvlJc w:val="left"/>
      <w:pPr>
        <w:tabs>
          <w:tab w:val="num" w:pos="2160"/>
        </w:tabs>
        <w:ind w:left="2160" w:hanging="360"/>
      </w:pPr>
      <w:rPr>
        <w:rFonts w:ascii="Arial" w:hAnsi="Arial" w:hint="default"/>
      </w:rPr>
    </w:lvl>
    <w:lvl w:ilvl="3" w:tplc="46406DA8" w:tentative="1">
      <w:start w:val="1"/>
      <w:numFmt w:val="bullet"/>
      <w:lvlText w:val="•"/>
      <w:lvlJc w:val="left"/>
      <w:pPr>
        <w:tabs>
          <w:tab w:val="num" w:pos="2880"/>
        </w:tabs>
        <w:ind w:left="2880" w:hanging="360"/>
      </w:pPr>
      <w:rPr>
        <w:rFonts w:ascii="Arial" w:hAnsi="Arial" w:hint="default"/>
      </w:rPr>
    </w:lvl>
    <w:lvl w:ilvl="4" w:tplc="41801DE0" w:tentative="1">
      <w:start w:val="1"/>
      <w:numFmt w:val="bullet"/>
      <w:lvlText w:val="•"/>
      <w:lvlJc w:val="left"/>
      <w:pPr>
        <w:tabs>
          <w:tab w:val="num" w:pos="3600"/>
        </w:tabs>
        <w:ind w:left="3600" w:hanging="360"/>
      </w:pPr>
      <w:rPr>
        <w:rFonts w:ascii="Arial" w:hAnsi="Arial" w:hint="default"/>
      </w:rPr>
    </w:lvl>
    <w:lvl w:ilvl="5" w:tplc="7604051C" w:tentative="1">
      <w:start w:val="1"/>
      <w:numFmt w:val="bullet"/>
      <w:lvlText w:val="•"/>
      <w:lvlJc w:val="left"/>
      <w:pPr>
        <w:tabs>
          <w:tab w:val="num" w:pos="4320"/>
        </w:tabs>
        <w:ind w:left="4320" w:hanging="360"/>
      </w:pPr>
      <w:rPr>
        <w:rFonts w:ascii="Arial" w:hAnsi="Arial" w:hint="default"/>
      </w:rPr>
    </w:lvl>
    <w:lvl w:ilvl="6" w:tplc="6820095A" w:tentative="1">
      <w:start w:val="1"/>
      <w:numFmt w:val="bullet"/>
      <w:lvlText w:val="•"/>
      <w:lvlJc w:val="left"/>
      <w:pPr>
        <w:tabs>
          <w:tab w:val="num" w:pos="5040"/>
        </w:tabs>
        <w:ind w:left="5040" w:hanging="360"/>
      </w:pPr>
      <w:rPr>
        <w:rFonts w:ascii="Arial" w:hAnsi="Arial" w:hint="default"/>
      </w:rPr>
    </w:lvl>
    <w:lvl w:ilvl="7" w:tplc="1F206FDA" w:tentative="1">
      <w:start w:val="1"/>
      <w:numFmt w:val="bullet"/>
      <w:lvlText w:val="•"/>
      <w:lvlJc w:val="left"/>
      <w:pPr>
        <w:tabs>
          <w:tab w:val="num" w:pos="5760"/>
        </w:tabs>
        <w:ind w:left="5760" w:hanging="360"/>
      </w:pPr>
      <w:rPr>
        <w:rFonts w:ascii="Arial" w:hAnsi="Arial" w:hint="default"/>
      </w:rPr>
    </w:lvl>
    <w:lvl w:ilvl="8" w:tplc="594C0E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3FCA6577"/>
    <w:multiLevelType w:val="hybridMultilevel"/>
    <w:tmpl w:val="B2781C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083931"/>
    <w:multiLevelType w:val="hybridMultilevel"/>
    <w:tmpl w:val="1538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E54FE9"/>
    <w:multiLevelType w:val="hybridMultilevel"/>
    <w:tmpl w:val="E7FEB8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4442297"/>
    <w:multiLevelType w:val="hybridMultilevel"/>
    <w:tmpl w:val="A0E89320"/>
    <w:lvl w:ilvl="0" w:tplc="C3229E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E7508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736AA"/>
    <w:multiLevelType w:val="hybridMultilevel"/>
    <w:tmpl w:val="D1261E98"/>
    <w:lvl w:ilvl="0" w:tplc="11C89D56">
      <w:start w:val="1"/>
      <w:numFmt w:val="bullet"/>
      <w:lvlText w:val="•"/>
      <w:lvlJc w:val="left"/>
      <w:pPr>
        <w:tabs>
          <w:tab w:val="num" w:pos="720"/>
        </w:tabs>
        <w:ind w:left="720" w:hanging="360"/>
      </w:pPr>
      <w:rPr>
        <w:rFonts w:ascii="Arial" w:hAnsi="Arial" w:hint="default"/>
      </w:rPr>
    </w:lvl>
    <w:lvl w:ilvl="1" w:tplc="53B4AC9E" w:tentative="1">
      <w:start w:val="1"/>
      <w:numFmt w:val="bullet"/>
      <w:lvlText w:val="•"/>
      <w:lvlJc w:val="left"/>
      <w:pPr>
        <w:tabs>
          <w:tab w:val="num" w:pos="1440"/>
        </w:tabs>
        <w:ind w:left="1440" w:hanging="360"/>
      </w:pPr>
      <w:rPr>
        <w:rFonts w:ascii="Arial" w:hAnsi="Arial" w:hint="default"/>
      </w:rPr>
    </w:lvl>
    <w:lvl w:ilvl="2" w:tplc="D93E98E2" w:tentative="1">
      <w:start w:val="1"/>
      <w:numFmt w:val="bullet"/>
      <w:lvlText w:val="•"/>
      <w:lvlJc w:val="left"/>
      <w:pPr>
        <w:tabs>
          <w:tab w:val="num" w:pos="2160"/>
        </w:tabs>
        <w:ind w:left="2160" w:hanging="360"/>
      </w:pPr>
      <w:rPr>
        <w:rFonts w:ascii="Arial" w:hAnsi="Arial" w:hint="default"/>
      </w:rPr>
    </w:lvl>
    <w:lvl w:ilvl="3" w:tplc="B8BC96B4" w:tentative="1">
      <w:start w:val="1"/>
      <w:numFmt w:val="bullet"/>
      <w:lvlText w:val="•"/>
      <w:lvlJc w:val="left"/>
      <w:pPr>
        <w:tabs>
          <w:tab w:val="num" w:pos="2880"/>
        </w:tabs>
        <w:ind w:left="2880" w:hanging="360"/>
      </w:pPr>
      <w:rPr>
        <w:rFonts w:ascii="Arial" w:hAnsi="Arial" w:hint="default"/>
      </w:rPr>
    </w:lvl>
    <w:lvl w:ilvl="4" w:tplc="FAECF49E" w:tentative="1">
      <w:start w:val="1"/>
      <w:numFmt w:val="bullet"/>
      <w:lvlText w:val="•"/>
      <w:lvlJc w:val="left"/>
      <w:pPr>
        <w:tabs>
          <w:tab w:val="num" w:pos="3600"/>
        </w:tabs>
        <w:ind w:left="3600" w:hanging="360"/>
      </w:pPr>
      <w:rPr>
        <w:rFonts w:ascii="Arial" w:hAnsi="Arial" w:hint="default"/>
      </w:rPr>
    </w:lvl>
    <w:lvl w:ilvl="5" w:tplc="12744E18" w:tentative="1">
      <w:start w:val="1"/>
      <w:numFmt w:val="bullet"/>
      <w:lvlText w:val="•"/>
      <w:lvlJc w:val="left"/>
      <w:pPr>
        <w:tabs>
          <w:tab w:val="num" w:pos="4320"/>
        </w:tabs>
        <w:ind w:left="4320" w:hanging="360"/>
      </w:pPr>
      <w:rPr>
        <w:rFonts w:ascii="Arial" w:hAnsi="Arial" w:hint="default"/>
      </w:rPr>
    </w:lvl>
    <w:lvl w:ilvl="6" w:tplc="50DA2024" w:tentative="1">
      <w:start w:val="1"/>
      <w:numFmt w:val="bullet"/>
      <w:lvlText w:val="•"/>
      <w:lvlJc w:val="left"/>
      <w:pPr>
        <w:tabs>
          <w:tab w:val="num" w:pos="5040"/>
        </w:tabs>
        <w:ind w:left="5040" w:hanging="360"/>
      </w:pPr>
      <w:rPr>
        <w:rFonts w:ascii="Arial" w:hAnsi="Arial" w:hint="default"/>
      </w:rPr>
    </w:lvl>
    <w:lvl w:ilvl="7" w:tplc="5F940B64" w:tentative="1">
      <w:start w:val="1"/>
      <w:numFmt w:val="bullet"/>
      <w:lvlText w:val="•"/>
      <w:lvlJc w:val="left"/>
      <w:pPr>
        <w:tabs>
          <w:tab w:val="num" w:pos="5760"/>
        </w:tabs>
        <w:ind w:left="5760" w:hanging="360"/>
      </w:pPr>
      <w:rPr>
        <w:rFonts w:ascii="Arial" w:hAnsi="Arial" w:hint="default"/>
      </w:rPr>
    </w:lvl>
    <w:lvl w:ilvl="8" w:tplc="6B46CE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E826C6"/>
    <w:multiLevelType w:val="hybridMultilevel"/>
    <w:tmpl w:val="5D98FEAE"/>
    <w:lvl w:ilvl="0" w:tplc="0C090005">
      <w:start w:val="1"/>
      <w:numFmt w:val="bullet"/>
      <w:lvlText w:val=""/>
      <w:lvlJc w:val="left"/>
      <w:pPr>
        <w:ind w:left="822" w:hanging="360"/>
      </w:pPr>
      <w:rPr>
        <w:rFonts w:ascii="Wingdings" w:hAnsi="Wingdings"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2" w15:restartNumberingAfterBreak="0">
    <w:nsid w:val="58297025"/>
    <w:multiLevelType w:val="hybridMultilevel"/>
    <w:tmpl w:val="36908EA4"/>
    <w:lvl w:ilvl="0" w:tplc="AA8663C8">
      <w:start w:val="1"/>
      <w:numFmt w:val="bullet"/>
      <w:lvlText w:val="•"/>
      <w:lvlJc w:val="left"/>
      <w:pPr>
        <w:tabs>
          <w:tab w:val="num" w:pos="720"/>
        </w:tabs>
        <w:ind w:left="720" w:hanging="360"/>
      </w:pPr>
      <w:rPr>
        <w:rFonts w:ascii="Arial" w:hAnsi="Arial" w:hint="default"/>
      </w:rPr>
    </w:lvl>
    <w:lvl w:ilvl="1" w:tplc="5EF43132" w:tentative="1">
      <w:start w:val="1"/>
      <w:numFmt w:val="bullet"/>
      <w:lvlText w:val="•"/>
      <w:lvlJc w:val="left"/>
      <w:pPr>
        <w:tabs>
          <w:tab w:val="num" w:pos="1440"/>
        </w:tabs>
        <w:ind w:left="1440" w:hanging="360"/>
      </w:pPr>
      <w:rPr>
        <w:rFonts w:ascii="Arial" w:hAnsi="Arial" w:hint="default"/>
      </w:rPr>
    </w:lvl>
    <w:lvl w:ilvl="2" w:tplc="C916C678" w:tentative="1">
      <w:start w:val="1"/>
      <w:numFmt w:val="bullet"/>
      <w:lvlText w:val="•"/>
      <w:lvlJc w:val="left"/>
      <w:pPr>
        <w:tabs>
          <w:tab w:val="num" w:pos="2160"/>
        </w:tabs>
        <w:ind w:left="2160" w:hanging="360"/>
      </w:pPr>
      <w:rPr>
        <w:rFonts w:ascii="Arial" w:hAnsi="Arial" w:hint="default"/>
      </w:rPr>
    </w:lvl>
    <w:lvl w:ilvl="3" w:tplc="A4F6FB28" w:tentative="1">
      <w:start w:val="1"/>
      <w:numFmt w:val="bullet"/>
      <w:lvlText w:val="•"/>
      <w:lvlJc w:val="left"/>
      <w:pPr>
        <w:tabs>
          <w:tab w:val="num" w:pos="2880"/>
        </w:tabs>
        <w:ind w:left="2880" w:hanging="360"/>
      </w:pPr>
      <w:rPr>
        <w:rFonts w:ascii="Arial" w:hAnsi="Arial" w:hint="default"/>
      </w:rPr>
    </w:lvl>
    <w:lvl w:ilvl="4" w:tplc="B642A2E2" w:tentative="1">
      <w:start w:val="1"/>
      <w:numFmt w:val="bullet"/>
      <w:lvlText w:val="•"/>
      <w:lvlJc w:val="left"/>
      <w:pPr>
        <w:tabs>
          <w:tab w:val="num" w:pos="3600"/>
        </w:tabs>
        <w:ind w:left="3600" w:hanging="360"/>
      </w:pPr>
      <w:rPr>
        <w:rFonts w:ascii="Arial" w:hAnsi="Arial" w:hint="default"/>
      </w:rPr>
    </w:lvl>
    <w:lvl w:ilvl="5" w:tplc="4AFAB0F8" w:tentative="1">
      <w:start w:val="1"/>
      <w:numFmt w:val="bullet"/>
      <w:lvlText w:val="•"/>
      <w:lvlJc w:val="left"/>
      <w:pPr>
        <w:tabs>
          <w:tab w:val="num" w:pos="4320"/>
        </w:tabs>
        <w:ind w:left="4320" w:hanging="360"/>
      </w:pPr>
      <w:rPr>
        <w:rFonts w:ascii="Arial" w:hAnsi="Arial" w:hint="default"/>
      </w:rPr>
    </w:lvl>
    <w:lvl w:ilvl="6" w:tplc="B232BFBE" w:tentative="1">
      <w:start w:val="1"/>
      <w:numFmt w:val="bullet"/>
      <w:lvlText w:val="•"/>
      <w:lvlJc w:val="left"/>
      <w:pPr>
        <w:tabs>
          <w:tab w:val="num" w:pos="5040"/>
        </w:tabs>
        <w:ind w:left="5040" w:hanging="360"/>
      </w:pPr>
      <w:rPr>
        <w:rFonts w:ascii="Arial" w:hAnsi="Arial" w:hint="default"/>
      </w:rPr>
    </w:lvl>
    <w:lvl w:ilvl="7" w:tplc="57EA45C8" w:tentative="1">
      <w:start w:val="1"/>
      <w:numFmt w:val="bullet"/>
      <w:lvlText w:val="•"/>
      <w:lvlJc w:val="left"/>
      <w:pPr>
        <w:tabs>
          <w:tab w:val="num" w:pos="5760"/>
        </w:tabs>
        <w:ind w:left="5760" w:hanging="360"/>
      </w:pPr>
      <w:rPr>
        <w:rFonts w:ascii="Arial" w:hAnsi="Arial" w:hint="default"/>
      </w:rPr>
    </w:lvl>
    <w:lvl w:ilvl="8" w:tplc="9A3C9F0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7E735A"/>
    <w:multiLevelType w:val="hybridMultilevel"/>
    <w:tmpl w:val="251E5A44"/>
    <w:lvl w:ilvl="0" w:tplc="58E6E022">
      <w:start w:val="1"/>
      <w:numFmt w:val="bullet"/>
      <w:lvlText w:val="•"/>
      <w:lvlJc w:val="left"/>
      <w:pPr>
        <w:tabs>
          <w:tab w:val="num" w:pos="720"/>
        </w:tabs>
        <w:ind w:left="720" w:hanging="360"/>
      </w:pPr>
      <w:rPr>
        <w:rFonts w:ascii="Arial" w:hAnsi="Arial" w:hint="default"/>
      </w:rPr>
    </w:lvl>
    <w:lvl w:ilvl="1" w:tplc="168A047C" w:tentative="1">
      <w:start w:val="1"/>
      <w:numFmt w:val="bullet"/>
      <w:lvlText w:val="•"/>
      <w:lvlJc w:val="left"/>
      <w:pPr>
        <w:tabs>
          <w:tab w:val="num" w:pos="1440"/>
        </w:tabs>
        <w:ind w:left="1440" w:hanging="360"/>
      </w:pPr>
      <w:rPr>
        <w:rFonts w:ascii="Arial" w:hAnsi="Arial" w:hint="default"/>
      </w:rPr>
    </w:lvl>
    <w:lvl w:ilvl="2" w:tplc="54C43528" w:tentative="1">
      <w:start w:val="1"/>
      <w:numFmt w:val="bullet"/>
      <w:lvlText w:val="•"/>
      <w:lvlJc w:val="left"/>
      <w:pPr>
        <w:tabs>
          <w:tab w:val="num" w:pos="2160"/>
        </w:tabs>
        <w:ind w:left="2160" w:hanging="360"/>
      </w:pPr>
      <w:rPr>
        <w:rFonts w:ascii="Arial" w:hAnsi="Arial" w:hint="default"/>
      </w:rPr>
    </w:lvl>
    <w:lvl w:ilvl="3" w:tplc="B1A45DFC" w:tentative="1">
      <w:start w:val="1"/>
      <w:numFmt w:val="bullet"/>
      <w:lvlText w:val="•"/>
      <w:lvlJc w:val="left"/>
      <w:pPr>
        <w:tabs>
          <w:tab w:val="num" w:pos="2880"/>
        </w:tabs>
        <w:ind w:left="2880" w:hanging="360"/>
      </w:pPr>
      <w:rPr>
        <w:rFonts w:ascii="Arial" w:hAnsi="Arial" w:hint="default"/>
      </w:rPr>
    </w:lvl>
    <w:lvl w:ilvl="4" w:tplc="F3A6A84C" w:tentative="1">
      <w:start w:val="1"/>
      <w:numFmt w:val="bullet"/>
      <w:lvlText w:val="•"/>
      <w:lvlJc w:val="left"/>
      <w:pPr>
        <w:tabs>
          <w:tab w:val="num" w:pos="3600"/>
        </w:tabs>
        <w:ind w:left="3600" w:hanging="360"/>
      </w:pPr>
      <w:rPr>
        <w:rFonts w:ascii="Arial" w:hAnsi="Arial" w:hint="default"/>
      </w:rPr>
    </w:lvl>
    <w:lvl w:ilvl="5" w:tplc="007E3B84" w:tentative="1">
      <w:start w:val="1"/>
      <w:numFmt w:val="bullet"/>
      <w:lvlText w:val="•"/>
      <w:lvlJc w:val="left"/>
      <w:pPr>
        <w:tabs>
          <w:tab w:val="num" w:pos="4320"/>
        </w:tabs>
        <w:ind w:left="4320" w:hanging="360"/>
      </w:pPr>
      <w:rPr>
        <w:rFonts w:ascii="Arial" w:hAnsi="Arial" w:hint="default"/>
      </w:rPr>
    </w:lvl>
    <w:lvl w:ilvl="6" w:tplc="962A3E74" w:tentative="1">
      <w:start w:val="1"/>
      <w:numFmt w:val="bullet"/>
      <w:lvlText w:val="•"/>
      <w:lvlJc w:val="left"/>
      <w:pPr>
        <w:tabs>
          <w:tab w:val="num" w:pos="5040"/>
        </w:tabs>
        <w:ind w:left="5040" w:hanging="360"/>
      </w:pPr>
      <w:rPr>
        <w:rFonts w:ascii="Arial" w:hAnsi="Arial" w:hint="default"/>
      </w:rPr>
    </w:lvl>
    <w:lvl w:ilvl="7" w:tplc="3634DD2C" w:tentative="1">
      <w:start w:val="1"/>
      <w:numFmt w:val="bullet"/>
      <w:lvlText w:val="•"/>
      <w:lvlJc w:val="left"/>
      <w:pPr>
        <w:tabs>
          <w:tab w:val="num" w:pos="5760"/>
        </w:tabs>
        <w:ind w:left="5760" w:hanging="360"/>
      </w:pPr>
      <w:rPr>
        <w:rFonts w:ascii="Arial" w:hAnsi="Arial" w:hint="default"/>
      </w:rPr>
    </w:lvl>
    <w:lvl w:ilvl="8" w:tplc="90C8E2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FD0699B"/>
    <w:multiLevelType w:val="hybridMultilevel"/>
    <w:tmpl w:val="90C2DB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79D23F0"/>
    <w:multiLevelType w:val="hybridMultilevel"/>
    <w:tmpl w:val="EE1E7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528C141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0"/>
  </w:num>
  <w:num w:numId="3">
    <w:abstractNumId w:val="27"/>
  </w:num>
  <w:num w:numId="4">
    <w:abstractNumId w:val="24"/>
  </w:num>
  <w:num w:numId="5">
    <w:abstractNumId w:val="13"/>
  </w:num>
  <w:num w:numId="6">
    <w:abstractNumId w:val="1"/>
  </w:num>
  <w:num w:numId="7">
    <w:abstractNumId w:val="27"/>
  </w:num>
  <w:num w:numId="8">
    <w:abstractNumId w:val="27"/>
  </w:num>
  <w:num w:numId="9">
    <w:abstractNumId w:val="18"/>
  </w:num>
  <w:num w:numId="10">
    <w:abstractNumId w:val="25"/>
  </w:num>
  <w:num w:numId="11">
    <w:abstractNumId w:val="10"/>
  </w:num>
  <w:num w:numId="12">
    <w:abstractNumId w:val="11"/>
  </w:num>
  <w:num w:numId="13">
    <w:abstractNumId w:val="20"/>
  </w:num>
  <w:num w:numId="14">
    <w:abstractNumId w:val="4"/>
  </w:num>
  <w:num w:numId="15">
    <w:abstractNumId w:val="27"/>
  </w:num>
  <w:num w:numId="16">
    <w:abstractNumId w:val="27"/>
  </w:num>
  <w:num w:numId="17">
    <w:abstractNumId w:val="27"/>
  </w:num>
  <w:num w:numId="18">
    <w:abstractNumId w:val="7"/>
  </w:num>
  <w:num w:numId="19">
    <w:abstractNumId w:val="19"/>
  </w:num>
  <w:num w:numId="20">
    <w:abstractNumId w:val="22"/>
  </w:num>
  <w:num w:numId="21">
    <w:abstractNumId w:val="5"/>
  </w:num>
  <w:num w:numId="22">
    <w:abstractNumId w:val="12"/>
  </w:num>
  <w:num w:numId="23">
    <w:abstractNumId w:val="26"/>
  </w:num>
  <w:num w:numId="24">
    <w:abstractNumId w:val="8"/>
  </w:num>
  <w:num w:numId="25">
    <w:abstractNumId w:val="16"/>
  </w:num>
  <w:num w:numId="26">
    <w:abstractNumId w:val="14"/>
  </w:num>
  <w:num w:numId="27">
    <w:abstractNumId w:val="3"/>
  </w:num>
  <w:num w:numId="28">
    <w:abstractNumId w:val="6"/>
  </w:num>
  <w:num w:numId="29">
    <w:abstractNumId w:val="27"/>
  </w:num>
  <w:num w:numId="30">
    <w:abstractNumId w:val="27"/>
  </w:num>
  <w:num w:numId="31">
    <w:abstractNumId w:val="2"/>
  </w:num>
  <w:num w:numId="32">
    <w:abstractNumId w:val="23"/>
  </w:num>
  <w:num w:numId="33">
    <w:abstractNumId w:val="9"/>
  </w:num>
  <w:num w:numId="34">
    <w:abstractNumId w:val="17"/>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num>
  <w:num w:numId="39">
    <w:abstractNumId w:val="15"/>
  </w:num>
  <w:num w:numId="40">
    <w:abstractNumId w:val="21"/>
  </w:num>
  <w:num w:numId="4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111"/>
    <w:rsid w:val="00001663"/>
    <w:rsid w:val="000025AD"/>
    <w:rsid w:val="0000335D"/>
    <w:rsid w:val="00003577"/>
    <w:rsid w:val="0000626C"/>
    <w:rsid w:val="00006DA9"/>
    <w:rsid w:val="0000782F"/>
    <w:rsid w:val="0000798B"/>
    <w:rsid w:val="0001072C"/>
    <w:rsid w:val="00011A59"/>
    <w:rsid w:val="00014A5A"/>
    <w:rsid w:val="00016A41"/>
    <w:rsid w:val="00016E17"/>
    <w:rsid w:val="0002090C"/>
    <w:rsid w:val="000214D1"/>
    <w:rsid w:val="000231D3"/>
    <w:rsid w:val="00024472"/>
    <w:rsid w:val="0002464A"/>
    <w:rsid w:val="00025EAD"/>
    <w:rsid w:val="0003106B"/>
    <w:rsid w:val="00034905"/>
    <w:rsid w:val="00035AAA"/>
    <w:rsid w:val="00035FEC"/>
    <w:rsid w:val="000363DB"/>
    <w:rsid w:val="00036D55"/>
    <w:rsid w:val="000378E8"/>
    <w:rsid w:val="00037B64"/>
    <w:rsid w:val="000404D1"/>
    <w:rsid w:val="00041B24"/>
    <w:rsid w:val="000421A1"/>
    <w:rsid w:val="0004240E"/>
    <w:rsid w:val="00045E26"/>
    <w:rsid w:val="000514B5"/>
    <w:rsid w:val="00053D8C"/>
    <w:rsid w:val="00060E64"/>
    <w:rsid w:val="000656B9"/>
    <w:rsid w:val="000662FD"/>
    <w:rsid w:val="00066755"/>
    <w:rsid w:val="000715C4"/>
    <w:rsid w:val="000763D5"/>
    <w:rsid w:val="00077143"/>
    <w:rsid w:val="0007744C"/>
    <w:rsid w:val="00082169"/>
    <w:rsid w:val="00084D5D"/>
    <w:rsid w:val="0008614D"/>
    <w:rsid w:val="00086C2D"/>
    <w:rsid w:val="000918CB"/>
    <w:rsid w:val="00091B06"/>
    <w:rsid w:val="000951C4"/>
    <w:rsid w:val="00095ADA"/>
    <w:rsid w:val="000969AD"/>
    <w:rsid w:val="00097E06"/>
    <w:rsid w:val="000A1B0F"/>
    <w:rsid w:val="000A3468"/>
    <w:rsid w:val="000A3AA2"/>
    <w:rsid w:val="000A44B2"/>
    <w:rsid w:val="000A52F6"/>
    <w:rsid w:val="000A5F03"/>
    <w:rsid w:val="000B0526"/>
    <w:rsid w:val="000B3A5E"/>
    <w:rsid w:val="000B44C3"/>
    <w:rsid w:val="000B451A"/>
    <w:rsid w:val="000B558D"/>
    <w:rsid w:val="000B78A2"/>
    <w:rsid w:val="000C2D0F"/>
    <w:rsid w:val="000C33F5"/>
    <w:rsid w:val="000C5F95"/>
    <w:rsid w:val="000C6996"/>
    <w:rsid w:val="000C7F29"/>
    <w:rsid w:val="000D09E9"/>
    <w:rsid w:val="000D113F"/>
    <w:rsid w:val="000D23BA"/>
    <w:rsid w:val="000D2F69"/>
    <w:rsid w:val="000D445C"/>
    <w:rsid w:val="000D4F4A"/>
    <w:rsid w:val="000D4F59"/>
    <w:rsid w:val="000D67FC"/>
    <w:rsid w:val="000E1BA8"/>
    <w:rsid w:val="000E2682"/>
    <w:rsid w:val="000E2A77"/>
    <w:rsid w:val="000E5634"/>
    <w:rsid w:val="000E5EA1"/>
    <w:rsid w:val="000E681E"/>
    <w:rsid w:val="000E78A0"/>
    <w:rsid w:val="000F0003"/>
    <w:rsid w:val="000F143D"/>
    <w:rsid w:val="000F3384"/>
    <w:rsid w:val="000F4291"/>
    <w:rsid w:val="000F4E6A"/>
    <w:rsid w:val="000F7354"/>
    <w:rsid w:val="001013CB"/>
    <w:rsid w:val="00101ABE"/>
    <w:rsid w:val="00101E83"/>
    <w:rsid w:val="00102202"/>
    <w:rsid w:val="00102CA5"/>
    <w:rsid w:val="001032A3"/>
    <w:rsid w:val="0010374C"/>
    <w:rsid w:val="00104227"/>
    <w:rsid w:val="00105B59"/>
    <w:rsid w:val="001107BF"/>
    <w:rsid w:val="00113649"/>
    <w:rsid w:val="00114658"/>
    <w:rsid w:val="00114FE3"/>
    <w:rsid w:val="00115DBB"/>
    <w:rsid w:val="001176FA"/>
    <w:rsid w:val="00122D8B"/>
    <w:rsid w:val="0012417C"/>
    <w:rsid w:val="001263A1"/>
    <w:rsid w:val="00126625"/>
    <w:rsid w:val="0012749D"/>
    <w:rsid w:val="00131575"/>
    <w:rsid w:val="00134F32"/>
    <w:rsid w:val="00141736"/>
    <w:rsid w:val="00142395"/>
    <w:rsid w:val="001423DC"/>
    <w:rsid w:val="00142714"/>
    <w:rsid w:val="00142C65"/>
    <w:rsid w:val="00144834"/>
    <w:rsid w:val="00144FFA"/>
    <w:rsid w:val="001452ED"/>
    <w:rsid w:val="00145D3A"/>
    <w:rsid w:val="00147D84"/>
    <w:rsid w:val="0015086E"/>
    <w:rsid w:val="00150E7B"/>
    <w:rsid w:val="00152F6F"/>
    <w:rsid w:val="00153C69"/>
    <w:rsid w:val="001549C1"/>
    <w:rsid w:val="00154EC9"/>
    <w:rsid w:val="001558E7"/>
    <w:rsid w:val="00155F52"/>
    <w:rsid w:val="00156600"/>
    <w:rsid w:val="00156FAA"/>
    <w:rsid w:val="00157BB1"/>
    <w:rsid w:val="00160B94"/>
    <w:rsid w:val="00160E57"/>
    <w:rsid w:val="00162BDD"/>
    <w:rsid w:val="00162D4E"/>
    <w:rsid w:val="00163329"/>
    <w:rsid w:val="00164623"/>
    <w:rsid w:val="001648EE"/>
    <w:rsid w:val="001652DE"/>
    <w:rsid w:val="00165B64"/>
    <w:rsid w:val="00166382"/>
    <w:rsid w:val="00166764"/>
    <w:rsid w:val="00166EDC"/>
    <w:rsid w:val="001711CA"/>
    <w:rsid w:val="001737CA"/>
    <w:rsid w:val="00177A8B"/>
    <w:rsid w:val="00180713"/>
    <w:rsid w:val="00180720"/>
    <w:rsid w:val="001830CE"/>
    <w:rsid w:val="00185110"/>
    <w:rsid w:val="00185184"/>
    <w:rsid w:val="001862AE"/>
    <w:rsid w:val="0018643B"/>
    <w:rsid w:val="001911BC"/>
    <w:rsid w:val="001946F1"/>
    <w:rsid w:val="00196307"/>
    <w:rsid w:val="001A24D8"/>
    <w:rsid w:val="001A33EA"/>
    <w:rsid w:val="001A3F59"/>
    <w:rsid w:val="001A3F80"/>
    <w:rsid w:val="001A4C4F"/>
    <w:rsid w:val="001A76FB"/>
    <w:rsid w:val="001A774D"/>
    <w:rsid w:val="001B017F"/>
    <w:rsid w:val="001B04FC"/>
    <w:rsid w:val="001B0F63"/>
    <w:rsid w:val="001B2780"/>
    <w:rsid w:val="001B2BBC"/>
    <w:rsid w:val="001B3477"/>
    <w:rsid w:val="001B3910"/>
    <w:rsid w:val="001B3A0E"/>
    <w:rsid w:val="001B3A40"/>
    <w:rsid w:val="001B3A71"/>
    <w:rsid w:val="001B3FFE"/>
    <w:rsid w:val="001B40C5"/>
    <w:rsid w:val="001B4C68"/>
    <w:rsid w:val="001B4DC7"/>
    <w:rsid w:val="001B5129"/>
    <w:rsid w:val="001B6776"/>
    <w:rsid w:val="001B7D73"/>
    <w:rsid w:val="001C0B4C"/>
    <w:rsid w:val="001C1093"/>
    <w:rsid w:val="001C1195"/>
    <w:rsid w:val="001C12CE"/>
    <w:rsid w:val="001C187F"/>
    <w:rsid w:val="001C2E42"/>
    <w:rsid w:val="001C4C27"/>
    <w:rsid w:val="001C5E87"/>
    <w:rsid w:val="001D08E1"/>
    <w:rsid w:val="001D10BB"/>
    <w:rsid w:val="001D1F5F"/>
    <w:rsid w:val="001D2BBD"/>
    <w:rsid w:val="001D4971"/>
    <w:rsid w:val="001D7C41"/>
    <w:rsid w:val="001E06D2"/>
    <w:rsid w:val="001E5F70"/>
    <w:rsid w:val="001E60AA"/>
    <w:rsid w:val="001E6917"/>
    <w:rsid w:val="001F005B"/>
    <w:rsid w:val="001F0F08"/>
    <w:rsid w:val="001F1850"/>
    <w:rsid w:val="001F3189"/>
    <w:rsid w:val="001F424C"/>
    <w:rsid w:val="00203FAC"/>
    <w:rsid w:val="00207F2A"/>
    <w:rsid w:val="002105B0"/>
    <w:rsid w:val="00212FDD"/>
    <w:rsid w:val="00213C50"/>
    <w:rsid w:val="00213CFB"/>
    <w:rsid w:val="00213EC8"/>
    <w:rsid w:val="0021510C"/>
    <w:rsid w:val="0021553C"/>
    <w:rsid w:val="0021557B"/>
    <w:rsid w:val="0021599B"/>
    <w:rsid w:val="002174FD"/>
    <w:rsid w:val="00217BE1"/>
    <w:rsid w:val="00221531"/>
    <w:rsid w:val="00221714"/>
    <w:rsid w:val="002243D5"/>
    <w:rsid w:val="00230BDB"/>
    <w:rsid w:val="00234252"/>
    <w:rsid w:val="00237AC6"/>
    <w:rsid w:val="00244490"/>
    <w:rsid w:val="00244853"/>
    <w:rsid w:val="00245041"/>
    <w:rsid w:val="002452F3"/>
    <w:rsid w:val="002459EE"/>
    <w:rsid w:val="00245B87"/>
    <w:rsid w:val="00245B9C"/>
    <w:rsid w:val="002476DF"/>
    <w:rsid w:val="00247796"/>
    <w:rsid w:val="00253499"/>
    <w:rsid w:val="002551A4"/>
    <w:rsid w:val="00256E6C"/>
    <w:rsid w:val="00257664"/>
    <w:rsid w:val="002602B2"/>
    <w:rsid w:val="002615B6"/>
    <w:rsid w:val="002629BA"/>
    <w:rsid w:val="00265151"/>
    <w:rsid w:val="00266509"/>
    <w:rsid w:val="00266F47"/>
    <w:rsid w:val="00267C08"/>
    <w:rsid w:val="0027093B"/>
    <w:rsid w:val="00271BA1"/>
    <w:rsid w:val="002762FA"/>
    <w:rsid w:val="00277505"/>
    <w:rsid w:val="002776F1"/>
    <w:rsid w:val="0028081E"/>
    <w:rsid w:val="002815FE"/>
    <w:rsid w:val="00281A3B"/>
    <w:rsid w:val="00281C04"/>
    <w:rsid w:val="002823B6"/>
    <w:rsid w:val="002905B6"/>
    <w:rsid w:val="00291A65"/>
    <w:rsid w:val="00294274"/>
    <w:rsid w:val="0029458F"/>
    <w:rsid w:val="00294A37"/>
    <w:rsid w:val="00296F57"/>
    <w:rsid w:val="00297C55"/>
    <w:rsid w:val="002A0E04"/>
    <w:rsid w:val="002A104C"/>
    <w:rsid w:val="002A18D7"/>
    <w:rsid w:val="002A1AB4"/>
    <w:rsid w:val="002A1BAA"/>
    <w:rsid w:val="002A1EF7"/>
    <w:rsid w:val="002A3648"/>
    <w:rsid w:val="002A4240"/>
    <w:rsid w:val="002A494D"/>
    <w:rsid w:val="002A4960"/>
    <w:rsid w:val="002A68EE"/>
    <w:rsid w:val="002B0AE0"/>
    <w:rsid w:val="002B1970"/>
    <w:rsid w:val="002B1AE6"/>
    <w:rsid w:val="002B1D51"/>
    <w:rsid w:val="002B2DE8"/>
    <w:rsid w:val="002B30F8"/>
    <w:rsid w:val="002B36D3"/>
    <w:rsid w:val="002B388A"/>
    <w:rsid w:val="002B5596"/>
    <w:rsid w:val="002B5BAF"/>
    <w:rsid w:val="002B5BCE"/>
    <w:rsid w:val="002B7917"/>
    <w:rsid w:val="002C0489"/>
    <w:rsid w:val="002C0C99"/>
    <w:rsid w:val="002C20D7"/>
    <w:rsid w:val="002C212F"/>
    <w:rsid w:val="002C24FA"/>
    <w:rsid w:val="002C2901"/>
    <w:rsid w:val="002C4913"/>
    <w:rsid w:val="002C4A53"/>
    <w:rsid w:val="002C4D44"/>
    <w:rsid w:val="002C7485"/>
    <w:rsid w:val="002D22F5"/>
    <w:rsid w:val="002D283A"/>
    <w:rsid w:val="002D3CED"/>
    <w:rsid w:val="002D3DA2"/>
    <w:rsid w:val="002D4543"/>
    <w:rsid w:val="002D6416"/>
    <w:rsid w:val="002E235B"/>
    <w:rsid w:val="002E25DC"/>
    <w:rsid w:val="002E3153"/>
    <w:rsid w:val="002E5292"/>
    <w:rsid w:val="002E72CA"/>
    <w:rsid w:val="002F1FB9"/>
    <w:rsid w:val="002F39B3"/>
    <w:rsid w:val="002F3BA0"/>
    <w:rsid w:val="002F600D"/>
    <w:rsid w:val="00300AD6"/>
    <w:rsid w:val="00300B1B"/>
    <w:rsid w:val="00300EFC"/>
    <w:rsid w:val="00301023"/>
    <w:rsid w:val="003016C3"/>
    <w:rsid w:val="003019D0"/>
    <w:rsid w:val="00302397"/>
    <w:rsid w:val="0030267E"/>
    <w:rsid w:val="00304104"/>
    <w:rsid w:val="00304304"/>
    <w:rsid w:val="00304470"/>
    <w:rsid w:val="003064AF"/>
    <w:rsid w:val="0030763D"/>
    <w:rsid w:val="00310B68"/>
    <w:rsid w:val="00311A10"/>
    <w:rsid w:val="00314429"/>
    <w:rsid w:val="00315F60"/>
    <w:rsid w:val="0031739A"/>
    <w:rsid w:val="00317C6C"/>
    <w:rsid w:val="00320B85"/>
    <w:rsid w:val="00320CD3"/>
    <w:rsid w:val="0032136F"/>
    <w:rsid w:val="00322CD7"/>
    <w:rsid w:val="00323494"/>
    <w:rsid w:val="003244AC"/>
    <w:rsid w:val="003263C0"/>
    <w:rsid w:val="00326E79"/>
    <w:rsid w:val="003301B1"/>
    <w:rsid w:val="0033076B"/>
    <w:rsid w:val="00331189"/>
    <w:rsid w:val="0033263D"/>
    <w:rsid w:val="0033518A"/>
    <w:rsid w:val="003367EF"/>
    <w:rsid w:val="003372B1"/>
    <w:rsid w:val="0033743B"/>
    <w:rsid w:val="003405A0"/>
    <w:rsid w:val="00341AE4"/>
    <w:rsid w:val="00342458"/>
    <w:rsid w:val="0034344A"/>
    <w:rsid w:val="003446F2"/>
    <w:rsid w:val="003447C6"/>
    <w:rsid w:val="003476EE"/>
    <w:rsid w:val="003479B8"/>
    <w:rsid w:val="00347CC6"/>
    <w:rsid w:val="00350AB2"/>
    <w:rsid w:val="00351765"/>
    <w:rsid w:val="003541DD"/>
    <w:rsid w:val="00356E5B"/>
    <w:rsid w:val="00371443"/>
    <w:rsid w:val="0037161B"/>
    <w:rsid w:val="00371DE9"/>
    <w:rsid w:val="003721EA"/>
    <w:rsid w:val="003736C9"/>
    <w:rsid w:val="0037420D"/>
    <w:rsid w:val="0037526C"/>
    <w:rsid w:val="003756EE"/>
    <w:rsid w:val="00376F66"/>
    <w:rsid w:val="00384988"/>
    <w:rsid w:val="003872CF"/>
    <w:rsid w:val="0039495F"/>
    <w:rsid w:val="00395E59"/>
    <w:rsid w:val="00396462"/>
    <w:rsid w:val="0039676E"/>
    <w:rsid w:val="003976CD"/>
    <w:rsid w:val="0039782C"/>
    <w:rsid w:val="003A0ED4"/>
    <w:rsid w:val="003A1648"/>
    <w:rsid w:val="003A20AA"/>
    <w:rsid w:val="003A42BB"/>
    <w:rsid w:val="003A5B4A"/>
    <w:rsid w:val="003A5D95"/>
    <w:rsid w:val="003A7A37"/>
    <w:rsid w:val="003B1A21"/>
    <w:rsid w:val="003B23C5"/>
    <w:rsid w:val="003B2A75"/>
    <w:rsid w:val="003B388F"/>
    <w:rsid w:val="003B6124"/>
    <w:rsid w:val="003C093A"/>
    <w:rsid w:val="003C1ECF"/>
    <w:rsid w:val="003C2924"/>
    <w:rsid w:val="003C2CC8"/>
    <w:rsid w:val="003C2FB5"/>
    <w:rsid w:val="003C3691"/>
    <w:rsid w:val="003D1D0D"/>
    <w:rsid w:val="003D24C5"/>
    <w:rsid w:val="003D3586"/>
    <w:rsid w:val="003D4AC4"/>
    <w:rsid w:val="003D5954"/>
    <w:rsid w:val="003D63B7"/>
    <w:rsid w:val="003D74C5"/>
    <w:rsid w:val="003E00F7"/>
    <w:rsid w:val="003E22BA"/>
    <w:rsid w:val="003E25DB"/>
    <w:rsid w:val="003E29B4"/>
    <w:rsid w:val="003E468B"/>
    <w:rsid w:val="003E62BD"/>
    <w:rsid w:val="003F0C3A"/>
    <w:rsid w:val="003F3228"/>
    <w:rsid w:val="003F4B5B"/>
    <w:rsid w:val="003F5C8C"/>
    <w:rsid w:val="003F63CE"/>
    <w:rsid w:val="003F775A"/>
    <w:rsid w:val="00400E55"/>
    <w:rsid w:val="00401224"/>
    <w:rsid w:val="0040128E"/>
    <w:rsid w:val="0040216B"/>
    <w:rsid w:val="00402E41"/>
    <w:rsid w:val="004047C6"/>
    <w:rsid w:val="00406A26"/>
    <w:rsid w:val="00407886"/>
    <w:rsid w:val="0041199E"/>
    <w:rsid w:val="004131B2"/>
    <w:rsid w:val="00413EB5"/>
    <w:rsid w:val="00415CD9"/>
    <w:rsid w:val="004252EC"/>
    <w:rsid w:val="0042728B"/>
    <w:rsid w:val="0042787D"/>
    <w:rsid w:val="00427DC1"/>
    <w:rsid w:val="00430D39"/>
    <w:rsid w:val="0043271B"/>
    <w:rsid w:val="00436BE5"/>
    <w:rsid w:val="0044099F"/>
    <w:rsid w:val="004454B8"/>
    <w:rsid w:val="0044569E"/>
    <w:rsid w:val="00445F81"/>
    <w:rsid w:val="004465BD"/>
    <w:rsid w:val="00446938"/>
    <w:rsid w:val="0045226D"/>
    <w:rsid w:val="004540BF"/>
    <w:rsid w:val="004540D1"/>
    <w:rsid w:val="004541D6"/>
    <w:rsid w:val="0045705F"/>
    <w:rsid w:val="00461A44"/>
    <w:rsid w:val="00463811"/>
    <w:rsid w:val="00464276"/>
    <w:rsid w:val="00465A9B"/>
    <w:rsid w:val="004667FC"/>
    <w:rsid w:val="00466ADA"/>
    <w:rsid w:val="00467206"/>
    <w:rsid w:val="004678E4"/>
    <w:rsid w:val="00467F5C"/>
    <w:rsid w:val="004702BB"/>
    <w:rsid w:val="00470489"/>
    <w:rsid w:val="00470A76"/>
    <w:rsid w:val="00471AFB"/>
    <w:rsid w:val="00471D0D"/>
    <w:rsid w:val="0047494B"/>
    <w:rsid w:val="00474CD6"/>
    <w:rsid w:val="00476245"/>
    <w:rsid w:val="00477A9B"/>
    <w:rsid w:val="00477C02"/>
    <w:rsid w:val="004827CC"/>
    <w:rsid w:val="00483035"/>
    <w:rsid w:val="00485922"/>
    <w:rsid w:val="00485940"/>
    <w:rsid w:val="00487B20"/>
    <w:rsid w:val="004904B9"/>
    <w:rsid w:val="00490A8E"/>
    <w:rsid w:val="00491748"/>
    <w:rsid w:val="0049322D"/>
    <w:rsid w:val="00494DF0"/>
    <w:rsid w:val="004960F2"/>
    <w:rsid w:val="004A0BF2"/>
    <w:rsid w:val="004A2484"/>
    <w:rsid w:val="004A393E"/>
    <w:rsid w:val="004A3EB5"/>
    <w:rsid w:val="004A46AE"/>
    <w:rsid w:val="004A5A85"/>
    <w:rsid w:val="004A61B0"/>
    <w:rsid w:val="004A71D1"/>
    <w:rsid w:val="004A7C5B"/>
    <w:rsid w:val="004B15D4"/>
    <w:rsid w:val="004B17C0"/>
    <w:rsid w:val="004B1845"/>
    <w:rsid w:val="004B2E98"/>
    <w:rsid w:val="004B5640"/>
    <w:rsid w:val="004B723F"/>
    <w:rsid w:val="004C03D0"/>
    <w:rsid w:val="004C1B2F"/>
    <w:rsid w:val="004C1BD7"/>
    <w:rsid w:val="004C1F2B"/>
    <w:rsid w:val="004C2FB4"/>
    <w:rsid w:val="004C31FE"/>
    <w:rsid w:val="004C524C"/>
    <w:rsid w:val="004C5FFA"/>
    <w:rsid w:val="004C691D"/>
    <w:rsid w:val="004C6C07"/>
    <w:rsid w:val="004D0094"/>
    <w:rsid w:val="004D0414"/>
    <w:rsid w:val="004D0D1D"/>
    <w:rsid w:val="004D1AE2"/>
    <w:rsid w:val="004D483C"/>
    <w:rsid w:val="004D4FF0"/>
    <w:rsid w:val="004D4FF6"/>
    <w:rsid w:val="004E1A9D"/>
    <w:rsid w:val="004E1E07"/>
    <w:rsid w:val="004E26ED"/>
    <w:rsid w:val="004E2EEE"/>
    <w:rsid w:val="004E3DFE"/>
    <w:rsid w:val="004E4912"/>
    <w:rsid w:val="004E562F"/>
    <w:rsid w:val="004E62E5"/>
    <w:rsid w:val="004E6729"/>
    <w:rsid w:val="004E692D"/>
    <w:rsid w:val="004E7D87"/>
    <w:rsid w:val="004F1497"/>
    <w:rsid w:val="004F2553"/>
    <w:rsid w:val="005009A5"/>
    <w:rsid w:val="00501554"/>
    <w:rsid w:val="00502AFE"/>
    <w:rsid w:val="00503157"/>
    <w:rsid w:val="00503AD7"/>
    <w:rsid w:val="00503BF9"/>
    <w:rsid w:val="00504E0C"/>
    <w:rsid w:val="005100D5"/>
    <w:rsid w:val="005109D4"/>
    <w:rsid w:val="005119B4"/>
    <w:rsid w:val="00512236"/>
    <w:rsid w:val="00514CD7"/>
    <w:rsid w:val="00515540"/>
    <w:rsid w:val="00520D6A"/>
    <w:rsid w:val="00522DB6"/>
    <w:rsid w:val="005237CE"/>
    <w:rsid w:val="0052542C"/>
    <w:rsid w:val="0052792D"/>
    <w:rsid w:val="0053083D"/>
    <w:rsid w:val="00530E1B"/>
    <w:rsid w:val="005319B2"/>
    <w:rsid w:val="00531FFA"/>
    <w:rsid w:val="00532402"/>
    <w:rsid w:val="00532C74"/>
    <w:rsid w:val="00534E2E"/>
    <w:rsid w:val="00542F19"/>
    <w:rsid w:val="00544552"/>
    <w:rsid w:val="00545130"/>
    <w:rsid w:val="00547279"/>
    <w:rsid w:val="005477BB"/>
    <w:rsid w:val="00550917"/>
    <w:rsid w:val="0055120E"/>
    <w:rsid w:val="00551923"/>
    <w:rsid w:val="0055286A"/>
    <w:rsid w:val="00553B3E"/>
    <w:rsid w:val="005554FB"/>
    <w:rsid w:val="00555745"/>
    <w:rsid w:val="00557D4F"/>
    <w:rsid w:val="0056484E"/>
    <w:rsid w:val="005660D2"/>
    <w:rsid w:val="00566D0E"/>
    <w:rsid w:val="00566D9A"/>
    <w:rsid w:val="00567154"/>
    <w:rsid w:val="005759B2"/>
    <w:rsid w:val="00575EDB"/>
    <w:rsid w:val="00576297"/>
    <w:rsid w:val="00576401"/>
    <w:rsid w:val="005764CD"/>
    <w:rsid w:val="005766CE"/>
    <w:rsid w:val="0057691D"/>
    <w:rsid w:val="00576D39"/>
    <w:rsid w:val="0057701E"/>
    <w:rsid w:val="00577C4D"/>
    <w:rsid w:val="00580532"/>
    <w:rsid w:val="0058132F"/>
    <w:rsid w:val="005815B6"/>
    <w:rsid w:val="00581932"/>
    <w:rsid w:val="005830EF"/>
    <w:rsid w:val="00584D35"/>
    <w:rsid w:val="00585A3F"/>
    <w:rsid w:val="0058646F"/>
    <w:rsid w:val="00590962"/>
    <w:rsid w:val="0059250C"/>
    <w:rsid w:val="00592F8B"/>
    <w:rsid w:val="00593F0C"/>
    <w:rsid w:val="00594218"/>
    <w:rsid w:val="005963BB"/>
    <w:rsid w:val="00596B4C"/>
    <w:rsid w:val="005972ED"/>
    <w:rsid w:val="005A0AF5"/>
    <w:rsid w:val="005A0FD8"/>
    <w:rsid w:val="005A3173"/>
    <w:rsid w:val="005A3223"/>
    <w:rsid w:val="005A3DA3"/>
    <w:rsid w:val="005A52C4"/>
    <w:rsid w:val="005A5432"/>
    <w:rsid w:val="005A6E79"/>
    <w:rsid w:val="005A7FC4"/>
    <w:rsid w:val="005B094F"/>
    <w:rsid w:val="005B1D7B"/>
    <w:rsid w:val="005B2819"/>
    <w:rsid w:val="005B4B34"/>
    <w:rsid w:val="005C1BDD"/>
    <w:rsid w:val="005C35EA"/>
    <w:rsid w:val="005C4CFC"/>
    <w:rsid w:val="005C4F73"/>
    <w:rsid w:val="005C6697"/>
    <w:rsid w:val="005C73BF"/>
    <w:rsid w:val="005D0260"/>
    <w:rsid w:val="005D03AB"/>
    <w:rsid w:val="005D03C5"/>
    <w:rsid w:val="005D45BD"/>
    <w:rsid w:val="005D5017"/>
    <w:rsid w:val="005D51F8"/>
    <w:rsid w:val="005D56F4"/>
    <w:rsid w:val="005D63FA"/>
    <w:rsid w:val="005D7A6E"/>
    <w:rsid w:val="005E0D82"/>
    <w:rsid w:val="005E1333"/>
    <w:rsid w:val="005E3136"/>
    <w:rsid w:val="005E3963"/>
    <w:rsid w:val="005E507D"/>
    <w:rsid w:val="005E7D78"/>
    <w:rsid w:val="005F1FB2"/>
    <w:rsid w:val="005F5855"/>
    <w:rsid w:val="005F688B"/>
    <w:rsid w:val="00601A91"/>
    <w:rsid w:val="00602BA3"/>
    <w:rsid w:val="00604319"/>
    <w:rsid w:val="00604A0F"/>
    <w:rsid w:val="00605B63"/>
    <w:rsid w:val="00605F9A"/>
    <w:rsid w:val="00606911"/>
    <w:rsid w:val="00606EED"/>
    <w:rsid w:val="00610861"/>
    <w:rsid w:val="00612A4D"/>
    <w:rsid w:val="00612E34"/>
    <w:rsid w:val="00614159"/>
    <w:rsid w:val="006166D8"/>
    <w:rsid w:val="00616C5F"/>
    <w:rsid w:val="00616DAC"/>
    <w:rsid w:val="00617C00"/>
    <w:rsid w:val="0062086D"/>
    <w:rsid w:val="0062196A"/>
    <w:rsid w:val="006255CB"/>
    <w:rsid w:val="006263BF"/>
    <w:rsid w:val="0062748A"/>
    <w:rsid w:val="00630A2C"/>
    <w:rsid w:val="00631DAB"/>
    <w:rsid w:val="00632321"/>
    <w:rsid w:val="006328FC"/>
    <w:rsid w:val="006338BA"/>
    <w:rsid w:val="0063682E"/>
    <w:rsid w:val="00640A85"/>
    <w:rsid w:val="00642DA8"/>
    <w:rsid w:val="006436CD"/>
    <w:rsid w:val="00643EEB"/>
    <w:rsid w:val="00645A53"/>
    <w:rsid w:val="006472A1"/>
    <w:rsid w:val="00650BA8"/>
    <w:rsid w:val="00651169"/>
    <w:rsid w:val="00651205"/>
    <w:rsid w:val="00651773"/>
    <w:rsid w:val="00653D69"/>
    <w:rsid w:val="00654920"/>
    <w:rsid w:val="006552E6"/>
    <w:rsid w:val="00655502"/>
    <w:rsid w:val="00655794"/>
    <w:rsid w:val="00655A5A"/>
    <w:rsid w:val="00655AA6"/>
    <w:rsid w:val="00656AEA"/>
    <w:rsid w:val="00657C63"/>
    <w:rsid w:val="00657ED5"/>
    <w:rsid w:val="006613B9"/>
    <w:rsid w:val="00663A74"/>
    <w:rsid w:val="00664D2E"/>
    <w:rsid w:val="00665772"/>
    <w:rsid w:val="006670BE"/>
    <w:rsid w:val="00670322"/>
    <w:rsid w:val="00670A76"/>
    <w:rsid w:val="00670EED"/>
    <w:rsid w:val="006711AA"/>
    <w:rsid w:val="00671AA9"/>
    <w:rsid w:val="00671CE0"/>
    <w:rsid w:val="00672B57"/>
    <w:rsid w:val="00673F1F"/>
    <w:rsid w:val="00674443"/>
    <w:rsid w:val="00675622"/>
    <w:rsid w:val="0067747D"/>
    <w:rsid w:val="006818D5"/>
    <w:rsid w:val="00681BE9"/>
    <w:rsid w:val="00681CA4"/>
    <w:rsid w:val="0068337C"/>
    <w:rsid w:val="00683F9E"/>
    <w:rsid w:val="00685D83"/>
    <w:rsid w:val="00687C36"/>
    <w:rsid w:val="0069039D"/>
    <w:rsid w:val="006906DB"/>
    <w:rsid w:val="00691E6C"/>
    <w:rsid w:val="0069375F"/>
    <w:rsid w:val="00693DFB"/>
    <w:rsid w:val="00694DA7"/>
    <w:rsid w:val="0069501D"/>
    <w:rsid w:val="00696129"/>
    <w:rsid w:val="0069698B"/>
    <w:rsid w:val="0069749F"/>
    <w:rsid w:val="00697CF2"/>
    <w:rsid w:val="006A0C29"/>
    <w:rsid w:val="006A12A5"/>
    <w:rsid w:val="006A286D"/>
    <w:rsid w:val="006A2C44"/>
    <w:rsid w:val="006A4027"/>
    <w:rsid w:val="006A5E20"/>
    <w:rsid w:val="006A76BD"/>
    <w:rsid w:val="006A7A28"/>
    <w:rsid w:val="006B02AC"/>
    <w:rsid w:val="006B0D94"/>
    <w:rsid w:val="006B1DD8"/>
    <w:rsid w:val="006B32BD"/>
    <w:rsid w:val="006B35B8"/>
    <w:rsid w:val="006B485D"/>
    <w:rsid w:val="006C0095"/>
    <w:rsid w:val="006C0334"/>
    <w:rsid w:val="006C0F99"/>
    <w:rsid w:val="006C1B8B"/>
    <w:rsid w:val="006C2CEC"/>
    <w:rsid w:val="006C334C"/>
    <w:rsid w:val="006C3A23"/>
    <w:rsid w:val="006C4DDB"/>
    <w:rsid w:val="006C6BF0"/>
    <w:rsid w:val="006C6DA7"/>
    <w:rsid w:val="006C708E"/>
    <w:rsid w:val="006C7C4D"/>
    <w:rsid w:val="006D0384"/>
    <w:rsid w:val="006D14E7"/>
    <w:rsid w:val="006D227A"/>
    <w:rsid w:val="006D2509"/>
    <w:rsid w:val="006D32E9"/>
    <w:rsid w:val="006D4444"/>
    <w:rsid w:val="006D6493"/>
    <w:rsid w:val="006D6EC7"/>
    <w:rsid w:val="006E0860"/>
    <w:rsid w:val="006E1BCD"/>
    <w:rsid w:val="006E37A0"/>
    <w:rsid w:val="006E37E0"/>
    <w:rsid w:val="006E5EF3"/>
    <w:rsid w:val="006E6A29"/>
    <w:rsid w:val="006E7FB6"/>
    <w:rsid w:val="006F0A71"/>
    <w:rsid w:val="006F0BDD"/>
    <w:rsid w:val="006F1391"/>
    <w:rsid w:val="006F40C2"/>
    <w:rsid w:val="006F4D9F"/>
    <w:rsid w:val="006F5125"/>
    <w:rsid w:val="006F6FEB"/>
    <w:rsid w:val="006F733D"/>
    <w:rsid w:val="006F7A41"/>
    <w:rsid w:val="007005EF"/>
    <w:rsid w:val="00702B6F"/>
    <w:rsid w:val="00706965"/>
    <w:rsid w:val="00706A2F"/>
    <w:rsid w:val="0070718E"/>
    <w:rsid w:val="00710259"/>
    <w:rsid w:val="0071031F"/>
    <w:rsid w:val="00710766"/>
    <w:rsid w:val="007114EA"/>
    <w:rsid w:val="0071340B"/>
    <w:rsid w:val="00714688"/>
    <w:rsid w:val="00715BBB"/>
    <w:rsid w:val="00715F63"/>
    <w:rsid w:val="007174BB"/>
    <w:rsid w:val="0072025D"/>
    <w:rsid w:val="00720F54"/>
    <w:rsid w:val="00721EFB"/>
    <w:rsid w:val="00722F34"/>
    <w:rsid w:val="007310AE"/>
    <w:rsid w:val="0073137C"/>
    <w:rsid w:val="0073227F"/>
    <w:rsid w:val="0073241A"/>
    <w:rsid w:val="007353D3"/>
    <w:rsid w:val="007379D0"/>
    <w:rsid w:val="0074156B"/>
    <w:rsid w:val="00741F6B"/>
    <w:rsid w:val="00741FB2"/>
    <w:rsid w:val="007433DC"/>
    <w:rsid w:val="00746F5F"/>
    <w:rsid w:val="00747092"/>
    <w:rsid w:val="00750068"/>
    <w:rsid w:val="00751968"/>
    <w:rsid w:val="00751E50"/>
    <w:rsid w:val="00754436"/>
    <w:rsid w:val="00754C45"/>
    <w:rsid w:val="007555E8"/>
    <w:rsid w:val="0076064A"/>
    <w:rsid w:val="00762681"/>
    <w:rsid w:val="00763048"/>
    <w:rsid w:val="0076420C"/>
    <w:rsid w:val="00770D5D"/>
    <w:rsid w:val="00771D07"/>
    <w:rsid w:val="00772194"/>
    <w:rsid w:val="007732F5"/>
    <w:rsid w:val="0077332C"/>
    <w:rsid w:val="00773BE3"/>
    <w:rsid w:val="00774E2C"/>
    <w:rsid w:val="007753C2"/>
    <w:rsid w:val="007838B8"/>
    <w:rsid w:val="00784BB8"/>
    <w:rsid w:val="0079128E"/>
    <w:rsid w:val="007915BA"/>
    <w:rsid w:val="007920A4"/>
    <w:rsid w:val="00793BA6"/>
    <w:rsid w:val="00793E89"/>
    <w:rsid w:val="00794C3E"/>
    <w:rsid w:val="0079601D"/>
    <w:rsid w:val="007A20C3"/>
    <w:rsid w:val="007A31CE"/>
    <w:rsid w:val="007A5B91"/>
    <w:rsid w:val="007B3DDC"/>
    <w:rsid w:val="007B545C"/>
    <w:rsid w:val="007B72A6"/>
    <w:rsid w:val="007C0F57"/>
    <w:rsid w:val="007C21A8"/>
    <w:rsid w:val="007C40B6"/>
    <w:rsid w:val="007C441A"/>
    <w:rsid w:val="007C5D46"/>
    <w:rsid w:val="007C6C8F"/>
    <w:rsid w:val="007C729F"/>
    <w:rsid w:val="007C7D93"/>
    <w:rsid w:val="007D503D"/>
    <w:rsid w:val="007D6568"/>
    <w:rsid w:val="007D789D"/>
    <w:rsid w:val="007D7C84"/>
    <w:rsid w:val="007E1D28"/>
    <w:rsid w:val="007E2231"/>
    <w:rsid w:val="007E3311"/>
    <w:rsid w:val="007E511C"/>
    <w:rsid w:val="007E6B72"/>
    <w:rsid w:val="007E771E"/>
    <w:rsid w:val="007E7ED5"/>
    <w:rsid w:val="007F0021"/>
    <w:rsid w:val="007F154E"/>
    <w:rsid w:val="007F2641"/>
    <w:rsid w:val="007F391C"/>
    <w:rsid w:val="007F46CE"/>
    <w:rsid w:val="007F4A7B"/>
    <w:rsid w:val="007F4D65"/>
    <w:rsid w:val="007F6DBD"/>
    <w:rsid w:val="007F7C36"/>
    <w:rsid w:val="00801B2B"/>
    <w:rsid w:val="008032AC"/>
    <w:rsid w:val="00806796"/>
    <w:rsid w:val="00806D40"/>
    <w:rsid w:val="00811CC0"/>
    <w:rsid w:val="008151D6"/>
    <w:rsid w:val="00815F1D"/>
    <w:rsid w:val="00820B0E"/>
    <w:rsid w:val="00821094"/>
    <w:rsid w:val="00821527"/>
    <w:rsid w:val="00821FBE"/>
    <w:rsid w:val="0082389A"/>
    <w:rsid w:val="00823B72"/>
    <w:rsid w:val="00824DEE"/>
    <w:rsid w:val="00825E1E"/>
    <w:rsid w:val="008268BB"/>
    <w:rsid w:val="00826F6D"/>
    <w:rsid w:val="008306F3"/>
    <w:rsid w:val="00830E40"/>
    <w:rsid w:val="00832C64"/>
    <w:rsid w:val="00835C62"/>
    <w:rsid w:val="00837A1B"/>
    <w:rsid w:val="00841905"/>
    <w:rsid w:val="00841BEF"/>
    <w:rsid w:val="00842326"/>
    <w:rsid w:val="00847574"/>
    <w:rsid w:val="00847EC0"/>
    <w:rsid w:val="00850578"/>
    <w:rsid w:val="008516D0"/>
    <w:rsid w:val="00852D3E"/>
    <w:rsid w:val="008539B4"/>
    <w:rsid w:val="00853D3F"/>
    <w:rsid w:val="00855FD6"/>
    <w:rsid w:val="00856DDD"/>
    <w:rsid w:val="008571D3"/>
    <w:rsid w:val="00860789"/>
    <w:rsid w:val="00861927"/>
    <w:rsid w:val="00863E68"/>
    <w:rsid w:val="008647B5"/>
    <w:rsid w:val="008675E5"/>
    <w:rsid w:val="00867FD6"/>
    <w:rsid w:val="00872A19"/>
    <w:rsid w:val="00873C12"/>
    <w:rsid w:val="00873DEA"/>
    <w:rsid w:val="008740C6"/>
    <w:rsid w:val="00875BFD"/>
    <w:rsid w:val="00875DCB"/>
    <w:rsid w:val="00876844"/>
    <w:rsid w:val="00876845"/>
    <w:rsid w:val="00880611"/>
    <w:rsid w:val="008814EF"/>
    <w:rsid w:val="00882085"/>
    <w:rsid w:val="00883188"/>
    <w:rsid w:val="0088632A"/>
    <w:rsid w:val="008869A1"/>
    <w:rsid w:val="00887AAE"/>
    <w:rsid w:val="00890118"/>
    <w:rsid w:val="00890386"/>
    <w:rsid w:val="00891B0B"/>
    <w:rsid w:val="008955FF"/>
    <w:rsid w:val="008963D5"/>
    <w:rsid w:val="00897D58"/>
    <w:rsid w:val="00897F22"/>
    <w:rsid w:val="008A0B39"/>
    <w:rsid w:val="008A1956"/>
    <w:rsid w:val="008A3BE7"/>
    <w:rsid w:val="008A4937"/>
    <w:rsid w:val="008A50F1"/>
    <w:rsid w:val="008A59D9"/>
    <w:rsid w:val="008A6819"/>
    <w:rsid w:val="008A7541"/>
    <w:rsid w:val="008B0835"/>
    <w:rsid w:val="008B1649"/>
    <w:rsid w:val="008B2EC0"/>
    <w:rsid w:val="008B46A0"/>
    <w:rsid w:val="008B4819"/>
    <w:rsid w:val="008B79E1"/>
    <w:rsid w:val="008C000A"/>
    <w:rsid w:val="008C4D29"/>
    <w:rsid w:val="008C5432"/>
    <w:rsid w:val="008D08FC"/>
    <w:rsid w:val="008D1B5C"/>
    <w:rsid w:val="008D1D3C"/>
    <w:rsid w:val="008D23BA"/>
    <w:rsid w:val="008D3C82"/>
    <w:rsid w:val="008D447E"/>
    <w:rsid w:val="008D575C"/>
    <w:rsid w:val="008D7A41"/>
    <w:rsid w:val="008E270B"/>
    <w:rsid w:val="008E2C72"/>
    <w:rsid w:val="008E3680"/>
    <w:rsid w:val="008E39D7"/>
    <w:rsid w:val="008E524F"/>
    <w:rsid w:val="008E5870"/>
    <w:rsid w:val="008E58F8"/>
    <w:rsid w:val="008E76C3"/>
    <w:rsid w:val="008F0213"/>
    <w:rsid w:val="008F1434"/>
    <w:rsid w:val="008F1840"/>
    <w:rsid w:val="008F1ABD"/>
    <w:rsid w:val="008F2B4A"/>
    <w:rsid w:val="008F4E63"/>
    <w:rsid w:val="008F54C3"/>
    <w:rsid w:val="008F7355"/>
    <w:rsid w:val="00901154"/>
    <w:rsid w:val="009023DC"/>
    <w:rsid w:val="009027C5"/>
    <w:rsid w:val="00903EF8"/>
    <w:rsid w:val="00905998"/>
    <w:rsid w:val="00905BE5"/>
    <w:rsid w:val="009067B7"/>
    <w:rsid w:val="0090729A"/>
    <w:rsid w:val="009106A5"/>
    <w:rsid w:val="0091121C"/>
    <w:rsid w:val="00916D27"/>
    <w:rsid w:val="00917D69"/>
    <w:rsid w:val="00920B5B"/>
    <w:rsid w:val="009221A5"/>
    <w:rsid w:val="00926560"/>
    <w:rsid w:val="00930937"/>
    <w:rsid w:val="00931F36"/>
    <w:rsid w:val="009324A6"/>
    <w:rsid w:val="00932A15"/>
    <w:rsid w:val="00933E6C"/>
    <w:rsid w:val="00935062"/>
    <w:rsid w:val="00937276"/>
    <w:rsid w:val="00937958"/>
    <w:rsid w:val="009411EF"/>
    <w:rsid w:val="00941602"/>
    <w:rsid w:val="00942160"/>
    <w:rsid w:val="00943E46"/>
    <w:rsid w:val="00944F2A"/>
    <w:rsid w:val="009457D7"/>
    <w:rsid w:val="0095146F"/>
    <w:rsid w:val="00951EAF"/>
    <w:rsid w:val="00956EFE"/>
    <w:rsid w:val="00957944"/>
    <w:rsid w:val="009602C5"/>
    <w:rsid w:val="00962223"/>
    <w:rsid w:val="00966D0D"/>
    <w:rsid w:val="00967154"/>
    <w:rsid w:val="0096783C"/>
    <w:rsid w:val="009719EE"/>
    <w:rsid w:val="009722B3"/>
    <w:rsid w:val="00973288"/>
    <w:rsid w:val="009733F6"/>
    <w:rsid w:val="0097371F"/>
    <w:rsid w:val="00974C21"/>
    <w:rsid w:val="00975948"/>
    <w:rsid w:val="00977B19"/>
    <w:rsid w:val="00977BF3"/>
    <w:rsid w:val="009803E4"/>
    <w:rsid w:val="0098070F"/>
    <w:rsid w:val="00980B0E"/>
    <w:rsid w:val="009819E7"/>
    <w:rsid w:val="009836A3"/>
    <w:rsid w:val="00983D31"/>
    <w:rsid w:val="00983FBD"/>
    <w:rsid w:val="009855A8"/>
    <w:rsid w:val="00986752"/>
    <w:rsid w:val="009913F4"/>
    <w:rsid w:val="009917DE"/>
    <w:rsid w:val="00993071"/>
    <w:rsid w:val="009942DE"/>
    <w:rsid w:val="0099465B"/>
    <w:rsid w:val="0099644F"/>
    <w:rsid w:val="009A0CDD"/>
    <w:rsid w:val="009A0FE0"/>
    <w:rsid w:val="009A216E"/>
    <w:rsid w:val="009A2E00"/>
    <w:rsid w:val="009A3168"/>
    <w:rsid w:val="009A61CA"/>
    <w:rsid w:val="009A7D8C"/>
    <w:rsid w:val="009B0018"/>
    <w:rsid w:val="009B02D8"/>
    <w:rsid w:val="009B0C64"/>
    <w:rsid w:val="009B0F67"/>
    <w:rsid w:val="009B3505"/>
    <w:rsid w:val="009B3C63"/>
    <w:rsid w:val="009B4DAF"/>
    <w:rsid w:val="009B5710"/>
    <w:rsid w:val="009B5DC8"/>
    <w:rsid w:val="009B6E6D"/>
    <w:rsid w:val="009B7907"/>
    <w:rsid w:val="009C152F"/>
    <w:rsid w:val="009C2E15"/>
    <w:rsid w:val="009C703C"/>
    <w:rsid w:val="009C7DF3"/>
    <w:rsid w:val="009D0900"/>
    <w:rsid w:val="009D1739"/>
    <w:rsid w:val="009D206E"/>
    <w:rsid w:val="009D3CAA"/>
    <w:rsid w:val="009D4251"/>
    <w:rsid w:val="009D637F"/>
    <w:rsid w:val="009D6532"/>
    <w:rsid w:val="009D79F3"/>
    <w:rsid w:val="009E0DF5"/>
    <w:rsid w:val="009E20F8"/>
    <w:rsid w:val="009E2E8E"/>
    <w:rsid w:val="009E37F5"/>
    <w:rsid w:val="009E40E1"/>
    <w:rsid w:val="009E443C"/>
    <w:rsid w:val="009E556A"/>
    <w:rsid w:val="009E5579"/>
    <w:rsid w:val="009E691A"/>
    <w:rsid w:val="009E69BC"/>
    <w:rsid w:val="009F0EFA"/>
    <w:rsid w:val="009F3093"/>
    <w:rsid w:val="009F32A2"/>
    <w:rsid w:val="009F4599"/>
    <w:rsid w:val="009F476A"/>
    <w:rsid w:val="009F4E46"/>
    <w:rsid w:val="009F5B65"/>
    <w:rsid w:val="009F5F2E"/>
    <w:rsid w:val="009F630A"/>
    <w:rsid w:val="009F7E16"/>
    <w:rsid w:val="00A00370"/>
    <w:rsid w:val="00A01432"/>
    <w:rsid w:val="00A06225"/>
    <w:rsid w:val="00A06BD1"/>
    <w:rsid w:val="00A06CD6"/>
    <w:rsid w:val="00A104EB"/>
    <w:rsid w:val="00A128E6"/>
    <w:rsid w:val="00A144D3"/>
    <w:rsid w:val="00A14983"/>
    <w:rsid w:val="00A16BEC"/>
    <w:rsid w:val="00A16E1F"/>
    <w:rsid w:val="00A22AC3"/>
    <w:rsid w:val="00A23F3F"/>
    <w:rsid w:val="00A24067"/>
    <w:rsid w:val="00A247E0"/>
    <w:rsid w:val="00A27095"/>
    <w:rsid w:val="00A2744D"/>
    <w:rsid w:val="00A31A3D"/>
    <w:rsid w:val="00A34E6C"/>
    <w:rsid w:val="00A35471"/>
    <w:rsid w:val="00A36398"/>
    <w:rsid w:val="00A37C8D"/>
    <w:rsid w:val="00A37F9D"/>
    <w:rsid w:val="00A4020E"/>
    <w:rsid w:val="00A40964"/>
    <w:rsid w:val="00A40FB5"/>
    <w:rsid w:val="00A42826"/>
    <w:rsid w:val="00A429B3"/>
    <w:rsid w:val="00A44856"/>
    <w:rsid w:val="00A5102B"/>
    <w:rsid w:val="00A5273B"/>
    <w:rsid w:val="00A539A1"/>
    <w:rsid w:val="00A53A9D"/>
    <w:rsid w:val="00A53BC2"/>
    <w:rsid w:val="00A55376"/>
    <w:rsid w:val="00A5576A"/>
    <w:rsid w:val="00A55FEE"/>
    <w:rsid w:val="00A57362"/>
    <w:rsid w:val="00A57422"/>
    <w:rsid w:val="00A62C1A"/>
    <w:rsid w:val="00A6426D"/>
    <w:rsid w:val="00A65FEB"/>
    <w:rsid w:val="00A665C1"/>
    <w:rsid w:val="00A66AC5"/>
    <w:rsid w:val="00A670C1"/>
    <w:rsid w:val="00A673A4"/>
    <w:rsid w:val="00A70622"/>
    <w:rsid w:val="00A70977"/>
    <w:rsid w:val="00A70D58"/>
    <w:rsid w:val="00A710A6"/>
    <w:rsid w:val="00A7167C"/>
    <w:rsid w:val="00A744F9"/>
    <w:rsid w:val="00A74D44"/>
    <w:rsid w:val="00A7559B"/>
    <w:rsid w:val="00A75B3D"/>
    <w:rsid w:val="00A75B47"/>
    <w:rsid w:val="00A75F07"/>
    <w:rsid w:val="00A7732A"/>
    <w:rsid w:val="00A77613"/>
    <w:rsid w:val="00A80678"/>
    <w:rsid w:val="00A808A0"/>
    <w:rsid w:val="00A81717"/>
    <w:rsid w:val="00A81851"/>
    <w:rsid w:val="00A82361"/>
    <w:rsid w:val="00A82938"/>
    <w:rsid w:val="00A8390C"/>
    <w:rsid w:val="00A86AE0"/>
    <w:rsid w:val="00A87704"/>
    <w:rsid w:val="00A87E8A"/>
    <w:rsid w:val="00A91045"/>
    <w:rsid w:val="00A912BB"/>
    <w:rsid w:val="00A92414"/>
    <w:rsid w:val="00A928BD"/>
    <w:rsid w:val="00A94D22"/>
    <w:rsid w:val="00A95922"/>
    <w:rsid w:val="00A96652"/>
    <w:rsid w:val="00A97DE9"/>
    <w:rsid w:val="00AA12CD"/>
    <w:rsid w:val="00AA4D1C"/>
    <w:rsid w:val="00AA4D2C"/>
    <w:rsid w:val="00AA52FD"/>
    <w:rsid w:val="00AA6A00"/>
    <w:rsid w:val="00AB009B"/>
    <w:rsid w:val="00AB12D9"/>
    <w:rsid w:val="00AB403B"/>
    <w:rsid w:val="00AB5856"/>
    <w:rsid w:val="00AB595E"/>
    <w:rsid w:val="00AB6D3E"/>
    <w:rsid w:val="00AB6F63"/>
    <w:rsid w:val="00AC193C"/>
    <w:rsid w:val="00AC4DE5"/>
    <w:rsid w:val="00AC5206"/>
    <w:rsid w:val="00AC6711"/>
    <w:rsid w:val="00AC76FF"/>
    <w:rsid w:val="00AD0CD5"/>
    <w:rsid w:val="00AD158B"/>
    <w:rsid w:val="00AD2CEF"/>
    <w:rsid w:val="00AD4322"/>
    <w:rsid w:val="00AD74E0"/>
    <w:rsid w:val="00AE11A5"/>
    <w:rsid w:val="00AE12F7"/>
    <w:rsid w:val="00AE13E2"/>
    <w:rsid w:val="00AE22D3"/>
    <w:rsid w:val="00AE5A49"/>
    <w:rsid w:val="00AE6EFD"/>
    <w:rsid w:val="00AE70AC"/>
    <w:rsid w:val="00AF1BC1"/>
    <w:rsid w:val="00AF2F89"/>
    <w:rsid w:val="00AF62DF"/>
    <w:rsid w:val="00AF68CC"/>
    <w:rsid w:val="00AF6E5D"/>
    <w:rsid w:val="00AF70D7"/>
    <w:rsid w:val="00B00047"/>
    <w:rsid w:val="00B014AD"/>
    <w:rsid w:val="00B01812"/>
    <w:rsid w:val="00B04577"/>
    <w:rsid w:val="00B06288"/>
    <w:rsid w:val="00B06478"/>
    <w:rsid w:val="00B0712C"/>
    <w:rsid w:val="00B07CFB"/>
    <w:rsid w:val="00B1059E"/>
    <w:rsid w:val="00B1072B"/>
    <w:rsid w:val="00B1287D"/>
    <w:rsid w:val="00B14D3D"/>
    <w:rsid w:val="00B16273"/>
    <w:rsid w:val="00B170A5"/>
    <w:rsid w:val="00B176C8"/>
    <w:rsid w:val="00B17EE5"/>
    <w:rsid w:val="00B205AA"/>
    <w:rsid w:val="00B22E84"/>
    <w:rsid w:val="00B233AD"/>
    <w:rsid w:val="00B23E25"/>
    <w:rsid w:val="00B24298"/>
    <w:rsid w:val="00B24465"/>
    <w:rsid w:val="00B24A5B"/>
    <w:rsid w:val="00B25F75"/>
    <w:rsid w:val="00B2655F"/>
    <w:rsid w:val="00B26B3F"/>
    <w:rsid w:val="00B2778F"/>
    <w:rsid w:val="00B30995"/>
    <w:rsid w:val="00B30E52"/>
    <w:rsid w:val="00B315EE"/>
    <w:rsid w:val="00B33635"/>
    <w:rsid w:val="00B35901"/>
    <w:rsid w:val="00B42A85"/>
    <w:rsid w:val="00B42AF4"/>
    <w:rsid w:val="00B42C66"/>
    <w:rsid w:val="00B43E90"/>
    <w:rsid w:val="00B46595"/>
    <w:rsid w:val="00B467DC"/>
    <w:rsid w:val="00B53D77"/>
    <w:rsid w:val="00B56118"/>
    <w:rsid w:val="00B63068"/>
    <w:rsid w:val="00B63F7E"/>
    <w:rsid w:val="00B65076"/>
    <w:rsid w:val="00B6773F"/>
    <w:rsid w:val="00B70B40"/>
    <w:rsid w:val="00B70C26"/>
    <w:rsid w:val="00B70EB3"/>
    <w:rsid w:val="00B73CDD"/>
    <w:rsid w:val="00B7525E"/>
    <w:rsid w:val="00B760FB"/>
    <w:rsid w:val="00B767AB"/>
    <w:rsid w:val="00B801BA"/>
    <w:rsid w:val="00B84CB2"/>
    <w:rsid w:val="00B84D5C"/>
    <w:rsid w:val="00B91852"/>
    <w:rsid w:val="00B95C1B"/>
    <w:rsid w:val="00B95D2D"/>
    <w:rsid w:val="00B97045"/>
    <w:rsid w:val="00BA0C11"/>
    <w:rsid w:val="00BA1902"/>
    <w:rsid w:val="00BA2DA8"/>
    <w:rsid w:val="00BA347C"/>
    <w:rsid w:val="00BA72BC"/>
    <w:rsid w:val="00BB52A6"/>
    <w:rsid w:val="00BB5C49"/>
    <w:rsid w:val="00BB69F5"/>
    <w:rsid w:val="00BB6C79"/>
    <w:rsid w:val="00BB750B"/>
    <w:rsid w:val="00BB7EC3"/>
    <w:rsid w:val="00BC06D4"/>
    <w:rsid w:val="00BC27C5"/>
    <w:rsid w:val="00BC3385"/>
    <w:rsid w:val="00BC36F0"/>
    <w:rsid w:val="00BC4B9A"/>
    <w:rsid w:val="00BD02C3"/>
    <w:rsid w:val="00BD173D"/>
    <w:rsid w:val="00BD26F3"/>
    <w:rsid w:val="00BD3845"/>
    <w:rsid w:val="00BD3A9E"/>
    <w:rsid w:val="00BD4735"/>
    <w:rsid w:val="00BD7483"/>
    <w:rsid w:val="00BD784C"/>
    <w:rsid w:val="00BE020A"/>
    <w:rsid w:val="00BE13DF"/>
    <w:rsid w:val="00BE1B52"/>
    <w:rsid w:val="00BE29F3"/>
    <w:rsid w:val="00BE61BC"/>
    <w:rsid w:val="00BE68EE"/>
    <w:rsid w:val="00BF092C"/>
    <w:rsid w:val="00BF27A0"/>
    <w:rsid w:val="00BF3E78"/>
    <w:rsid w:val="00BF4CB6"/>
    <w:rsid w:val="00BF52F1"/>
    <w:rsid w:val="00BF5BDB"/>
    <w:rsid w:val="00BF5D0D"/>
    <w:rsid w:val="00BF6390"/>
    <w:rsid w:val="00C00DA7"/>
    <w:rsid w:val="00C04CDE"/>
    <w:rsid w:val="00C12768"/>
    <w:rsid w:val="00C12D70"/>
    <w:rsid w:val="00C15693"/>
    <w:rsid w:val="00C16FDE"/>
    <w:rsid w:val="00C21B09"/>
    <w:rsid w:val="00C22E7C"/>
    <w:rsid w:val="00C2673A"/>
    <w:rsid w:val="00C27B58"/>
    <w:rsid w:val="00C3141D"/>
    <w:rsid w:val="00C31504"/>
    <w:rsid w:val="00C31692"/>
    <w:rsid w:val="00C32B65"/>
    <w:rsid w:val="00C337A5"/>
    <w:rsid w:val="00C35996"/>
    <w:rsid w:val="00C362A1"/>
    <w:rsid w:val="00C3709D"/>
    <w:rsid w:val="00C372D0"/>
    <w:rsid w:val="00C4237F"/>
    <w:rsid w:val="00C440F9"/>
    <w:rsid w:val="00C45FBF"/>
    <w:rsid w:val="00C46305"/>
    <w:rsid w:val="00C4747E"/>
    <w:rsid w:val="00C5151E"/>
    <w:rsid w:val="00C51F94"/>
    <w:rsid w:val="00C5342C"/>
    <w:rsid w:val="00C53B2B"/>
    <w:rsid w:val="00C53D03"/>
    <w:rsid w:val="00C60272"/>
    <w:rsid w:val="00C603D4"/>
    <w:rsid w:val="00C61A3E"/>
    <w:rsid w:val="00C62292"/>
    <w:rsid w:val="00C6256A"/>
    <w:rsid w:val="00C62719"/>
    <w:rsid w:val="00C62F84"/>
    <w:rsid w:val="00C62F9F"/>
    <w:rsid w:val="00C64998"/>
    <w:rsid w:val="00C66823"/>
    <w:rsid w:val="00C66F63"/>
    <w:rsid w:val="00C66F76"/>
    <w:rsid w:val="00C710E2"/>
    <w:rsid w:val="00C71C3F"/>
    <w:rsid w:val="00C73FC4"/>
    <w:rsid w:val="00C7409E"/>
    <w:rsid w:val="00C7445F"/>
    <w:rsid w:val="00C74D6D"/>
    <w:rsid w:val="00C76B37"/>
    <w:rsid w:val="00C76E76"/>
    <w:rsid w:val="00C77891"/>
    <w:rsid w:val="00C8174F"/>
    <w:rsid w:val="00C81BE7"/>
    <w:rsid w:val="00C84DA9"/>
    <w:rsid w:val="00C860C9"/>
    <w:rsid w:val="00C86FF5"/>
    <w:rsid w:val="00C91449"/>
    <w:rsid w:val="00C92D10"/>
    <w:rsid w:val="00C946CC"/>
    <w:rsid w:val="00C9482E"/>
    <w:rsid w:val="00CA13BC"/>
    <w:rsid w:val="00CA3D01"/>
    <w:rsid w:val="00CA48D9"/>
    <w:rsid w:val="00CA5077"/>
    <w:rsid w:val="00CA65B0"/>
    <w:rsid w:val="00CA6B06"/>
    <w:rsid w:val="00CB0E36"/>
    <w:rsid w:val="00CB1193"/>
    <w:rsid w:val="00CB1578"/>
    <w:rsid w:val="00CB1A53"/>
    <w:rsid w:val="00CB4767"/>
    <w:rsid w:val="00CB493D"/>
    <w:rsid w:val="00CC0CA6"/>
    <w:rsid w:val="00CC2625"/>
    <w:rsid w:val="00CC3B97"/>
    <w:rsid w:val="00CC6888"/>
    <w:rsid w:val="00CC7044"/>
    <w:rsid w:val="00CD3A7C"/>
    <w:rsid w:val="00CD5A1C"/>
    <w:rsid w:val="00CD67B6"/>
    <w:rsid w:val="00CD7A1E"/>
    <w:rsid w:val="00CE10C4"/>
    <w:rsid w:val="00CE27B5"/>
    <w:rsid w:val="00CE424F"/>
    <w:rsid w:val="00CE48A7"/>
    <w:rsid w:val="00CE6DAF"/>
    <w:rsid w:val="00CF04F1"/>
    <w:rsid w:val="00CF07E7"/>
    <w:rsid w:val="00CF1270"/>
    <w:rsid w:val="00CF17BC"/>
    <w:rsid w:val="00CF2116"/>
    <w:rsid w:val="00CF233E"/>
    <w:rsid w:val="00CF410A"/>
    <w:rsid w:val="00D0321E"/>
    <w:rsid w:val="00D0491B"/>
    <w:rsid w:val="00D053EF"/>
    <w:rsid w:val="00D07A8A"/>
    <w:rsid w:val="00D07D51"/>
    <w:rsid w:val="00D107F0"/>
    <w:rsid w:val="00D1251A"/>
    <w:rsid w:val="00D1455A"/>
    <w:rsid w:val="00D151E8"/>
    <w:rsid w:val="00D16275"/>
    <w:rsid w:val="00D20959"/>
    <w:rsid w:val="00D20CB1"/>
    <w:rsid w:val="00D2128B"/>
    <w:rsid w:val="00D22093"/>
    <w:rsid w:val="00D237DD"/>
    <w:rsid w:val="00D300BA"/>
    <w:rsid w:val="00D30D60"/>
    <w:rsid w:val="00D31150"/>
    <w:rsid w:val="00D3138B"/>
    <w:rsid w:val="00D3280C"/>
    <w:rsid w:val="00D3406A"/>
    <w:rsid w:val="00D34B79"/>
    <w:rsid w:val="00D3716D"/>
    <w:rsid w:val="00D37CA8"/>
    <w:rsid w:val="00D40B11"/>
    <w:rsid w:val="00D40CFA"/>
    <w:rsid w:val="00D441F1"/>
    <w:rsid w:val="00D4572C"/>
    <w:rsid w:val="00D45863"/>
    <w:rsid w:val="00D46381"/>
    <w:rsid w:val="00D469B2"/>
    <w:rsid w:val="00D47CC0"/>
    <w:rsid w:val="00D50B79"/>
    <w:rsid w:val="00D51496"/>
    <w:rsid w:val="00D52DFE"/>
    <w:rsid w:val="00D53E03"/>
    <w:rsid w:val="00D54B09"/>
    <w:rsid w:val="00D57A4F"/>
    <w:rsid w:val="00D60EEB"/>
    <w:rsid w:val="00D65658"/>
    <w:rsid w:val="00D71486"/>
    <w:rsid w:val="00D72844"/>
    <w:rsid w:val="00D72B6F"/>
    <w:rsid w:val="00D741EB"/>
    <w:rsid w:val="00D7422B"/>
    <w:rsid w:val="00D7679C"/>
    <w:rsid w:val="00D770B9"/>
    <w:rsid w:val="00D77EB0"/>
    <w:rsid w:val="00D820F3"/>
    <w:rsid w:val="00D83605"/>
    <w:rsid w:val="00D84934"/>
    <w:rsid w:val="00D91271"/>
    <w:rsid w:val="00D919F5"/>
    <w:rsid w:val="00D927CE"/>
    <w:rsid w:val="00D92C4A"/>
    <w:rsid w:val="00D93585"/>
    <w:rsid w:val="00D9467A"/>
    <w:rsid w:val="00D94F03"/>
    <w:rsid w:val="00D96163"/>
    <w:rsid w:val="00DA05A4"/>
    <w:rsid w:val="00DA0C8E"/>
    <w:rsid w:val="00DA0D14"/>
    <w:rsid w:val="00DA1FC9"/>
    <w:rsid w:val="00DA263B"/>
    <w:rsid w:val="00DA2CB5"/>
    <w:rsid w:val="00DA46AE"/>
    <w:rsid w:val="00DA4BAC"/>
    <w:rsid w:val="00DB0151"/>
    <w:rsid w:val="00DB2663"/>
    <w:rsid w:val="00DB44B5"/>
    <w:rsid w:val="00DB7A65"/>
    <w:rsid w:val="00DC2987"/>
    <w:rsid w:val="00DC2C3E"/>
    <w:rsid w:val="00DC4880"/>
    <w:rsid w:val="00DC4E0B"/>
    <w:rsid w:val="00DC4E1D"/>
    <w:rsid w:val="00DC54AA"/>
    <w:rsid w:val="00DC6C11"/>
    <w:rsid w:val="00DC6EB7"/>
    <w:rsid w:val="00DC7684"/>
    <w:rsid w:val="00DC7941"/>
    <w:rsid w:val="00DD22F5"/>
    <w:rsid w:val="00DD27AF"/>
    <w:rsid w:val="00DD5C9C"/>
    <w:rsid w:val="00DD5F25"/>
    <w:rsid w:val="00DE0423"/>
    <w:rsid w:val="00DE04CF"/>
    <w:rsid w:val="00DE3B59"/>
    <w:rsid w:val="00DE6C36"/>
    <w:rsid w:val="00DE6D27"/>
    <w:rsid w:val="00DF01F8"/>
    <w:rsid w:val="00DF217D"/>
    <w:rsid w:val="00DF26A7"/>
    <w:rsid w:val="00DF3277"/>
    <w:rsid w:val="00DF5DC5"/>
    <w:rsid w:val="00DF648F"/>
    <w:rsid w:val="00DF7919"/>
    <w:rsid w:val="00E01B56"/>
    <w:rsid w:val="00E0207E"/>
    <w:rsid w:val="00E025DA"/>
    <w:rsid w:val="00E03912"/>
    <w:rsid w:val="00E04370"/>
    <w:rsid w:val="00E078D9"/>
    <w:rsid w:val="00E14071"/>
    <w:rsid w:val="00E14D09"/>
    <w:rsid w:val="00E15627"/>
    <w:rsid w:val="00E1623C"/>
    <w:rsid w:val="00E164B3"/>
    <w:rsid w:val="00E16910"/>
    <w:rsid w:val="00E16D80"/>
    <w:rsid w:val="00E20E9D"/>
    <w:rsid w:val="00E24E09"/>
    <w:rsid w:val="00E26355"/>
    <w:rsid w:val="00E27234"/>
    <w:rsid w:val="00E3167B"/>
    <w:rsid w:val="00E33C71"/>
    <w:rsid w:val="00E3464B"/>
    <w:rsid w:val="00E35B1B"/>
    <w:rsid w:val="00E37DBE"/>
    <w:rsid w:val="00E409B4"/>
    <w:rsid w:val="00E42BDB"/>
    <w:rsid w:val="00E44F71"/>
    <w:rsid w:val="00E46646"/>
    <w:rsid w:val="00E56311"/>
    <w:rsid w:val="00E56CA9"/>
    <w:rsid w:val="00E573DE"/>
    <w:rsid w:val="00E57EEB"/>
    <w:rsid w:val="00E617D8"/>
    <w:rsid w:val="00E62439"/>
    <w:rsid w:val="00E62D94"/>
    <w:rsid w:val="00E64F37"/>
    <w:rsid w:val="00E6504D"/>
    <w:rsid w:val="00E65E54"/>
    <w:rsid w:val="00E661C7"/>
    <w:rsid w:val="00E6680F"/>
    <w:rsid w:val="00E71AFB"/>
    <w:rsid w:val="00E7410F"/>
    <w:rsid w:val="00E74CC8"/>
    <w:rsid w:val="00E76CAD"/>
    <w:rsid w:val="00E80155"/>
    <w:rsid w:val="00E8080D"/>
    <w:rsid w:val="00E80B6F"/>
    <w:rsid w:val="00E8134B"/>
    <w:rsid w:val="00E81E0D"/>
    <w:rsid w:val="00E81F28"/>
    <w:rsid w:val="00E8319D"/>
    <w:rsid w:val="00E848C0"/>
    <w:rsid w:val="00E859DD"/>
    <w:rsid w:val="00E91B96"/>
    <w:rsid w:val="00E9331F"/>
    <w:rsid w:val="00E93D1E"/>
    <w:rsid w:val="00E941A1"/>
    <w:rsid w:val="00E95CE3"/>
    <w:rsid w:val="00EA14E2"/>
    <w:rsid w:val="00EA252F"/>
    <w:rsid w:val="00EA2825"/>
    <w:rsid w:val="00EA3B60"/>
    <w:rsid w:val="00EA6518"/>
    <w:rsid w:val="00EA7466"/>
    <w:rsid w:val="00EA7EDE"/>
    <w:rsid w:val="00EB0B63"/>
    <w:rsid w:val="00EB1936"/>
    <w:rsid w:val="00EB233E"/>
    <w:rsid w:val="00EB262A"/>
    <w:rsid w:val="00EB2D24"/>
    <w:rsid w:val="00EB37BE"/>
    <w:rsid w:val="00EB3B8C"/>
    <w:rsid w:val="00EB4907"/>
    <w:rsid w:val="00EB4CEB"/>
    <w:rsid w:val="00EB5088"/>
    <w:rsid w:val="00EB58BC"/>
    <w:rsid w:val="00EB6D58"/>
    <w:rsid w:val="00EC2A4A"/>
    <w:rsid w:val="00ED032C"/>
    <w:rsid w:val="00ED1644"/>
    <w:rsid w:val="00ED2593"/>
    <w:rsid w:val="00ED45CB"/>
    <w:rsid w:val="00ED5A37"/>
    <w:rsid w:val="00ED7854"/>
    <w:rsid w:val="00ED7B8C"/>
    <w:rsid w:val="00ED7D55"/>
    <w:rsid w:val="00ED7D9C"/>
    <w:rsid w:val="00EE0ECF"/>
    <w:rsid w:val="00EE2641"/>
    <w:rsid w:val="00EE31A2"/>
    <w:rsid w:val="00EE4488"/>
    <w:rsid w:val="00EE6726"/>
    <w:rsid w:val="00EE7900"/>
    <w:rsid w:val="00EF0069"/>
    <w:rsid w:val="00EF366C"/>
    <w:rsid w:val="00EF44A0"/>
    <w:rsid w:val="00EF4D72"/>
    <w:rsid w:val="00EF4FED"/>
    <w:rsid w:val="00EF5228"/>
    <w:rsid w:val="00EF6FB3"/>
    <w:rsid w:val="00F007C6"/>
    <w:rsid w:val="00F0172E"/>
    <w:rsid w:val="00F050BD"/>
    <w:rsid w:val="00F05657"/>
    <w:rsid w:val="00F17ED6"/>
    <w:rsid w:val="00F208BF"/>
    <w:rsid w:val="00F209E2"/>
    <w:rsid w:val="00F25578"/>
    <w:rsid w:val="00F258E5"/>
    <w:rsid w:val="00F25B9C"/>
    <w:rsid w:val="00F26CC6"/>
    <w:rsid w:val="00F300BC"/>
    <w:rsid w:val="00F3100D"/>
    <w:rsid w:val="00F3263C"/>
    <w:rsid w:val="00F3334E"/>
    <w:rsid w:val="00F338B5"/>
    <w:rsid w:val="00F34DC8"/>
    <w:rsid w:val="00F35251"/>
    <w:rsid w:val="00F36CCB"/>
    <w:rsid w:val="00F374E5"/>
    <w:rsid w:val="00F37B93"/>
    <w:rsid w:val="00F37BAD"/>
    <w:rsid w:val="00F37ECA"/>
    <w:rsid w:val="00F43AF2"/>
    <w:rsid w:val="00F46625"/>
    <w:rsid w:val="00F5007E"/>
    <w:rsid w:val="00F50EC4"/>
    <w:rsid w:val="00F520FE"/>
    <w:rsid w:val="00F52232"/>
    <w:rsid w:val="00F550CF"/>
    <w:rsid w:val="00F55FED"/>
    <w:rsid w:val="00F57043"/>
    <w:rsid w:val="00F57A6D"/>
    <w:rsid w:val="00F6232F"/>
    <w:rsid w:val="00F638CC"/>
    <w:rsid w:val="00F64C9E"/>
    <w:rsid w:val="00F64CC1"/>
    <w:rsid w:val="00F72317"/>
    <w:rsid w:val="00F73575"/>
    <w:rsid w:val="00F737AC"/>
    <w:rsid w:val="00F74B97"/>
    <w:rsid w:val="00F76B71"/>
    <w:rsid w:val="00F80475"/>
    <w:rsid w:val="00F8247A"/>
    <w:rsid w:val="00F82E5C"/>
    <w:rsid w:val="00F870C6"/>
    <w:rsid w:val="00F87499"/>
    <w:rsid w:val="00F9102E"/>
    <w:rsid w:val="00F94194"/>
    <w:rsid w:val="00F9629A"/>
    <w:rsid w:val="00F97BAB"/>
    <w:rsid w:val="00F97EFC"/>
    <w:rsid w:val="00FA1BDD"/>
    <w:rsid w:val="00FA305C"/>
    <w:rsid w:val="00FA413B"/>
    <w:rsid w:val="00FA4DD5"/>
    <w:rsid w:val="00FA5883"/>
    <w:rsid w:val="00FA6055"/>
    <w:rsid w:val="00FA67ED"/>
    <w:rsid w:val="00FB02B5"/>
    <w:rsid w:val="00FB0B39"/>
    <w:rsid w:val="00FB1A88"/>
    <w:rsid w:val="00FB23F5"/>
    <w:rsid w:val="00FB2625"/>
    <w:rsid w:val="00FB28E2"/>
    <w:rsid w:val="00FB322F"/>
    <w:rsid w:val="00FB33C7"/>
    <w:rsid w:val="00FB3640"/>
    <w:rsid w:val="00FB3904"/>
    <w:rsid w:val="00FB3C4B"/>
    <w:rsid w:val="00FB442F"/>
    <w:rsid w:val="00FB477D"/>
    <w:rsid w:val="00FB4C30"/>
    <w:rsid w:val="00FB6123"/>
    <w:rsid w:val="00FB71FC"/>
    <w:rsid w:val="00FB78D5"/>
    <w:rsid w:val="00FC001F"/>
    <w:rsid w:val="00FC1929"/>
    <w:rsid w:val="00FC3CA1"/>
    <w:rsid w:val="00FC3DE4"/>
    <w:rsid w:val="00FC4451"/>
    <w:rsid w:val="00FC53CC"/>
    <w:rsid w:val="00FC5B46"/>
    <w:rsid w:val="00FC75D2"/>
    <w:rsid w:val="00FD0431"/>
    <w:rsid w:val="00FD0864"/>
    <w:rsid w:val="00FD09EC"/>
    <w:rsid w:val="00FD24C7"/>
    <w:rsid w:val="00FD58CC"/>
    <w:rsid w:val="00FD6D8E"/>
    <w:rsid w:val="00FD6D99"/>
    <w:rsid w:val="00FD7F88"/>
    <w:rsid w:val="00FE031A"/>
    <w:rsid w:val="00FE0663"/>
    <w:rsid w:val="00FE0E94"/>
    <w:rsid w:val="00FE1C05"/>
    <w:rsid w:val="00FE20EF"/>
    <w:rsid w:val="00FE21E6"/>
    <w:rsid w:val="00FE3CD9"/>
    <w:rsid w:val="00FF00BD"/>
    <w:rsid w:val="00FF1ED4"/>
    <w:rsid w:val="00FF25F4"/>
    <w:rsid w:val="00FF2801"/>
    <w:rsid w:val="00FF3388"/>
    <w:rsid w:val="00FF4761"/>
    <w:rsid w:val="00FF59BE"/>
    <w:rsid w:val="00FF6E9D"/>
    <w:rsid w:val="00FF6F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46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890118"/>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Bayer"/>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FootnoteText">
    <w:name w:val="footnote text"/>
    <w:basedOn w:val="Normal"/>
    <w:link w:val="FootnoteTextChar"/>
    <w:semiHidden/>
    <w:unhideWhenUsed/>
    <w:rsid w:val="00593F0C"/>
    <w:rPr>
      <w:sz w:val="20"/>
      <w:szCs w:val="20"/>
    </w:rPr>
  </w:style>
  <w:style w:type="character" w:customStyle="1" w:styleId="FootnoteTextChar">
    <w:name w:val="Footnote Text Char"/>
    <w:basedOn w:val="DefaultParagraphFont"/>
    <w:link w:val="FootnoteText"/>
    <w:semiHidden/>
    <w:rsid w:val="00593F0C"/>
    <w:rPr>
      <w:rFonts w:ascii="Calibri" w:hAnsi="Calibri"/>
    </w:rPr>
  </w:style>
  <w:style w:type="character" w:styleId="FootnoteReference">
    <w:name w:val="footnote reference"/>
    <w:basedOn w:val="DefaultParagraphFont"/>
    <w:semiHidden/>
    <w:unhideWhenUsed/>
    <w:rsid w:val="00593F0C"/>
    <w:rPr>
      <w:vertAlign w:val="superscript"/>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rsid w:val="00D30D60"/>
    <w:rPr>
      <w:rFonts w:ascii="Calibri" w:hAnsi="Calibri"/>
      <w:i/>
      <w:iCs/>
      <w:color w:val="000000" w:themeColor="text1"/>
      <w:sz w:val="18"/>
      <w:szCs w:val="18"/>
    </w:rPr>
  </w:style>
  <w:style w:type="paragraph" w:customStyle="1" w:styleId="TableNotes0">
    <w:name w:val="TableNotes+0"/>
    <w:basedOn w:val="Normal"/>
    <w:rsid w:val="004E4912"/>
    <w:pPr>
      <w:keepNext/>
      <w:keepLines/>
      <w:ind w:left="720"/>
      <w:jc w:val="left"/>
    </w:pPr>
    <w:rPr>
      <w:rFonts w:ascii="Arial Narrow" w:hAnsi="Arial Narrow" w:cs="Arial Narrow"/>
      <w:sz w:val="18"/>
      <w:szCs w:val="18"/>
      <w:lang w:eastAsia="en-US"/>
    </w:rPr>
  </w:style>
  <w:style w:type="character" w:styleId="Emphasis">
    <w:name w:val="Emphasis"/>
    <w:basedOn w:val="DefaultParagraphFont"/>
    <w:uiPriority w:val="20"/>
    <w:qFormat/>
    <w:rsid w:val="00003577"/>
    <w:rPr>
      <w:b/>
      <w:bCs/>
      <w:i w:val="0"/>
      <w:iCs w:val="0"/>
    </w:rPr>
  </w:style>
  <w:style w:type="character" w:customStyle="1" w:styleId="st1">
    <w:name w:val="st1"/>
    <w:basedOn w:val="DefaultParagraphFont"/>
    <w:rsid w:val="00003577"/>
  </w:style>
  <w:style w:type="paragraph" w:customStyle="1" w:styleId="TableHeading0">
    <w:name w:val="Table Heading"/>
    <w:basedOn w:val="Normal"/>
    <w:qFormat/>
    <w:rsid w:val="004D0414"/>
    <w:pPr>
      <w:keepNext/>
      <w:spacing w:after="60"/>
      <w:jc w:val="left"/>
    </w:pPr>
    <w:rPr>
      <w:rFonts w:ascii="Arial Narrow" w:eastAsiaTheme="minorHAnsi" w:hAnsi="Arial Narrow" w:cstheme="minorBidi"/>
      <w:b/>
      <w:sz w:val="20"/>
      <w:szCs w:val="22"/>
      <w:lang w:eastAsia="en-US"/>
    </w:rPr>
  </w:style>
  <w:style w:type="table" w:customStyle="1" w:styleId="TableGrid402">
    <w:name w:val="Table Grid402"/>
    <w:basedOn w:val="TableNormal"/>
    <w:next w:val="TableGrid"/>
    <w:uiPriority w:val="59"/>
    <w:rsid w:val="005009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ode2">
    <w:name w:val="item-code2"/>
    <w:basedOn w:val="DefaultParagraphFont"/>
    <w:rsid w:val="00B95C1B"/>
    <w:rPr>
      <w:vanish w:val="0"/>
      <w:webHidden w:val="0"/>
      <w:specVanish w:val="0"/>
    </w:rPr>
  </w:style>
  <w:style w:type="paragraph" w:styleId="Revision">
    <w:name w:val="Revision"/>
    <w:hidden/>
    <w:uiPriority w:val="71"/>
    <w:semiHidden/>
    <w:rsid w:val="002776F1"/>
    <w:rPr>
      <w:rFonts w:ascii="Calibri" w:hAnsi="Calibri"/>
      <w:sz w:val="24"/>
      <w:szCs w:val="24"/>
    </w:rPr>
  </w:style>
  <w:style w:type="character" w:customStyle="1" w:styleId="Heading8Char">
    <w:name w:val="Heading 8 Char"/>
    <w:basedOn w:val="DefaultParagraphFont"/>
    <w:link w:val="Heading8"/>
    <w:uiPriority w:val="7"/>
    <w:rsid w:val="00890118"/>
    <w:rPr>
      <w:rFonts w:asciiTheme="majorHAnsi" w:eastAsiaTheme="majorEastAsia" w:hAnsiTheme="majorHAnsi" w:cstheme="majorBidi"/>
      <w:color w:val="272727" w:themeColor="text1" w:themeTint="D8"/>
      <w:sz w:val="21"/>
      <w:szCs w:val="21"/>
      <w:lang w:eastAsia="en-US"/>
    </w:rPr>
  </w:style>
  <w:style w:type="paragraph" w:customStyle="1" w:styleId="ListBulletlvl3">
    <w:name w:val="List Bullet lvl 3"/>
    <w:basedOn w:val="ListBullet"/>
    <w:qFormat/>
    <w:rsid w:val="0015086E"/>
    <w:pPr>
      <w:numPr>
        <w:numId w:val="0"/>
      </w:numPr>
      <w:spacing w:after="120"/>
      <w:ind w:left="2160" w:hanging="360"/>
      <w:contextualSpacing w:val="0"/>
      <w:jc w:val="lef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4613461">
      <w:bodyDiv w:val="1"/>
      <w:marLeft w:val="0"/>
      <w:marRight w:val="0"/>
      <w:marTop w:val="0"/>
      <w:marBottom w:val="0"/>
      <w:divBdr>
        <w:top w:val="none" w:sz="0" w:space="0" w:color="auto"/>
        <w:left w:val="none" w:sz="0" w:space="0" w:color="auto"/>
        <w:bottom w:val="none" w:sz="0" w:space="0" w:color="auto"/>
        <w:right w:val="none" w:sz="0" w:space="0" w:color="auto"/>
      </w:divBdr>
    </w:div>
    <w:div w:id="97217698">
      <w:bodyDiv w:val="1"/>
      <w:marLeft w:val="0"/>
      <w:marRight w:val="0"/>
      <w:marTop w:val="0"/>
      <w:marBottom w:val="0"/>
      <w:divBdr>
        <w:top w:val="none" w:sz="0" w:space="0" w:color="auto"/>
        <w:left w:val="none" w:sz="0" w:space="0" w:color="auto"/>
        <w:bottom w:val="none" w:sz="0" w:space="0" w:color="auto"/>
        <w:right w:val="none" w:sz="0" w:space="0" w:color="auto"/>
      </w:divBdr>
      <w:divsChild>
        <w:div w:id="634260183">
          <w:marLeft w:val="360"/>
          <w:marRight w:val="0"/>
          <w:marTop w:val="200"/>
          <w:marBottom w:val="0"/>
          <w:divBdr>
            <w:top w:val="none" w:sz="0" w:space="0" w:color="auto"/>
            <w:left w:val="none" w:sz="0" w:space="0" w:color="auto"/>
            <w:bottom w:val="none" w:sz="0" w:space="0" w:color="auto"/>
            <w:right w:val="none" w:sz="0" w:space="0" w:color="auto"/>
          </w:divBdr>
        </w:div>
        <w:div w:id="1313560874">
          <w:marLeft w:val="360"/>
          <w:marRight w:val="0"/>
          <w:marTop w:val="200"/>
          <w:marBottom w:val="0"/>
          <w:divBdr>
            <w:top w:val="none" w:sz="0" w:space="0" w:color="auto"/>
            <w:left w:val="none" w:sz="0" w:space="0" w:color="auto"/>
            <w:bottom w:val="none" w:sz="0" w:space="0" w:color="auto"/>
            <w:right w:val="none" w:sz="0" w:space="0" w:color="auto"/>
          </w:divBdr>
        </w:div>
        <w:div w:id="1695883637">
          <w:marLeft w:val="360"/>
          <w:marRight w:val="0"/>
          <w:marTop w:val="200"/>
          <w:marBottom w:val="0"/>
          <w:divBdr>
            <w:top w:val="none" w:sz="0" w:space="0" w:color="auto"/>
            <w:left w:val="none" w:sz="0" w:space="0" w:color="auto"/>
            <w:bottom w:val="none" w:sz="0" w:space="0" w:color="auto"/>
            <w:right w:val="none" w:sz="0" w:space="0" w:color="auto"/>
          </w:divBdr>
        </w:div>
      </w:divsChild>
    </w:div>
    <w:div w:id="115491682">
      <w:bodyDiv w:val="1"/>
      <w:marLeft w:val="0"/>
      <w:marRight w:val="0"/>
      <w:marTop w:val="0"/>
      <w:marBottom w:val="0"/>
      <w:divBdr>
        <w:top w:val="none" w:sz="0" w:space="0" w:color="auto"/>
        <w:left w:val="none" w:sz="0" w:space="0" w:color="auto"/>
        <w:bottom w:val="none" w:sz="0" w:space="0" w:color="auto"/>
        <w:right w:val="none" w:sz="0" w:space="0" w:color="auto"/>
      </w:divBdr>
    </w:div>
    <w:div w:id="276717798">
      <w:bodyDiv w:val="1"/>
      <w:marLeft w:val="0"/>
      <w:marRight w:val="0"/>
      <w:marTop w:val="0"/>
      <w:marBottom w:val="0"/>
      <w:divBdr>
        <w:top w:val="none" w:sz="0" w:space="0" w:color="auto"/>
        <w:left w:val="none" w:sz="0" w:space="0" w:color="auto"/>
        <w:bottom w:val="none" w:sz="0" w:space="0" w:color="auto"/>
        <w:right w:val="none" w:sz="0" w:space="0" w:color="auto"/>
      </w:divBdr>
      <w:divsChild>
        <w:div w:id="20788113">
          <w:marLeft w:val="360"/>
          <w:marRight w:val="0"/>
          <w:marTop w:val="200"/>
          <w:marBottom w:val="0"/>
          <w:divBdr>
            <w:top w:val="none" w:sz="0" w:space="0" w:color="auto"/>
            <w:left w:val="none" w:sz="0" w:space="0" w:color="auto"/>
            <w:bottom w:val="none" w:sz="0" w:space="0" w:color="auto"/>
            <w:right w:val="none" w:sz="0" w:space="0" w:color="auto"/>
          </w:divBdr>
        </w:div>
        <w:div w:id="1450390930">
          <w:marLeft w:val="360"/>
          <w:marRight w:val="0"/>
          <w:marTop w:val="200"/>
          <w:marBottom w:val="0"/>
          <w:divBdr>
            <w:top w:val="none" w:sz="0" w:space="0" w:color="auto"/>
            <w:left w:val="none" w:sz="0" w:space="0" w:color="auto"/>
            <w:bottom w:val="none" w:sz="0" w:space="0" w:color="auto"/>
            <w:right w:val="none" w:sz="0" w:space="0" w:color="auto"/>
          </w:divBdr>
        </w:div>
        <w:div w:id="563025010">
          <w:marLeft w:val="360"/>
          <w:marRight w:val="0"/>
          <w:marTop w:val="200"/>
          <w:marBottom w:val="0"/>
          <w:divBdr>
            <w:top w:val="none" w:sz="0" w:space="0" w:color="auto"/>
            <w:left w:val="none" w:sz="0" w:space="0" w:color="auto"/>
            <w:bottom w:val="none" w:sz="0" w:space="0" w:color="auto"/>
            <w:right w:val="none" w:sz="0" w:space="0" w:color="auto"/>
          </w:divBdr>
        </w:div>
        <w:div w:id="556090351">
          <w:marLeft w:val="360"/>
          <w:marRight w:val="0"/>
          <w:marTop w:val="200"/>
          <w:marBottom w:val="0"/>
          <w:divBdr>
            <w:top w:val="none" w:sz="0" w:space="0" w:color="auto"/>
            <w:left w:val="none" w:sz="0" w:space="0" w:color="auto"/>
            <w:bottom w:val="none" w:sz="0" w:space="0" w:color="auto"/>
            <w:right w:val="none" w:sz="0" w:space="0" w:color="auto"/>
          </w:divBdr>
        </w:div>
        <w:div w:id="225187935">
          <w:marLeft w:val="360"/>
          <w:marRight w:val="0"/>
          <w:marTop w:val="200"/>
          <w:marBottom w:val="0"/>
          <w:divBdr>
            <w:top w:val="none" w:sz="0" w:space="0" w:color="auto"/>
            <w:left w:val="none" w:sz="0" w:space="0" w:color="auto"/>
            <w:bottom w:val="none" w:sz="0" w:space="0" w:color="auto"/>
            <w:right w:val="none" w:sz="0" w:space="0" w:color="auto"/>
          </w:divBdr>
        </w:div>
      </w:divsChild>
    </w:div>
    <w:div w:id="358507329">
      <w:bodyDiv w:val="1"/>
      <w:marLeft w:val="0"/>
      <w:marRight w:val="0"/>
      <w:marTop w:val="0"/>
      <w:marBottom w:val="0"/>
      <w:divBdr>
        <w:top w:val="none" w:sz="0" w:space="0" w:color="auto"/>
        <w:left w:val="none" w:sz="0" w:space="0" w:color="auto"/>
        <w:bottom w:val="none" w:sz="0" w:space="0" w:color="auto"/>
        <w:right w:val="none" w:sz="0" w:space="0" w:color="auto"/>
      </w:divBdr>
      <w:divsChild>
        <w:div w:id="632756960">
          <w:marLeft w:val="360"/>
          <w:marRight w:val="0"/>
          <w:marTop w:val="200"/>
          <w:marBottom w:val="0"/>
          <w:divBdr>
            <w:top w:val="none" w:sz="0" w:space="0" w:color="auto"/>
            <w:left w:val="none" w:sz="0" w:space="0" w:color="auto"/>
            <w:bottom w:val="none" w:sz="0" w:space="0" w:color="auto"/>
            <w:right w:val="none" w:sz="0" w:space="0" w:color="auto"/>
          </w:divBdr>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97306308">
      <w:bodyDiv w:val="1"/>
      <w:marLeft w:val="0"/>
      <w:marRight w:val="0"/>
      <w:marTop w:val="0"/>
      <w:marBottom w:val="0"/>
      <w:divBdr>
        <w:top w:val="none" w:sz="0" w:space="0" w:color="auto"/>
        <w:left w:val="none" w:sz="0" w:space="0" w:color="auto"/>
        <w:bottom w:val="none" w:sz="0" w:space="0" w:color="auto"/>
        <w:right w:val="none" w:sz="0" w:space="0" w:color="auto"/>
      </w:divBdr>
      <w:divsChild>
        <w:div w:id="1681664184">
          <w:marLeft w:val="360"/>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5772442">
      <w:bodyDiv w:val="1"/>
      <w:marLeft w:val="0"/>
      <w:marRight w:val="0"/>
      <w:marTop w:val="0"/>
      <w:marBottom w:val="0"/>
      <w:divBdr>
        <w:top w:val="none" w:sz="0" w:space="0" w:color="auto"/>
        <w:left w:val="none" w:sz="0" w:space="0" w:color="auto"/>
        <w:bottom w:val="none" w:sz="0" w:space="0" w:color="auto"/>
        <w:right w:val="none" w:sz="0" w:space="0" w:color="auto"/>
      </w:divBdr>
      <w:divsChild>
        <w:div w:id="1318849031">
          <w:marLeft w:val="360"/>
          <w:marRight w:val="0"/>
          <w:marTop w:val="200"/>
          <w:marBottom w:val="0"/>
          <w:divBdr>
            <w:top w:val="none" w:sz="0" w:space="0" w:color="auto"/>
            <w:left w:val="none" w:sz="0" w:space="0" w:color="auto"/>
            <w:bottom w:val="none" w:sz="0" w:space="0" w:color="auto"/>
            <w:right w:val="none" w:sz="0" w:space="0" w:color="auto"/>
          </w:divBdr>
        </w:div>
        <w:div w:id="290938892">
          <w:marLeft w:val="360"/>
          <w:marRight w:val="0"/>
          <w:marTop w:val="200"/>
          <w:marBottom w:val="0"/>
          <w:divBdr>
            <w:top w:val="none" w:sz="0" w:space="0" w:color="auto"/>
            <w:left w:val="none" w:sz="0" w:space="0" w:color="auto"/>
            <w:bottom w:val="none" w:sz="0" w:space="0" w:color="auto"/>
            <w:right w:val="none" w:sz="0" w:space="0" w:color="auto"/>
          </w:divBdr>
        </w:div>
        <w:div w:id="1090276649">
          <w:marLeft w:val="360"/>
          <w:marRight w:val="0"/>
          <w:marTop w:val="200"/>
          <w:marBottom w:val="0"/>
          <w:divBdr>
            <w:top w:val="none" w:sz="0" w:space="0" w:color="auto"/>
            <w:left w:val="none" w:sz="0" w:space="0" w:color="auto"/>
            <w:bottom w:val="none" w:sz="0" w:space="0" w:color="auto"/>
            <w:right w:val="none" w:sz="0" w:space="0" w:color="auto"/>
          </w:divBdr>
        </w:div>
      </w:divsChild>
    </w:div>
    <w:div w:id="1043365060">
      <w:bodyDiv w:val="1"/>
      <w:marLeft w:val="0"/>
      <w:marRight w:val="0"/>
      <w:marTop w:val="0"/>
      <w:marBottom w:val="0"/>
      <w:divBdr>
        <w:top w:val="none" w:sz="0" w:space="0" w:color="auto"/>
        <w:left w:val="none" w:sz="0" w:space="0" w:color="auto"/>
        <w:bottom w:val="none" w:sz="0" w:space="0" w:color="auto"/>
        <w:right w:val="none" w:sz="0" w:space="0" w:color="auto"/>
      </w:divBdr>
    </w:div>
    <w:div w:id="1067536388">
      <w:bodyDiv w:val="1"/>
      <w:marLeft w:val="0"/>
      <w:marRight w:val="0"/>
      <w:marTop w:val="0"/>
      <w:marBottom w:val="0"/>
      <w:divBdr>
        <w:top w:val="none" w:sz="0" w:space="0" w:color="auto"/>
        <w:left w:val="none" w:sz="0" w:space="0" w:color="auto"/>
        <w:bottom w:val="none" w:sz="0" w:space="0" w:color="auto"/>
        <w:right w:val="none" w:sz="0" w:space="0" w:color="auto"/>
      </w:divBdr>
    </w:div>
    <w:div w:id="1310793551">
      <w:bodyDiv w:val="1"/>
      <w:marLeft w:val="0"/>
      <w:marRight w:val="0"/>
      <w:marTop w:val="0"/>
      <w:marBottom w:val="0"/>
      <w:divBdr>
        <w:top w:val="none" w:sz="0" w:space="0" w:color="auto"/>
        <w:left w:val="none" w:sz="0" w:space="0" w:color="auto"/>
        <w:bottom w:val="none" w:sz="0" w:space="0" w:color="auto"/>
        <w:right w:val="none" w:sz="0" w:space="0" w:color="auto"/>
      </w:divBdr>
    </w:div>
    <w:div w:id="1514493358">
      <w:bodyDiv w:val="1"/>
      <w:marLeft w:val="0"/>
      <w:marRight w:val="0"/>
      <w:marTop w:val="0"/>
      <w:marBottom w:val="0"/>
      <w:divBdr>
        <w:top w:val="none" w:sz="0" w:space="0" w:color="auto"/>
        <w:left w:val="none" w:sz="0" w:space="0" w:color="auto"/>
        <w:bottom w:val="none" w:sz="0" w:space="0" w:color="auto"/>
        <w:right w:val="none" w:sz="0" w:space="0" w:color="auto"/>
      </w:divBdr>
      <w:divsChild>
        <w:div w:id="170604547">
          <w:marLeft w:val="360"/>
          <w:marRight w:val="0"/>
          <w:marTop w:val="200"/>
          <w:marBottom w:val="0"/>
          <w:divBdr>
            <w:top w:val="none" w:sz="0" w:space="0" w:color="auto"/>
            <w:left w:val="none" w:sz="0" w:space="0" w:color="auto"/>
            <w:bottom w:val="none" w:sz="0" w:space="0" w:color="auto"/>
            <w:right w:val="none" w:sz="0" w:space="0" w:color="auto"/>
          </w:divBdr>
        </w:div>
      </w:divsChild>
    </w:div>
    <w:div w:id="169137497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3551680">
      <w:bodyDiv w:val="1"/>
      <w:marLeft w:val="0"/>
      <w:marRight w:val="0"/>
      <w:marTop w:val="0"/>
      <w:marBottom w:val="0"/>
      <w:divBdr>
        <w:top w:val="none" w:sz="0" w:space="0" w:color="auto"/>
        <w:left w:val="none" w:sz="0" w:space="0" w:color="auto"/>
        <w:bottom w:val="none" w:sz="0" w:space="0" w:color="auto"/>
        <w:right w:val="none" w:sz="0" w:space="0" w:color="auto"/>
      </w:divBdr>
    </w:div>
    <w:div w:id="183449429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9025804">
      <w:bodyDiv w:val="1"/>
      <w:marLeft w:val="0"/>
      <w:marRight w:val="0"/>
      <w:marTop w:val="0"/>
      <w:marBottom w:val="0"/>
      <w:divBdr>
        <w:top w:val="none" w:sz="0" w:space="0" w:color="auto"/>
        <w:left w:val="none" w:sz="0" w:space="0" w:color="auto"/>
        <w:bottom w:val="none" w:sz="0" w:space="0" w:color="auto"/>
        <w:right w:val="none" w:sz="0" w:space="0" w:color="auto"/>
      </w:divBdr>
    </w:div>
    <w:div w:id="2046710271">
      <w:bodyDiv w:val="1"/>
      <w:marLeft w:val="0"/>
      <w:marRight w:val="0"/>
      <w:marTop w:val="0"/>
      <w:marBottom w:val="0"/>
      <w:divBdr>
        <w:top w:val="none" w:sz="0" w:space="0" w:color="auto"/>
        <w:left w:val="none" w:sz="0" w:space="0" w:color="auto"/>
        <w:bottom w:val="none" w:sz="0" w:space="0" w:color="auto"/>
        <w:right w:val="none" w:sz="0" w:space="0" w:color="auto"/>
      </w:divBdr>
      <w:divsChild>
        <w:div w:id="11205380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4A17-895B-4BC9-8257-E124BE55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5506</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2020-10-27T05:57:00Z</dcterms:created>
  <dcterms:modified xsi:type="dcterms:W3CDTF">2020-10-27T05:57:00Z</dcterms:modified>
</cp:coreProperties>
</file>