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A5" w:rsidRPr="00581941" w:rsidRDefault="00A76EA5" w:rsidP="000809CC">
      <w:pPr>
        <w:pStyle w:val="1-MainHeading"/>
      </w:pPr>
      <w:bookmarkStart w:id="0" w:name="_Toc40810613"/>
      <w:bookmarkStart w:id="1" w:name="_Toc22897637"/>
      <w:r w:rsidRPr="00581941">
        <w:t>6.03</w:t>
      </w:r>
      <w:r w:rsidRPr="00581941">
        <w:tab/>
        <w:t>DOLUTEGRAVIR</w:t>
      </w:r>
      <w:r w:rsidR="00054AA0" w:rsidRPr="00581941">
        <w:t xml:space="preserve"> with</w:t>
      </w:r>
      <w:r w:rsidR="000F170F" w:rsidRPr="00581941">
        <w:t xml:space="preserve"> </w:t>
      </w:r>
      <w:r w:rsidRPr="00581941">
        <w:t>LAMIVUDINE,</w:t>
      </w:r>
      <w:r w:rsidRPr="00581941">
        <w:br/>
        <w:t>Tablet</w:t>
      </w:r>
      <w:r w:rsidR="00054AA0" w:rsidRPr="00581941">
        <w:t xml:space="preserve"> containing dolutegravir 50 mg (as sodium) with lamivudine 300 mg</w:t>
      </w:r>
      <w:r w:rsidR="00462B16" w:rsidRPr="00581941">
        <w:t>,</w:t>
      </w:r>
      <w:r w:rsidRPr="00581941">
        <w:br/>
        <w:t>Dovato</w:t>
      </w:r>
      <w:r w:rsidR="002F7BD8" w:rsidRPr="00581941">
        <w:rPr>
          <w:vertAlign w:val="superscript"/>
        </w:rPr>
        <w:t>®</w:t>
      </w:r>
      <w:r w:rsidRPr="00581941">
        <w:t>,</w:t>
      </w:r>
      <w:r w:rsidRPr="00581941">
        <w:br/>
        <w:t>ViiV Healthcare</w:t>
      </w:r>
      <w:r w:rsidR="00054AA0" w:rsidRPr="00581941">
        <w:t xml:space="preserve"> </w:t>
      </w:r>
      <w:r w:rsidRPr="00581941">
        <w:t>Pty Ltd</w:t>
      </w:r>
      <w:bookmarkEnd w:id="0"/>
    </w:p>
    <w:p w:rsidR="004E59EC" w:rsidRPr="00581941" w:rsidRDefault="004E59EC" w:rsidP="004E59EC">
      <w:bookmarkStart w:id="2" w:name="_Toc22898844"/>
      <w:bookmarkEnd w:id="1"/>
      <w:r w:rsidRPr="00581941">
        <w:t>For improved readability, tradenames for fixed</w:t>
      </w:r>
      <w:r w:rsidR="001F51CB" w:rsidRPr="00581941">
        <w:t>-</w:t>
      </w:r>
      <w:r w:rsidRPr="00581941">
        <w:t xml:space="preserve">dose combination (FDC) therapies and other combination therapies for the treatment of human immunodeficiency virus (HIV) are used in </w:t>
      </w:r>
      <w:r w:rsidR="001357C9">
        <w:rPr>
          <w:color w:val="000000" w:themeColor="text1"/>
        </w:rPr>
        <w:t>this public summary document</w:t>
      </w:r>
      <w:r w:rsidR="00B907DC">
        <w:rPr>
          <w:color w:val="000000" w:themeColor="text1"/>
        </w:rPr>
        <w:t xml:space="preserve"> (PSD)</w:t>
      </w:r>
      <w:r w:rsidRPr="00581941">
        <w:t xml:space="preserve">. In some cases, generic names may be used for clarity. </w:t>
      </w:r>
    </w:p>
    <w:p w:rsidR="004E59EC" w:rsidRPr="00581941" w:rsidRDefault="004E59EC" w:rsidP="004E59EC"/>
    <w:p w:rsidR="004E59EC" w:rsidRPr="00581941" w:rsidRDefault="004E59EC" w:rsidP="004E59EC">
      <w:r w:rsidRPr="00581941">
        <w:t>Table 1 presents a summary of the FDCs, indicating their componen</w:t>
      </w:r>
      <w:bookmarkStart w:id="3" w:name="_GoBack"/>
      <w:bookmarkEnd w:id="3"/>
      <w:r w:rsidRPr="00581941">
        <w:t>ts, abbreviations for each drug and their associated tradenames.</w:t>
      </w:r>
    </w:p>
    <w:p w:rsidR="004E59EC" w:rsidRPr="00581941" w:rsidRDefault="004E59EC" w:rsidP="004E59EC"/>
    <w:p w:rsidR="004E59EC" w:rsidRPr="00581941" w:rsidRDefault="004E59EC" w:rsidP="00966FBA">
      <w:pPr>
        <w:pStyle w:val="Caption"/>
        <w:keepNext/>
        <w:spacing w:after="0"/>
        <w:rPr>
          <w:rFonts w:ascii="Arial Narrow" w:hAnsi="Arial Narrow"/>
          <w:color w:val="auto"/>
          <w:sz w:val="20"/>
          <w:szCs w:val="20"/>
        </w:rPr>
      </w:pPr>
      <w:bookmarkStart w:id="4" w:name="_Ref18935465"/>
      <w:r w:rsidRPr="00581941">
        <w:rPr>
          <w:rFonts w:ascii="Arial Narrow" w:hAnsi="Arial Narrow"/>
          <w:color w:val="auto"/>
          <w:sz w:val="20"/>
          <w:szCs w:val="20"/>
        </w:rPr>
        <w:t>Table</w:t>
      </w:r>
      <w:bookmarkEnd w:id="4"/>
      <w:r w:rsidRPr="00581941">
        <w:rPr>
          <w:rFonts w:ascii="Arial Narrow" w:hAnsi="Arial Narrow"/>
          <w:color w:val="auto"/>
          <w:sz w:val="20"/>
          <w:szCs w:val="20"/>
        </w:rPr>
        <w:t xml:space="preserve"> 1:</w:t>
      </w:r>
      <w:r w:rsidRPr="00581941">
        <w:rPr>
          <w:rFonts w:ascii="Arial Narrow" w:hAnsi="Arial Narrow"/>
          <w:b w:val="0"/>
          <w:color w:val="auto"/>
          <w:sz w:val="20"/>
          <w:szCs w:val="20"/>
        </w:rPr>
        <w:t xml:space="preserve"> </w:t>
      </w:r>
      <w:r w:rsidRPr="00581941">
        <w:rPr>
          <w:rFonts w:ascii="Arial Narrow" w:hAnsi="Arial Narrow"/>
          <w:color w:val="auto"/>
          <w:sz w:val="20"/>
          <w:szCs w:val="20"/>
        </w:rPr>
        <w:t>Summary of fixed</w:t>
      </w:r>
      <w:r w:rsidR="001F51CB" w:rsidRPr="00581941">
        <w:rPr>
          <w:rFonts w:ascii="Arial Narrow" w:hAnsi="Arial Narrow"/>
          <w:color w:val="auto"/>
          <w:sz w:val="20"/>
          <w:szCs w:val="20"/>
        </w:rPr>
        <w:t>-</w:t>
      </w:r>
      <w:r w:rsidRPr="00581941">
        <w:rPr>
          <w:rFonts w:ascii="Arial Narrow" w:hAnsi="Arial Narrow"/>
          <w:color w:val="auto"/>
          <w:sz w:val="20"/>
          <w:szCs w:val="20"/>
        </w:rPr>
        <w:t>dose combinations (their components, abbreviations for each drug and their associated tradenames)</w:t>
      </w:r>
    </w:p>
    <w:tbl>
      <w:tblPr>
        <w:tblStyle w:val="TableGrid"/>
        <w:tblW w:w="5000" w:type="pct"/>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Pr>
      <w:tblGrid>
        <w:gridCol w:w="5383"/>
        <w:gridCol w:w="1701"/>
        <w:gridCol w:w="1933"/>
      </w:tblGrid>
      <w:tr w:rsidR="004E59EC" w:rsidRPr="00581941" w:rsidTr="00346361">
        <w:trPr>
          <w:tblHeader/>
        </w:trPr>
        <w:tc>
          <w:tcPr>
            <w:tcW w:w="2984" w:type="pct"/>
          </w:tcPr>
          <w:p w:rsidR="004E59EC" w:rsidRPr="00581941" w:rsidRDefault="004E59EC" w:rsidP="00966FBA">
            <w:pPr>
              <w:keepNext/>
              <w:rPr>
                <w:rFonts w:ascii="Arial Narrow" w:hAnsi="Arial Narrow"/>
                <w:b/>
                <w:sz w:val="20"/>
              </w:rPr>
            </w:pPr>
            <w:r w:rsidRPr="00581941">
              <w:rPr>
                <w:rFonts w:ascii="Arial Narrow" w:hAnsi="Arial Narrow"/>
                <w:b/>
                <w:sz w:val="20"/>
              </w:rPr>
              <w:t>Fixe</w:t>
            </w:r>
            <w:r w:rsidR="00053DDE" w:rsidRPr="00581941">
              <w:rPr>
                <w:rFonts w:ascii="Arial Narrow" w:hAnsi="Arial Narrow"/>
                <w:b/>
                <w:sz w:val="20"/>
              </w:rPr>
              <w:t>d</w:t>
            </w:r>
            <w:r w:rsidR="00053DDE" w:rsidRPr="00581941">
              <w:rPr>
                <w:rFonts w:ascii="Arial Narrow" w:hAnsi="Arial Narrow"/>
                <w:b/>
                <w:sz w:val="20"/>
              </w:rPr>
              <w:noBreakHyphen/>
              <w:t>dose</w:t>
            </w:r>
            <w:r w:rsidRPr="00581941">
              <w:rPr>
                <w:rFonts w:ascii="Arial Narrow" w:hAnsi="Arial Narrow"/>
                <w:b/>
                <w:sz w:val="20"/>
              </w:rPr>
              <w:t xml:space="preserve"> combination (FDC) or other combination components</w:t>
            </w:r>
          </w:p>
        </w:tc>
        <w:tc>
          <w:tcPr>
            <w:tcW w:w="943" w:type="pct"/>
            <w:vAlign w:val="center"/>
          </w:tcPr>
          <w:p w:rsidR="004E59EC" w:rsidRPr="00581941" w:rsidRDefault="004E59EC" w:rsidP="00966FBA">
            <w:pPr>
              <w:keepNext/>
              <w:jc w:val="center"/>
              <w:rPr>
                <w:rFonts w:ascii="Arial Narrow" w:hAnsi="Arial Narrow"/>
                <w:b/>
                <w:sz w:val="20"/>
              </w:rPr>
            </w:pPr>
            <w:r w:rsidRPr="00581941">
              <w:rPr>
                <w:rFonts w:ascii="Arial Narrow" w:hAnsi="Arial Narrow"/>
                <w:b/>
                <w:sz w:val="20"/>
              </w:rPr>
              <w:t>Abbreviations</w:t>
            </w:r>
          </w:p>
        </w:tc>
        <w:tc>
          <w:tcPr>
            <w:tcW w:w="1072" w:type="pct"/>
            <w:vAlign w:val="center"/>
          </w:tcPr>
          <w:p w:rsidR="004E59EC" w:rsidRPr="00581941" w:rsidRDefault="004E59EC" w:rsidP="00966FBA">
            <w:pPr>
              <w:keepNext/>
              <w:jc w:val="center"/>
              <w:rPr>
                <w:rFonts w:ascii="Arial Narrow" w:hAnsi="Arial Narrow"/>
                <w:b/>
                <w:sz w:val="20"/>
              </w:rPr>
            </w:pPr>
            <w:r w:rsidRPr="00581941">
              <w:rPr>
                <w:rFonts w:ascii="Arial Narrow" w:hAnsi="Arial Narrow"/>
                <w:b/>
                <w:sz w:val="20"/>
              </w:rPr>
              <w:t>Tradename</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Darunavir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cobicistat</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alafenamide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DRV/c/FTC/TAF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Symtuza</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Elvitegravir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cobicistat</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alafenamide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ELV/c/FTC/TAF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Genvoya</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Rilpivirine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alafenamide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RPV/FTC/TAF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Odefsey</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Bictegravir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alafenamide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BIC/FTC/TAF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Biktarvy</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Elvitegravir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cobicistat</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disoproxil fumarate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ELV/c/FTC/TDF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Stribild</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Efavirenz</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disoproxil fumarate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EFV/FTC/TDF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Atripla</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Rilpivirine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disoproxil fumarate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emtricitabine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RPV/FTC/TDF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Eviplera</w:t>
            </w:r>
            <w:r w:rsidR="002F7BD8" w:rsidRPr="00581941">
              <w:rPr>
                <w:rFonts w:ascii="Arial Narrow" w:hAnsi="Arial Narrow"/>
                <w:sz w:val="20"/>
                <w:vertAlign w:val="superscript"/>
              </w:rPr>
              <w:t>®</w:t>
            </w:r>
          </w:p>
        </w:tc>
      </w:tr>
      <w:tr w:rsidR="004E59EC" w:rsidRPr="00581941" w:rsidTr="00966FB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Dolutegravir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abacavir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lamivudine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DTG/ABC/3TC</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Triumeq</w:t>
            </w:r>
            <w:r w:rsidR="002F7BD8" w:rsidRPr="00581941">
              <w:rPr>
                <w:rFonts w:ascii="Arial Narrow" w:hAnsi="Arial Narrow"/>
                <w:sz w:val="20"/>
                <w:vertAlign w:val="superscript"/>
              </w:rPr>
              <w:t>®</w:t>
            </w:r>
          </w:p>
        </w:tc>
      </w:tr>
      <w:tr w:rsidR="004E59EC" w:rsidRPr="00581941" w:rsidTr="0075440A">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Dolutegravir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lamivudine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DTG/3TC</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Dovato</w:t>
            </w:r>
            <w:r w:rsidR="002F7BD8" w:rsidRPr="00581941">
              <w:rPr>
                <w:rFonts w:ascii="Arial Narrow" w:hAnsi="Arial Narrow"/>
                <w:sz w:val="20"/>
                <w:vertAlign w:val="superscript"/>
              </w:rPr>
              <w:t>®</w:t>
            </w:r>
          </w:p>
        </w:tc>
      </w:tr>
      <w:tr w:rsidR="004E59EC" w:rsidRPr="00581941" w:rsidTr="0075440A">
        <w:trPr>
          <w:tblHeader/>
        </w:trPr>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Dolutegravir</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rilpivirine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DTG/RPV</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Juluca</w:t>
            </w:r>
            <w:r w:rsidR="002F7BD8" w:rsidRPr="00581941">
              <w:rPr>
                <w:rFonts w:ascii="Arial Narrow" w:hAnsi="Arial Narrow"/>
                <w:sz w:val="20"/>
                <w:vertAlign w:val="superscript"/>
              </w:rPr>
              <w:t>®</w:t>
            </w:r>
          </w:p>
        </w:tc>
      </w:tr>
      <w:tr w:rsidR="004E59EC" w:rsidRPr="00581941" w:rsidTr="0075440A">
        <w:trPr>
          <w:tblHeader/>
        </w:trPr>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disoproxil fumarate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FTC/TDF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Truvada</w:t>
            </w:r>
            <w:r w:rsidR="002F7BD8" w:rsidRPr="00581941">
              <w:rPr>
                <w:rFonts w:ascii="Arial Narrow" w:hAnsi="Arial Narrow"/>
                <w:sz w:val="20"/>
                <w:vertAlign w:val="superscript"/>
              </w:rPr>
              <w:t>®</w:t>
            </w:r>
          </w:p>
        </w:tc>
      </w:tr>
      <w:tr w:rsidR="004E59EC" w:rsidRPr="00581941" w:rsidTr="0075440A">
        <w:trPr>
          <w:tblHeader/>
        </w:trPr>
        <w:tc>
          <w:tcPr>
            <w:tcW w:w="2984" w:type="pct"/>
          </w:tcPr>
          <w:p w:rsidR="004E59EC" w:rsidRPr="00581941" w:rsidRDefault="004E59EC" w:rsidP="00966FBA">
            <w:pPr>
              <w:keepNext/>
              <w:rPr>
                <w:rFonts w:ascii="Arial Narrow" w:hAnsi="Arial Narrow"/>
                <w:sz w:val="20"/>
              </w:rPr>
            </w:pPr>
            <w:r w:rsidRPr="00581941">
              <w:rPr>
                <w:rFonts w:ascii="Arial Narrow" w:hAnsi="Arial Narrow"/>
                <w:sz w:val="20"/>
              </w:rPr>
              <w:t>Emtricitabine</w:t>
            </w:r>
            <w:r w:rsidR="0038447D" w:rsidRPr="00581941">
              <w:rPr>
                <w:rFonts w:ascii="Arial Narrow" w:hAnsi="Arial Narrow"/>
                <w:sz w:val="20"/>
              </w:rPr>
              <w:t xml:space="preserve"> </w:t>
            </w:r>
            <w:r w:rsidRPr="00581941">
              <w:rPr>
                <w:rFonts w:ascii="Arial Narrow" w:hAnsi="Arial Narrow"/>
                <w:sz w:val="20"/>
              </w:rPr>
              <w:t>/</w:t>
            </w:r>
            <w:r w:rsidR="0038447D" w:rsidRPr="00581941">
              <w:rPr>
                <w:rFonts w:ascii="Arial Narrow" w:hAnsi="Arial Narrow"/>
                <w:sz w:val="20"/>
              </w:rPr>
              <w:t xml:space="preserve"> </w:t>
            </w:r>
            <w:r w:rsidRPr="00581941">
              <w:rPr>
                <w:rFonts w:ascii="Arial Narrow" w:hAnsi="Arial Narrow"/>
                <w:sz w:val="20"/>
              </w:rPr>
              <w:t>tenofovir alafenamide</w:t>
            </w:r>
          </w:p>
        </w:tc>
        <w:tc>
          <w:tcPr>
            <w:tcW w:w="943"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FTC/TAF</w:t>
            </w:r>
          </w:p>
        </w:tc>
        <w:tc>
          <w:tcPr>
            <w:tcW w:w="1072" w:type="pct"/>
            <w:vAlign w:val="center"/>
          </w:tcPr>
          <w:p w:rsidR="004E59EC" w:rsidRPr="00581941" w:rsidRDefault="004E59EC" w:rsidP="00966FBA">
            <w:pPr>
              <w:keepNext/>
              <w:jc w:val="center"/>
              <w:rPr>
                <w:rFonts w:ascii="Arial Narrow" w:hAnsi="Arial Narrow"/>
                <w:sz w:val="20"/>
              </w:rPr>
            </w:pPr>
            <w:r w:rsidRPr="00581941">
              <w:rPr>
                <w:rFonts w:ascii="Arial Narrow" w:hAnsi="Arial Narrow"/>
                <w:sz w:val="20"/>
              </w:rPr>
              <w:t>Descovy</w:t>
            </w:r>
            <w:r w:rsidR="002F7BD8" w:rsidRPr="00581941">
              <w:rPr>
                <w:rFonts w:ascii="Arial Narrow" w:hAnsi="Arial Narrow"/>
                <w:sz w:val="20"/>
                <w:vertAlign w:val="superscript"/>
              </w:rPr>
              <w:t>®</w:t>
            </w:r>
          </w:p>
        </w:tc>
      </w:tr>
    </w:tbl>
    <w:p w:rsidR="004E59EC" w:rsidRPr="00581941" w:rsidRDefault="004E59EC" w:rsidP="004E59EC">
      <w:pPr>
        <w:pStyle w:val="2-SectionHeading"/>
        <w:numPr>
          <w:ilvl w:val="0"/>
          <w:numId w:val="1"/>
        </w:numPr>
      </w:pPr>
      <w:bookmarkStart w:id="5" w:name="_Toc40810615"/>
      <w:r w:rsidRPr="00581941">
        <w:t>Purpose of submission</w:t>
      </w:r>
      <w:bookmarkEnd w:id="2"/>
      <w:bookmarkEnd w:id="5"/>
    </w:p>
    <w:p w:rsidR="004E59EC" w:rsidRPr="00581941" w:rsidRDefault="004E59EC" w:rsidP="004E59EC">
      <w:pPr>
        <w:pStyle w:val="3-BodyText"/>
      </w:pPr>
      <w:r w:rsidRPr="00581941">
        <w:t xml:space="preserve">The submission requested an extension to the existing Section 100 (Highly Specialised Drugs Program – Community Access) </w:t>
      </w:r>
      <w:r w:rsidR="008A7991" w:rsidRPr="00581941">
        <w:t xml:space="preserve">streamlined authority </w:t>
      </w:r>
      <w:r w:rsidRPr="00581941">
        <w:t>listing for dolutegravir/lamivudine (DTG/3TC, Dovato</w:t>
      </w:r>
      <w:r w:rsidR="002F7BD8" w:rsidRPr="00581941">
        <w:rPr>
          <w:vertAlign w:val="superscript"/>
        </w:rPr>
        <w:t>®</w:t>
      </w:r>
      <w:r w:rsidRPr="00581941">
        <w:t xml:space="preserve">) for the treatment of </w:t>
      </w:r>
      <w:r w:rsidR="008A7991" w:rsidRPr="00581941">
        <w:t xml:space="preserve">HIV in </w:t>
      </w:r>
      <w:r w:rsidR="00053DDE" w:rsidRPr="00581941">
        <w:t>treatment</w:t>
      </w:r>
      <w:r w:rsidR="00053DDE" w:rsidRPr="00581941">
        <w:noBreakHyphen/>
      </w:r>
      <w:r w:rsidR="008A7991" w:rsidRPr="00581941">
        <w:t>naïve patients</w:t>
      </w:r>
      <w:r w:rsidRPr="00581941">
        <w:t>, to include</w:t>
      </w:r>
      <w:r w:rsidR="00107AA6" w:rsidRPr="00581941">
        <w:t xml:space="preserve"> anti-retroviral (AR</w:t>
      </w:r>
      <w:r w:rsidR="00054AA0" w:rsidRPr="00581941">
        <w:t>T</w:t>
      </w:r>
      <w:r w:rsidR="00107AA6" w:rsidRPr="00581941">
        <w:t>)</w:t>
      </w:r>
      <w:r w:rsidRPr="00581941">
        <w:t xml:space="preserve"> </w:t>
      </w:r>
      <w:r w:rsidR="00053DDE" w:rsidRPr="00581941">
        <w:t>treatment</w:t>
      </w:r>
      <w:r w:rsidR="00053DDE" w:rsidRPr="00581941">
        <w:noBreakHyphen/>
      </w:r>
      <w:r w:rsidR="00AC3786" w:rsidRPr="00581941">
        <w:t>experienced</w:t>
      </w:r>
      <w:r w:rsidRPr="00581941">
        <w:t xml:space="preserve"> (</w:t>
      </w:r>
      <w:r w:rsidR="00107AA6" w:rsidRPr="00581941">
        <w:t xml:space="preserve">i.e. </w:t>
      </w:r>
      <w:r w:rsidRPr="00581941">
        <w:t xml:space="preserve">switch) patients. </w:t>
      </w:r>
    </w:p>
    <w:p w:rsidR="004E59EC" w:rsidRPr="00581941" w:rsidRDefault="005A1CBC" w:rsidP="004E59EC">
      <w:pPr>
        <w:pStyle w:val="3-BodyText"/>
      </w:pPr>
      <w:r w:rsidRPr="00581941">
        <w:t>Listing was</w:t>
      </w:r>
      <w:r w:rsidR="004E59EC" w:rsidRPr="00581941">
        <w:t xml:space="preserve"> requested on</w:t>
      </w:r>
      <w:r w:rsidRPr="00581941">
        <w:t xml:space="preserve"> the basis of</w:t>
      </w:r>
      <w:r w:rsidR="004E59EC" w:rsidRPr="00581941">
        <w:t xml:space="preserve"> a </w:t>
      </w:r>
      <w:r w:rsidR="00EC0B68" w:rsidRPr="00581941">
        <w:t>cost</w:t>
      </w:r>
      <w:r w:rsidR="00EC0B68" w:rsidRPr="00581941">
        <w:noBreakHyphen/>
        <w:t>m</w:t>
      </w:r>
      <w:r w:rsidR="004E59EC" w:rsidRPr="00581941">
        <w:t xml:space="preserve">inimisation </w:t>
      </w:r>
      <w:r w:rsidRPr="00581941">
        <w:t>analysis versus</w:t>
      </w:r>
      <w:r w:rsidR="004E59EC" w:rsidRPr="00581941">
        <w:t xml:space="preserve"> the individual components in the FDC (DTG and 3TC)</w:t>
      </w:r>
      <w:r w:rsidR="008A7991" w:rsidRPr="00581941">
        <w:t>.</w:t>
      </w:r>
      <w:r w:rsidR="004E59EC" w:rsidRPr="00581941">
        <w:rPr>
          <w:color w:val="0066FF"/>
        </w:rPr>
        <w:t xml:space="preserve"> </w:t>
      </w:r>
    </w:p>
    <w:p w:rsidR="004E59EC" w:rsidRPr="00581941" w:rsidRDefault="004E59EC" w:rsidP="004E59EC">
      <w:pPr>
        <w:pStyle w:val="3-BodyText"/>
      </w:pPr>
      <w:r w:rsidRPr="00581941">
        <w:rPr>
          <w:color w:val="000000" w:themeColor="text1"/>
        </w:rPr>
        <w:t>Table 2 presents the key components of the clinical issue addressed by the submission.</w:t>
      </w:r>
    </w:p>
    <w:p w:rsidR="00234728" w:rsidRDefault="00234728">
      <w:pPr>
        <w:jc w:val="left"/>
        <w:rPr>
          <w:rStyle w:val="CommentReference"/>
          <w:rFonts w:eastAsiaTheme="majorEastAsia" w:cstheme="majorBidi"/>
          <w:bCs/>
          <w:szCs w:val="24"/>
        </w:rPr>
      </w:pPr>
      <w:r>
        <w:rPr>
          <w:rStyle w:val="CommentReference"/>
          <w:b w:val="0"/>
          <w:szCs w:val="24"/>
        </w:rPr>
        <w:br w:type="page"/>
      </w:r>
    </w:p>
    <w:p w:rsidR="004E59EC" w:rsidRPr="00581941" w:rsidRDefault="004E59EC" w:rsidP="004E59EC">
      <w:pPr>
        <w:pStyle w:val="TableFigureHeading"/>
        <w:rPr>
          <w:rStyle w:val="CommentReference"/>
          <w:b/>
          <w:szCs w:val="24"/>
        </w:rPr>
      </w:pPr>
      <w:r w:rsidRPr="00581941">
        <w:rPr>
          <w:rStyle w:val="CommentReference"/>
          <w:b/>
          <w:szCs w:val="24"/>
        </w:rPr>
        <w:t>Table 2: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4E59EC" w:rsidRPr="00581941" w:rsidTr="0075440A">
        <w:trPr>
          <w:tblHeader/>
        </w:trPr>
        <w:tc>
          <w:tcPr>
            <w:tcW w:w="911" w:type="pct"/>
            <w:vAlign w:val="center"/>
          </w:tcPr>
          <w:p w:rsidR="004E59EC" w:rsidRPr="00581941" w:rsidRDefault="004E59EC" w:rsidP="005C3242">
            <w:pPr>
              <w:pStyle w:val="In-tableHeading"/>
              <w:keepNext w:val="0"/>
              <w:keepLines/>
              <w:rPr>
                <w:szCs w:val="20"/>
                <w:lang w:val="en-AU"/>
              </w:rPr>
            </w:pPr>
            <w:bookmarkStart w:id="6" w:name="_Toc22898845"/>
            <w:r w:rsidRPr="00581941">
              <w:rPr>
                <w:szCs w:val="20"/>
                <w:lang w:val="en-AU"/>
              </w:rPr>
              <w:t>Component</w:t>
            </w:r>
          </w:p>
        </w:tc>
        <w:tc>
          <w:tcPr>
            <w:tcW w:w="4089" w:type="pct"/>
            <w:vAlign w:val="center"/>
          </w:tcPr>
          <w:p w:rsidR="004E59EC" w:rsidRPr="00581941" w:rsidRDefault="004E59EC" w:rsidP="005C3242">
            <w:pPr>
              <w:pStyle w:val="In-tableHeading"/>
              <w:keepNext w:val="0"/>
              <w:keepLines/>
              <w:rPr>
                <w:szCs w:val="20"/>
                <w:lang w:val="en-AU"/>
              </w:rPr>
            </w:pPr>
            <w:r w:rsidRPr="00581941">
              <w:rPr>
                <w:szCs w:val="20"/>
                <w:lang w:val="en-AU"/>
              </w:rPr>
              <w:t>Description</w:t>
            </w:r>
          </w:p>
        </w:tc>
      </w:tr>
      <w:tr w:rsidR="004E59EC" w:rsidRPr="00581941" w:rsidTr="0075440A">
        <w:tc>
          <w:tcPr>
            <w:tcW w:w="911" w:type="pct"/>
            <w:vAlign w:val="center"/>
          </w:tcPr>
          <w:p w:rsidR="004E59EC" w:rsidRPr="00581941" w:rsidRDefault="004E59EC" w:rsidP="005C3242">
            <w:pPr>
              <w:pStyle w:val="TableText0"/>
              <w:keepNext w:val="0"/>
              <w:keepLines/>
              <w:rPr>
                <w:szCs w:val="20"/>
              </w:rPr>
            </w:pPr>
            <w:r w:rsidRPr="00581941">
              <w:rPr>
                <w:szCs w:val="20"/>
              </w:rPr>
              <w:t>Population</w:t>
            </w:r>
          </w:p>
        </w:tc>
        <w:tc>
          <w:tcPr>
            <w:tcW w:w="4089" w:type="pct"/>
            <w:vAlign w:val="center"/>
          </w:tcPr>
          <w:p w:rsidR="004E59EC" w:rsidRPr="00581941" w:rsidRDefault="004E59EC" w:rsidP="00107AA6">
            <w:pPr>
              <w:pStyle w:val="TableText0"/>
              <w:keepNext w:val="0"/>
              <w:keepLines/>
              <w:rPr>
                <w:szCs w:val="20"/>
              </w:rPr>
            </w:pPr>
            <w:r w:rsidRPr="00581941">
              <w:rPr>
                <w:szCs w:val="20"/>
              </w:rPr>
              <w:t xml:space="preserve">Treatment of HIV infection in adults and adolescents </w:t>
            </w:r>
          </w:p>
        </w:tc>
      </w:tr>
      <w:tr w:rsidR="004E59EC" w:rsidRPr="00581941" w:rsidTr="0075440A">
        <w:tc>
          <w:tcPr>
            <w:tcW w:w="911" w:type="pct"/>
            <w:vAlign w:val="center"/>
          </w:tcPr>
          <w:p w:rsidR="004E59EC" w:rsidRPr="00581941" w:rsidRDefault="004E59EC" w:rsidP="005C3242">
            <w:pPr>
              <w:pStyle w:val="TableText0"/>
              <w:keepNext w:val="0"/>
              <w:keepLines/>
              <w:rPr>
                <w:szCs w:val="20"/>
              </w:rPr>
            </w:pPr>
            <w:r w:rsidRPr="00581941">
              <w:rPr>
                <w:szCs w:val="20"/>
              </w:rPr>
              <w:t>Intervention</w:t>
            </w:r>
          </w:p>
        </w:tc>
        <w:tc>
          <w:tcPr>
            <w:tcW w:w="4089" w:type="pct"/>
            <w:vAlign w:val="center"/>
          </w:tcPr>
          <w:p w:rsidR="004E59EC" w:rsidRPr="00581941" w:rsidRDefault="004E59EC" w:rsidP="005C3242">
            <w:pPr>
              <w:pStyle w:val="TableText0"/>
              <w:keepNext w:val="0"/>
              <w:keepLines/>
              <w:rPr>
                <w:szCs w:val="20"/>
              </w:rPr>
            </w:pPr>
            <w:r w:rsidRPr="00581941">
              <w:rPr>
                <w:szCs w:val="20"/>
              </w:rPr>
              <w:t>Dolutegravir 50 mg/ lamivudine 300 mg (DTG/3TC) fixe</w:t>
            </w:r>
            <w:r w:rsidR="00053DDE" w:rsidRPr="00581941">
              <w:rPr>
                <w:szCs w:val="20"/>
              </w:rPr>
              <w:t>d</w:t>
            </w:r>
            <w:r w:rsidR="00053DDE" w:rsidRPr="00581941">
              <w:rPr>
                <w:szCs w:val="20"/>
              </w:rPr>
              <w:noBreakHyphen/>
              <w:t>dose</w:t>
            </w:r>
            <w:r w:rsidRPr="00581941">
              <w:rPr>
                <w:szCs w:val="20"/>
              </w:rPr>
              <w:t xml:space="preserve"> combination (FDC); Dovato</w:t>
            </w:r>
            <w:r w:rsidR="002F7BD8" w:rsidRPr="00581941">
              <w:rPr>
                <w:szCs w:val="20"/>
                <w:vertAlign w:val="superscript"/>
              </w:rPr>
              <w:t>®</w:t>
            </w:r>
          </w:p>
        </w:tc>
      </w:tr>
      <w:tr w:rsidR="004E59EC" w:rsidRPr="00581941" w:rsidTr="0075440A">
        <w:tc>
          <w:tcPr>
            <w:tcW w:w="911" w:type="pct"/>
            <w:vAlign w:val="center"/>
          </w:tcPr>
          <w:p w:rsidR="004E59EC" w:rsidRPr="00581941" w:rsidRDefault="004E59EC" w:rsidP="005C3242">
            <w:pPr>
              <w:pStyle w:val="TableText0"/>
              <w:keepNext w:val="0"/>
              <w:keepLines/>
              <w:rPr>
                <w:szCs w:val="20"/>
              </w:rPr>
            </w:pPr>
            <w:r w:rsidRPr="00581941">
              <w:rPr>
                <w:szCs w:val="20"/>
              </w:rPr>
              <w:t>Comparator</w:t>
            </w:r>
          </w:p>
        </w:tc>
        <w:tc>
          <w:tcPr>
            <w:tcW w:w="4089" w:type="pct"/>
            <w:vAlign w:val="center"/>
          </w:tcPr>
          <w:p w:rsidR="004E59EC" w:rsidRPr="00581941" w:rsidRDefault="004E59EC" w:rsidP="006971DE">
            <w:pPr>
              <w:pStyle w:val="TableText0"/>
              <w:keepNext w:val="0"/>
              <w:keepLines/>
              <w:numPr>
                <w:ilvl w:val="0"/>
                <w:numId w:val="14"/>
              </w:numPr>
              <w:ind w:left="345"/>
              <w:rPr>
                <w:szCs w:val="20"/>
              </w:rPr>
            </w:pPr>
            <w:r w:rsidRPr="00581941">
              <w:rPr>
                <w:szCs w:val="20"/>
              </w:rPr>
              <w:t>Individual components (dolutegravir 50 mg and lamivudine 300 mg) taken concomitantly</w:t>
            </w:r>
          </w:p>
          <w:p w:rsidR="004E59EC" w:rsidRPr="00581941" w:rsidRDefault="004E59EC" w:rsidP="006971DE">
            <w:pPr>
              <w:pStyle w:val="TableText0"/>
              <w:keepNext w:val="0"/>
              <w:keepLines/>
              <w:numPr>
                <w:ilvl w:val="0"/>
                <w:numId w:val="14"/>
              </w:numPr>
              <w:ind w:left="345"/>
              <w:rPr>
                <w:szCs w:val="20"/>
              </w:rPr>
            </w:pPr>
            <w:r w:rsidRPr="00581941">
              <w:rPr>
                <w:szCs w:val="20"/>
              </w:rPr>
              <w:lastRenderedPageBreak/>
              <w:t xml:space="preserve">Therapies that prescribers would most likely replace in practice </w:t>
            </w:r>
            <w:r w:rsidRPr="00581941">
              <w:rPr>
                <w:szCs w:val="20"/>
                <w:vertAlign w:val="superscript"/>
              </w:rPr>
              <w:t>a</w:t>
            </w:r>
          </w:p>
        </w:tc>
      </w:tr>
      <w:tr w:rsidR="004E59EC" w:rsidRPr="00581941" w:rsidTr="0075440A">
        <w:tc>
          <w:tcPr>
            <w:tcW w:w="911" w:type="pct"/>
            <w:vAlign w:val="center"/>
          </w:tcPr>
          <w:p w:rsidR="004E59EC" w:rsidRPr="00581941" w:rsidRDefault="004E59EC" w:rsidP="005C3242">
            <w:pPr>
              <w:pStyle w:val="TableText0"/>
              <w:keepNext w:val="0"/>
              <w:keepLines/>
              <w:rPr>
                <w:szCs w:val="20"/>
              </w:rPr>
            </w:pPr>
            <w:r w:rsidRPr="00581941">
              <w:rPr>
                <w:szCs w:val="20"/>
              </w:rPr>
              <w:lastRenderedPageBreak/>
              <w:t>Outcomes</w:t>
            </w:r>
          </w:p>
        </w:tc>
        <w:tc>
          <w:tcPr>
            <w:tcW w:w="4089" w:type="pct"/>
            <w:vAlign w:val="center"/>
          </w:tcPr>
          <w:p w:rsidR="004E59EC" w:rsidRPr="00581941" w:rsidRDefault="00107AA6" w:rsidP="000D0F78">
            <w:pPr>
              <w:pStyle w:val="TableText0"/>
              <w:keepNext w:val="0"/>
              <w:keepLines/>
              <w:rPr>
                <w:szCs w:val="20"/>
              </w:rPr>
            </w:pPr>
            <w:r w:rsidRPr="00581941">
              <w:rPr>
                <w:szCs w:val="20"/>
              </w:rPr>
              <w:t xml:space="preserve">Virologic </w:t>
            </w:r>
            <w:r w:rsidR="000D0F78" w:rsidRPr="00581941">
              <w:rPr>
                <w:szCs w:val="20"/>
              </w:rPr>
              <w:t>failure</w:t>
            </w:r>
            <w:r w:rsidRPr="00581941">
              <w:rPr>
                <w:szCs w:val="20"/>
              </w:rPr>
              <w:t>, defined as p</w:t>
            </w:r>
            <w:r w:rsidR="004E59EC" w:rsidRPr="00581941">
              <w:rPr>
                <w:szCs w:val="20"/>
              </w:rPr>
              <w:t xml:space="preserve">roportion of patients with HIV-1 RNA ≥ 50 </w:t>
            </w:r>
            <w:r w:rsidR="0061619F" w:rsidRPr="00581941">
              <w:rPr>
                <w:szCs w:val="20"/>
              </w:rPr>
              <w:t>c</w:t>
            </w:r>
            <w:r w:rsidR="004E59EC" w:rsidRPr="00581941">
              <w:rPr>
                <w:szCs w:val="20"/>
              </w:rPr>
              <w:t>/mL at week 48</w:t>
            </w:r>
          </w:p>
        </w:tc>
      </w:tr>
      <w:tr w:rsidR="004E59EC" w:rsidRPr="00581941" w:rsidTr="0075440A">
        <w:tc>
          <w:tcPr>
            <w:tcW w:w="911" w:type="pct"/>
            <w:vAlign w:val="center"/>
          </w:tcPr>
          <w:p w:rsidR="004E59EC" w:rsidRPr="00581941" w:rsidRDefault="004E59EC" w:rsidP="005C3242">
            <w:pPr>
              <w:pStyle w:val="TableText0"/>
              <w:keepNext w:val="0"/>
              <w:keepLines/>
              <w:rPr>
                <w:szCs w:val="20"/>
              </w:rPr>
            </w:pPr>
            <w:r w:rsidRPr="00581941">
              <w:rPr>
                <w:szCs w:val="20"/>
              </w:rPr>
              <w:t>Clinical claim</w:t>
            </w:r>
          </w:p>
        </w:tc>
        <w:tc>
          <w:tcPr>
            <w:tcW w:w="4089" w:type="pct"/>
            <w:vAlign w:val="center"/>
          </w:tcPr>
          <w:p w:rsidR="004E59EC" w:rsidRPr="00581941" w:rsidRDefault="004E59EC" w:rsidP="006971DE">
            <w:pPr>
              <w:pStyle w:val="TableText0"/>
              <w:keepNext w:val="0"/>
              <w:keepLines/>
              <w:numPr>
                <w:ilvl w:val="0"/>
                <w:numId w:val="15"/>
              </w:numPr>
              <w:ind w:left="202" w:hanging="218"/>
              <w:rPr>
                <w:szCs w:val="20"/>
              </w:rPr>
            </w:pPr>
            <w:r w:rsidRPr="00581941">
              <w:rPr>
                <w:szCs w:val="20"/>
              </w:rPr>
              <w:t>Bioequivalence: The PBAC has previously accepted that evidence from Study 204994, supported bioequivalence of the individual components (DTG 50 mg + 3TC 300 mg) and the FDC (DTG/3TC 50/300 mg, Dovato</w:t>
            </w:r>
            <w:r w:rsidR="005A1CBC" w:rsidRPr="00581941">
              <w:rPr>
                <w:szCs w:val="20"/>
              </w:rPr>
              <w:t xml:space="preserve"> PSD</w:t>
            </w:r>
            <w:r w:rsidRPr="00581941">
              <w:rPr>
                <w:szCs w:val="20"/>
              </w:rPr>
              <w:t>; paragraph 7.2, August 2019</w:t>
            </w:r>
            <w:r w:rsidR="005A1CBC" w:rsidRPr="00581941">
              <w:rPr>
                <w:szCs w:val="20"/>
              </w:rPr>
              <w:t xml:space="preserve"> meeting</w:t>
            </w:r>
            <w:r w:rsidRPr="00581941">
              <w:rPr>
                <w:szCs w:val="20"/>
              </w:rPr>
              <w:t>).</w:t>
            </w:r>
          </w:p>
          <w:p w:rsidR="004E59EC" w:rsidRPr="00581941" w:rsidRDefault="004E59EC" w:rsidP="006971DE">
            <w:pPr>
              <w:pStyle w:val="TableText0"/>
              <w:keepNext w:val="0"/>
              <w:keepLines/>
              <w:numPr>
                <w:ilvl w:val="0"/>
                <w:numId w:val="15"/>
              </w:numPr>
              <w:ind w:left="202" w:hanging="218"/>
              <w:rPr>
                <w:szCs w:val="20"/>
              </w:rPr>
            </w:pPr>
            <w:r w:rsidRPr="00581941">
              <w:rPr>
                <w:szCs w:val="20"/>
              </w:rPr>
              <w:t>Efficacy</w:t>
            </w:r>
            <w:r w:rsidR="001F51CB" w:rsidRPr="00581941">
              <w:rPr>
                <w:szCs w:val="20"/>
              </w:rPr>
              <w:t xml:space="preserve"> </w:t>
            </w:r>
            <w:r w:rsidRPr="00581941">
              <w:rPr>
                <w:szCs w:val="20"/>
                <w:vertAlign w:val="superscript"/>
              </w:rPr>
              <w:t>b</w:t>
            </w:r>
            <w:r w:rsidRPr="00581941">
              <w:rPr>
                <w:szCs w:val="20"/>
              </w:rPr>
              <w:t>: DTG/3TC is non-inferior in terms of effectiveness in comparison to Biktarvy, Genvoya, Odefsey, Juluca, and Triumeq for the treatment of HIV infection</w:t>
            </w:r>
            <w:r w:rsidR="00581941">
              <w:rPr>
                <w:szCs w:val="20"/>
              </w:rPr>
              <w:t xml:space="preserve">. </w:t>
            </w:r>
          </w:p>
          <w:p w:rsidR="004E59EC" w:rsidRPr="00581941" w:rsidRDefault="004E59EC" w:rsidP="006971DE">
            <w:pPr>
              <w:pStyle w:val="TableText0"/>
              <w:keepNext w:val="0"/>
              <w:keepLines/>
              <w:numPr>
                <w:ilvl w:val="0"/>
                <w:numId w:val="15"/>
              </w:numPr>
              <w:ind w:left="202" w:hanging="218"/>
              <w:rPr>
                <w:szCs w:val="20"/>
              </w:rPr>
            </w:pPr>
            <w:r w:rsidRPr="00581941">
              <w:rPr>
                <w:szCs w:val="20"/>
              </w:rPr>
              <w:t>Safety</w:t>
            </w:r>
            <w:r w:rsidR="001F51CB" w:rsidRPr="00581941">
              <w:rPr>
                <w:szCs w:val="20"/>
              </w:rPr>
              <w:t xml:space="preserve"> </w:t>
            </w:r>
            <w:r w:rsidRPr="00581941">
              <w:rPr>
                <w:szCs w:val="20"/>
                <w:vertAlign w:val="superscript"/>
              </w:rPr>
              <w:t>b</w:t>
            </w:r>
            <w:r w:rsidRPr="00581941">
              <w:rPr>
                <w:szCs w:val="20"/>
              </w:rPr>
              <w:t>: DTG/3TC is non-inferior in terms of safety in comparison to Biktarvy, Genvoya, Odefsey, Juluca, and Triumeq for the treatment of HIV infection</w:t>
            </w:r>
            <w:r w:rsidR="00581941">
              <w:rPr>
                <w:szCs w:val="20"/>
              </w:rPr>
              <w:t xml:space="preserve">. </w:t>
            </w:r>
          </w:p>
        </w:tc>
      </w:tr>
    </w:tbl>
    <w:p w:rsidR="004E59EC" w:rsidRPr="00581941" w:rsidRDefault="004E59EC" w:rsidP="004E59EC">
      <w:pPr>
        <w:pStyle w:val="TableFigureFooter"/>
      </w:pPr>
      <w:r w:rsidRPr="00581941">
        <w:t>Source: Table 3, p15 of the submission</w:t>
      </w:r>
    </w:p>
    <w:p w:rsidR="004E59EC" w:rsidRPr="00581941" w:rsidRDefault="004E59EC" w:rsidP="004E59EC">
      <w:pPr>
        <w:pStyle w:val="TableFigureFooter"/>
      </w:pPr>
      <w:r w:rsidRPr="00581941">
        <w:t xml:space="preserve">3TC = lamivudine; </w:t>
      </w:r>
      <w:r w:rsidR="005A1CBC" w:rsidRPr="00581941">
        <w:t xml:space="preserve">c = copies; </w:t>
      </w:r>
      <w:r w:rsidRPr="00581941">
        <w:t xml:space="preserve">DTG = dolutegravir; FDC = </w:t>
      </w:r>
      <w:r w:rsidR="00972A9F" w:rsidRPr="00581941">
        <w:t>fixed-</w:t>
      </w:r>
      <w:r w:rsidRPr="00581941">
        <w:t xml:space="preserve">dose combination; HIV = human immunodeficiency virus; PBAC = Pharmaceutical Benefits Advisory Committee; PBS = Pharmaceutical Benefits Scheme; RNA = ribonucleic acid; RPV = rilpivirine; TBR = tenofovir alafenamide based regimen </w:t>
      </w:r>
    </w:p>
    <w:p w:rsidR="004E59EC" w:rsidRPr="00581941" w:rsidRDefault="004E59EC" w:rsidP="004E59EC">
      <w:pPr>
        <w:pStyle w:val="TableFigureFooter"/>
      </w:pPr>
      <w:r w:rsidRPr="00581941">
        <w:rPr>
          <w:vertAlign w:val="superscript"/>
        </w:rPr>
        <w:t>a</w:t>
      </w:r>
      <w:r w:rsidRPr="00581941">
        <w:t xml:space="preserve"> FDCs currently listed on the PBS (Biktarvy, Genvoya, Odefsey, Juluca, and Triumeq) indicated for use in patients with HIV who are </w:t>
      </w:r>
      <w:r w:rsidR="00053DDE" w:rsidRPr="00581941">
        <w:t>treatment</w:t>
      </w:r>
      <w:r w:rsidR="00053DDE" w:rsidRPr="00581941">
        <w:noBreakHyphen/>
      </w:r>
      <w:r w:rsidR="00AC3786" w:rsidRPr="00581941">
        <w:t>experienced</w:t>
      </w:r>
      <w:r w:rsidRPr="00581941">
        <w:t xml:space="preserve"> </w:t>
      </w:r>
    </w:p>
    <w:p w:rsidR="004E59EC" w:rsidRPr="00581941" w:rsidRDefault="004E59EC" w:rsidP="004E59EC">
      <w:pPr>
        <w:pStyle w:val="TableFigureFooter"/>
      </w:pPr>
      <w:r w:rsidRPr="00581941">
        <w:rPr>
          <w:vertAlign w:val="superscript"/>
        </w:rPr>
        <w:t>b</w:t>
      </w:r>
      <w:r w:rsidRPr="00581941">
        <w:t xml:space="preserve"> The submission considered that prior PBAC recommendations on the basis of </w:t>
      </w:r>
      <w:r w:rsidR="00EC0B68" w:rsidRPr="00581941">
        <w:t>cost</w:t>
      </w:r>
      <w:r w:rsidR="00EC0B68" w:rsidRPr="00581941">
        <w:noBreakHyphen/>
        <w:t>m</w:t>
      </w:r>
      <w:r w:rsidRPr="00581941">
        <w:t xml:space="preserve">inimisation and therapeutic relativity sheets confer non-inferiority across the 3DR FDCs (including TBRs) and DTG/RPV in the </w:t>
      </w:r>
      <w:r w:rsidR="00053DDE" w:rsidRPr="00581941">
        <w:t>treatment</w:t>
      </w:r>
      <w:r w:rsidR="00053DDE" w:rsidRPr="00581941">
        <w:noBreakHyphen/>
        <w:t>experienced</w:t>
      </w:r>
      <w:r w:rsidRPr="00581941">
        <w:t xml:space="preserve"> setting</w:t>
      </w:r>
    </w:p>
    <w:p w:rsidR="004E59EC" w:rsidRPr="00581941" w:rsidRDefault="004E59EC" w:rsidP="004E59EC">
      <w:pPr>
        <w:pStyle w:val="2-SectionHeading"/>
        <w:numPr>
          <w:ilvl w:val="0"/>
          <w:numId w:val="1"/>
        </w:numPr>
      </w:pPr>
      <w:bookmarkStart w:id="7" w:name="_Toc40810616"/>
      <w:r w:rsidRPr="00581941">
        <w:t>Background</w:t>
      </w:r>
      <w:bookmarkEnd w:id="6"/>
      <w:bookmarkEnd w:id="7"/>
    </w:p>
    <w:p w:rsidR="004E59EC" w:rsidRPr="00581941" w:rsidRDefault="004E59EC" w:rsidP="004E59EC">
      <w:pPr>
        <w:pStyle w:val="4-SubsectionHeading"/>
      </w:pPr>
      <w:bookmarkStart w:id="8" w:name="_Toc22897638"/>
      <w:bookmarkStart w:id="9" w:name="_Toc22898846"/>
      <w:bookmarkStart w:id="10" w:name="_Toc40810617"/>
      <w:r w:rsidRPr="00581941">
        <w:t>Registration status</w:t>
      </w:r>
      <w:bookmarkEnd w:id="8"/>
      <w:bookmarkEnd w:id="9"/>
      <w:bookmarkEnd w:id="10"/>
    </w:p>
    <w:p w:rsidR="003E1E03" w:rsidRPr="00581941" w:rsidRDefault="004E59EC" w:rsidP="003E1E03">
      <w:pPr>
        <w:pStyle w:val="3-BodyText"/>
        <w:rPr>
          <w:i/>
        </w:rPr>
      </w:pPr>
      <w:r w:rsidRPr="00581941">
        <w:t>The submission was made under the TGA/PBAC Parallel Process</w:t>
      </w:r>
      <w:r w:rsidR="003E1E03" w:rsidRPr="00581941">
        <w:t xml:space="preserve"> and was not TGA registered at the time of</w:t>
      </w:r>
      <w:r w:rsidR="00F92E2B" w:rsidRPr="00581941">
        <w:t xml:space="preserve"> the</w:t>
      </w:r>
      <w:r w:rsidR="003E1E03" w:rsidRPr="00581941">
        <w:t xml:space="preserve"> PBAC </w:t>
      </w:r>
      <w:r w:rsidR="00F92E2B" w:rsidRPr="00581941">
        <w:t>meeting</w:t>
      </w:r>
      <w:r w:rsidR="003E1E03" w:rsidRPr="00581941">
        <w:t>. The Clinical Evaluation Report containing the first and second round recommendations was obtained prior to PBAC consideration.</w:t>
      </w:r>
      <w:r w:rsidR="00716889" w:rsidRPr="00581941">
        <w:t xml:space="preserve"> The registration pertains to the treatment-experienced patient population; DTG/3TC FDC was previously TGA-registered in December 2019 in the treatment</w:t>
      </w:r>
      <w:r w:rsidR="00716889" w:rsidRPr="00581941">
        <w:noBreakHyphen/>
        <w:t>naïve population</w:t>
      </w:r>
      <w:r w:rsidR="00581941">
        <w:t xml:space="preserve">. </w:t>
      </w:r>
      <w:r w:rsidR="003E1E03" w:rsidRPr="00581941">
        <w:t>A</w:t>
      </w:r>
      <w:r w:rsidR="00002D16" w:rsidRPr="00581941">
        <w:t>dvice</w:t>
      </w:r>
      <w:r w:rsidR="008D2547" w:rsidRPr="00581941">
        <w:t xml:space="preserve"> from the</w:t>
      </w:r>
      <w:r w:rsidR="00002D16" w:rsidRPr="00581941">
        <w:t xml:space="preserve"> TGA</w:t>
      </w:r>
      <w:r w:rsidR="008D2547" w:rsidRPr="00581941">
        <w:t xml:space="preserve"> Delegate</w:t>
      </w:r>
      <w:r w:rsidR="003E1E03" w:rsidRPr="00581941">
        <w:t xml:space="preserve"> is as follows:</w:t>
      </w:r>
    </w:p>
    <w:p w:rsidR="005759AC" w:rsidRPr="00581941" w:rsidRDefault="003E1E03" w:rsidP="005759AC">
      <w:pPr>
        <w:pStyle w:val="3-BodyText"/>
        <w:numPr>
          <w:ilvl w:val="0"/>
          <w:numId w:val="0"/>
        </w:numPr>
        <w:spacing w:after="0"/>
        <w:ind w:left="720"/>
      </w:pPr>
      <w:r w:rsidRPr="00581941">
        <w:t>“I have no reason to say, at this time, that the application for DOVATO should not be approved for the following indication: DOVATO (a fixed dose combination of dolutegravir and lamivudine) is indicated for the treatment of Human Immunodeficiency Virus-1 (HIV-1) infection in adults and adolescents (from 12 years of age weighing at least 40kg):</w:t>
      </w:r>
    </w:p>
    <w:p w:rsidR="005759AC" w:rsidRPr="00581941" w:rsidRDefault="003E1E03" w:rsidP="005759AC">
      <w:pPr>
        <w:pStyle w:val="3-BodyText"/>
        <w:numPr>
          <w:ilvl w:val="0"/>
          <w:numId w:val="32"/>
        </w:numPr>
        <w:spacing w:after="0"/>
        <w:ind w:left="1434" w:hanging="357"/>
      </w:pPr>
      <w:r w:rsidRPr="00581941">
        <w:t xml:space="preserve">in antiretroviral treatment-naïve patients with no antiretroviral treatment history who have no known or suspected resistance to either antiretroviral component; or </w:t>
      </w:r>
    </w:p>
    <w:p w:rsidR="003E1E03" w:rsidRPr="00581941" w:rsidRDefault="003E1E03" w:rsidP="005759AC">
      <w:pPr>
        <w:pStyle w:val="3-BodyText"/>
        <w:numPr>
          <w:ilvl w:val="0"/>
          <w:numId w:val="32"/>
        </w:numPr>
      </w:pPr>
      <w:r w:rsidRPr="00581941">
        <w:t>to replace the current antiretroviral regimen in those who are virologically suppressed (HIV-1 RNA less than 50 copies per mL) on a stable antiretroviral regimen with no history of treatment failure with no known or suspected resistance to the integrase inhibitor class or lamivudi</w:t>
      </w:r>
      <w:r w:rsidR="005759AC" w:rsidRPr="00581941">
        <w:t>ne</w:t>
      </w:r>
      <w:r w:rsidRPr="00581941">
        <w:t xml:space="preserve">.” </w:t>
      </w:r>
      <w:r w:rsidR="008D2547" w:rsidRPr="00581941">
        <w:t xml:space="preserve"> </w:t>
      </w:r>
    </w:p>
    <w:p w:rsidR="004E59EC" w:rsidRPr="00581941" w:rsidRDefault="004E59EC" w:rsidP="005759AC">
      <w:pPr>
        <w:pStyle w:val="3-BodyText"/>
        <w:widowControl w:val="0"/>
      </w:pPr>
      <w:r w:rsidRPr="00581941">
        <w:t xml:space="preserve">DTG/3TC has been previously evaluated by the TGA for the </w:t>
      </w:r>
      <w:r w:rsidR="00053DDE" w:rsidRPr="00581941">
        <w:t>treatment</w:t>
      </w:r>
      <w:r w:rsidR="00053DDE" w:rsidRPr="00581941">
        <w:noBreakHyphen/>
      </w:r>
      <w:r w:rsidRPr="00581941">
        <w:t xml:space="preserve">experienced population. In 2018-2019, the sponsor sought to register DTG/3TC FDC for the proposed indication: treatment of </w:t>
      </w:r>
      <w:r w:rsidR="005A3049" w:rsidRPr="00581941">
        <w:t>human immunodeficiency v</w:t>
      </w:r>
      <w:r w:rsidRPr="00581941">
        <w:t>irus (HIV) infection in adults and adolescents from 12 years of age weighing at least 40 kg, who have no known or suspected resistance to either antiretroviral component (pp8-12, DTG/3TC AusPAR). During th</w:t>
      </w:r>
      <w:r w:rsidR="00823777" w:rsidRPr="00581941">
        <w:t>e</w:t>
      </w:r>
      <w:r w:rsidRPr="00581941">
        <w:t xml:space="preserve"> evaluation, the Advisory Committee on Medicines (ACM) recommended restriction to </w:t>
      </w:r>
      <w:r w:rsidR="00053DDE" w:rsidRPr="00581941">
        <w:t>treatment</w:t>
      </w:r>
      <w:r w:rsidR="00053DDE" w:rsidRPr="00581941">
        <w:noBreakHyphen/>
      </w:r>
      <w:r w:rsidRPr="00581941">
        <w:t xml:space="preserve">naïve patients only – citing insufficient data and concern over potential drug resistance in patients switching therapy. The ACM was of the view that </w:t>
      </w:r>
      <w:r w:rsidR="00457750" w:rsidRPr="00581941">
        <w:t xml:space="preserve">a decision regarding </w:t>
      </w:r>
      <w:r w:rsidRPr="00581941">
        <w:t>the ‘switch’ indication should be deferred until 48 week data from the TANGO trial are available and formal evaluation of the study is conducted, including an assessment of resistance (p30, DTG/3TC AusPAR, November 2019). The TGA Delegate outlined their intention to align the Product Information, following advice from the ACM regarding the indication, with the TGA</w:t>
      </w:r>
      <w:r w:rsidR="00972A9F" w:rsidRPr="00581941">
        <w:t>-</w:t>
      </w:r>
      <w:r w:rsidRPr="00581941">
        <w:t xml:space="preserve">registered indication to exclude patients who are </w:t>
      </w:r>
      <w:r w:rsidR="00053DDE" w:rsidRPr="00581941">
        <w:t>treatment</w:t>
      </w:r>
      <w:r w:rsidR="00053DDE" w:rsidRPr="00581941">
        <w:noBreakHyphen/>
      </w:r>
      <w:r w:rsidRPr="00581941">
        <w:t xml:space="preserve">experienced (paragraph 11.3, DTG/3TC </w:t>
      </w:r>
      <w:r w:rsidR="00F54B6C" w:rsidRPr="00581941">
        <w:t>Public Summary Document (</w:t>
      </w:r>
      <w:r w:rsidRPr="00581941">
        <w:t>PSD</w:t>
      </w:r>
      <w:r w:rsidR="00F54B6C" w:rsidRPr="00581941">
        <w:t>)</w:t>
      </w:r>
      <w:r w:rsidRPr="00581941">
        <w:t>, July 2019 PBAC meeting</w:t>
      </w:r>
      <w:r w:rsidR="00823777" w:rsidRPr="00581941">
        <w:t xml:space="preserve"> </w:t>
      </w:r>
      <w:bookmarkStart w:id="11" w:name="_Hlk40105044"/>
      <w:r w:rsidR="00823777" w:rsidRPr="00581941">
        <w:t>with August and September 2019 addenda</w:t>
      </w:r>
      <w:bookmarkEnd w:id="11"/>
      <w:r w:rsidR="005759AC" w:rsidRPr="00581941">
        <w:t>).</w:t>
      </w:r>
    </w:p>
    <w:p w:rsidR="004E59EC" w:rsidRPr="00581941" w:rsidRDefault="004E59EC" w:rsidP="004E59EC">
      <w:pPr>
        <w:pStyle w:val="3-BodyText"/>
        <w:widowControl w:val="0"/>
        <w:spacing w:after="0"/>
        <w:contextualSpacing/>
      </w:pPr>
      <w:r w:rsidRPr="00581941">
        <w:t>At the time of th</w:t>
      </w:r>
      <w:r w:rsidR="00792365" w:rsidRPr="00581941">
        <w:t>ese</w:t>
      </w:r>
      <w:r w:rsidRPr="00581941">
        <w:t xml:space="preserve"> </w:t>
      </w:r>
      <w:r w:rsidR="00792365" w:rsidRPr="00581941">
        <w:t>minutes</w:t>
      </w:r>
      <w:r w:rsidRPr="00581941">
        <w:t xml:space="preserve">, DTG/3TC was approved for use in </w:t>
      </w:r>
      <w:r w:rsidR="00053DDE" w:rsidRPr="00581941">
        <w:t>treatment</w:t>
      </w:r>
      <w:r w:rsidR="00053DDE" w:rsidRPr="00581941">
        <w:noBreakHyphen/>
      </w:r>
      <w:r w:rsidRPr="00581941">
        <w:t xml:space="preserve">naïve and </w:t>
      </w:r>
      <w:r w:rsidR="00053DDE" w:rsidRPr="00581941">
        <w:t>treatment</w:t>
      </w:r>
      <w:r w:rsidR="00053DDE" w:rsidRPr="00581941">
        <w:noBreakHyphen/>
      </w:r>
      <w:r w:rsidRPr="00581941">
        <w:t xml:space="preserve">experienced patients in the European Union and restricted to </w:t>
      </w:r>
      <w:r w:rsidR="00053DDE" w:rsidRPr="00581941">
        <w:t>treatment</w:t>
      </w:r>
      <w:r w:rsidR="00053DDE" w:rsidRPr="00581941">
        <w:noBreakHyphen/>
      </w:r>
      <w:r w:rsidRPr="00581941">
        <w:t xml:space="preserve">naïve patients in the </w:t>
      </w:r>
      <w:r w:rsidR="00FB3629" w:rsidRPr="00581941">
        <w:t>United States (</w:t>
      </w:r>
      <w:r w:rsidRPr="00581941">
        <w:t>US</w:t>
      </w:r>
      <w:r w:rsidR="00FB3629" w:rsidRPr="00581941">
        <w:t>)</w:t>
      </w:r>
      <w:r w:rsidRPr="00581941">
        <w:t>.</w:t>
      </w:r>
    </w:p>
    <w:p w:rsidR="004E59EC" w:rsidRPr="00581941" w:rsidRDefault="004E59EC" w:rsidP="004E59EC">
      <w:pPr>
        <w:pStyle w:val="4-SubsectionHeading"/>
      </w:pPr>
      <w:bookmarkStart w:id="12" w:name="_Toc22897639"/>
      <w:bookmarkStart w:id="13" w:name="_Toc22898847"/>
      <w:bookmarkStart w:id="14" w:name="_Toc40810618"/>
      <w:r w:rsidRPr="00581941">
        <w:t>Previous PBAC consideration</w:t>
      </w:r>
      <w:bookmarkEnd w:id="12"/>
      <w:bookmarkEnd w:id="13"/>
      <w:bookmarkEnd w:id="14"/>
    </w:p>
    <w:p w:rsidR="004E59EC" w:rsidRPr="00581941" w:rsidRDefault="004E59EC" w:rsidP="00926C6B">
      <w:pPr>
        <w:pStyle w:val="3-BodyText"/>
        <w:widowControl w:val="0"/>
      </w:pPr>
      <w:r w:rsidRPr="00581941">
        <w:t xml:space="preserve">DTG/3TC was first considered by </w:t>
      </w:r>
      <w:r w:rsidR="00430AE7" w:rsidRPr="00581941">
        <w:t xml:space="preserve">the </w:t>
      </w:r>
      <w:r w:rsidRPr="00581941">
        <w:t xml:space="preserve">PBAC </w:t>
      </w:r>
      <w:r w:rsidR="00FB3629" w:rsidRPr="00581941">
        <w:t>at its</w:t>
      </w:r>
      <w:r w:rsidRPr="00581941">
        <w:t xml:space="preserve"> July 2019 </w:t>
      </w:r>
      <w:r w:rsidR="00FB3629" w:rsidRPr="00581941">
        <w:t xml:space="preserve">meeting </w:t>
      </w:r>
      <w:r w:rsidRPr="00581941">
        <w:t xml:space="preserve">for </w:t>
      </w:r>
      <w:r w:rsidR="00FB3629" w:rsidRPr="00581941">
        <w:t xml:space="preserve">both </w:t>
      </w:r>
      <w:r w:rsidR="00053DDE" w:rsidRPr="00581941">
        <w:t>treatment</w:t>
      </w:r>
      <w:r w:rsidR="00053DDE" w:rsidRPr="00581941">
        <w:noBreakHyphen/>
      </w:r>
      <w:r w:rsidRPr="00581941">
        <w:t xml:space="preserve">naïve and </w:t>
      </w:r>
      <w:r w:rsidR="00053DDE" w:rsidRPr="00581941">
        <w:t>treatment</w:t>
      </w:r>
      <w:r w:rsidR="00053DDE" w:rsidRPr="00581941">
        <w:noBreakHyphen/>
      </w:r>
      <w:r w:rsidRPr="00581941">
        <w:t>experienced patients.</w:t>
      </w:r>
      <w:r w:rsidRPr="00581941">
        <w:rPr>
          <w:i/>
        </w:rPr>
        <w:t xml:space="preserve"> </w:t>
      </w:r>
      <w:r w:rsidRPr="00581941">
        <w:t xml:space="preserve">The PBAC deferred making a recommendation for the listing of DTG/3TC FDC for the treatment of HIV in both </w:t>
      </w:r>
      <w:r w:rsidR="00053DDE" w:rsidRPr="00581941">
        <w:t>treatment</w:t>
      </w:r>
      <w:r w:rsidR="00053DDE" w:rsidRPr="00581941">
        <w:noBreakHyphen/>
      </w:r>
      <w:r w:rsidRPr="00581941">
        <w:t xml:space="preserve">naïve and </w:t>
      </w:r>
      <w:r w:rsidR="006D1467" w:rsidRPr="00581941">
        <w:t>-</w:t>
      </w:r>
      <w:r w:rsidRPr="00581941">
        <w:t xml:space="preserve">experienced adult and adolescent patients as it was unclear if the TGA registration would permit use in patients who are </w:t>
      </w:r>
      <w:r w:rsidR="00053DDE" w:rsidRPr="00581941">
        <w:t>treatment</w:t>
      </w:r>
      <w:r w:rsidR="00053DDE" w:rsidRPr="00581941">
        <w:noBreakHyphen/>
      </w:r>
      <w:r w:rsidRPr="00581941">
        <w:t xml:space="preserve">experienced. For </w:t>
      </w:r>
      <w:r w:rsidR="008F4AEF" w:rsidRPr="00581941">
        <w:t>treatment naïve</w:t>
      </w:r>
      <w:r w:rsidR="0038447D" w:rsidRPr="00581941">
        <w:t xml:space="preserve"> </w:t>
      </w:r>
      <w:r w:rsidRPr="00581941">
        <w:t xml:space="preserve">patients, the PBAC was of a mind to recommend </w:t>
      </w:r>
      <w:r w:rsidR="00C55226" w:rsidRPr="00581941">
        <w:t>DTG/3TC</w:t>
      </w:r>
      <w:r w:rsidRPr="00581941">
        <w:t xml:space="preserve">, however </w:t>
      </w:r>
      <w:r w:rsidR="00614EB3" w:rsidRPr="00581941">
        <w:t xml:space="preserve">considered </w:t>
      </w:r>
      <w:r w:rsidRPr="00581941">
        <w:t xml:space="preserve">it was appropriate to await further clarity on the likely TGA outcome prior to making a recommendation for listing on the PBS (paragraph 7.1, DTG/3TC PSD, July 2019 PBAC meeting). </w:t>
      </w:r>
    </w:p>
    <w:p w:rsidR="004E59EC" w:rsidRPr="00581941" w:rsidRDefault="004E59EC" w:rsidP="006679AA">
      <w:pPr>
        <w:pStyle w:val="3-BodyText"/>
      </w:pPr>
      <w:r w:rsidRPr="00581941">
        <w:t xml:space="preserve">In August 2019, the PBAC recommended listing DTG/3TC FDC for the treatment of HIV in </w:t>
      </w:r>
      <w:r w:rsidR="00A4450D" w:rsidRPr="00581941">
        <w:t>treatment-</w:t>
      </w:r>
      <w:r w:rsidR="008F4AEF" w:rsidRPr="00581941">
        <w:t>naïve</w:t>
      </w:r>
      <w:r w:rsidR="0038447D" w:rsidRPr="00581941">
        <w:t xml:space="preserve"> </w:t>
      </w:r>
      <w:r w:rsidRPr="00581941">
        <w:t xml:space="preserve">patients who have a baseline viral load </w:t>
      </w:r>
      <w:r w:rsidR="006D1467" w:rsidRPr="00581941">
        <w:t xml:space="preserve">of </w:t>
      </w:r>
      <w:r w:rsidRPr="00581941">
        <w:t xml:space="preserve">&lt; 500,000 </w:t>
      </w:r>
      <w:r w:rsidR="0061619F" w:rsidRPr="00581941">
        <w:t>c</w:t>
      </w:r>
      <w:r w:rsidR="00FB3629" w:rsidRPr="00581941">
        <w:t>opies</w:t>
      </w:r>
      <w:r w:rsidRPr="00581941">
        <w:t>/ml and no suspected resistance to either antiretroviral component (paragraph 13.1, DTG/3TC PSD, July 2019 PBAC meeting</w:t>
      </w:r>
      <w:r w:rsidR="00823777" w:rsidRPr="00581941">
        <w:t xml:space="preserve"> with August and September 2019 addenda</w:t>
      </w:r>
      <w:r w:rsidRPr="00581941">
        <w:t>)</w:t>
      </w:r>
      <w:r w:rsidRPr="00581941">
        <w:rPr>
          <w:bCs/>
        </w:rPr>
        <w:t>.</w:t>
      </w:r>
      <w:r w:rsidRPr="00581941">
        <w:rPr>
          <w:b/>
          <w:bCs/>
        </w:rPr>
        <w:t xml:space="preserve"> </w:t>
      </w:r>
      <w:r w:rsidRPr="00581941">
        <w:t xml:space="preserve">The PBAC did not recommend listing of DTG/3TC for patients who are </w:t>
      </w:r>
      <w:r w:rsidR="00053DDE" w:rsidRPr="00581941">
        <w:t>treatment</w:t>
      </w:r>
      <w:r w:rsidR="00053DDE" w:rsidRPr="00581941">
        <w:noBreakHyphen/>
      </w:r>
      <w:r w:rsidRPr="00581941">
        <w:t xml:space="preserve">experienced. The PBAC advised that it will not consider other indications until such time as the TGA registration is amended to include such indications (paragraph 13.3, DTG/3TC PSD, </w:t>
      </w:r>
      <w:r w:rsidR="006679AA" w:rsidRPr="00581941">
        <w:t xml:space="preserve">July 2019 PBAC Meeting with August and September 2019 </w:t>
      </w:r>
      <w:r w:rsidR="00823777" w:rsidRPr="00581941">
        <w:t>addenda</w:t>
      </w:r>
      <w:r w:rsidRPr="00581941">
        <w:t>)</w:t>
      </w:r>
      <w:r w:rsidRPr="00581941">
        <w:rPr>
          <w:bCs/>
        </w:rPr>
        <w:t>.</w:t>
      </w:r>
    </w:p>
    <w:p w:rsidR="004E59EC" w:rsidRPr="00581941" w:rsidRDefault="004E59EC" w:rsidP="004E59EC">
      <w:pPr>
        <w:pStyle w:val="3-BodyText"/>
        <w:widowControl w:val="0"/>
        <w:spacing w:after="0"/>
        <w:contextualSpacing/>
      </w:pPr>
      <w:r w:rsidRPr="00581941">
        <w:t xml:space="preserve">In September 2019, the PBAC recommended a change to the recommended listing of DTG/3TC to not include the criterion, ‘Patient must have a baseline viral load &lt; 500,000 </w:t>
      </w:r>
      <w:r w:rsidR="0061619F" w:rsidRPr="00581941">
        <w:t>c</w:t>
      </w:r>
      <w:r w:rsidR="00FB3629" w:rsidRPr="00581941">
        <w:t>opies</w:t>
      </w:r>
      <w:r w:rsidRPr="00581941">
        <w:t xml:space="preserve">/ml’ as the final TGA approved indication did not include this requirement (paragraph 19.1, DTG/3TC PSD, </w:t>
      </w:r>
      <w:r w:rsidR="0018317E" w:rsidRPr="00581941">
        <w:t>July</w:t>
      </w:r>
      <w:r w:rsidRPr="00581941">
        <w:t xml:space="preserve"> 2019 PBAC </w:t>
      </w:r>
      <w:r w:rsidR="0018317E" w:rsidRPr="00581941">
        <w:t>meeting</w:t>
      </w:r>
      <w:r w:rsidR="00823777" w:rsidRPr="00581941">
        <w:t xml:space="preserve"> with August and September 2019 addenda</w:t>
      </w:r>
      <w:r w:rsidRPr="00581941">
        <w:t>)</w:t>
      </w:r>
      <w:r w:rsidRPr="00581941">
        <w:rPr>
          <w:bCs/>
        </w:rPr>
        <w:t>.</w:t>
      </w:r>
    </w:p>
    <w:p w:rsidR="004E59EC" w:rsidRPr="00581941" w:rsidRDefault="004E59EC" w:rsidP="004E59EC">
      <w:pPr>
        <w:pStyle w:val="2-SectionHeading"/>
        <w:numPr>
          <w:ilvl w:val="0"/>
          <w:numId w:val="1"/>
        </w:numPr>
      </w:pPr>
      <w:bookmarkStart w:id="15" w:name="_Toc22898848"/>
      <w:bookmarkStart w:id="16" w:name="_Toc40810619"/>
      <w:r w:rsidRPr="00581941">
        <w:t>Requested listing</w:t>
      </w:r>
      <w:bookmarkEnd w:id="15"/>
      <w:bookmarkEnd w:id="16"/>
    </w:p>
    <w:tbl>
      <w:tblPr>
        <w:tblW w:w="4947"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72"/>
        <w:gridCol w:w="986"/>
        <w:gridCol w:w="845"/>
        <w:gridCol w:w="704"/>
        <w:gridCol w:w="1449"/>
        <w:gridCol w:w="1275"/>
      </w:tblGrid>
      <w:tr w:rsidR="00436369" w:rsidRPr="00581941" w:rsidTr="00234728">
        <w:tc>
          <w:tcPr>
            <w:tcW w:w="2056" w:type="pct"/>
          </w:tcPr>
          <w:p w:rsidR="004E59EC" w:rsidRPr="00CE03A9" w:rsidRDefault="004E59EC" w:rsidP="005C3242">
            <w:pPr>
              <w:pStyle w:val="Tabletext"/>
              <w:keepNext/>
              <w:rPr>
                <w:b/>
                <w:bCs/>
                <w:szCs w:val="20"/>
              </w:rPr>
            </w:pPr>
            <w:r w:rsidRPr="00CE03A9">
              <w:rPr>
                <w:b/>
                <w:szCs w:val="20"/>
              </w:rPr>
              <w:t>Name, restriction, manner of administration, form</w:t>
            </w:r>
          </w:p>
        </w:tc>
        <w:tc>
          <w:tcPr>
            <w:tcW w:w="552" w:type="pct"/>
          </w:tcPr>
          <w:p w:rsidR="004E59EC" w:rsidRPr="00CE03A9" w:rsidRDefault="00436369" w:rsidP="00436369">
            <w:pPr>
              <w:pStyle w:val="Tabletext"/>
              <w:keepNext/>
              <w:ind w:left="177"/>
              <w:jc w:val="center"/>
              <w:rPr>
                <w:b/>
                <w:bCs/>
                <w:szCs w:val="20"/>
              </w:rPr>
            </w:pPr>
            <w:r w:rsidRPr="00CE03A9">
              <w:rPr>
                <w:b/>
                <w:szCs w:val="20"/>
              </w:rPr>
              <w:t>Max.</w:t>
            </w:r>
            <w:r w:rsidR="004E59EC" w:rsidRPr="00CE03A9">
              <w:rPr>
                <w:b/>
                <w:szCs w:val="20"/>
              </w:rPr>
              <w:t xml:space="preserve"> q</w:t>
            </w:r>
            <w:r w:rsidRPr="00CE03A9">
              <w:rPr>
                <w:b/>
                <w:szCs w:val="20"/>
              </w:rPr>
              <w:t>ty</w:t>
            </w:r>
            <w:r w:rsidR="004E59EC" w:rsidRPr="00CE03A9">
              <w:rPr>
                <w:b/>
                <w:szCs w:val="20"/>
              </w:rPr>
              <w:t xml:space="preserve"> (packs)</w:t>
            </w:r>
          </w:p>
        </w:tc>
        <w:tc>
          <w:tcPr>
            <w:tcW w:w="473" w:type="pct"/>
          </w:tcPr>
          <w:p w:rsidR="004E59EC" w:rsidRPr="00CE03A9" w:rsidRDefault="004E59EC" w:rsidP="005C3242">
            <w:pPr>
              <w:pStyle w:val="Tabletext"/>
              <w:keepNext/>
              <w:jc w:val="center"/>
              <w:rPr>
                <w:b/>
                <w:bCs/>
                <w:szCs w:val="20"/>
              </w:rPr>
            </w:pPr>
            <w:r w:rsidRPr="00CE03A9">
              <w:rPr>
                <w:b/>
                <w:szCs w:val="20"/>
              </w:rPr>
              <w:t>M</w:t>
            </w:r>
            <w:r w:rsidR="00436369" w:rsidRPr="00CE03A9">
              <w:rPr>
                <w:b/>
                <w:szCs w:val="20"/>
              </w:rPr>
              <w:t>ax. q</w:t>
            </w:r>
            <w:r w:rsidRPr="00CE03A9">
              <w:rPr>
                <w:b/>
                <w:szCs w:val="20"/>
              </w:rPr>
              <w:t>ty (units)</w:t>
            </w:r>
          </w:p>
        </w:tc>
        <w:tc>
          <w:tcPr>
            <w:tcW w:w="394" w:type="pct"/>
          </w:tcPr>
          <w:p w:rsidR="004E59EC" w:rsidRPr="00CE03A9" w:rsidRDefault="00436369" w:rsidP="00436369">
            <w:pPr>
              <w:pStyle w:val="Tabletext"/>
              <w:keepNext/>
              <w:rPr>
                <w:b/>
                <w:bCs/>
                <w:szCs w:val="20"/>
              </w:rPr>
            </w:pPr>
            <w:r w:rsidRPr="00CE03A9">
              <w:rPr>
                <w:b/>
                <w:szCs w:val="20"/>
              </w:rPr>
              <w:t>No. of Rpts</w:t>
            </w:r>
          </w:p>
        </w:tc>
        <w:tc>
          <w:tcPr>
            <w:tcW w:w="811" w:type="pct"/>
          </w:tcPr>
          <w:p w:rsidR="004E59EC" w:rsidRPr="00CE03A9" w:rsidRDefault="004E59EC" w:rsidP="00436369">
            <w:pPr>
              <w:pStyle w:val="Tabletext"/>
              <w:keepNext/>
              <w:rPr>
                <w:b/>
                <w:bCs/>
                <w:szCs w:val="20"/>
              </w:rPr>
            </w:pPr>
            <w:r w:rsidRPr="00CE03A9">
              <w:rPr>
                <w:b/>
                <w:szCs w:val="20"/>
              </w:rPr>
              <w:t>Dispensed price for max</w:t>
            </w:r>
            <w:r w:rsidR="00436369" w:rsidRPr="00CE03A9">
              <w:rPr>
                <w:b/>
                <w:szCs w:val="20"/>
              </w:rPr>
              <w:t>. qt</w:t>
            </w:r>
            <w:r w:rsidRPr="00CE03A9">
              <w:rPr>
                <w:b/>
                <w:szCs w:val="20"/>
              </w:rPr>
              <w:t>y</w:t>
            </w:r>
          </w:p>
        </w:tc>
        <w:tc>
          <w:tcPr>
            <w:tcW w:w="714" w:type="pct"/>
          </w:tcPr>
          <w:p w:rsidR="00CF6135" w:rsidRPr="00CE03A9" w:rsidRDefault="00CF6135" w:rsidP="005C3242">
            <w:pPr>
              <w:pStyle w:val="Tabletext"/>
              <w:keepNext/>
              <w:rPr>
                <w:b/>
                <w:szCs w:val="20"/>
              </w:rPr>
            </w:pPr>
            <w:r w:rsidRPr="00CE03A9">
              <w:rPr>
                <w:b/>
                <w:szCs w:val="20"/>
              </w:rPr>
              <w:t xml:space="preserve">Available </w:t>
            </w:r>
          </w:p>
          <w:p w:rsidR="004E59EC" w:rsidRPr="00CE03A9" w:rsidRDefault="00CF6135" w:rsidP="005C3242">
            <w:pPr>
              <w:pStyle w:val="Tabletext"/>
              <w:keepNext/>
              <w:rPr>
                <w:b/>
                <w:bCs/>
                <w:szCs w:val="20"/>
              </w:rPr>
            </w:pPr>
            <w:r w:rsidRPr="00CE03A9">
              <w:rPr>
                <w:b/>
                <w:szCs w:val="20"/>
              </w:rPr>
              <w:t>brands</w:t>
            </w:r>
          </w:p>
        </w:tc>
      </w:tr>
      <w:tr w:rsidR="00436369" w:rsidRPr="00581941" w:rsidTr="00234728">
        <w:trPr>
          <w:trHeight w:val="845"/>
        </w:trPr>
        <w:tc>
          <w:tcPr>
            <w:tcW w:w="2056" w:type="pct"/>
          </w:tcPr>
          <w:p w:rsidR="00CF6135" w:rsidRPr="00CE03A9" w:rsidRDefault="00CF6135" w:rsidP="008B7CD4">
            <w:pPr>
              <w:pStyle w:val="Tabletext"/>
              <w:keepNext/>
              <w:rPr>
                <w:szCs w:val="20"/>
              </w:rPr>
            </w:pPr>
          </w:p>
          <w:p w:rsidR="004E59EC" w:rsidRPr="00CE03A9" w:rsidRDefault="004E59EC" w:rsidP="008B7CD4">
            <w:pPr>
              <w:pStyle w:val="Tabletext"/>
              <w:keepNext/>
              <w:rPr>
                <w:szCs w:val="20"/>
              </w:rPr>
            </w:pPr>
            <w:r w:rsidRPr="00CE03A9">
              <w:rPr>
                <w:szCs w:val="20"/>
              </w:rPr>
              <w:t xml:space="preserve">Dolutegravir 50 mg </w:t>
            </w:r>
            <w:r w:rsidR="008B7CD4" w:rsidRPr="00CE03A9">
              <w:rPr>
                <w:szCs w:val="20"/>
              </w:rPr>
              <w:t xml:space="preserve">+ </w:t>
            </w:r>
            <w:r w:rsidRPr="00CE03A9">
              <w:rPr>
                <w:szCs w:val="20"/>
              </w:rPr>
              <w:t>lamivudine 300 mg, tablet, 30</w:t>
            </w:r>
          </w:p>
        </w:tc>
        <w:tc>
          <w:tcPr>
            <w:tcW w:w="552" w:type="pct"/>
          </w:tcPr>
          <w:p w:rsidR="00CF6135" w:rsidRPr="00CE03A9" w:rsidRDefault="00CF6135" w:rsidP="005C3242">
            <w:pPr>
              <w:pStyle w:val="Tabletext"/>
              <w:keepNext/>
              <w:jc w:val="center"/>
              <w:rPr>
                <w:szCs w:val="20"/>
              </w:rPr>
            </w:pPr>
          </w:p>
          <w:p w:rsidR="004E59EC" w:rsidRPr="00CE03A9" w:rsidRDefault="004E59EC" w:rsidP="005C3242">
            <w:pPr>
              <w:pStyle w:val="Tabletext"/>
              <w:keepNext/>
              <w:jc w:val="center"/>
              <w:rPr>
                <w:rFonts w:ascii="Times" w:hAnsi="Times"/>
                <w:szCs w:val="20"/>
              </w:rPr>
            </w:pPr>
            <w:r w:rsidRPr="00CE03A9">
              <w:rPr>
                <w:szCs w:val="20"/>
              </w:rPr>
              <w:t>2</w:t>
            </w:r>
          </w:p>
        </w:tc>
        <w:tc>
          <w:tcPr>
            <w:tcW w:w="473" w:type="pct"/>
          </w:tcPr>
          <w:p w:rsidR="00CF6135" w:rsidRPr="00CE03A9" w:rsidRDefault="00CF6135" w:rsidP="005C3242">
            <w:pPr>
              <w:pStyle w:val="Tabletext"/>
              <w:keepNext/>
              <w:jc w:val="center"/>
              <w:rPr>
                <w:szCs w:val="20"/>
              </w:rPr>
            </w:pPr>
          </w:p>
          <w:p w:rsidR="004E59EC" w:rsidRPr="00CE03A9" w:rsidRDefault="004E59EC" w:rsidP="005C3242">
            <w:pPr>
              <w:pStyle w:val="Tabletext"/>
              <w:keepNext/>
              <w:jc w:val="center"/>
              <w:rPr>
                <w:rFonts w:ascii="Times" w:hAnsi="Times"/>
                <w:szCs w:val="20"/>
              </w:rPr>
            </w:pPr>
            <w:r w:rsidRPr="00CE03A9">
              <w:rPr>
                <w:szCs w:val="20"/>
              </w:rPr>
              <w:t>60</w:t>
            </w:r>
          </w:p>
        </w:tc>
        <w:tc>
          <w:tcPr>
            <w:tcW w:w="394" w:type="pct"/>
          </w:tcPr>
          <w:p w:rsidR="00CF6135" w:rsidRPr="00CE03A9" w:rsidRDefault="00CF6135" w:rsidP="00436369">
            <w:pPr>
              <w:pStyle w:val="Tabletext"/>
              <w:keepNext/>
              <w:rPr>
                <w:szCs w:val="20"/>
              </w:rPr>
            </w:pPr>
          </w:p>
          <w:p w:rsidR="004E59EC" w:rsidRPr="00CE03A9" w:rsidRDefault="004E59EC" w:rsidP="00436369">
            <w:pPr>
              <w:pStyle w:val="Tabletext"/>
              <w:keepNext/>
              <w:rPr>
                <w:rFonts w:ascii="Times" w:hAnsi="Times"/>
                <w:szCs w:val="20"/>
              </w:rPr>
            </w:pPr>
            <w:r w:rsidRPr="00CE03A9">
              <w:rPr>
                <w:szCs w:val="20"/>
              </w:rPr>
              <w:t>5</w:t>
            </w:r>
          </w:p>
        </w:tc>
        <w:tc>
          <w:tcPr>
            <w:tcW w:w="811" w:type="pct"/>
          </w:tcPr>
          <w:p w:rsidR="00CF6135" w:rsidRPr="00CE03A9" w:rsidRDefault="00CF6135" w:rsidP="00497BC8">
            <w:pPr>
              <w:pStyle w:val="Tabletext"/>
              <w:keepNext/>
              <w:rPr>
                <w:szCs w:val="20"/>
              </w:rPr>
            </w:pPr>
          </w:p>
          <w:p w:rsidR="004E59EC" w:rsidRPr="00CE03A9" w:rsidRDefault="004E59EC" w:rsidP="00497BC8">
            <w:pPr>
              <w:pStyle w:val="Tabletext"/>
              <w:keepNext/>
              <w:rPr>
                <w:rFonts w:ascii="Times" w:hAnsi="Times"/>
                <w:szCs w:val="20"/>
              </w:rPr>
            </w:pPr>
            <w:r w:rsidRPr="00CE03A9">
              <w:rPr>
                <w:szCs w:val="20"/>
              </w:rPr>
              <w:t>$1</w:t>
            </w:r>
            <w:r w:rsidR="00FD22F5" w:rsidRPr="00CE03A9">
              <w:rPr>
                <w:szCs w:val="20"/>
              </w:rPr>
              <w:t>,</w:t>
            </w:r>
            <w:r w:rsidRPr="00CE03A9">
              <w:rPr>
                <w:szCs w:val="20"/>
              </w:rPr>
              <w:t xml:space="preserve">442.95 </w:t>
            </w:r>
          </w:p>
        </w:tc>
        <w:tc>
          <w:tcPr>
            <w:tcW w:w="714" w:type="pct"/>
          </w:tcPr>
          <w:p w:rsidR="00CF6135" w:rsidRPr="00CE03A9" w:rsidRDefault="00CF6135" w:rsidP="00CF6135">
            <w:pPr>
              <w:pStyle w:val="Tabletext"/>
              <w:keepNext/>
              <w:rPr>
                <w:szCs w:val="20"/>
              </w:rPr>
            </w:pPr>
          </w:p>
          <w:p w:rsidR="004E59EC" w:rsidRPr="00CE03A9" w:rsidRDefault="004E59EC" w:rsidP="00CF6135">
            <w:pPr>
              <w:pStyle w:val="Tabletext"/>
              <w:keepNext/>
              <w:rPr>
                <w:szCs w:val="20"/>
              </w:rPr>
            </w:pPr>
            <w:r w:rsidRPr="00CE03A9">
              <w:rPr>
                <w:szCs w:val="20"/>
              </w:rPr>
              <w:t>Dovato</w:t>
            </w:r>
          </w:p>
        </w:tc>
      </w:tr>
      <w:tr w:rsidR="00436369" w:rsidRPr="00581941" w:rsidTr="00CF6135">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436369" w:rsidRPr="00CE03A9" w:rsidRDefault="00436369" w:rsidP="005C3242">
            <w:pPr>
              <w:pStyle w:val="Tabletext"/>
              <w:rPr>
                <w:szCs w:val="20"/>
              </w:rPr>
            </w:pPr>
            <w:r w:rsidRPr="00CE03A9">
              <w:rPr>
                <w:b/>
                <w:szCs w:val="20"/>
              </w:rPr>
              <w:t xml:space="preserve">Category/Program: </w:t>
            </w:r>
            <w:r w:rsidRPr="00CE03A9">
              <w:rPr>
                <w:szCs w:val="20"/>
              </w:rPr>
              <w:t>Section 100 – Highly Specialised Drugs Program (Community Access)</w:t>
            </w:r>
          </w:p>
        </w:tc>
      </w:tr>
      <w:tr w:rsidR="00436369" w:rsidRPr="00581941" w:rsidTr="00CF6135">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436369" w:rsidRPr="00CE03A9" w:rsidRDefault="00436369" w:rsidP="005C3242">
            <w:pPr>
              <w:pStyle w:val="Tabletext"/>
              <w:rPr>
                <w:b/>
                <w:szCs w:val="20"/>
              </w:rPr>
            </w:pPr>
            <w:r w:rsidRPr="00CE03A9">
              <w:rPr>
                <w:b/>
                <w:szCs w:val="20"/>
              </w:rPr>
              <w:t xml:space="preserve">Restriction type / method:  </w:t>
            </w:r>
            <w:r w:rsidRPr="00CE03A9">
              <w:rPr>
                <w:szCs w:val="20"/>
              </w:rPr>
              <w:fldChar w:fldCharType="begin">
                <w:ffData>
                  <w:name w:val="Check5"/>
                  <w:enabled/>
                  <w:calcOnExit w:val="0"/>
                  <w:checkBox>
                    <w:size w:val="20"/>
                    <w:default w:val="1"/>
                  </w:checkBox>
                </w:ffData>
              </w:fldChar>
            </w:r>
            <w:bookmarkStart w:id="17" w:name="Check5"/>
            <w:r w:rsidRPr="00CE03A9">
              <w:rPr>
                <w:szCs w:val="20"/>
              </w:rPr>
              <w:instrText xml:space="preserve"> FORMCHECKBOX </w:instrText>
            </w:r>
            <w:r w:rsidR="006344E5">
              <w:rPr>
                <w:szCs w:val="20"/>
              </w:rPr>
            </w:r>
            <w:r w:rsidR="006344E5">
              <w:rPr>
                <w:szCs w:val="20"/>
              </w:rPr>
              <w:fldChar w:fldCharType="separate"/>
            </w:r>
            <w:r w:rsidRPr="00CE03A9">
              <w:rPr>
                <w:szCs w:val="20"/>
              </w:rPr>
              <w:fldChar w:fldCharType="end"/>
            </w:r>
            <w:bookmarkEnd w:id="17"/>
            <w:r w:rsidRPr="00CE03A9">
              <w:rPr>
                <w:szCs w:val="20"/>
              </w:rPr>
              <w:t xml:space="preserve"> Authority Required – Streamlined (9934)</w:t>
            </w:r>
          </w:p>
        </w:tc>
      </w:tr>
      <w:tr w:rsidR="00436369" w:rsidRPr="00581941" w:rsidTr="00CF6135">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5000" w:type="pct"/>
            <w:gridSpan w:val="6"/>
            <w:tcBorders>
              <w:top w:val="single" w:sz="4" w:space="0" w:color="auto"/>
              <w:left w:val="single" w:sz="4" w:space="0" w:color="auto"/>
              <w:bottom w:val="nil"/>
              <w:right w:val="single" w:sz="4" w:space="0" w:color="auto"/>
            </w:tcBorders>
          </w:tcPr>
          <w:p w:rsidR="00436369" w:rsidRPr="00CE03A9" w:rsidRDefault="00436369" w:rsidP="00436369">
            <w:pPr>
              <w:pStyle w:val="Tabletext"/>
              <w:rPr>
                <w:b/>
                <w:szCs w:val="20"/>
              </w:rPr>
            </w:pPr>
            <w:r w:rsidRPr="00CE03A9">
              <w:rPr>
                <w:b/>
                <w:szCs w:val="20"/>
              </w:rPr>
              <w:t xml:space="preserve">PBS indication: </w:t>
            </w:r>
            <w:r w:rsidRPr="00CE03A9">
              <w:rPr>
                <w:szCs w:val="20"/>
              </w:rPr>
              <w:t>HIV infection</w:t>
            </w:r>
          </w:p>
        </w:tc>
      </w:tr>
      <w:tr w:rsidR="00436369" w:rsidRPr="00581941" w:rsidTr="00CF6135">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5000" w:type="pct"/>
            <w:gridSpan w:val="6"/>
            <w:tcBorders>
              <w:top w:val="nil"/>
              <w:left w:val="single" w:sz="4" w:space="0" w:color="auto"/>
              <w:bottom w:val="nil"/>
              <w:right w:val="single" w:sz="4" w:space="0" w:color="auto"/>
            </w:tcBorders>
          </w:tcPr>
          <w:p w:rsidR="00436369" w:rsidRPr="00CE03A9" w:rsidRDefault="00436369" w:rsidP="00436369">
            <w:pPr>
              <w:pStyle w:val="Tabletext"/>
              <w:rPr>
                <w:b/>
                <w:szCs w:val="20"/>
              </w:rPr>
            </w:pPr>
            <w:r w:rsidRPr="00CE03A9">
              <w:rPr>
                <w:b/>
                <w:szCs w:val="20"/>
              </w:rPr>
              <w:t xml:space="preserve">Treatment phase: </w:t>
            </w:r>
            <w:r w:rsidRPr="00CE03A9">
              <w:rPr>
                <w:szCs w:val="20"/>
              </w:rPr>
              <w:t>Continuing treatment</w:t>
            </w:r>
          </w:p>
        </w:tc>
      </w:tr>
      <w:tr w:rsidR="00436369" w:rsidRPr="00581941" w:rsidTr="00CF6135">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5000" w:type="pct"/>
            <w:gridSpan w:val="6"/>
            <w:tcBorders>
              <w:top w:val="nil"/>
              <w:left w:val="single" w:sz="4" w:space="0" w:color="auto"/>
              <w:bottom w:val="single" w:sz="4" w:space="0" w:color="auto"/>
              <w:right w:val="single" w:sz="4" w:space="0" w:color="auto"/>
            </w:tcBorders>
            <w:hideMark/>
          </w:tcPr>
          <w:p w:rsidR="00436369" w:rsidRPr="00CE03A9" w:rsidRDefault="00436369" w:rsidP="00436369">
            <w:pPr>
              <w:pStyle w:val="Tabletext"/>
              <w:rPr>
                <w:b/>
                <w:szCs w:val="20"/>
              </w:rPr>
            </w:pPr>
            <w:r w:rsidRPr="00CE03A9">
              <w:rPr>
                <w:b/>
                <w:szCs w:val="20"/>
              </w:rPr>
              <w:t>Clinical criteria:</w:t>
            </w:r>
          </w:p>
          <w:p w:rsidR="00436369" w:rsidRPr="00CE03A9" w:rsidRDefault="00436369" w:rsidP="00CF6135">
            <w:pPr>
              <w:pStyle w:val="Tabletext"/>
              <w:numPr>
                <w:ilvl w:val="0"/>
                <w:numId w:val="33"/>
              </w:numPr>
              <w:rPr>
                <w:szCs w:val="20"/>
              </w:rPr>
            </w:pPr>
            <w:r w:rsidRPr="00CE03A9">
              <w:rPr>
                <w:szCs w:val="20"/>
              </w:rPr>
              <w:t xml:space="preserve">Patient must have previously received PBS-subsidised therapy </w:t>
            </w:r>
            <w:r w:rsidRPr="00CE03A9">
              <w:rPr>
                <w:strike/>
                <w:szCs w:val="20"/>
              </w:rPr>
              <w:t>with this drug for this condition</w:t>
            </w:r>
            <w:r w:rsidRPr="00CE03A9">
              <w:rPr>
                <w:szCs w:val="20"/>
              </w:rPr>
              <w:t xml:space="preserve"> </w:t>
            </w:r>
            <w:r w:rsidRPr="00CE03A9">
              <w:rPr>
                <w:i/>
                <w:szCs w:val="20"/>
              </w:rPr>
              <w:t>for HIV infection</w:t>
            </w:r>
          </w:p>
        </w:tc>
      </w:tr>
    </w:tbl>
    <w:p w:rsidR="004E59EC" w:rsidRPr="00581941" w:rsidRDefault="004E59EC" w:rsidP="004E59EC"/>
    <w:p w:rsidR="004E59EC" w:rsidRPr="00581941" w:rsidRDefault="00FF13AA" w:rsidP="00573C50">
      <w:pPr>
        <w:pStyle w:val="3-BodyText"/>
        <w:rPr>
          <w:iCs/>
        </w:rPr>
      </w:pPr>
      <w:r w:rsidRPr="00581941">
        <w:t xml:space="preserve">DTG/3TC </w:t>
      </w:r>
      <w:r w:rsidR="009B4230" w:rsidRPr="00581941">
        <w:t xml:space="preserve">is </w:t>
      </w:r>
      <w:r w:rsidRPr="00581941">
        <w:t>listed</w:t>
      </w:r>
      <w:r w:rsidR="009B4230" w:rsidRPr="00581941">
        <w:t xml:space="preserve"> as a FDC</w:t>
      </w:r>
      <w:r w:rsidRPr="00581941">
        <w:t xml:space="preserve"> for patients who are treatment-naïve. </w:t>
      </w:r>
      <w:r w:rsidR="00573C50" w:rsidRPr="00581941">
        <w:t xml:space="preserve">The submission sought an extension to include patients who are </w:t>
      </w:r>
      <w:r w:rsidR="00053DDE" w:rsidRPr="00581941">
        <w:t>treatment</w:t>
      </w:r>
      <w:r w:rsidR="00053DDE" w:rsidRPr="00581941">
        <w:noBreakHyphen/>
      </w:r>
      <w:r w:rsidR="00573C50" w:rsidRPr="00581941">
        <w:t>experienced</w:t>
      </w:r>
      <w:r w:rsidR="0054057F" w:rsidRPr="00581941">
        <w:t xml:space="preserve"> by </w:t>
      </w:r>
      <w:r w:rsidR="005F473C" w:rsidRPr="00581941">
        <w:t>remov</w:t>
      </w:r>
      <w:r w:rsidRPr="00581941">
        <w:t>ing</w:t>
      </w:r>
      <w:r w:rsidR="005F473C" w:rsidRPr="00581941">
        <w:t xml:space="preserve"> the requirement </w:t>
      </w:r>
      <w:r w:rsidRPr="00581941">
        <w:t>for previous therapy “with this drug for this condition” from the continuing treatment clinical criteria restriction</w:t>
      </w:r>
      <w:r w:rsidR="005F473C" w:rsidRPr="00581941">
        <w:t xml:space="preserve">. </w:t>
      </w:r>
      <w:r w:rsidR="000F79ED" w:rsidRPr="00581941">
        <w:rPr>
          <w:rFonts w:ascii="Calibri" w:hAnsi="Calibri"/>
          <w:bCs/>
          <w:iCs/>
          <w:color w:val="000000" w:themeColor="text1"/>
          <w:lang w:eastAsia="en-US"/>
        </w:rPr>
        <w:t xml:space="preserve">The submission did not propose changes to the existing listing of </w:t>
      </w:r>
      <w:r w:rsidR="00926C6B" w:rsidRPr="00581941">
        <w:t>DTG/3TC</w:t>
      </w:r>
      <w:r w:rsidR="00926C6B" w:rsidRPr="00581941" w:rsidDel="00926C6B">
        <w:rPr>
          <w:rFonts w:ascii="Calibri" w:hAnsi="Calibri"/>
          <w:bCs/>
          <w:iCs/>
          <w:color w:val="000000" w:themeColor="text1"/>
          <w:lang w:eastAsia="en-US"/>
        </w:rPr>
        <w:t xml:space="preserve"> </w:t>
      </w:r>
      <w:r w:rsidR="000F79ED" w:rsidRPr="00581941">
        <w:rPr>
          <w:rFonts w:ascii="Calibri" w:hAnsi="Calibri"/>
          <w:bCs/>
          <w:iCs/>
          <w:color w:val="000000" w:themeColor="text1"/>
          <w:lang w:eastAsia="en-US"/>
        </w:rPr>
        <w:t>with respect to initial or grandfathered treatment.</w:t>
      </w:r>
      <w:r w:rsidR="00400233" w:rsidRPr="00581941">
        <w:t xml:space="preserve"> </w:t>
      </w:r>
    </w:p>
    <w:p w:rsidR="004E59EC" w:rsidRPr="00581941" w:rsidRDefault="00573C50" w:rsidP="004E59EC">
      <w:pPr>
        <w:pStyle w:val="3-BodyText"/>
      </w:pPr>
      <w:r w:rsidRPr="00581941">
        <w:rPr>
          <w:iCs/>
        </w:rPr>
        <w:t>The price of DTG/3</w:t>
      </w:r>
      <w:r w:rsidR="00B05F4C" w:rsidRPr="00581941">
        <w:rPr>
          <w:iCs/>
        </w:rPr>
        <w:t>TC</w:t>
      </w:r>
      <w:r w:rsidRPr="00581941">
        <w:rPr>
          <w:iCs/>
        </w:rPr>
        <w:t xml:space="preserve"> remained unchanged </w:t>
      </w:r>
      <w:r w:rsidR="00FF13AA" w:rsidRPr="00581941">
        <w:rPr>
          <w:iCs/>
        </w:rPr>
        <w:t xml:space="preserve">compared with </w:t>
      </w:r>
      <w:r w:rsidRPr="00581941">
        <w:rPr>
          <w:iCs/>
        </w:rPr>
        <w:t>the previous submission</w:t>
      </w:r>
      <w:r w:rsidR="00FF13AA" w:rsidRPr="00581941">
        <w:rPr>
          <w:iCs/>
        </w:rPr>
        <w:t xml:space="preserve"> and the currently listed price for treatment-naïve patients</w:t>
      </w:r>
      <w:r w:rsidRPr="00581941">
        <w:rPr>
          <w:iCs/>
        </w:rPr>
        <w:t>.</w:t>
      </w:r>
      <w:r w:rsidRPr="00581941">
        <w:t xml:space="preserve"> No special pricing arrangements were </w:t>
      </w:r>
      <w:r w:rsidR="00054AA0" w:rsidRPr="00581941">
        <w:t>proposed</w:t>
      </w:r>
      <w:r w:rsidRPr="00581941">
        <w:t>.</w:t>
      </w:r>
    </w:p>
    <w:p w:rsidR="00630E34" w:rsidRPr="00581941" w:rsidRDefault="00630E34" w:rsidP="00630E34">
      <w:pPr>
        <w:pStyle w:val="ListParagraph"/>
        <w:numPr>
          <w:ilvl w:val="0"/>
          <w:numId w:val="0"/>
        </w:numPr>
        <w:ind w:left="709"/>
        <w:rPr>
          <w:i/>
        </w:rPr>
      </w:pPr>
      <w:r w:rsidRPr="00581941">
        <w:rPr>
          <w:i/>
        </w:rPr>
        <w:t>For more detail on PBAC’s view, see section 7 PBAC outcome.</w:t>
      </w:r>
    </w:p>
    <w:p w:rsidR="004E59EC" w:rsidRPr="00581941" w:rsidRDefault="004E59EC" w:rsidP="004E59EC">
      <w:pPr>
        <w:pStyle w:val="2-SectionHeading"/>
        <w:numPr>
          <w:ilvl w:val="0"/>
          <w:numId w:val="1"/>
        </w:numPr>
      </w:pPr>
      <w:bookmarkStart w:id="18" w:name="_Toc22898849"/>
      <w:bookmarkStart w:id="19" w:name="_Toc40810620"/>
      <w:r w:rsidRPr="00581941">
        <w:t>Population and disease</w:t>
      </w:r>
      <w:bookmarkEnd w:id="18"/>
      <w:bookmarkEnd w:id="19"/>
    </w:p>
    <w:p w:rsidR="004E59EC" w:rsidRPr="00581941" w:rsidRDefault="004E59EC" w:rsidP="004E59EC">
      <w:pPr>
        <w:pStyle w:val="ListParagraph"/>
        <w:numPr>
          <w:ilvl w:val="1"/>
          <w:numId w:val="1"/>
        </w:numPr>
        <w:spacing w:after="160"/>
        <w:rPr>
          <w:color w:val="000000" w:themeColor="text1"/>
        </w:rPr>
      </w:pPr>
      <w:r w:rsidRPr="00581941">
        <w:rPr>
          <w:color w:val="000000" w:themeColor="text1"/>
        </w:rPr>
        <w:t xml:space="preserve">The </w:t>
      </w:r>
      <w:r w:rsidR="00054AA0" w:rsidRPr="00581941">
        <w:rPr>
          <w:color w:val="000000" w:themeColor="text1"/>
        </w:rPr>
        <w:t xml:space="preserve">proposed place in therapy for </w:t>
      </w:r>
      <w:r w:rsidR="00926C6B" w:rsidRPr="00581941">
        <w:t>DTG/3TC</w:t>
      </w:r>
      <w:r w:rsidR="00926C6B" w:rsidRPr="00581941" w:rsidDel="00926C6B">
        <w:rPr>
          <w:color w:val="000000" w:themeColor="text1"/>
        </w:rPr>
        <w:t xml:space="preserve"> </w:t>
      </w:r>
      <w:r w:rsidR="00054AA0" w:rsidRPr="00581941">
        <w:rPr>
          <w:color w:val="000000" w:themeColor="text1"/>
        </w:rPr>
        <w:t>in the submission</w:t>
      </w:r>
      <w:r w:rsidRPr="00581941">
        <w:rPr>
          <w:color w:val="000000" w:themeColor="text1"/>
        </w:rPr>
        <w:t xml:space="preserve"> was </w:t>
      </w:r>
      <w:r w:rsidR="00054AA0" w:rsidRPr="00581941">
        <w:rPr>
          <w:color w:val="000000" w:themeColor="text1"/>
        </w:rPr>
        <w:t>for</w:t>
      </w:r>
      <w:r w:rsidR="00645C85" w:rsidRPr="00581941">
        <w:rPr>
          <w:color w:val="000000" w:themeColor="text1"/>
        </w:rPr>
        <w:t xml:space="preserve"> </w:t>
      </w:r>
      <w:r w:rsidRPr="00581941">
        <w:rPr>
          <w:color w:val="000000" w:themeColor="text1"/>
        </w:rPr>
        <w:t>patients with HIV who are</w:t>
      </w:r>
      <w:r w:rsidRPr="00581941">
        <w:t xml:space="preserve"> </w:t>
      </w:r>
      <w:r w:rsidR="00053DDE" w:rsidRPr="00581941">
        <w:t>treatment</w:t>
      </w:r>
      <w:r w:rsidR="00053DDE" w:rsidRPr="00581941">
        <w:noBreakHyphen/>
      </w:r>
      <w:r w:rsidRPr="00581941">
        <w:t>experienced</w:t>
      </w:r>
      <w:r w:rsidRPr="00581941">
        <w:rPr>
          <w:color w:val="000000" w:themeColor="text1"/>
        </w:rPr>
        <w:t xml:space="preserve">. The current listing of DTG/3TC is restricted to </w:t>
      </w:r>
      <w:r w:rsidR="00053DDE" w:rsidRPr="00581941">
        <w:rPr>
          <w:color w:val="000000" w:themeColor="text1"/>
        </w:rPr>
        <w:t>treatment</w:t>
      </w:r>
      <w:r w:rsidR="00053DDE" w:rsidRPr="00581941">
        <w:rPr>
          <w:color w:val="000000" w:themeColor="text1"/>
        </w:rPr>
        <w:noBreakHyphen/>
      </w:r>
      <w:r w:rsidRPr="00581941">
        <w:rPr>
          <w:color w:val="000000" w:themeColor="text1"/>
        </w:rPr>
        <w:t xml:space="preserve">naïve patients. The submission was based on evidence from the TANGO trial, which included </w:t>
      </w:r>
      <w:r w:rsidR="00053DDE" w:rsidRPr="00581941">
        <w:rPr>
          <w:color w:val="000000" w:themeColor="text1"/>
        </w:rPr>
        <w:t>treatment</w:t>
      </w:r>
      <w:r w:rsidR="00053DDE" w:rsidRPr="00581941">
        <w:rPr>
          <w:color w:val="000000" w:themeColor="text1"/>
        </w:rPr>
        <w:noBreakHyphen/>
      </w:r>
      <w:r w:rsidR="00AC3786" w:rsidRPr="00581941">
        <w:rPr>
          <w:color w:val="000000" w:themeColor="text1"/>
        </w:rPr>
        <w:t>experienced</w:t>
      </w:r>
      <w:r w:rsidRPr="00581941">
        <w:rPr>
          <w:color w:val="000000" w:themeColor="text1"/>
        </w:rPr>
        <w:t xml:space="preserve"> patients.</w:t>
      </w:r>
    </w:p>
    <w:p w:rsidR="00FE1768" w:rsidRPr="00581941" w:rsidRDefault="004E59EC" w:rsidP="00FE1768">
      <w:pPr>
        <w:pStyle w:val="3-BodyText"/>
      </w:pPr>
      <w:r w:rsidRPr="00581941">
        <w:t xml:space="preserve">In 2017, there were 24,646 people living with HIV in Australia. The majority were </w:t>
      </w:r>
      <w:r w:rsidR="00053DDE" w:rsidRPr="00581941">
        <w:t>treatment</w:t>
      </w:r>
      <w:r w:rsidR="00053DDE" w:rsidRPr="00581941">
        <w:noBreakHyphen/>
      </w:r>
      <w:r w:rsidR="00AC3786" w:rsidRPr="00581941">
        <w:t>experienced</w:t>
      </w:r>
      <w:r w:rsidRPr="00581941">
        <w:t>, with 21,560 people receiving</w:t>
      </w:r>
      <w:r w:rsidR="00C7282A" w:rsidRPr="00581941">
        <w:t xml:space="preserve"> antiretroviral therapy (</w:t>
      </w:r>
      <w:r w:rsidRPr="00581941">
        <w:t>ART</w:t>
      </w:r>
      <w:r w:rsidR="00C7282A" w:rsidRPr="00581941">
        <w:t>)</w:t>
      </w:r>
      <w:r w:rsidRPr="00581941">
        <w:t>.</w:t>
      </w:r>
      <w:r w:rsidR="00FE1768" w:rsidRPr="00581941">
        <w:t xml:space="preserve"> </w:t>
      </w:r>
    </w:p>
    <w:p w:rsidR="004E59EC" w:rsidRPr="00581941" w:rsidRDefault="00FE1768" w:rsidP="00FE1768">
      <w:pPr>
        <w:pStyle w:val="3-BodyText"/>
      </w:pPr>
      <w:r w:rsidRPr="00581941">
        <w:t xml:space="preserve">HIV is an enveloped single-stranded RNA retrovirus that attaches to CD4 receptors expressed on the surface of </w:t>
      </w:r>
      <w:r w:rsidR="00054AA0" w:rsidRPr="00581941">
        <w:t>T-</w:t>
      </w:r>
      <w:r w:rsidRPr="00581941">
        <w:t xml:space="preserve">lymphocytes, destroying or impairing the function of the immune system. </w:t>
      </w:r>
    </w:p>
    <w:p w:rsidR="004E59EC" w:rsidRPr="00581941" w:rsidRDefault="004E59EC" w:rsidP="004E59EC">
      <w:pPr>
        <w:pStyle w:val="ListParagraph"/>
        <w:numPr>
          <w:ilvl w:val="1"/>
          <w:numId w:val="1"/>
        </w:numPr>
        <w:spacing w:after="160"/>
        <w:rPr>
          <w:color w:val="000000" w:themeColor="text1"/>
        </w:rPr>
      </w:pPr>
      <w:r w:rsidRPr="00581941">
        <w:t>If left untreated, patients experience a gradual decline in CD4 cell count which results in damage to, and deterioration of, immune function. Progression to Acquired Immunodeficiency Syndrome (AIDS), marked by the development of opportunistic infections or specific malignancies, occurs at a median of 10 years after initial infection with HIV. At this time, the CD4 cell count usually falls below 200 cells/mm</w:t>
      </w:r>
      <w:r w:rsidRPr="00581941">
        <w:rPr>
          <w:vertAlign w:val="superscript"/>
        </w:rPr>
        <w:t>3</w:t>
      </w:r>
      <w:r w:rsidRPr="00581941">
        <w:t xml:space="preserve"> and patients are severely immunocompromised.</w:t>
      </w:r>
    </w:p>
    <w:p w:rsidR="004E59EC" w:rsidRPr="00581941" w:rsidRDefault="004E59EC" w:rsidP="004E59EC">
      <w:pPr>
        <w:pStyle w:val="3-BodyText"/>
        <w:rPr>
          <w:color w:val="0066FF"/>
        </w:rPr>
      </w:pPr>
      <w:r w:rsidRPr="00581941">
        <w:t>The development and use of combination ARTs since 1996 has successfully delayed disease progression such that life expectancy is closer to the general population (median survival age of 78 years in a patient diagnosed between 2008 and 2010). However, the prolonged immunodeficiency, chronic immune activation, and side effects of ART polypharmacy may be associated with earlier development of cardiovascular, bone, renal and liver diseases, cancers and neurocognitive decline.</w:t>
      </w:r>
    </w:p>
    <w:p w:rsidR="004E59EC" w:rsidRPr="00581941" w:rsidRDefault="00054AA0" w:rsidP="004E59EC">
      <w:pPr>
        <w:pStyle w:val="3-BodyText"/>
        <w:rPr>
          <w:color w:val="0066FF"/>
        </w:rPr>
      </w:pPr>
      <w:r w:rsidRPr="00581941">
        <w:rPr>
          <w:iCs/>
        </w:rPr>
        <w:t>In</w:t>
      </w:r>
      <w:r w:rsidR="004E59EC" w:rsidRPr="00581941">
        <w:rPr>
          <w:iCs/>
        </w:rPr>
        <w:t xml:space="preserve"> its July 2019 consideration of DTG/3TC, </w:t>
      </w:r>
      <w:r w:rsidR="004E59EC" w:rsidRPr="00581941">
        <w:t>the PBAC agreed with the expert clinician’s advice that with the emergence of comorbidities and polypharmacy in an aging prevalent population, some virologically suppressed patients might express a desire to switch to a regimen with fewer agents if suppression is maintained (paragraph 7.5, DTG/3TC PSD, July 2019 PBAC meeting).</w:t>
      </w:r>
    </w:p>
    <w:p w:rsidR="00551EC7" w:rsidRPr="00581941" w:rsidRDefault="00551EC7" w:rsidP="00551EC7">
      <w:pPr>
        <w:pStyle w:val="3-BodyText"/>
        <w:numPr>
          <w:ilvl w:val="0"/>
          <w:numId w:val="0"/>
        </w:numPr>
        <w:ind w:left="720"/>
        <w:rPr>
          <w:color w:val="0066FF"/>
        </w:rPr>
      </w:pPr>
      <w:r w:rsidRPr="00581941">
        <w:rPr>
          <w:i/>
        </w:rPr>
        <w:t>For more detail on PBAC’s view, see section 7 PBAC outcome.</w:t>
      </w:r>
    </w:p>
    <w:p w:rsidR="004E59EC" w:rsidRPr="00581941" w:rsidRDefault="004E59EC" w:rsidP="004E59EC">
      <w:pPr>
        <w:pStyle w:val="2-SectionHeading"/>
        <w:numPr>
          <w:ilvl w:val="0"/>
          <w:numId w:val="1"/>
        </w:numPr>
      </w:pPr>
      <w:bookmarkStart w:id="20" w:name="_Toc22898850"/>
      <w:bookmarkStart w:id="21" w:name="_Toc40810621"/>
      <w:r w:rsidRPr="00581941">
        <w:t>Comparator</w:t>
      </w:r>
      <w:bookmarkEnd w:id="20"/>
      <w:bookmarkEnd w:id="21"/>
    </w:p>
    <w:p w:rsidR="004E59EC" w:rsidRPr="00581941" w:rsidRDefault="004E59EC" w:rsidP="00C67752">
      <w:pPr>
        <w:pStyle w:val="3-BodyText"/>
      </w:pPr>
      <w:r w:rsidRPr="00581941">
        <w:t>The submission nominated the component products, dolutegravir 50 mg and lamivudine 300 mg (DTG + 3TC), taken concomitantly</w:t>
      </w:r>
      <w:r w:rsidR="00444A14" w:rsidRPr="00581941">
        <w:t>,</w:t>
      </w:r>
      <w:r w:rsidRPr="00581941">
        <w:t xml:space="preserve"> as a comparator. The PBAC considered during the previous submission that the cost-effectiveness of DTG/3TC would be acceptable if it were </w:t>
      </w:r>
      <w:r w:rsidR="00EC0B68" w:rsidRPr="00581941">
        <w:t>cost</w:t>
      </w:r>
      <w:r w:rsidR="00EC0B68" w:rsidRPr="00581941">
        <w:noBreakHyphen/>
        <w:t>m</w:t>
      </w:r>
      <w:r w:rsidRPr="00581941">
        <w:t>inimised against the individual components (</w:t>
      </w:r>
      <w:r w:rsidR="006C0FD7" w:rsidRPr="00581941">
        <w:t xml:space="preserve">paragraph </w:t>
      </w:r>
      <w:r w:rsidRPr="00581941">
        <w:t>13.4</w:t>
      </w:r>
      <w:r w:rsidR="007A080B" w:rsidRPr="00581941">
        <w:t xml:space="preserve">, </w:t>
      </w:r>
      <w:r w:rsidR="00C67752" w:rsidRPr="00581941">
        <w:rPr>
          <w:iCs/>
        </w:rPr>
        <w:t>DTG/3TC PSD,</w:t>
      </w:r>
      <w:r w:rsidR="00C67752" w:rsidRPr="00581941">
        <w:t xml:space="preserve"> </w:t>
      </w:r>
      <w:r w:rsidR="007A080B" w:rsidRPr="00581941">
        <w:t>July 2019 PBAC meeting</w:t>
      </w:r>
      <w:r w:rsidR="00823777" w:rsidRPr="00581941">
        <w:t xml:space="preserve"> with August and September 2019 addenda</w:t>
      </w:r>
      <w:r w:rsidRPr="00581941">
        <w:t>). The PBAC also considered</w:t>
      </w:r>
      <w:r w:rsidR="00C67752" w:rsidRPr="00581941">
        <w:t xml:space="preserve"> the evidence presented supported the claims of bioequivalence with concomitantly administered DTG and 3TC (paragraph 7.2</w:t>
      </w:r>
      <w:r w:rsidR="00C67752" w:rsidRPr="00581941">
        <w:rPr>
          <w:iCs/>
        </w:rPr>
        <w:t xml:space="preserve"> DTG/3TC PSD,</w:t>
      </w:r>
      <w:r w:rsidR="00C67752" w:rsidRPr="00581941">
        <w:t xml:space="preserve"> July 2019 PBAC meeting).</w:t>
      </w:r>
      <w:r w:rsidRPr="00581941">
        <w:t xml:space="preserve"> </w:t>
      </w:r>
    </w:p>
    <w:p w:rsidR="004E59EC" w:rsidRPr="00581941" w:rsidRDefault="004E59EC" w:rsidP="004E59EC">
      <w:pPr>
        <w:pStyle w:val="3-BodyText"/>
        <w:rPr>
          <w:snapToGrid/>
        </w:rPr>
      </w:pPr>
      <w:r w:rsidRPr="00581941">
        <w:rPr>
          <w:snapToGrid/>
        </w:rPr>
        <w:t>The submission nominated a basket of 3</w:t>
      </w:r>
      <w:r w:rsidR="00F92E2B" w:rsidRPr="00581941">
        <w:rPr>
          <w:snapToGrid/>
        </w:rPr>
        <w:t xml:space="preserve"> drug regimen (</w:t>
      </w:r>
      <w:r w:rsidRPr="00581941">
        <w:rPr>
          <w:snapToGrid/>
        </w:rPr>
        <w:t>DR</w:t>
      </w:r>
      <w:r w:rsidR="00F92E2B" w:rsidRPr="00581941">
        <w:rPr>
          <w:snapToGrid/>
        </w:rPr>
        <w:t>)</w:t>
      </w:r>
      <w:r w:rsidRPr="00581941">
        <w:rPr>
          <w:snapToGrid/>
        </w:rPr>
        <w:t xml:space="preserve"> FDCs (Biktarvy</w:t>
      </w:r>
      <w:r w:rsidR="002F7BD8" w:rsidRPr="00581941">
        <w:rPr>
          <w:snapToGrid/>
          <w:vertAlign w:val="superscript"/>
        </w:rPr>
        <w:t>®</w:t>
      </w:r>
      <w:r w:rsidRPr="00581941">
        <w:rPr>
          <w:snapToGrid/>
        </w:rPr>
        <w:t>, Genvoya</w:t>
      </w:r>
      <w:r w:rsidR="002F7BD8" w:rsidRPr="00581941">
        <w:rPr>
          <w:snapToGrid/>
          <w:vertAlign w:val="superscript"/>
        </w:rPr>
        <w:t>®</w:t>
      </w:r>
      <w:r w:rsidRPr="00581941">
        <w:rPr>
          <w:snapToGrid/>
        </w:rPr>
        <w:t>, Odefsey</w:t>
      </w:r>
      <w:r w:rsidR="002F7BD8" w:rsidRPr="00581941">
        <w:rPr>
          <w:snapToGrid/>
          <w:vertAlign w:val="superscript"/>
        </w:rPr>
        <w:t>®</w:t>
      </w:r>
      <w:r w:rsidRPr="00581941">
        <w:rPr>
          <w:snapToGrid/>
        </w:rPr>
        <w:t>, and Triumeq</w:t>
      </w:r>
      <w:r w:rsidR="002F7BD8" w:rsidRPr="00581941">
        <w:rPr>
          <w:snapToGrid/>
          <w:vertAlign w:val="superscript"/>
        </w:rPr>
        <w:t>®</w:t>
      </w:r>
      <w:r w:rsidRPr="00581941">
        <w:rPr>
          <w:snapToGrid/>
        </w:rPr>
        <w:t>) as well as</w:t>
      </w:r>
      <w:r w:rsidR="00097E4B" w:rsidRPr="00581941">
        <w:rPr>
          <w:snapToGrid/>
        </w:rPr>
        <w:t xml:space="preserve"> the 2DR FDC of </w:t>
      </w:r>
      <w:r w:rsidR="00097E4B" w:rsidRPr="00581941">
        <w:rPr>
          <w:iCs/>
        </w:rPr>
        <w:t>dolutegravir/rilpivirine</w:t>
      </w:r>
      <w:r w:rsidRPr="00581941">
        <w:rPr>
          <w:snapToGrid/>
        </w:rPr>
        <w:t xml:space="preserve"> </w:t>
      </w:r>
      <w:r w:rsidR="00097E4B" w:rsidRPr="00581941">
        <w:rPr>
          <w:snapToGrid/>
        </w:rPr>
        <w:t>(</w:t>
      </w:r>
      <w:r w:rsidRPr="00581941">
        <w:t>Juluca</w:t>
      </w:r>
      <w:r w:rsidR="002F7BD8" w:rsidRPr="00581941">
        <w:rPr>
          <w:vertAlign w:val="superscript"/>
        </w:rPr>
        <w:t>®</w:t>
      </w:r>
      <w:r w:rsidR="00097E4B" w:rsidRPr="00581941">
        <w:t>)</w:t>
      </w:r>
      <w:r w:rsidRPr="00581941">
        <w:t xml:space="preserve">, </w:t>
      </w:r>
      <w:r w:rsidRPr="00581941">
        <w:rPr>
          <w:snapToGrid/>
        </w:rPr>
        <w:t>as comparators most likely to be replaced by DT</w:t>
      </w:r>
      <w:r w:rsidR="006D1A54" w:rsidRPr="00581941">
        <w:rPr>
          <w:snapToGrid/>
        </w:rPr>
        <w:t>G</w:t>
      </w:r>
      <w:r w:rsidRPr="00581941">
        <w:rPr>
          <w:snapToGrid/>
        </w:rPr>
        <w:t xml:space="preserve">/3TC in practice if use were expected to vary from the concomitant individual components. </w:t>
      </w:r>
      <w:r w:rsidRPr="00581941">
        <w:t xml:space="preserve">The submission argued that previously considered </w:t>
      </w:r>
      <w:r w:rsidR="00EC0B68" w:rsidRPr="00581941">
        <w:t>cost</w:t>
      </w:r>
      <w:r w:rsidR="00EC0B68" w:rsidRPr="00581941">
        <w:noBreakHyphen/>
        <w:t>m</w:t>
      </w:r>
      <w:r w:rsidRPr="00581941">
        <w:t xml:space="preserve">inimisation analyses and therapeutic relativity sheets </w:t>
      </w:r>
      <w:r w:rsidR="002423AB" w:rsidRPr="00581941">
        <w:t>imply</w:t>
      </w:r>
      <w:r w:rsidRPr="00581941">
        <w:t xml:space="preserve"> non-inferiority across the nominated basket of comparators in the </w:t>
      </w:r>
      <w:r w:rsidR="00053DDE" w:rsidRPr="00581941">
        <w:t>treatment</w:t>
      </w:r>
      <w:r w:rsidR="00053DDE" w:rsidRPr="00581941">
        <w:noBreakHyphen/>
      </w:r>
      <w:r w:rsidRPr="00581941">
        <w:t xml:space="preserve">experienced setting (paragraphs 6.24, 6.25, and 10.3, Biktarvy PSD, March 2018 PBAC meeting; paragraph 7.3, Juluca PSD, July 2018 PBAC meeting; and paragraph 7.2, DTG/3TC PSD, August 2019 PBAC meeting). </w:t>
      </w:r>
      <w:r w:rsidRPr="00581941">
        <w:rPr>
          <w:snapToGrid/>
        </w:rPr>
        <w:t>The submission appropriately excluded Stribild</w:t>
      </w:r>
      <w:r w:rsidR="002F7BD8" w:rsidRPr="00581941">
        <w:rPr>
          <w:snapToGrid/>
          <w:vertAlign w:val="superscript"/>
        </w:rPr>
        <w:t>®</w:t>
      </w:r>
      <w:r w:rsidRPr="00581941">
        <w:rPr>
          <w:snapToGrid/>
        </w:rPr>
        <w:t xml:space="preserve"> and Eviplera</w:t>
      </w:r>
      <w:r w:rsidR="002F7BD8" w:rsidRPr="00581941">
        <w:rPr>
          <w:snapToGrid/>
          <w:vertAlign w:val="superscript"/>
        </w:rPr>
        <w:t>®</w:t>
      </w:r>
      <w:r w:rsidRPr="00581941">
        <w:rPr>
          <w:snapToGrid/>
        </w:rPr>
        <w:t xml:space="preserve"> following delisting in March 2020.</w:t>
      </w:r>
    </w:p>
    <w:p w:rsidR="008E41A2" w:rsidRPr="00581941" w:rsidRDefault="008E41A2" w:rsidP="004E59EC">
      <w:pPr>
        <w:pStyle w:val="3-BodyText"/>
        <w:rPr>
          <w:snapToGrid/>
        </w:rPr>
      </w:pPr>
      <w:r w:rsidRPr="00581941">
        <w:t xml:space="preserve">For the current </w:t>
      </w:r>
      <w:r w:rsidR="001D5CF5" w:rsidRPr="00581941">
        <w:t>item</w:t>
      </w:r>
      <w:r w:rsidRPr="00581941">
        <w:t xml:space="preserve"> in July 2020, the PBAC considered that the comparator of DTG + 3TC, taken concomitantly, and/or a basket of </w:t>
      </w:r>
      <w:r w:rsidR="00C1362B" w:rsidRPr="00581941">
        <w:t>three- or two-</w:t>
      </w:r>
      <w:r w:rsidRPr="00581941">
        <w:t>drug FDCs most likely to be replaced in practice was reasonable.</w:t>
      </w:r>
    </w:p>
    <w:p w:rsidR="004E59EC" w:rsidRPr="00581941" w:rsidRDefault="004E59EC" w:rsidP="004E59EC">
      <w:pPr>
        <w:pStyle w:val="3-BodyText"/>
        <w:rPr>
          <w:snapToGrid/>
        </w:rPr>
      </w:pPr>
      <w:r w:rsidRPr="00581941">
        <w:t>The submission excluded Atripla</w:t>
      </w:r>
      <w:r w:rsidR="002F7BD8" w:rsidRPr="00581941">
        <w:rPr>
          <w:rFonts w:cs="Times New Roman"/>
          <w:vertAlign w:val="superscript"/>
          <w:lang w:eastAsia="en-GB"/>
        </w:rPr>
        <w:t>®</w:t>
      </w:r>
      <w:r w:rsidRPr="00581941">
        <w:t xml:space="preserve"> (EFV/TDF/FTC) and Symtuza</w:t>
      </w:r>
      <w:r w:rsidR="002F7BD8" w:rsidRPr="00581941">
        <w:rPr>
          <w:rFonts w:cs="Times New Roman"/>
          <w:vertAlign w:val="superscript"/>
          <w:lang w:eastAsia="en-GB"/>
        </w:rPr>
        <w:t>®</w:t>
      </w:r>
      <w:r w:rsidRPr="00581941">
        <w:t xml:space="preserve"> (DRV/c/FTC/TAF) as comparators. The PBAC previously considered that therapies containing efavirenz (i.e. Atripla) are of inferior safety to non-efavirenz containing therapies (paragraph 6.41, DTG/3TC PSD, July 2019 PBAC meeting; paragraph 7.8, Juluca PSD, July 2018 PBAC meeting). The exclusion of </w:t>
      </w:r>
      <w:r w:rsidR="00B26C5B" w:rsidRPr="00581941">
        <w:t xml:space="preserve">Symtuza </w:t>
      </w:r>
      <w:r w:rsidRPr="00581941">
        <w:t>was reasonable as</w:t>
      </w:r>
      <w:r w:rsidR="00FC57E2" w:rsidRPr="00581941">
        <w:t xml:space="preserve"> the treatment guidelines from the Australasian Society for HIV, Viral Hepatitis and Sexual Health Medicine (ASHM)</w:t>
      </w:r>
      <w:r w:rsidRPr="00581941">
        <w:t xml:space="preserve"> </w:t>
      </w:r>
      <w:r w:rsidR="00FC57E2" w:rsidRPr="00581941">
        <w:t xml:space="preserve">state that in general, </w:t>
      </w:r>
      <w:r w:rsidRPr="00581941">
        <w:t>boosted protease inhibitor regimens are only recommended for certain clinical situations</w:t>
      </w:r>
      <w:r w:rsidR="00F20206" w:rsidRPr="00581941">
        <w:t>. I</w:t>
      </w:r>
      <w:r w:rsidR="0007258D" w:rsidRPr="00581941">
        <w:t>ts exclusion</w:t>
      </w:r>
      <w:r w:rsidRPr="00581941">
        <w:t xml:space="preserve"> did not affect the </w:t>
      </w:r>
      <w:r w:rsidR="00EC0B68" w:rsidRPr="00581941">
        <w:t>cost</w:t>
      </w:r>
      <w:r w:rsidR="00EC0B68" w:rsidRPr="00581941">
        <w:noBreakHyphen/>
        <w:t>m</w:t>
      </w:r>
      <w:r w:rsidRPr="00581941">
        <w:t xml:space="preserve">inimisation analysis. </w:t>
      </w:r>
    </w:p>
    <w:p w:rsidR="00630E34" w:rsidRPr="00581941" w:rsidRDefault="007A0FD2" w:rsidP="00C1362B">
      <w:pPr>
        <w:pStyle w:val="3-BodyText"/>
        <w:keepLines w:val="0"/>
        <w:rPr>
          <w:rFonts w:cs="Calibri"/>
          <w:iCs/>
        </w:rPr>
      </w:pPr>
      <w:r w:rsidRPr="00581941">
        <w:rPr>
          <w:rFonts w:cs="Calibri"/>
          <w:iCs/>
        </w:rPr>
        <w:t>A</w:t>
      </w:r>
      <w:r w:rsidR="004E59EC" w:rsidRPr="00581941">
        <w:rPr>
          <w:rFonts w:cs="Calibri"/>
          <w:iCs/>
        </w:rPr>
        <w:t xml:space="preserve">mong the therapies nominated as relevant comparators by the submission, </w:t>
      </w:r>
      <w:r w:rsidR="004E59EC" w:rsidRPr="00581941">
        <w:t>none of the alternative therapies are less costly than the requested price for DTG/3TC based on PBS prices current in April 2020.</w:t>
      </w:r>
      <w:r w:rsidR="004E59EC" w:rsidRPr="00581941">
        <w:rPr>
          <w:rFonts w:cs="Calibri"/>
          <w:iCs/>
        </w:rPr>
        <w:t xml:space="preserve"> Other multi-drug treatment combinations for the treatment of HIV infection that could be considered as alternatives </w:t>
      </w:r>
      <w:r w:rsidR="00192D2D" w:rsidRPr="00581941">
        <w:rPr>
          <w:rFonts w:cs="Calibri"/>
          <w:iCs/>
        </w:rPr>
        <w:t>may</w:t>
      </w:r>
      <w:r w:rsidR="004E59EC" w:rsidRPr="00581941">
        <w:rPr>
          <w:rFonts w:cs="Calibri"/>
          <w:iCs/>
        </w:rPr>
        <w:t xml:space="preserve"> be less costly than DTG/3TC. If treatment with </w:t>
      </w:r>
      <w:r w:rsidR="008D355F" w:rsidRPr="00581941">
        <w:t xml:space="preserve">DTG/3TC </w:t>
      </w:r>
      <w:r w:rsidR="004E59EC" w:rsidRPr="00581941">
        <w:rPr>
          <w:rFonts w:cs="Calibri"/>
          <w:iCs/>
        </w:rPr>
        <w:t xml:space="preserve">is substantially more costly than an alternative therapy or alternative therapies, the PBAC could only recommend listing of </w:t>
      </w:r>
      <w:r w:rsidR="00FD7F53" w:rsidRPr="00581941">
        <w:t>DTG/3TC</w:t>
      </w:r>
      <w:r w:rsidR="004E59EC" w:rsidRPr="00581941">
        <w:t xml:space="preserve"> </w:t>
      </w:r>
      <w:r w:rsidR="004E59EC" w:rsidRPr="00581941">
        <w:rPr>
          <w:rFonts w:cs="Calibri"/>
          <w:iCs/>
        </w:rPr>
        <w:t>if it is satisfied that the FDC provides, for some patients, a significant improvement in efficacy or reduction of toxicity over the alternative therapy or therapies (National Health Act 1953, Section 101(3B)).</w:t>
      </w:r>
      <w:r w:rsidR="004E59EC" w:rsidRPr="00581941">
        <w:rPr>
          <w:snapToGrid/>
        </w:rPr>
        <w:t xml:space="preserve"> </w:t>
      </w:r>
    </w:p>
    <w:p w:rsidR="00630E34" w:rsidRPr="00581941" w:rsidRDefault="00630E34" w:rsidP="00C1362B">
      <w:pPr>
        <w:pStyle w:val="ListParagraph"/>
        <w:numPr>
          <w:ilvl w:val="0"/>
          <w:numId w:val="0"/>
        </w:numPr>
        <w:ind w:left="709"/>
        <w:rPr>
          <w:i/>
        </w:rPr>
      </w:pPr>
      <w:r w:rsidRPr="00581941">
        <w:rPr>
          <w:i/>
        </w:rPr>
        <w:t>For more detail on PBAC’s view, see section 7 PBAC outcome.</w:t>
      </w:r>
    </w:p>
    <w:p w:rsidR="004E59EC" w:rsidRPr="00581941" w:rsidRDefault="004E59EC" w:rsidP="004E59EC">
      <w:pPr>
        <w:pStyle w:val="2-SectionHeading"/>
        <w:numPr>
          <w:ilvl w:val="0"/>
          <w:numId w:val="1"/>
        </w:numPr>
      </w:pPr>
      <w:bookmarkStart w:id="22" w:name="_Toc40810622"/>
      <w:bookmarkStart w:id="23" w:name="_Toc22897640"/>
      <w:bookmarkStart w:id="24" w:name="_Toc22898852"/>
      <w:r w:rsidRPr="00581941">
        <w:t>Consideration of the evidence</w:t>
      </w:r>
      <w:bookmarkEnd w:id="22"/>
    </w:p>
    <w:p w:rsidR="00630E34" w:rsidRPr="00581941" w:rsidRDefault="00630E34" w:rsidP="000A4247">
      <w:pPr>
        <w:pStyle w:val="4-SubsectionHeading"/>
        <w:rPr>
          <w:snapToGrid w:val="0"/>
        </w:rPr>
      </w:pPr>
      <w:bookmarkStart w:id="25" w:name="_Toc40810623"/>
      <w:r w:rsidRPr="00581941">
        <w:rPr>
          <w:snapToGrid w:val="0"/>
        </w:rPr>
        <w:t>Sponsor hearing</w:t>
      </w:r>
    </w:p>
    <w:p w:rsidR="00002D16" w:rsidRPr="00581941" w:rsidRDefault="00002D16" w:rsidP="00002D16">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There was no hearing for this item.</w:t>
      </w:r>
    </w:p>
    <w:p w:rsidR="00630E34" w:rsidRPr="00581941" w:rsidRDefault="00630E34" w:rsidP="000A4247">
      <w:pPr>
        <w:pStyle w:val="4-SubsectionHeading"/>
        <w:rPr>
          <w:snapToGrid w:val="0"/>
        </w:rPr>
      </w:pPr>
      <w:r w:rsidRPr="00581941">
        <w:rPr>
          <w:snapToGrid w:val="0"/>
        </w:rPr>
        <w:t>Consumer comments</w:t>
      </w:r>
    </w:p>
    <w:p w:rsidR="00002D16" w:rsidRPr="00581941" w:rsidRDefault="00002D16" w:rsidP="00002D16">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The PBAC noted that no consumer comments were received for this item.</w:t>
      </w:r>
    </w:p>
    <w:p w:rsidR="004E59EC" w:rsidRPr="00581941" w:rsidRDefault="004E59EC" w:rsidP="004E59EC">
      <w:pPr>
        <w:pStyle w:val="4-SubsectionHeading"/>
      </w:pPr>
      <w:r w:rsidRPr="00581941">
        <w:t xml:space="preserve">Clinical </w:t>
      </w:r>
      <w:bookmarkEnd w:id="23"/>
      <w:bookmarkEnd w:id="24"/>
      <w:r w:rsidRPr="00581941">
        <w:t>trial</w:t>
      </w:r>
      <w:r w:rsidR="007A0FD2" w:rsidRPr="00581941">
        <w:t>s</w:t>
      </w:r>
      <w:bookmarkEnd w:id="25"/>
    </w:p>
    <w:p w:rsidR="004E59EC" w:rsidRPr="00581941" w:rsidRDefault="004E59EC" w:rsidP="004E59EC">
      <w:pPr>
        <w:pStyle w:val="3-BodyText"/>
      </w:pPr>
      <w:r w:rsidRPr="00581941">
        <w:rPr>
          <w:snapToGrid/>
        </w:rPr>
        <w:t xml:space="preserve">The submission was based on a 48-week </w:t>
      </w:r>
      <w:r w:rsidR="006A0B9D" w:rsidRPr="00581941">
        <w:rPr>
          <w:snapToGrid/>
        </w:rPr>
        <w:t>US Food and Drug Administration (</w:t>
      </w:r>
      <w:r w:rsidRPr="00581941">
        <w:rPr>
          <w:snapToGrid/>
        </w:rPr>
        <w:t>FDA</w:t>
      </w:r>
      <w:r w:rsidR="006A0B9D" w:rsidRPr="00581941">
        <w:rPr>
          <w:snapToGrid/>
        </w:rPr>
        <w:t>)</w:t>
      </w:r>
      <w:r w:rsidRPr="00581941">
        <w:rPr>
          <w:snapToGrid/>
        </w:rPr>
        <w:t xml:space="preserve"> snapshot </w:t>
      </w:r>
      <w:r w:rsidR="008D355F" w:rsidRPr="00581941">
        <w:rPr>
          <w:snapToGrid/>
        </w:rPr>
        <w:t xml:space="preserve">analysis </w:t>
      </w:r>
      <w:r w:rsidRPr="00581941">
        <w:rPr>
          <w:snapToGrid/>
        </w:rPr>
        <w:t xml:space="preserve">of a </w:t>
      </w:r>
      <w:r w:rsidR="00444A14" w:rsidRPr="00581941">
        <w:rPr>
          <w:snapToGrid/>
        </w:rPr>
        <w:t xml:space="preserve">randomised </w:t>
      </w:r>
      <w:r w:rsidRPr="00581941">
        <w:rPr>
          <w:snapToGrid/>
        </w:rPr>
        <w:t>open-label trial comparing</w:t>
      </w:r>
      <w:r w:rsidR="007A0FD2" w:rsidRPr="00581941">
        <w:rPr>
          <w:snapToGrid/>
        </w:rPr>
        <w:t xml:space="preserve"> switching from a current </w:t>
      </w:r>
      <w:r w:rsidR="008F4AEF" w:rsidRPr="00581941">
        <w:rPr>
          <w:snapToGrid/>
        </w:rPr>
        <w:t>tenofovir</w:t>
      </w:r>
      <w:r w:rsidR="007A0FD2" w:rsidRPr="00581941">
        <w:rPr>
          <w:snapToGrid/>
        </w:rPr>
        <w:t xml:space="preserve"> alafenamide (TAF)-based regimen (TBR) to</w:t>
      </w:r>
      <w:r w:rsidRPr="00581941">
        <w:rPr>
          <w:snapToGrid/>
        </w:rPr>
        <w:t xml:space="preserve"> DTG/3TC</w:t>
      </w:r>
      <w:r w:rsidR="001938A0" w:rsidRPr="00581941">
        <w:rPr>
          <w:snapToGrid/>
        </w:rPr>
        <w:t>,</w:t>
      </w:r>
      <w:r w:rsidRPr="00581941">
        <w:rPr>
          <w:snapToGrid/>
        </w:rPr>
        <w:t xml:space="preserve"> </w:t>
      </w:r>
      <w:r w:rsidR="007A0FD2" w:rsidRPr="00581941">
        <w:rPr>
          <w:snapToGrid/>
        </w:rPr>
        <w:t>versus</w:t>
      </w:r>
      <w:r w:rsidRPr="00581941">
        <w:rPr>
          <w:snapToGrid/>
        </w:rPr>
        <w:t xml:space="preserve"> remaining on </w:t>
      </w:r>
      <w:r w:rsidR="007A0FD2" w:rsidRPr="00581941">
        <w:rPr>
          <w:snapToGrid/>
        </w:rPr>
        <w:t xml:space="preserve">TBR </w:t>
      </w:r>
      <w:r w:rsidRPr="00581941">
        <w:t xml:space="preserve">in virologically suppressed patients with uninterrupted </w:t>
      </w:r>
      <w:r w:rsidR="00C7282A" w:rsidRPr="00581941">
        <w:t>TBR</w:t>
      </w:r>
      <w:r w:rsidRPr="00581941">
        <w:t xml:space="preserve"> for at least 6 months prior to screening</w:t>
      </w:r>
      <w:r w:rsidR="008D355F" w:rsidRPr="00581941">
        <w:t>,</w:t>
      </w:r>
      <w:r w:rsidRPr="00581941">
        <w:t xml:space="preserve"> with no evidence or history of ART drug resistance</w:t>
      </w:r>
      <w:r w:rsidRPr="00581941">
        <w:rPr>
          <w:snapToGrid/>
        </w:rPr>
        <w:t xml:space="preserve"> (TANGO: N = </w:t>
      </w:r>
      <w:r w:rsidRPr="00581941">
        <w:t>743)</w:t>
      </w:r>
      <w:r w:rsidRPr="00581941">
        <w:rPr>
          <w:snapToGrid/>
        </w:rPr>
        <w:t xml:space="preserve">. Table 3 presents the details of TANGO and associated reports. </w:t>
      </w:r>
    </w:p>
    <w:p w:rsidR="004E59EC" w:rsidRPr="00581941" w:rsidRDefault="004E59EC" w:rsidP="004E59EC">
      <w:pPr>
        <w:pStyle w:val="TableFigureHeading"/>
        <w:rPr>
          <w:rStyle w:val="CommentReference"/>
          <w:b/>
          <w:szCs w:val="24"/>
        </w:rPr>
      </w:pPr>
      <w:r w:rsidRPr="00581941">
        <w:rPr>
          <w:rStyle w:val="CommentReference"/>
          <w:b/>
          <w:szCs w:val="24"/>
        </w:rPr>
        <w:t>Table 3: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E59EC" w:rsidRPr="00581941" w:rsidTr="003A5614">
        <w:trPr>
          <w:tblHeader/>
        </w:trPr>
        <w:tc>
          <w:tcPr>
            <w:tcW w:w="796" w:type="pct"/>
            <w:vAlign w:val="center"/>
          </w:tcPr>
          <w:p w:rsidR="004E59EC" w:rsidRPr="00581941" w:rsidRDefault="004E59EC" w:rsidP="005C3242">
            <w:pPr>
              <w:pStyle w:val="In-tableHeading"/>
              <w:rPr>
                <w:lang w:val="en-AU"/>
              </w:rPr>
            </w:pPr>
            <w:r w:rsidRPr="00581941">
              <w:rPr>
                <w:lang w:val="en-AU"/>
              </w:rPr>
              <w:t>Trial ID</w:t>
            </w:r>
          </w:p>
        </w:tc>
        <w:tc>
          <w:tcPr>
            <w:tcW w:w="3027" w:type="pct"/>
            <w:vAlign w:val="center"/>
          </w:tcPr>
          <w:p w:rsidR="004E59EC" w:rsidRPr="00581941" w:rsidRDefault="004E59EC" w:rsidP="005C3242">
            <w:pPr>
              <w:pStyle w:val="In-tableHeading"/>
              <w:rPr>
                <w:lang w:val="en-AU"/>
              </w:rPr>
            </w:pPr>
            <w:r w:rsidRPr="00581941">
              <w:rPr>
                <w:lang w:val="en-AU"/>
              </w:rPr>
              <w:t>Protocol title/ Publication title</w:t>
            </w:r>
          </w:p>
        </w:tc>
        <w:tc>
          <w:tcPr>
            <w:tcW w:w="1177" w:type="pct"/>
            <w:vAlign w:val="center"/>
          </w:tcPr>
          <w:p w:rsidR="004E59EC" w:rsidRPr="00581941" w:rsidRDefault="004E59EC" w:rsidP="005C3242">
            <w:pPr>
              <w:pStyle w:val="In-tableHeading"/>
              <w:rPr>
                <w:lang w:val="en-AU"/>
              </w:rPr>
            </w:pPr>
            <w:r w:rsidRPr="00581941">
              <w:rPr>
                <w:lang w:val="en-AU"/>
              </w:rPr>
              <w:t>Publication citation</w:t>
            </w:r>
          </w:p>
        </w:tc>
      </w:tr>
      <w:tr w:rsidR="004E59EC" w:rsidRPr="00581941" w:rsidTr="003A5614">
        <w:tc>
          <w:tcPr>
            <w:tcW w:w="796" w:type="pct"/>
            <w:tcBorders>
              <w:bottom w:val="nil"/>
            </w:tcBorders>
            <w:vAlign w:val="center"/>
          </w:tcPr>
          <w:p w:rsidR="004E59EC" w:rsidRPr="00581941" w:rsidRDefault="004E59EC" w:rsidP="005C3242">
            <w:pPr>
              <w:pStyle w:val="TableText0"/>
            </w:pPr>
          </w:p>
        </w:tc>
        <w:tc>
          <w:tcPr>
            <w:tcW w:w="3027" w:type="pct"/>
            <w:tcBorders>
              <w:bottom w:val="nil"/>
            </w:tcBorders>
          </w:tcPr>
          <w:p w:rsidR="004E59EC" w:rsidRPr="00581941" w:rsidRDefault="004E59EC" w:rsidP="005C3242">
            <w:pPr>
              <w:pStyle w:val="TableText0"/>
              <w:rPr>
                <w:rFonts w:eastAsia="TimesNewRoman" w:cs="Arial"/>
                <w:szCs w:val="20"/>
              </w:rPr>
            </w:pPr>
            <w:r w:rsidRPr="00581941">
              <w:rPr>
                <w:rFonts w:eastAsia="TimesNewRoman" w:cs="Arial"/>
                <w:szCs w:val="20"/>
              </w:rPr>
              <w:t xml:space="preserve">Study 204862 (TANGO): A Phase III, randomized, </w:t>
            </w:r>
            <w:r w:rsidR="0038447D" w:rsidRPr="00581941">
              <w:rPr>
                <w:rFonts w:eastAsia="TimesNewRoman" w:cs="Arial"/>
                <w:szCs w:val="20"/>
              </w:rPr>
              <w:t>multicentre</w:t>
            </w:r>
            <w:r w:rsidRPr="00581941">
              <w:rPr>
                <w:rFonts w:eastAsia="TimesNewRoman" w:cs="Arial"/>
                <w:szCs w:val="20"/>
              </w:rPr>
              <w:t>, parallel-group, non-inferiority study evaluating the efficacy, safety, and tolerability of switching to dolutegravir plus lamivudine in HIV 1 infected adults who are virologically suppressed- Week 48. (Sept 2019)</w:t>
            </w:r>
          </w:p>
          <w:p w:rsidR="004E59EC" w:rsidRPr="00581941" w:rsidRDefault="004E59EC" w:rsidP="005C3242">
            <w:pPr>
              <w:pStyle w:val="TableText0"/>
              <w:rPr>
                <w:szCs w:val="18"/>
              </w:rPr>
            </w:pPr>
          </w:p>
        </w:tc>
        <w:tc>
          <w:tcPr>
            <w:tcW w:w="1177" w:type="pct"/>
            <w:tcBorders>
              <w:bottom w:val="nil"/>
            </w:tcBorders>
            <w:vAlign w:val="center"/>
          </w:tcPr>
          <w:p w:rsidR="004E59EC" w:rsidRPr="00581941" w:rsidRDefault="004E59EC" w:rsidP="005C3242">
            <w:pPr>
              <w:pStyle w:val="TableText0"/>
            </w:pPr>
            <w:r w:rsidRPr="00581941">
              <w:t>CSR. 25 September 2019</w:t>
            </w:r>
          </w:p>
        </w:tc>
      </w:tr>
      <w:tr w:rsidR="004E59EC" w:rsidRPr="00581941" w:rsidTr="003A5614">
        <w:tc>
          <w:tcPr>
            <w:tcW w:w="796" w:type="pct"/>
            <w:tcBorders>
              <w:top w:val="nil"/>
              <w:bottom w:val="single" w:sz="4" w:space="0" w:color="auto"/>
            </w:tcBorders>
          </w:tcPr>
          <w:p w:rsidR="004E59EC" w:rsidRPr="00581941" w:rsidRDefault="004E59EC" w:rsidP="005C3242">
            <w:pPr>
              <w:pStyle w:val="TableText0"/>
            </w:pPr>
            <w:r w:rsidRPr="00581941">
              <w:t>TANGO</w:t>
            </w:r>
          </w:p>
        </w:tc>
        <w:tc>
          <w:tcPr>
            <w:tcW w:w="3027" w:type="pct"/>
            <w:tcBorders>
              <w:top w:val="nil"/>
              <w:bottom w:val="single" w:sz="4" w:space="0" w:color="auto"/>
            </w:tcBorders>
          </w:tcPr>
          <w:p w:rsidR="004E59EC" w:rsidRPr="00581941" w:rsidRDefault="004E59EC" w:rsidP="005C3242">
            <w:pPr>
              <w:pStyle w:val="TableText0"/>
              <w:rPr>
                <w:rFonts w:eastAsia="TimesNewRoman" w:cs="Arial"/>
                <w:szCs w:val="20"/>
              </w:rPr>
            </w:pPr>
            <w:r w:rsidRPr="00581941">
              <w:rPr>
                <w:rFonts w:eastAsia="TimesNewRoman" w:cs="Arial"/>
                <w:szCs w:val="20"/>
              </w:rPr>
              <w:t xml:space="preserve">Van </w:t>
            </w:r>
            <w:r w:rsidR="0038447D" w:rsidRPr="00581941">
              <w:rPr>
                <w:rFonts w:eastAsia="TimesNewRoman" w:cs="Arial"/>
                <w:szCs w:val="20"/>
              </w:rPr>
              <w:t>Week</w:t>
            </w:r>
            <w:r w:rsidRPr="00581941">
              <w:rPr>
                <w:rFonts w:eastAsia="TimesNewRoman" w:cs="Arial"/>
                <w:szCs w:val="20"/>
              </w:rPr>
              <w:t xml:space="preserve"> J, Ajana F, Bisshop F, De Wit S, Osiyemi O, Portilla J, et al. (2020) Efficacy and Safety of Switching to Dolutegravir/Lamivudine Fixed-Dose Two-Drug Regimen Versus Continuing a Tenofovir Alafenamide–Based Three- or Four-Drug Regimen for Maintenance of Virologic Suppression in Adults With HIV-1: Phase 3, Randomized, Non-inferiority TANGO Study.</w:t>
            </w:r>
          </w:p>
        </w:tc>
        <w:tc>
          <w:tcPr>
            <w:tcW w:w="1177" w:type="pct"/>
            <w:tcBorders>
              <w:top w:val="nil"/>
              <w:bottom w:val="single" w:sz="4" w:space="0" w:color="auto"/>
            </w:tcBorders>
            <w:vAlign w:val="center"/>
          </w:tcPr>
          <w:p w:rsidR="004E59EC" w:rsidRPr="00581941" w:rsidRDefault="004E59EC" w:rsidP="005C3242">
            <w:pPr>
              <w:pStyle w:val="TableText0"/>
            </w:pPr>
            <w:r w:rsidRPr="00581941">
              <w:rPr>
                <w:rFonts w:eastAsia="TimesNewRoman" w:cs="Arial"/>
                <w:szCs w:val="20"/>
              </w:rPr>
              <w:t>Clinical infectious diseases</w:t>
            </w:r>
            <w:r w:rsidRPr="00581941">
              <w:rPr>
                <w:szCs w:val="18"/>
              </w:rPr>
              <w:t>; Published online: 06 Jan 2020;</w:t>
            </w:r>
            <w:r w:rsidRPr="00581941">
              <w:rPr>
                <w:rFonts w:eastAsia="TimesNewRoman" w:cs="Arial"/>
                <w:szCs w:val="20"/>
              </w:rPr>
              <w:t xml:space="preserve"> Article in press February 2020</w:t>
            </w:r>
            <w:r w:rsidRPr="00581941">
              <w:rPr>
                <w:szCs w:val="18"/>
              </w:rPr>
              <w:t>; doi: 10.1093/cid/ciz1243.</w:t>
            </w:r>
          </w:p>
        </w:tc>
      </w:tr>
    </w:tbl>
    <w:p w:rsidR="004E59EC" w:rsidRPr="00581941" w:rsidRDefault="004E59EC" w:rsidP="004E59EC">
      <w:pPr>
        <w:pStyle w:val="TableFigureFooter"/>
      </w:pPr>
      <w:r w:rsidRPr="00581941">
        <w:t>Source: Table 18, p35 of the submission</w:t>
      </w:r>
    </w:p>
    <w:p w:rsidR="00C7282A" w:rsidRPr="00581941" w:rsidRDefault="00C7282A" w:rsidP="004E59EC">
      <w:pPr>
        <w:pStyle w:val="TableFigureFooter"/>
        <w:rPr>
          <w:sz w:val="20"/>
        </w:rPr>
      </w:pPr>
      <w:r w:rsidRPr="00581941">
        <w:t xml:space="preserve">CSR = clinical study report; HIV = human immunodeficiency virus; </w:t>
      </w:r>
    </w:p>
    <w:p w:rsidR="004E59EC" w:rsidRPr="00581941" w:rsidRDefault="004E59EC" w:rsidP="004E59EC">
      <w:pPr>
        <w:pStyle w:val="3-BodyText"/>
        <w:rPr>
          <w:color w:val="0066FF"/>
        </w:rPr>
      </w:pPr>
      <w:r w:rsidRPr="00581941">
        <w:t xml:space="preserve">Table 4 presents the key features of the TANGO trial. </w:t>
      </w:r>
    </w:p>
    <w:p w:rsidR="004E59EC" w:rsidRPr="00581941" w:rsidRDefault="004E59EC" w:rsidP="004E59EC">
      <w:pPr>
        <w:pStyle w:val="TableFigureHeading"/>
        <w:rPr>
          <w:rStyle w:val="CommentReference"/>
          <w:b/>
          <w:szCs w:val="24"/>
        </w:rPr>
      </w:pPr>
      <w:r w:rsidRPr="00581941">
        <w:rPr>
          <w:rStyle w:val="CommentReference"/>
          <w:b/>
          <w:szCs w:val="24"/>
        </w:rPr>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5"/>
        <w:gridCol w:w="810"/>
        <w:gridCol w:w="1665"/>
        <w:gridCol w:w="1077"/>
        <w:gridCol w:w="1734"/>
        <w:gridCol w:w="64"/>
        <w:gridCol w:w="2712"/>
      </w:tblGrid>
      <w:tr w:rsidR="004E59EC" w:rsidRPr="00581941" w:rsidTr="007A0FD2">
        <w:trPr>
          <w:cantSplit/>
          <w:tblHeader/>
        </w:trPr>
        <w:tc>
          <w:tcPr>
            <w:tcW w:w="535" w:type="pct"/>
            <w:shd w:val="clear" w:color="auto" w:fill="auto"/>
            <w:vAlign w:val="center"/>
          </w:tcPr>
          <w:p w:rsidR="004E59EC" w:rsidRPr="00581941" w:rsidRDefault="004E59EC" w:rsidP="005C3242">
            <w:pPr>
              <w:pStyle w:val="In-tableHeading"/>
              <w:rPr>
                <w:lang w:val="en-AU"/>
              </w:rPr>
            </w:pPr>
            <w:r w:rsidRPr="00581941">
              <w:rPr>
                <w:lang w:val="en-AU"/>
              </w:rPr>
              <w:t>Trial</w:t>
            </w:r>
          </w:p>
        </w:tc>
        <w:tc>
          <w:tcPr>
            <w:tcW w:w="454" w:type="pct"/>
            <w:shd w:val="clear" w:color="auto" w:fill="auto"/>
            <w:vAlign w:val="center"/>
          </w:tcPr>
          <w:p w:rsidR="004E59EC" w:rsidRPr="00581941" w:rsidRDefault="004E59EC" w:rsidP="005C3242">
            <w:pPr>
              <w:pStyle w:val="In-tableHeading"/>
              <w:jc w:val="center"/>
              <w:rPr>
                <w:lang w:val="en-AU"/>
              </w:rPr>
            </w:pPr>
            <w:r w:rsidRPr="00581941">
              <w:rPr>
                <w:lang w:val="en-AU"/>
              </w:rPr>
              <w:t>N</w:t>
            </w:r>
          </w:p>
        </w:tc>
        <w:tc>
          <w:tcPr>
            <w:tcW w:w="928" w:type="pct"/>
            <w:shd w:val="clear" w:color="auto" w:fill="auto"/>
            <w:vAlign w:val="center"/>
          </w:tcPr>
          <w:p w:rsidR="004E59EC" w:rsidRPr="00581941" w:rsidRDefault="004E59EC" w:rsidP="005C3242">
            <w:pPr>
              <w:pStyle w:val="In-tableHeading"/>
              <w:jc w:val="center"/>
              <w:rPr>
                <w:lang w:val="en-AU"/>
              </w:rPr>
            </w:pPr>
            <w:r w:rsidRPr="00581941">
              <w:rPr>
                <w:lang w:val="en-AU"/>
              </w:rPr>
              <w:t>Design/ duration</w:t>
            </w:r>
          </w:p>
        </w:tc>
        <w:tc>
          <w:tcPr>
            <w:tcW w:w="602" w:type="pct"/>
            <w:shd w:val="clear" w:color="auto" w:fill="auto"/>
            <w:vAlign w:val="center"/>
          </w:tcPr>
          <w:p w:rsidR="004E59EC" w:rsidRPr="00581941" w:rsidRDefault="004E59EC" w:rsidP="005C3242">
            <w:pPr>
              <w:pStyle w:val="In-tableHeading"/>
              <w:jc w:val="center"/>
              <w:rPr>
                <w:lang w:val="en-AU"/>
              </w:rPr>
            </w:pPr>
            <w:r w:rsidRPr="00581941">
              <w:rPr>
                <w:lang w:val="en-AU"/>
              </w:rPr>
              <w:t>Risk of bias</w:t>
            </w:r>
          </w:p>
        </w:tc>
        <w:tc>
          <w:tcPr>
            <w:tcW w:w="937" w:type="pct"/>
            <w:shd w:val="clear" w:color="auto" w:fill="auto"/>
            <w:vAlign w:val="center"/>
          </w:tcPr>
          <w:p w:rsidR="004E59EC" w:rsidRPr="00581941" w:rsidRDefault="004E59EC" w:rsidP="005C3242">
            <w:pPr>
              <w:pStyle w:val="In-tableHeading"/>
              <w:jc w:val="center"/>
              <w:rPr>
                <w:lang w:val="en-AU"/>
              </w:rPr>
            </w:pPr>
            <w:r w:rsidRPr="00581941">
              <w:rPr>
                <w:lang w:val="en-AU"/>
              </w:rPr>
              <w:t>Patient population</w:t>
            </w:r>
          </w:p>
        </w:tc>
        <w:tc>
          <w:tcPr>
            <w:tcW w:w="1544" w:type="pct"/>
            <w:gridSpan w:val="2"/>
            <w:shd w:val="clear" w:color="auto" w:fill="auto"/>
            <w:vAlign w:val="center"/>
          </w:tcPr>
          <w:p w:rsidR="004E59EC" w:rsidRPr="00581941" w:rsidRDefault="004E59EC" w:rsidP="005C3242">
            <w:pPr>
              <w:pStyle w:val="In-tableHeading"/>
              <w:jc w:val="center"/>
              <w:rPr>
                <w:lang w:val="en-AU"/>
              </w:rPr>
            </w:pPr>
            <w:r w:rsidRPr="00581941">
              <w:rPr>
                <w:lang w:val="en-AU"/>
              </w:rPr>
              <w:t>Outcomes</w:t>
            </w:r>
          </w:p>
        </w:tc>
      </w:tr>
      <w:tr w:rsidR="004E59EC" w:rsidRPr="00581941" w:rsidTr="005C3242">
        <w:trPr>
          <w:cantSplit/>
        </w:trPr>
        <w:tc>
          <w:tcPr>
            <w:tcW w:w="5000" w:type="pct"/>
            <w:gridSpan w:val="7"/>
            <w:shd w:val="clear" w:color="auto" w:fill="auto"/>
            <w:vAlign w:val="center"/>
          </w:tcPr>
          <w:p w:rsidR="004E59EC" w:rsidRPr="00581941" w:rsidRDefault="004E59EC" w:rsidP="005C3242">
            <w:pPr>
              <w:pStyle w:val="In-tableHeading"/>
              <w:rPr>
                <w:lang w:val="en-AU"/>
              </w:rPr>
            </w:pPr>
            <w:r w:rsidRPr="00581941">
              <w:rPr>
                <w:lang w:val="en-AU"/>
              </w:rPr>
              <w:t>DTG/3TC vs. TBR</w:t>
            </w:r>
          </w:p>
        </w:tc>
      </w:tr>
      <w:tr w:rsidR="004E59EC" w:rsidRPr="00581941" w:rsidTr="007A0FD2">
        <w:tc>
          <w:tcPr>
            <w:tcW w:w="535" w:type="pct"/>
            <w:shd w:val="clear" w:color="auto" w:fill="auto"/>
            <w:vAlign w:val="center"/>
          </w:tcPr>
          <w:p w:rsidR="004E59EC" w:rsidRPr="00581941" w:rsidRDefault="004E59EC" w:rsidP="005C3242">
            <w:pPr>
              <w:pStyle w:val="Tabletext"/>
            </w:pPr>
            <w:r w:rsidRPr="00581941">
              <w:t>TANGO</w:t>
            </w:r>
          </w:p>
        </w:tc>
        <w:tc>
          <w:tcPr>
            <w:tcW w:w="454" w:type="pct"/>
            <w:shd w:val="clear" w:color="auto" w:fill="auto"/>
            <w:vAlign w:val="center"/>
          </w:tcPr>
          <w:p w:rsidR="004E59EC" w:rsidRPr="00581941" w:rsidRDefault="004E59EC" w:rsidP="005C3242">
            <w:pPr>
              <w:pStyle w:val="Tabletext"/>
              <w:jc w:val="center"/>
            </w:pPr>
            <w:r w:rsidRPr="00581941">
              <w:t>743</w:t>
            </w:r>
          </w:p>
        </w:tc>
        <w:tc>
          <w:tcPr>
            <w:tcW w:w="928" w:type="pct"/>
            <w:shd w:val="clear" w:color="auto" w:fill="auto"/>
            <w:vAlign w:val="center"/>
          </w:tcPr>
          <w:p w:rsidR="004E59EC" w:rsidRPr="00581941" w:rsidRDefault="004E59EC" w:rsidP="005C3242">
            <w:pPr>
              <w:pStyle w:val="Tabletext"/>
              <w:jc w:val="center"/>
            </w:pPr>
            <w:r w:rsidRPr="00581941">
              <w:t>R, OL, MC/</w:t>
            </w:r>
          </w:p>
          <w:p w:rsidR="004E59EC" w:rsidRPr="00581941" w:rsidRDefault="004E59EC" w:rsidP="005C3242">
            <w:pPr>
              <w:pStyle w:val="Tabletext"/>
              <w:jc w:val="center"/>
            </w:pPr>
            <w:r w:rsidRPr="00581941">
              <w:t>48-week FDA snapshot</w:t>
            </w:r>
          </w:p>
        </w:tc>
        <w:tc>
          <w:tcPr>
            <w:tcW w:w="602" w:type="pct"/>
            <w:shd w:val="clear" w:color="auto" w:fill="auto"/>
            <w:vAlign w:val="center"/>
          </w:tcPr>
          <w:p w:rsidR="004E59EC" w:rsidRPr="00581941" w:rsidRDefault="004E59EC" w:rsidP="005C3242">
            <w:pPr>
              <w:pStyle w:val="Tabletext"/>
              <w:jc w:val="center"/>
            </w:pPr>
            <w:r w:rsidRPr="00581941">
              <w:t>Low</w:t>
            </w:r>
          </w:p>
        </w:tc>
        <w:tc>
          <w:tcPr>
            <w:tcW w:w="972" w:type="pct"/>
            <w:gridSpan w:val="2"/>
            <w:shd w:val="clear" w:color="auto" w:fill="auto"/>
            <w:vAlign w:val="center"/>
          </w:tcPr>
          <w:p w:rsidR="004E59EC" w:rsidRPr="00581941" w:rsidRDefault="00053DDE" w:rsidP="005C3242">
            <w:pPr>
              <w:pStyle w:val="Tabletext"/>
              <w:jc w:val="center"/>
            </w:pPr>
            <w:r w:rsidRPr="00581941">
              <w:t>Treatment</w:t>
            </w:r>
            <w:r w:rsidRPr="00581941">
              <w:noBreakHyphen/>
            </w:r>
            <w:r w:rsidR="004E59EC" w:rsidRPr="00581941">
              <w:t>experienced</w:t>
            </w:r>
            <w:r w:rsidR="00FA37FB" w:rsidRPr="00581941">
              <w:t xml:space="preserve">, virologically suppressed patients with HIV infection on TBR for ≥6mths </w:t>
            </w:r>
          </w:p>
        </w:tc>
        <w:tc>
          <w:tcPr>
            <w:tcW w:w="1509" w:type="pct"/>
            <w:shd w:val="clear" w:color="auto" w:fill="auto"/>
            <w:vAlign w:val="center"/>
          </w:tcPr>
          <w:p w:rsidR="004E59EC" w:rsidRPr="00581941" w:rsidRDefault="004E59EC" w:rsidP="005C3242">
            <w:pPr>
              <w:pStyle w:val="Tabletext"/>
              <w:jc w:val="center"/>
            </w:pPr>
            <w:r w:rsidRPr="00581941">
              <w:t>Virologic failure; HIV-1 RNA &lt; 50; changes from baseline in CD4+ counts and CD4+/CD8+ ratio; disease progression (HIV associated conditions, AIDS, death); EQ-5D-5L; Safety</w:t>
            </w:r>
          </w:p>
        </w:tc>
      </w:tr>
    </w:tbl>
    <w:p w:rsidR="004E59EC" w:rsidRPr="00581941" w:rsidRDefault="004E59EC" w:rsidP="004E59EC">
      <w:pPr>
        <w:pStyle w:val="TableFigureFooter"/>
        <w:jc w:val="left"/>
      </w:pPr>
      <w:r w:rsidRPr="00581941">
        <w:t>Source: Table 20, p37, Table 21, p39, of the submission</w:t>
      </w:r>
    </w:p>
    <w:p w:rsidR="004E59EC" w:rsidRPr="00581941" w:rsidRDefault="004E59EC" w:rsidP="004E59EC">
      <w:pPr>
        <w:pStyle w:val="TableFigureFooter"/>
        <w:jc w:val="left"/>
        <w:rPr>
          <w:sz w:val="20"/>
        </w:rPr>
      </w:pPr>
      <w:r w:rsidRPr="00581941">
        <w:t>3TC = lamivudine; AIDS = acquired immunodeficiency syndrome; CD4 = cluster of differentiation 4; DTG = dolutegravir; EQ-5D-5L = EuroQol-five dimension-five level; FDA = Food and Drug Administration; HIV = human immunodeficiency virus; MC = multi-centre; OL = open label; R = randomised; RNA = ribonucleic acid; TBR = tenofovir alafenamide based regimen</w:t>
      </w:r>
    </w:p>
    <w:p w:rsidR="004E59EC" w:rsidRPr="00581941" w:rsidRDefault="004E59EC" w:rsidP="004E59EC">
      <w:pPr>
        <w:pStyle w:val="3-BodyText"/>
      </w:pPr>
      <w:r w:rsidRPr="00581941">
        <w:t xml:space="preserve">Although the TANGO trial was </w:t>
      </w:r>
      <w:r w:rsidR="00444A14" w:rsidRPr="00581941">
        <w:t>open-</w:t>
      </w:r>
      <w:r w:rsidRPr="00581941">
        <w:t>label, the overall risk of bias was considered low as the trial utilised objective outcome measures</w:t>
      </w:r>
      <w:r w:rsidR="00722812" w:rsidRPr="00581941">
        <w:t xml:space="preserve"> </w:t>
      </w:r>
      <w:r w:rsidR="00682869" w:rsidRPr="00581941">
        <w:t>that were mostly defined by HIV-1 RNA copies.</w:t>
      </w:r>
      <w:r w:rsidRPr="00581941">
        <w:t xml:space="preserve"> </w:t>
      </w:r>
    </w:p>
    <w:p w:rsidR="004E59EC" w:rsidRPr="00581941" w:rsidRDefault="004E59EC" w:rsidP="004E59EC">
      <w:pPr>
        <w:pStyle w:val="3-BodyText"/>
        <w:rPr>
          <w:iCs/>
        </w:rPr>
      </w:pPr>
      <w:r w:rsidRPr="00581941">
        <w:rPr>
          <w:iCs/>
          <w:snapToGrid/>
        </w:rPr>
        <w:t xml:space="preserve">Results from the 24-week snapshot of TANGO were included in the July 2019 submission to support listing of DTG/3TC in </w:t>
      </w:r>
      <w:r w:rsidR="00053DDE" w:rsidRPr="00581941">
        <w:rPr>
          <w:iCs/>
          <w:snapToGrid/>
        </w:rPr>
        <w:t>treatment</w:t>
      </w:r>
      <w:r w:rsidR="00053DDE" w:rsidRPr="00581941">
        <w:rPr>
          <w:iCs/>
          <w:snapToGrid/>
        </w:rPr>
        <w:noBreakHyphen/>
      </w:r>
      <w:r w:rsidR="00AC3786" w:rsidRPr="00581941">
        <w:rPr>
          <w:iCs/>
          <w:snapToGrid/>
        </w:rPr>
        <w:t>experienced</w:t>
      </w:r>
      <w:r w:rsidRPr="00581941">
        <w:rPr>
          <w:iCs/>
          <w:snapToGrid/>
        </w:rPr>
        <w:t xml:space="preserve"> patients (paragraph 6.5, DTG/3TC PSD, July 2019 PBAC meeting). </w:t>
      </w:r>
      <w:r w:rsidR="005A7D1B" w:rsidRPr="00581941">
        <w:rPr>
          <w:iCs/>
          <w:snapToGrid/>
        </w:rPr>
        <w:t xml:space="preserve">During the previous TGA evaluation, </w:t>
      </w:r>
      <w:r w:rsidR="005A7D1B" w:rsidRPr="00581941">
        <w:rPr>
          <w:iCs/>
        </w:rPr>
        <w:t>t</w:t>
      </w:r>
      <w:r w:rsidRPr="00581941">
        <w:rPr>
          <w:iCs/>
        </w:rPr>
        <w:t xml:space="preserve">he ACM concluded that evaluation of DTG/3TC in </w:t>
      </w:r>
      <w:r w:rsidR="00053DDE" w:rsidRPr="00581941">
        <w:rPr>
          <w:iCs/>
        </w:rPr>
        <w:t>treatment</w:t>
      </w:r>
      <w:r w:rsidR="00053DDE" w:rsidRPr="00581941">
        <w:rPr>
          <w:iCs/>
        </w:rPr>
        <w:noBreakHyphen/>
      </w:r>
      <w:r w:rsidR="00AC3786" w:rsidRPr="00581941">
        <w:rPr>
          <w:iCs/>
        </w:rPr>
        <w:t>experienced</w:t>
      </w:r>
      <w:r w:rsidRPr="00581941">
        <w:rPr>
          <w:iCs/>
        </w:rPr>
        <w:t xml:space="preserve"> patients, although</w:t>
      </w:r>
      <w:r w:rsidR="00FA37FB" w:rsidRPr="00581941">
        <w:rPr>
          <w:iCs/>
        </w:rPr>
        <w:t xml:space="preserve"> the</w:t>
      </w:r>
      <w:r w:rsidR="00251353" w:rsidRPr="00581941">
        <w:rPr>
          <w:iCs/>
        </w:rPr>
        <w:t xml:space="preserve"> data</w:t>
      </w:r>
      <w:r w:rsidRPr="00581941">
        <w:rPr>
          <w:iCs/>
        </w:rPr>
        <w:t xml:space="preserve"> looked promising, should be deferred pending results from the 48-week snapshot of TANGO, including an assessment of resistance (p30, DTG/3TC AusPAR, December 2019).</w:t>
      </w:r>
    </w:p>
    <w:p w:rsidR="004E59EC" w:rsidRPr="00581941" w:rsidRDefault="004E59EC" w:rsidP="004E59EC">
      <w:pPr>
        <w:pStyle w:val="3-BodyText"/>
      </w:pPr>
      <w:r w:rsidRPr="00581941">
        <w:t>The submission did not present evidence from</w:t>
      </w:r>
      <w:r w:rsidR="00D65992" w:rsidRPr="00581941">
        <w:t xml:space="preserve"> the</w:t>
      </w:r>
      <w:r w:rsidRPr="00581941">
        <w:t xml:space="preserve"> DOLAM and ASPIRE</w:t>
      </w:r>
      <w:r w:rsidR="00D65992" w:rsidRPr="00581941">
        <w:t xml:space="preserve"> trials</w:t>
      </w:r>
      <w:r w:rsidRPr="00581941">
        <w:t xml:space="preserve"> which were included as supporting studies in the July 2019 submission. This was reasonable as the previous</w:t>
      </w:r>
      <w:r w:rsidR="00430AE7" w:rsidRPr="00581941">
        <w:t xml:space="preserve"> evaluation</w:t>
      </w:r>
      <w:r w:rsidRPr="00581941">
        <w:t xml:space="preserve"> considered the trials had a small sample size and short follow-up; had a high risk of bias; and in ASPIRE, utilised a non-inferiority margin which was not consistent with the pivotal trial.</w:t>
      </w:r>
    </w:p>
    <w:p w:rsidR="004E59EC" w:rsidRPr="00581941" w:rsidRDefault="004E59EC" w:rsidP="004E59EC">
      <w:pPr>
        <w:pStyle w:val="4-SubsectionHeading"/>
      </w:pPr>
      <w:bookmarkStart w:id="26" w:name="_Toc22897641"/>
      <w:bookmarkStart w:id="27" w:name="_Toc22898853"/>
      <w:bookmarkStart w:id="28" w:name="_Toc40810624"/>
      <w:r w:rsidRPr="00581941">
        <w:t>Comparative effectiveness</w:t>
      </w:r>
      <w:bookmarkEnd w:id="26"/>
      <w:bookmarkEnd w:id="27"/>
      <w:bookmarkEnd w:id="28"/>
    </w:p>
    <w:p w:rsidR="004E59EC" w:rsidRPr="00581941" w:rsidRDefault="004E59EC" w:rsidP="004E59EC">
      <w:pPr>
        <w:pStyle w:val="3-BodyText"/>
      </w:pPr>
      <w:r w:rsidRPr="00581941">
        <w:t>Results from the TANGO trial support</w:t>
      </w:r>
      <w:r w:rsidR="005A7D1B" w:rsidRPr="00581941">
        <w:t>ed</w:t>
      </w:r>
      <w:r w:rsidRPr="00581941">
        <w:t xml:space="preserve"> the clinical claim of non-inferiority for DTG/3TC compared with TBR in patients who are </w:t>
      </w:r>
      <w:r w:rsidR="00053DDE" w:rsidRPr="00581941">
        <w:t>treatment</w:t>
      </w:r>
      <w:r w:rsidR="00053DDE" w:rsidRPr="00581941">
        <w:noBreakHyphen/>
      </w:r>
      <w:r w:rsidRPr="00581941">
        <w:t xml:space="preserve">experienced. The results were </w:t>
      </w:r>
      <w:r w:rsidR="005A7D1B" w:rsidRPr="00581941">
        <w:t>consistent</w:t>
      </w:r>
      <w:r w:rsidRPr="00581941">
        <w:t xml:space="preserve"> with the 24-week TANGO snapshot analysis presented in the July 2019 submission. </w:t>
      </w:r>
    </w:p>
    <w:p w:rsidR="004E59EC" w:rsidRPr="00581941" w:rsidRDefault="004E59EC" w:rsidP="004E59EC">
      <w:pPr>
        <w:pStyle w:val="3-BodyText"/>
        <w:rPr>
          <w:color w:val="0066FF"/>
        </w:rPr>
      </w:pPr>
      <w:r w:rsidRPr="00581941">
        <w:t xml:space="preserve">Table 5 presents results for the primary outcome, </w:t>
      </w:r>
      <w:r w:rsidR="00444A14" w:rsidRPr="00581941">
        <w:t xml:space="preserve">the </w:t>
      </w:r>
      <w:r w:rsidRPr="00581941">
        <w:t>proportion of participants with virologic failure</w:t>
      </w:r>
      <w:r w:rsidR="00554054" w:rsidRPr="00581941">
        <w:t xml:space="preserve"> </w:t>
      </w:r>
      <w:r w:rsidRPr="00581941">
        <w:t>at 48-week</w:t>
      </w:r>
      <w:r w:rsidR="00E45D23" w:rsidRPr="00581941">
        <w:t>s</w:t>
      </w:r>
      <w:r w:rsidRPr="00581941">
        <w:t xml:space="preserve"> </w:t>
      </w:r>
      <w:r w:rsidR="006C4661" w:rsidRPr="00581941">
        <w:t xml:space="preserve">(Day 295 to 378) </w:t>
      </w:r>
      <w:r w:rsidR="00554054" w:rsidRPr="00581941">
        <w:t xml:space="preserve">using the </w:t>
      </w:r>
      <w:r w:rsidR="005031E4" w:rsidRPr="00581941">
        <w:t xml:space="preserve">FDA </w:t>
      </w:r>
      <w:r w:rsidR="00F854F1" w:rsidRPr="00581941">
        <w:t>snapshot</w:t>
      </w:r>
      <w:r w:rsidR="00554054" w:rsidRPr="00581941">
        <w:t xml:space="preserve"> algorithm</w:t>
      </w:r>
      <w:r w:rsidRPr="00581941">
        <w:t>.</w:t>
      </w:r>
      <w:r w:rsidR="005031E4" w:rsidRPr="00581941">
        <w:t xml:space="preserve"> The FDA snapshot algorithm </w:t>
      </w:r>
      <w:r w:rsidR="005031E4" w:rsidRPr="00581941">
        <w:rPr>
          <w:iCs/>
        </w:rPr>
        <w:t>conservatively</w:t>
      </w:r>
      <w:r w:rsidR="005031E4" w:rsidRPr="00581941">
        <w:t xml:space="preserve"> determines patients to have virologic failure for any of the following:</w:t>
      </w:r>
    </w:p>
    <w:p w:rsidR="005031E4" w:rsidRPr="00581941" w:rsidRDefault="005031E4" w:rsidP="00CF1701">
      <w:pPr>
        <w:pStyle w:val="Bulletpoints"/>
        <w:ind w:left="1077" w:hanging="357"/>
      </w:pPr>
      <w:r w:rsidRPr="00581941">
        <w:t xml:space="preserve">HIV-1 RNA </w:t>
      </w:r>
      <w:r w:rsidR="00722812" w:rsidRPr="00581941">
        <w:t>≥</w:t>
      </w:r>
      <w:r w:rsidRPr="00581941">
        <w:t xml:space="preserve"> 50 </w:t>
      </w:r>
      <w:r w:rsidR="006C4661" w:rsidRPr="00581941">
        <w:t xml:space="preserve">c/mL at 48 weeks, </w:t>
      </w:r>
    </w:p>
    <w:p w:rsidR="006C4661" w:rsidRPr="00581941" w:rsidRDefault="006C4661" w:rsidP="00CF1701">
      <w:pPr>
        <w:pStyle w:val="Bulletpoints"/>
        <w:ind w:left="1077" w:hanging="357"/>
      </w:pPr>
      <w:r w:rsidRPr="00581941">
        <w:t>change in ART (other than the pharmacokinetic booster) at any time, or</w:t>
      </w:r>
    </w:p>
    <w:p w:rsidR="006C4661" w:rsidRPr="00581941" w:rsidRDefault="009A1302" w:rsidP="00CF1701">
      <w:pPr>
        <w:pStyle w:val="Bulletpoints"/>
        <w:ind w:left="1077" w:hanging="357"/>
      </w:pPr>
      <w:r w:rsidRPr="00581941">
        <w:t xml:space="preserve">discontinuation </w:t>
      </w:r>
      <w:r w:rsidR="006C4661" w:rsidRPr="00581941">
        <w:t>for other reason while HIV RNA ≥ 50 c/mL prior to the week 48 window.</w:t>
      </w:r>
    </w:p>
    <w:p w:rsidR="004E59EC" w:rsidRPr="00581941" w:rsidRDefault="004E59EC" w:rsidP="004E59EC">
      <w:pPr>
        <w:pStyle w:val="TableFigureHeading"/>
        <w:rPr>
          <w:rStyle w:val="CommentReference"/>
          <w:b/>
          <w:szCs w:val="24"/>
        </w:rPr>
      </w:pPr>
      <w:r w:rsidRPr="00581941">
        <w:rPr>
          <w:rStyle w:val="CommentReference"/>
          <w:b/>
          <w:szCs w:val="24"/>
        </w:rPr>
        <w:t xml:space="preserve">Table 5: Proportion of participants with virologic failure at the 48-week snapshot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54"/>
        <w:gridCol w:w="2552"/>
        <w:gridCol w:w="1701"/>
        <w:gridCol w:w="1558"/>
        <w:gridCol w:w="1652"/>
      </w:tblGrid>
      <w:tr w:rsidR="004E59EC" w:rsidRPr="00581941" w:rsidTr="005C3242">
        <w:trPr>
          <w:trHeight w:val="42"/>
          <w:tblHeader/>
        </w:trPr>
        <w:tc>
          <w:tcPr>
            <w:tcW w:w="862" w:type="pct"/>
            <w:vMerge w:val="restart"/>
            <w:shd w:val="clear" w:color="auto" w:fill="auto"/>
            <w:vAlign w:val="center"/>
          </w:tcPr>
          <w:p w:rsidR="004E59EC" w:rsidRPr="00581941" w:rsidRDefault="004E59EC" w:rsidP="005C3242">
            <w:pPr>
              <w:pStyle w:val="TableText0"/>
              <w:rPr>
                <w:b/>
              </w:rPr>
            </w:pPr>
            <w:r w:rsidRPr="00581941">
              <w:rPr>
                <w:b/>
              </w:rPr>
              <w:t>Study population</w:t>
            </w:r>
          </w:p>
        </w:tc>
        <w:tc>
          <w:tcPr>
            <w:tcW w:w="2358" w:type="pct"/>
            <w:gridSpan w:val="2"/>
            <w:shd w:val="clear" w:color="auto" w:fill="auto"/>
          </w:tcPr>
          <w:p w:rsidR="004E59EC" w:rsidRPr="00581941" w:rsidRDefault="004E59EC" w:rsidP="005C3242">
            <w:pPr>
              <w:pStyle w:val="TableText0"/>
              <w:jc w:val="center"/>
              <w:rPr>
                <w:b/>
              </w:rPr>
            </w:pPr>
            <w:r w:rsidRPr="00581941">
              <w:rPr>
                <w:b/>
              </w:rPr>
              <w:t>n/N (%; 95%CI)</w:t>
            </w:r>
          </w:p>
        </w:tc>
        <w:tc>
          <w:tcPr>
            <w:tcW w:w="1780" w:type="pct"/>
            <w:gridSpan w:val="2"/>
            <w:shd w:val="clear" w:color="auto" w:fill="auto"/>
          </w:tcPr>
          <w:p w:rsidR="004E59EC" w:rsidRPr="00581941" w:rsidRDefault="004E59EC" w:rsidP="005C3242">
            <w:pPr>
              <w:pStyle w:val="TableText0"/>
              <w:jc w:val="center"/>
              <w:rPr>
                <w:b/>
              </w:rPr>
            </w:pPr>
            <w:r w:rsidRPr="00581941">
              <w:rPr>
                <w:b/>
              </w:rPr>
              <w:t>RD, % (95% CI)</w:t>
            </w:r>
          </w:p>
        </w:tc>
      </w:tr>
      <w:tr w:rsidR="004E59EC" w:rsidRPr="00581941" w:rsidTr="005C3242">
        <w:trPr>
          <w:trHeight w:val="42"/>
          <w:tblHeader/>
        </w:trPr>
        <w:tc>
          <w:tcPr>
            <w:tcW w:w="862" w:type="pct"/>
            <w:vMerge/>
            <w:shd w:val="clear" w:color="auto" w:fill="auto"/>
          </w:tcPr>
          <w:p w:rsidR="004E59EC" w:rsidRPr="00581941" w:rsidRDefault="004E59EC" w:rsidP="005C3242">
            <w:pPr>
              <w:pStyle w:val="TableText0"/>
              <w:rPr>
                <w:b/>
              </w:rPr>
            </w:pPr>
          </w:p>
        </w:tc>
        <w:tc>
          <w:tcPr>
            <w:tcW w:w="1415" w:type="pct"/>
            <w:shd w:val="clear" w:color="auto" w:fill="auto"/>
          </w:tcPr>
          <w:p w:rsidR="004E59EC" w:rsidRPr="00581941" w:rsidRDefault="004E59EC" w:rsidP="005C3242">
            <w:pPr>
              <w:pStyle w:val="TableText0"/>
              <w:jc w:val="center"/>
              <w:rPr>
                <w:b/>
              </w:rPr>
            </w:pPr>
            <w:r w:rsidRPr="00581941">
              <w:rPr>
                <w:b/>
              </w:rPr>
              <w:t>DTG/3TC</w:t>
            </w:r>
          </w:p>
        </w:tc>
        <w:tc>
          <w:tcPr>
            <w:tcW w:w="943" w:type="pct"/>
            <w:shd w:val="clear" w:color="auto" w:fill="auto"/>
          </w:tcPr>
          <w:p w:rsidR="004E59EC" w:rsidRPr="00581941" w:rsidRDefault="004E59EC" w:rsidP="005C3242">
            <w:pPr>
              <w:pStyle w:val="TableText0"/>
              <w:jc w:val="center"/>
              <w:rPr>
                <w:b/>
              </w:rPr>
            </w:pPr>
            <w:r w:rsidRPr="00581941">
              <w:rPr>
                <w:b/>
              </w:rPr>
              <w:t>TBR</w:t>
            </w:r>
          </w:p>
        </w:tc>
        <w:tc>
          <w:tcPr>
            <w:tcW w:w="864" w:type="pct"/>
            <w:shd w:val="clear" w:color="auto" w:fill="auto"/>
          </w:tcPr>
          <w:p w:rsidR="004E59EC" w:rsidRPr="00581941" w:rsidRDefault="004E59EC" w:rsidP="005C3242">
            <w:pPr>
              <w:pStyle w:val="TableText0"/>
              <w:jc w:val="center"/>
              <w:rPr>
                <w:b/>
              </w:rPr>
            </w:pPr>
            <w:r w:rsidRPr="00581941">
              <w:rPr>
                <w:b/>
              </w:rPr>
              <w:t xml:space="preserve">Unadjusted </w:t>
            </w:r>
            <w:r w:rsidRPr="00581941">
              <w:rPr>
                <w:b/>
                <w:vertAlign w:val="superscript"/>
              </w:rPr>
              <w:t>a</w:t>
            </w:r>
          </w:p>
        </w:tc>
        <w:tc>
          <w:tcPr>
            <w:tcW w:w="916" w:type="pct"/>
            <w:shd w:val="clear" w:color="auto" w:fill="auto"/>
          </w:tcPr>
          <w:p w:rsidR="004E59EC" w:rsidRPr="00581941" w:rsidRDefault="004E59EC" w:rsidP="005C3242">
            <w:pPr>
              <w:pStyle w:val="TableText0"/>
              <w:jc w:val="center"/>
              <w:rPr>
                <w:b/>
              </w:rPr>
            </w:pPr>
            <w:r w:rsidRPr="00581941">
              <w:rPr>
                <w:b/>
              </w:rPr>
              <w:t xml:space="preserve">Adjusted </w:t>
            </w:r>
            <w:r w:rsidRPr="00581941">
              <w:rPr>
                <w:b/>
                <w:vertAlign w:val="superscript"/>
              </w:rPr>
              <w:t>b</w:t>
            </w:r>
          </w:p>
        </w:tc>
      </w:tr>
      <w:tr w:rsidR="004E59EC" w:rsidRPr="00581941" w:rsidTr="005C3242">
        <w:tblPrEx>
          <w:tblCellMar>
            <w:top w:w="0" w:type="dxa"/>
            <w:left w:w="108" w:type="dxa"/>
            <w:bottom w:w="0" w:type="dxa"/>
            <w:right w:w="108" w:type="dxa"/>
          </w:tblCellMar>
        </w:tblPrEx>
        <w:trPr>
          <w:cantSplit/>
        </w:trPr>
        <w:tc>
          <w:tcPr>
            <w:tcW w:w="862" w:type="pct"/>
            <w:vAlign w:val="center"/>
          </w:tcPr>
          <w:p w:rsidR="004E59EC" w:rsidRPr="00581941" w:rsidRDefault="004E59EC" w:rsidP="005C3242">
            <w:pPr>
              <w:pStyle w:val="TableText0"/>
            </w:pPr>
            <w:r w:rsidRPr="00581941">
              <w:t>ITT-E population</w:t>
            </w:r>
          </w:p>
        </w:tc>
        <w:tc>
          <w:tcPr>
            <w:tcW w:w="1415" w:type="pct"/>
            <w:vAlign w:val="center"/>
          </w:tcPr>
          <w:p w:rsidR="004E59EC" w:rsidRPr="00581941" w:rsidRDefault="004E59EC" w:rsidP="005C3242">
            <w:pPr>
              <w:pStyle w:val="TableText0"/>
              <w:jc w:val="center"/>
            </w:pPr>
            <w:r w:rsidRPr="00581941">
              <w:t>1/369 (0.3; 0.0, 0.8)</w:t>
            </w:r>
          </w:p>
        </w:tc>
        <w:tc>
          <w:tcPr>
            <w:tcW w:w="943" w:type="pct"/>
            <w:vAlign w:val="center"/>
          </w:tcPr>
          <w:p w:rsidR="004E59EC" w:rsidRPr="00581941" w:rsidRDefault="004E59EC" w:rsidP="005C3242">
            <w:pPr>
              <w:pStyle w:val="TableText0"/>
              <w:jc w:val="center"/>
            </w:pPr>
            <w:r w:rsidRPr="00581941">
              <w:t>2/372 (0.5; 0.0, 1.3)</w:t>
            </w:r>
          </w:p>
        </w:tc>
        <w:tc>
          <w:tcPr>
            <w:tcW w:w="864" w:type="pct"/>
            <w:vAlign w:val="center"/>
          </w:tcPr>
          <w:p w:rsidR="004E59EC" w:rsidRPr="00581941" w:rsidRDefault="004E59EC" w:rsidP="005C3242">
            <w:pPr>
              <w:pStyle w:val="TableText0"/>
              <w:jc w:val="center"/>
            </w:pPr>
            <w:r w:rsidRPr="00581941">
              <w:t>-0.3 (-1.2, 0.6)</w:t>
            </w:r>
          </w:p>
        </w:tc>
        <w:tc>
          <w:tcPr>
            <w:tcW w:w="916" w:type="pct"/>
            <w:vAlign w:val="center"/>
          </w:tcPr>
          <w:p w:rsidR="004E59EC" w:rsidRPr="00581941" w:rsidRDefault="004E59EC" w:rsidP="005C3242">
            <w:pPr>
              <w:pStyle w:val="TableText0"/>
              <w:jc w:val="center"/>
            </w:pPr>
            <w:r w:rsidRPr="00581941">
              <w:t>-0.3 (-1.2, 0.7)</w:t>
            </w:r>
          </w:p>
        </w:tc>
      </w:tr>
      <w:tr w:rsidR="004E59EC" w:rsidRPr="00581941" w:rsidTr="005C3242">
        <w:tblPrEx>
          <w:tblCellMar>
            <w:top w:w="0" w:type="dxa"/>
            <w:left w:w="108" w:type="dxa"/>
            <w:bottom w:w="0" w:type="dxa"/>
            <w:right w:w="108" w:type="dxa"/>
          </w:tblCellMar>
        </w:tblPrEx>
        <w:trPr>
          <w:cantSplit/>
        </w:trPr>
        <w:tc>
          <w:tcPr>
            <w:tcW w:w="862" w:type="pct"/>
            <w:vAlign w:val="center"/>
          </w:tcPr>
          <w:p w:rsidR="004E59EC" w:rsidRPr="00581941" w:rsidRDefault="004E59EC" w:rsidP="005C3242">
            <w:pPr>
              <w:pStyle w:val="TableText0"/>
            </w:pPr>
            <w:r w:rsidRPr="00581941">
              <w:t>PP population</w:t>
            </w:r>
          </w:p>
        </w:tc>
        <w:tc>
          <w:tcPr>
            <w:tcW w:w="1415" w:type="pct"/>
            <w:vAlign w:val="center"/>
          </w:tcPr>
          <w:p w:rsidR="004E59EC" w:rsidRPr="00581941" w:rsidRDefault="004E59EC" w:rsidP="005C3242">
            <w:pPr>
              <w:pStyle w:val="TableText0"/>
              <w:jc w:val="center"/>
            </w:pPr>
            <w:r w:rsidRPr="00581941">
              <w:t>0/352</w:t>
            </w:r>
          </w:p>
        </w:tc>
        <w:tc>
          <w:tcPr>
            <w:tcW w:w="943" w:type="pct"/>
            <w:vAlign w:val="center"/>
          </w:tcPr>
          <w:p w:rsidR="004E59EC" w:rsidRPr="00581941" w:rsidRDefault="004E59EC" w:rsidP="005C3242">
            <w:pPr>
              <w:pStyle w:val="TableText0"/>
              <w:jc w:val="center"/>
            </w:pPr>
            <w:r w:rsidRPr="00581941">
              <w:t>2/358 (0.6; 0.0, 1.3)</w:t>
            </w:r>
          </w:p>
        </w:tc>
        <w:tc>
          <w:tcPr>
            <w:tcW w:w="864" w:type="pct"/>
            <w:vAlign w:val="center"/>
          </w:tcPr>
          <w:p w:rsidR="004E59EC" w:rsidRPr="00581941" w:rsidRDefault="004E59EC" w:rsidP="005C3242">
            <w:pPr>
              <w:pStyle w:val="TableText0"/>
              <w:jc w:val="center"/>
            </w:pPr>
            <w:r w:rsidRPr="00581941">
              <w:t>-0.6 (-1.3, 0.2)</w:t>
            </w:r>
          </w:p>
        </w:tc>
        <w:tc>
          <w:tcPr>
            <w:tcW w:w="916" w:type="pct"/>
            <w:vAlign w:val="center"/>
          </w:tcPr>
          <w:p w:rsidR="004E59EC" w:rsidRPr="00581941" w:rsidRDefault="004E59EC" w:rsidP="005C3242">
            <w:pPr>
              <w:pStyle w:val="TableText0"/>
              <w:jc w:val="center"/>
            </w:pPr>
            <w:r w:rsidRPr="00581941">
              <w:t>-0.6 (-1.3, 0.2)</w:t>
            </w:r>
          </w:p>
        </w:tc>
      </w:tr>
    </w:tbl>
    <w:p w:rsidR="004E59EC" w:rsidRPr="00581941" w:rsidRDefault="004E59EC" w:rsidP="004E59EC">
      <w:pPr>
        <w:pStyle w:val="TableFigureFooter"/>
        <w:jc w:val="left"/>
        <w:rPr>
          <w:sz w:val="20"/>
        </w:rPr>
      </w:pPr>
      <w:r w:rsidRPr="00581941">
        <w:t>Source: Table 28, p48 of the submission</w:t>
      </w:r>
    </w:p>
    <w:p w:rsidR="004E59EC" w:rsidRPr="00581941" w:rsidRDefault="004E59EC" w:rsidP="004E59EC">
      <w:pPr>
        <w:pStyle w:val="TableFigureFooter"/>
        <w:jc w:val="left"/>
        <w:rPr>
          <w:rFonts w:eastAsia="Calibri"/>
        </w:rPr>
      </w:pPr>
      <w:r w:rsidRPr="00581941">
        <w:rPr>
          <w:rFonts w:eastAsia="Calibri"/>
        </w:rPr>
        <w:t xml:space="preserve">3TC = lamivudine; DTG = dolutegravir; CI = confidence interval; ITT-E = intent to treat-exposed; n = number of participants with event; N = total participants in group; PP = per protocol; RD = risk difference; TBR = tenofovir </w:t>
      </w:r>
      <w:r w:rsidR="002346BC" w:rsidRPr="00581941">
        <w:rPr>
          <w:rFonts w:eastAsia="Calibri"/>
        </w:rPr>
        <w:t>alafenamide-</w:t>
      </w:r>
      <w:r w:rsidRPr="00581941">
        <w:rPr>
          <w:rFonts w:eastAsia="Calibri"/>
        </w:rPr>
        <w:t xml:space="preserve">based regimen; </w:t>
      </w:r>
    </w:p>
    <w:p w:rsidR="004E59EC" w:rsidRPr="00581941" w:rsidRDefault="004E59EC" w:rsidP="004E59EC">
      <w:pPr>
        <w:pStyle w:val="TableFigureFooter"/>
        <w:jc w:val="left"/>
      </w:pPr>
      <w:r w:rsidRPr="00581941">
        <w:rPr>
          <w:vertAlign w:val="superscript"/>
        </w:rPr>
        <w:t>a</w:t>
      </w:r>
      <w:r w:rsidRPr="00581941">
        <w:t xml:space="preserve"> Difference: Proportion for DTG/3TC – Proportion for TBR</w:t>
      </w:r>
    </w:p>
    <w:p w:rsidR="004E59EC" w:rsidRPr="00581941" w:rsidRDefault="004E59EC" w:rsidP="004E59EC">
      <w:pPr>
        <w:pStyle w:val="TableFigureFooter"/>
        <w:jc w:val="left"/>
      </w:pPr>
      <w:r w:rsidRPr="00581941">
        <w:rPr>
          <w:vertAlign w:val="superscript"/>
        </w:rPr>
        <w:t>b</w:t>
      </w:r>
      <w:r w:rsidRPr="00581941">
        <w:t xml:space="preserve"> Adjusted based on </w:t>
      </w:r>
      <w:r w:rsidRPr="00581941">
        <w:rPr>
          <w:rFonts w:eastAsia="Calibri"/>
        </w:rPr>
        <w:t>Cochran Mantel Haenszel</w:t>
      </w:r>
      <w:r w:rsidRPr="00581941">
        <w:t xml:space="preserve"> stratified analysis adjusting for baseline third agent class (</w:t>
      </w:r>
      <w:r w:rsidRPr="00581941">
        <w:rPr>
          <w:rFonts w:eastAsia="Calibri"/>
        </w:rPr>
        <w:t>protease inhibitor</w:t>
      </w:r>
      <w:r w:rsidRPr="00581941">
        <w:t xml:space="preserve">, </w:t>
      </w:r>
      <w:r w:rsidRPr="00581941">
        <w:rPr>
          <w:rFonts w:eastAsia="Calibri"/>
        </w:rPr>
        <w:t>integrase strand transfer inhibitor</w:t>
      </w:r>
      <w:r w:rsidRPr="00581941">
        <w:t xml:space="preserve">, </w:t>
      </w:r>
      <w:r w:rsidRPr="00581941">
        <w:rPr>
          <w:rFonts w:eastAsia="Calibri"/>
        </w:rPr>
        <w:t>non-nucleoside reverse-transcriptase inhibitors</w:t>
      </w:r>
      <w:r w:rsidRPr="00581941">
        <w:t xml:space="preserve">). </w:t>
      </w:r>
    </w:p>
    <w:p w:rsidR="004E59EC" w:rsidRPr="00581941" w:rsidRDefault="004E59EC" w:rsidP="004E59EC">
      <w:pPr>
        <w:pStyle w:val="3-BodyText"/>
      </w:pPr>
      <w:r w:rsidRPr="00581941">
        <w:t>The</w:t>
      </w:r>
      <w:r w:rsidR="00D65992" w:rsidRPr="00581941">
        <w:t xml:space="preserve"> adjusted</w:t>
      </w:r>
      <w:r w:rsidRPr="00581941">
        <w:t xml:space="preserve"> treatment difference for virologic failure </w:t>
      </w:r>
      <w:r w:rsidR="00D275F4" w:rsidRPr="00581941">
        <w:t>met</w:t>
      </w:r>
      <w:r w:rsidR="006A0B9D" w:rsidRPr="00581941">
        <w:t xml:space="preserve"> </w:t>
      </w:r>
      <w:r w:rsidRPr="00581941">
        <w:t>the nominated non-inferiority margin of -4%</w:t>
      </w:r>
      <w:r w:rsidR="00581941">
        <w:t xml:space="preserve">. </w:t>
      </w:r>
      <w:r w:rsidRPr="00581941">
        <w:t>The submission highlighted that the non-inferiority margin of -4% was consistent with the FDA guidance on HIV trials (FDA, 2015</w:t>
      </w:r>
      <w:r w:rsidR="00D909ED">
        <w:rPr>
          <w:rStyle w:val="FootnoteReference"/>
        </w:rPr>
        <w:footnoteReference w:id="1"/>
      </w:r>
      <w:r w:rsidRPr="00581941">
        <w:t xml:space="preserve">) and previously accepted by the PBAC for the </w:t>
      </w:r>
      <w:r w:rsidR="00192D2D" w:rsidRPr="00581941">
        <w:t>two-drug</w:t>
      </w:r>
      <w:r w:rsidRPr="00581941">
        <w:t xml:space="preserve"> regimen Juluca (paragraph 6.8, Juluca PSD, July 2018 PBAC meeting). </w:t>
      </w:r>
    </w:p>
    <w:p w:rsidR="004E59EC" w:rsidRPr="00581941" w:rsidRDefault="004E59EC" w:rsidP="004E59EC">
      <w:pPr>
        <w:pStyle w:val="3-BodyText"/>
      </w:pPr>
      <w:r w:rsidRPr="00581941">
        <w:t xml:space="preserve">Table 6 presents the </w:t>
      </w:r>
      <w:r w:rsidR="00F400DF" w:rsidRPr="00581941">
        <w:t xml:space="preserve">disaggregated results of the </w:t>
      </w:r>
      <w:r w:rsidRPr="00581941">
        <w:t>FDA snapshot analysis at 48 weeks.</w:t>
      </w:r>
    </w:p>
    <w:p w:rsidR="004E59EC" w:rsidRPr="00581941" w:rsidRDefault="004E59EC" w:rsidP="004E59EC">
      <w:pPr>
        <w:keepNext/>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Table 6: Snapshot analysis at 48 weeks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97"/>
        <w:gridCol w:w="2810"/>
        <w:gridCol w:w="2810"/>
      </w:tblGrid>
      <w:tr w:rsidR="004E59EC" w:rsidRPr="00581941" w:rsidTr="005C3242">
        <w:trPr>
          <w:trHeight w:val="42"/>
          <w:tblHeader/>
        </w:trPr>
        <w:tc>
          <w:tcPr>
            <w:tcW w:w="1884" w:type="pct"/>
            <w:shd w:val="clear" w:color="auto" w:fill="auto"/>
          </w:tcPr>
          <w:p w:rsidR="004E59EC" w:rsidRPr="00581941" w:rsidRDefault="004E59EC" w:rsidP="005C3242">
            <w:pPr>
              <w:keepNext/>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Virological data at Week 48</w:t>
            </w:r>
          </w:p>
        </w:tc>
        <w:tc>
          <w:tcPr>
            <w:tcW w:w="1558" w:type="pct"/>
            <w:shd w:val="clear" w:color="auto" w:fill="auto"/>
          </w:tcPr>
          <w:p w:rsidR="004E59EC" w:rsidRPr="00581941" w:rsidRDefault="004E59EC" w:rsidP="00510694">
            <w:pPr>
              <w:keepNext/>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 xml:space="preserve">DTG/3TC (N = </w:t>
            </w:r>
            <w:r w:rsidR="00510694" w:rsidRPr="00581941">
              <w:rPr>
                <w:rFonts w:ascii="Arial Narrow" w:eastAsiaTheme="majorEastAsia" w:hAnsi="Arial Narrow" w:cstheme="majorBidi"/>
                <w:b/>
                <w:bCs/>
                <w:sz w:val="20"/>
              </w:rPr>
              <w:t>3</w:t>
            </w:r>
            <w:r w:rsidR="00510694">
              <w:rPr>
                <w:rFonts w:ascii="Arial Narrow" w:eastAsiaTheme="majorEastAsia" w:hAnsi="Arial Narrow" w:cstheme="majorBidi"/>
                <w:b/>
                <w:bCs/>
                <w:sz w:val="20"/>
              </w:rPr>
              <w:t>69</w:t>
            </w:r>
            <w:r w:rsidRPr="00581941">
              <w:rPr>
                <w:rFonts w:ascii="Arial Narrow" w:eastAsiaTheme="majorEastAsia" w:hAnsi="Arial Narrow" w:cstheme="majorBidi"/>
                <w:b/>
                <w:bCs/>
                <w:sz w:val="20"/>
              </w:rPr>
              <w:t>), n (%)</w:t>
            </w:r>
          </w:p>
        </w:tc>
        <w:tc>
          <w:tcPr>
            <w:tcW w:w="1558" w:type="pct"/>
            <w:shd w:val="clear" w:color="auto" w:fill="auto"/>
          </w:tcPr>
          <w:p w:rsidR="004E59EC" w:rsidRPr="00581941" w:rsidRDefault="004E59EC" w:rsidP="005C3242">
            <w:pPr>
              <w:keepNext/>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TBR (N = 372), n (%)</w:t>
            </w:r>
          </w:p>
        </w:tc>
      </w:tr>
      <w:tr w:rsidR="004E59EC" w:rsidRPr="00581941" w:rsidTr="005C3242">
        <w:tc>
          <w:tcPr>
            <w:tcW w:w="1884" w:type="pct"/>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HIV-1 RNA &lt; 50 </w:t>
            </w:r>
            <w:r w:rsidR="009F2B07" w:rsidRPr="00581941">
              <w:rPr>
                <w:rFonts w:ascii="Arial Narrow" w:eastAsiaTheme="majorEastAsia" w:hAnsi="Arial Narrow" w:cstheme="majorBidi"/>
                <w:bCs/>
                <w:sz w:val="20"/>
              </w:rPr>
              <w:t>c/mL (virologic success)</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344 (93.2)</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346 (93.0)</w:t>
            </w:r>
          </w:p>
        </w:tc>
      </w:tr>
      <w:tr w:rsidR="004E59EC" w:rsidRPr="00581941" w:rsidTr="009F2B07">
        <w:tc>
          <w:tcPr>
            <w:tcW w:w="1884" w:type="pct"/>
            <w:tcBorders>
              <w:bottom w:val="single" w:sz="4" w:space="0" w:color="auto"/>
            </w:tcBorders>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Unadjusted RD, % (95% CI)</w:t>
            </w:r>
          </w:p>
        </w:tc>
        <w:tc>
          <w:tcPr>
            <w:tcW w:w="3116" w:type="pct"/>
            <w:gridSpan w:val="2"/>
            <w:tcBorders>
              <w:bottom w:val="sing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0.2 (-3.4, 3.9)</w:t>
            </w:r>
          </w:p>
        </w:tc>
      </w:tr>
      <w:tr w:rsidR="004E59EC" w:rsidRPr="00581941" w:rsidTr="009F2B07">
        <w:tc>
          <w:tcPr>
            <w:tcW w:w="1884" w:type="pct"/>
            <w:tcBorders>
              <w:top w:val="single" w:sz="4" w:space="0" w:color="auto"/>
              <w:left w:val="single" w:sz="4" w:space="0" w:color="auto"/>
              <w:bottom w:val="double" w:sz="4" w:space="0" w:color="auto"/>
              <w:right w:val="nil"/>
            </w:tcBorders>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Adjusted RD, % (95% CI)</w:t>
            </w:r>
            <w:r w:rsidR="000D412A" w:rsidRPr="00581941">
              <w:rPr>
                <w:rFonts w:ascii="Arial Narrow" w:eastAsiaTheme="majorEastAsia" w:hAnsi="Arial Narrow" w:cstheme="majorBidi"/>
                <w:bCs/>
                <w:sz w:val="20"/>
              </w:rPr>
              <w:t xml:space="preserve"> </w:t>
            </w:r>
            <w:r w:rsidR="000D412A" w:rsidRPr="00581941">
              <w:rPr>
                <w:rFonts w:ascii="Arial Narrow" w:eastAsiaTheme="majorEastAsia" w:hAnsi="Arial Narrow" w:cstheme="majorBidi"/>
                <w:bCs/>
                <w:sz w:val="20"/>
                <w:vertAlign w:val="superscript"/>
              </w:rPr>
              <w:t>a</w:t>
            </w:r>
          </w:p>
        </w:tc>
        <w:tc>
          <w:tcPr>
            <w:tcW w:w="3116" w:type="pct"/>
            <w:gridSpan w:val="2"/>
            <w:tcBorders>
              <w:top w:val="single" w:sz="4" w:space="0" w:color="auto"/>
              <w:left w:val="nil"/>
              <w:bottom w:val="double" w:sz="4" w:space="0" w:color="auto"/>
              <w:right w:val="single" w:sz="4" w:space="0" w:color="auto"/>
            </w:tcBorders>
            <w:shd w:val="clear" w:color="auto" w:fill="auto"/>
            <w:vAlign w:val="center"/>
          </w:tcPr>
          <w:p w:rsidR="004E59EC" w:rsidRPr="00581941" w:rsidRDefault="00267740"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0.2 (-3.4, 3.9)</w:t>
            </w:r>
          </w:p>
        </w:tc>
      </w:tr>
      <w:tr w:rsidR="004E59EC" w:rsidRPr="00581941" w:rsidTr="00DC25BC">
        <w:tc>
          <w:tcPr>
            <w:tcW w:w="1884" w:type="pct"/>
            <w:tcBorders>
              <w:top w:val="double" w:sz="4" w:space="0" w:color="auto"/>
            </w:tcBorders>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HIV-1 RNA ≥ 50 </w:t>
            </w:r>
            <w:r w:rsidR="00C27914" w:rsidRPr="00581941">
              <w:rPr>
                <w:rFonts w:ascii="Arial Narrow" w:eastAsiaTheme="majorEastAsia" w:hAnsi="Arial Narrow" w:cstheme="majorBidi"/>
                <w:bCs/>
                <w:sz w:val="20"/>
              </w:rPr>
              <w:t>c/mL (virologic failure)</w:t>
            </w:r>
          </w:p>
        </w:tc>
        <w:tc>
          <w:tcPr>
            <w:tcW w:w="1558" w:type="pct"/>
            <w:tcBorders>
              <w:top w:val="doub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c>
          <w:tcPr>
            <w:tcW w:w="1558" w:type="pct"/>
            <w:tcBorders>
              <w:top w:val="doub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 (0.5)</w:t>
            </w:r>
          </w:p>
        </w:tc>
      </w:tr>
      <w:tr w:rsidR="004E59EC" w:rsidRPr="00581941" w:rsidTr="005C3242">
        <w:tc>
          <w:tcPr>
            <w:tcW w:w="1884" w:type="pct"/>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Data in window &amp; HIV-1 RNA ≥ 50 c/mL</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r>
      <w:tr w:rsidR="004E59EC" w:rsidRPr="00581941" w:rsidTr="005C3242">
        <w:tc>
          <w:tcPr>
            <w:tcW w:w="1884" w:type="pct"/>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Discontinued due to lack of efficacy</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 (0.5)</w:t>
            </w:r>
          </w:p>
        </w:tc>
      </w:tr>
      <w:tr w:rsidR="004E59EC" w:rsidRPr="00581941" w:rsidTr="009F2B07">
        <w:tc>
          <w:tcPr>
            <w:tcW w:w="1884" w:type="pct"/>
            <w:tcBorders>
              <w:bottom w:val="single" w:sz="4" w:space="0" w:color="auto"/>
            </w:tcBorders>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Discontinued for reason other than efficacy (HIV-1 RNA </w:t>
            </w:r>
            <w:r w:rsidR="00D275F4" w:rsidRPr="00581941">
              <w:rPr>
                <w:rFonts w:ascii="Arial Narrow" w:eastAsiaTheme="majorEastAsia" w:hAnsi="Arial Narrow" w:cstheme="majorBidi"/>
                <w:bCs/>
                <w:sz w:val="20"/>
              </w:rPr>
              <w:t>≥</w:t>
            </w:r>
            <w:r w:rsidRPr="00581941">
              <w:rPr>
                <w:rFonts w:ascii="Arial Narrow" w:eastAsiaTheme="majorEastAsia" w:hAnsi="Arial Narrow" w:cstheme="majorBidi"/>
                <w:bCs/>
                <w:sz w:val="20"/>
              </w:rPr>
              <w:t xml:space="preserve"> 50 c/mL)</w:t>
            </w:r>
          </w:p>
        </w:tc>
        <w:tc>
          <w:tcPr>
            <w:tcW w:w="1558" w:type="pct"/>
            <w:tcBorders>
              <w:bottom w:val="sing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c>
          <w:tcPr>
            <w:tcW w:w="1558" w:type="pct"/>
            <w:tcBorders>
              <w:bottom w:val="sing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r>
      <w:tr w:rsidR="004E59EC" w:rsidRPr="00581941" w:rsidTr="009F2B07">
        <w:tc>
          <w:tcPr>
            <w:tcW w:w="1884" w:type="pct"/>
            <w:tcBorders>
              <w:top w:val="single" w:sz="4" w:space="0" w:color="auto"/>
              <w:left w:val="single" w:sz="4" w:space="0" w:color="auto"/>
              <w:bottom w:val="double" w:sz="4" w:space="0" w:color="auto"/>
              <w:right w:val="single" w:sz="4" w:space="0" w:color="auto"/>
            </w:tcBorders>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Change in ART</w:t>
            </w:r>
          </w:p>
        </w:tc>
        <w:tc>
          <w:tcPr>
            <w:tcW w:w="1558" w:type="pct"/>
            <w:tcBorders>
              <w:top w:val="single" w:sz="4" w:space="0" w:color="auto"/>
              <w:left w:val="single" w:sz="4" w:space="0" w:color="auto"/>
              <w:bottom w:val="double" w:sz="4" w:space="0" w:color="auto"/>
              <w:right w:val="sing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1558" w:type="pct"/>
            <w:tcBorders>
              <w:top w:val="single" w:sz="4" w:space="0" w:color="auto"/>
              <w:left w:val="single" w:sz="4" w:space="0" w:color="auto"/>
              <w:bottom w:val="double" w:sz="4" w:space="0" w:color="auto"/>
              <w:right w:val="sing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r>
      <w:tr w:rsidR="004E59EC" w:rsidRPr="00581941" w:rsidTr="009F2B07">
        <w:tc>
          <w:tcPr>
            <w:tcW w:w="1884" w:type="pct"/>
            <w:tcBorders>
              <w:top w:val="double" w:sz="4" w:space="0" w:color="auto"/>
            </w:tcBorders>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No virological data</w:t>
            </w:r>
          </w:p>
        </w:tc>
        <w:tc>
          <w:tcPr>
            <w:tcW w:w="1558" w:type="pct"/>
            <w:tcBorders>
              <w:top w:val="doub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24 (6.5)</w:t>
            </w:r>
          </w:p>
        </w:tc>
        <w:tc>
          <w:tcPr>
            <w:tcW w:w="1558" w:type="pct"/>
            <w:tcBorders>
              <w:top w:val="double" w:sz="4" w:space="0" w:color="auto"/>
            </w:tcBorders>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24 (6.5)</w:t>
            </w:r>
          </w:p>
        </w:tc>
      </w:tr>
      <w:tr w:rsidR="004E59EC" w:rsidRPr="00581941" w:rsidTr="005C3242">
        <w:tc>
          <w:tcPr>
            <w:tcW w:w="1884" w:type="pct"/>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Discontinued trial due to AE/Death</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12 (3.3)</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r>
      <w:tr w:rsidR="004E59EC" w:rsidRPr="00581941" w:rsidTr="005C3242">
        <w:tc>
          <w:tcPr>
            <w:tcW w:w="1884" w:type="pct"/>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Discontinued trial for other reasons</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12 (3.3)</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22 (5.9)</w:t>
            </w:r>
          </w:p>
        </w:tc>
      </w:tr>
      <w:tr w:rsidR="004E59EC" w:rsidRPr="00581941" w:rsidTr="005C3242">
        <w:tc>
          <w:tcPr>
            <w:tcW w:w="1884" w:type="pct"/>
            <w:shd w:val="clear" w:color="auto" w:fill="auto"/>
            <w:vAlign w:val="center"/>
          </w:tcPr>
          <w:p w:rsidR="004E59EC" w:rsidRPr="00581941" w:rsidRDefault="004E59EC" w:rsidP="005C3242">
            <w:pPr>
              <w:keepNext/>
              <w:ind w:left="251"/>
              <w:jc w:val="left"/>
              <w:rPr>
                <w:rFonts w:ascii="Arial Narrow" w:eastAsiaTheme="majorEastAsia" w:hAnsi="Arial Narrow" w:cstheme="majorBidi"/>
                <w:bCs/>
                <w:sz w:val="20"/>
              </w:rPr>
            </w:pPr>
            <w:r w:rsidRPr="00581941">
              <w:rPr>
                <w:rFonts w:ascii="Arial Narrow" w:eastAsiaTheme="majorEastAsia" w:hAnsi="Arial Narrow" w:cstheme="majorBidi"/>
                <w:bCs/>
                <w:sz w:val="20"/>
              </w:rPr>
              <w:t>Discontinued trial but missing data in window</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155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r>
    </w:tbl>
    <w:p w:rsidR="004E59EC" w:rsidRPr="00581941" w:rsidRDefault="009D7EAE" w:rsidP="004E59EC">
      <w:pPr>
        <w:spacing w:after="120"/>
        <w:contextualSpacing/>
        <w:rPr>
          <w:rFonts w:ascii="Arial Narrow" w:hAnsi="Arial Narrow"/>
          <w:snapToGrid w:val="0"/>
          <w:sz w:val="20"/>
          <w:szCs w:val="22"/>
        </w:rPr>
      </w:pPr>
      <w:r w:rsidRPr="00581941">
        <w:rPr>
          <w:rFonts w:ascii="Arial Narrow" w:hAnsi="Arial Narrow"/>
          <w:snapToGrid w:val="0"/>
          <w:sz w:val="18"/>
          <w:szCs w:val="22"/>
        </w:rPr>
        <w:t>Source: Table 31, p48</w:t>
      </w:r>
      <w:r w:rsidR="004E59EC" w:rsidRPr="00581941">
        <w:rPr>
          <w:rFonts w:ascii="Arial Narrow" w:hAnsi="Arial Narrow"/>
          <w:snapToGrid w:val="0"/>
          <w:sz w:val="18"/>
          <w:szCs w:val="22"/>
        </w:rPr>
        <w:t xml:space="preserve"> of the submission</w:t>
      </w:r>
    </w:p>
    <w:p w:rsidR="004E59EC" w:rsidRPr="00581941" w:rsidRDefault="004E59EC" w:rsidP="004E59EC">
      <w:pPr>
        <w:spacing w:after="120"/>
        <w:contextualSpacing/>
        <w:rPr>
          <w:rFonts w:ascii="Arial Narrow" w:hAnsi="Arial Narrow"/>
          <w:snapToGrid w:val="0"/>
          <w:sz w:val="18"/>
          <w:szCs w:val="22"/>
        </w:rPr>
      </w:pPr>
      <w:r w:rsidRPr="00581941">
        <w:rPr>
          <w:rFonts w:ascii="Arial Narrow" w:hAnsi="Arial Narrow"/>
          <w:snapToGrid w:val="0"/>
          <w:sz w:val="18"/>
          <w:szCs w:val="22"/>
        </w:rPr>
        <w:t xml:space="preserve">3TC = lamivudine; AE = adverse event; ART = antiretroviral therapy; </w:t>
      </w:r>
      <w:r w:rsidR="00C7282A" w:rsidRPr="00581941">
        <w:rPr>
          <w:rFonts w:ascii="Arial Narrow" w:hAnsi="Arial Narrow"/>
          <w:snapToGrid w:val="0"/>
          <w:sz w:val="18"/>
          <w:szCs w:val="22"/>
        </w:rPr>
        <w:t xml:space="preserve">c = copies; </w:t>
      </w:r>
      <w:r w:rsidRPr="00581941">
        <w:rPr>
          <w:rFonts w:ascii="Arial Narrow" w:hAnsi="Arial Narrow"/>
          <w:snapToGrid w:val="0"/>
          <w:sz w:val="18"/>
          <w:szCs w:val="22"/>
        </w:rPr>
        <w:t xml:space="preserve">CI = confidence interval; DTG = dolutegravir; HIV = human immunodeficiency virus; ITT-E = intent to treat-exposed; RD = risk difference; RNA = ribonucleic acid; TBR = tenofovir </w:t>
      </w:r>
      <w:r w:rsidR="00AA4616" w:rsidRPr="00581941">
        <w:rPr>
          <w:rFonts w:ascii="Arial Narrow" w:hAnsi="Arial Narrow"/>
          <w:snapToGrid w:val="0"/>
          <w:sz w:val="18"/>
          <w:szCs w:val="22"/>
        </w:rPr>
        <w:t>alafenamide-</w:t>
      </w:r>
      <w:r w:rsidRPr="00581941">
        <w:rPr>
          <w:rFonts w:ascii="Arial Narrow" w:hAnsi="Arial Narrow"/>
          <w:snapToGrid w:val="0"/>
          <w:sz w:val="18"/>
          <w:szCs w:val="22"/>
        </w:rPr>
        <w:t>based regimen</w:t>
      </w:r>
    </w:p>
    <w:p w:rsidR="000D412A" w:rsidRPr="00581941" w:rsidRDefault="000D412A" w:rsidP="004E59EC">
      <w:pPr>
        <w:spacing w:after="120"/>
        <w:contextualSpacing/>
        <w:rPr>
          <w:rFonts w:ascii="Arial Narrow" w:hAnsi="Arial Narrow"/>
          <w:snapToGrid w:val="0"/>
          <w:sz w:val="18"/>
          <w:szCs w:val="22"/>
        </w:rPr>
      </w:pPr>
      <w:r w:rsidRPr="00581941">
        <w:rPr>
          <w:rFonts w:ascii="Arial Narrow" w:hAnsi="Arial Narrow"/>
          <w:snapToGrid w:val="0"/>
          <w:sz w:val="18"/>
          <w:szCs w:val="22"/>
          <w:vertAlign w:val="superscript"/>
        </w:rPr>
        <w:t>a</w:t>
      </w:r>
      <w:r w:rsidRPr="00581941">
        <w:rPr>
          <w:rFonts w:ascii="Arial Narrow" w:hAnsi="Arial Narrow"/>
          <w:snapToGrid w:val="0"/>
          <w:sz w:val="18"/>
          <w:szCs w:val="22"/>
        </w:rPr>
        <w:t xml:space="preserve"> Adjusted using the Cochran-Mantel Haenszel test, stratified by baseline third agent class (P</w:t>
      </w:r>
      <w:r w:rsidR="00B84881" w:rsidRPr="00581941">
        <w:rPr>
          <w:rFonts w:ascii="Arial Narrow" w:hAnsi="Arial Narrow"/>
          <w:snapToGrid w:val="0"/>
          <w:sz w:val="18"/>
          <w:szCs w:val="22"/>
        </w:rPr>
        <w:t xml:space="preserve">rotease </w:t>
      </w:r>
      <w:r w:rsidRPr="00581941">
        <w:rPr>
          <w:rFonts w:ascii="Arial Narrow" w:hAnsi="Arial Narrow"/>
          <w:snapToGrid w:val="0"/>
          <w:sz w:val="18"/>
          <w:szCs w:val="22"/>
        </w:rPr>
        <w:t>I</w:t>
      </w:r>
      <w:r w:rsidR="00B84881" w:rsidRPr="00581941">
        <w:rPr>
          <w:rFonts w:ascii="Arial Narrow" w:hAnsi="Arial Narrow"/>
          <w:snapToGrid w:val="0"/>
          <w:sz w:val="18"/>
          <w:szCs w:val="22"/>
        </w:rPr>
        <w:t>nhibitor</w:t>
      </w:r>
      <w:r w:rsidRPr="00581941">
        <w:rPr>
          <w:rFonts w:ascii="Arial Narrow" w:hAnsi="Arial Narrow"/>
          <w:snapToGrid w:val="0"/>
          <w:sz w:val="18"/>
          <w:szCs w:val="22"/>
        </w:rPr>
        <w:t xml:space="preserve">, </w:t>
      </w:r>
      <w:r w:rsidR="00B84881" w:rsidRPr="00581941">
        <w:rPr>
          <w:rFonts w:ascii="Arial Narrow" w:hAnsi="Arial Narrow"/>
          <w:snapToGrid w:val="0"/>
          <w:sz w:val="18"/>
          <w:szCs w:val="22"/>
        </w:rPr>
        <w:t xml:space="preserve">Integrase strand transfer inhibitor, </w:t>
      </w:r>
      <w:r w:rsidRPr="00581941">
        <w:rPr>
          <w:rFonts w:ascii="Arial Narrow" w:hAnsi="Arial Narrow"/>
          <w:snapToGrid w:val="0"/>
          <w:sz w:val="18"/>
          <w:szCs w:val="22"/>
        </w:rPr>
        <w:t xml:space="preserve">or </w:t>
      </w:r>
      <w:r w:rsidR="00B84881" w:rsidRPr="00581941">
        <w:rPr>
          <w:rFonts w:ascii="Arial Narrow" w:hAnsi="Arial Narrow"/>
          <w:snapToGrid w:val="0"/>
          <w:sz w:val="18"/>
          <w:szCs w:val="22"/>
        </w:rPr>
        <w:t>Non-nucleoside reverse transcriptase inhibitor</w:t>
      </w:r>
      <w:r w:rsidRPr="00581941">
        <w:rPr>
          <w:rFonts w:ascii="Arial Narrow" w:hAnsi="Arial Narrow"/>
          <w:snapToGrid w:val="0"/>
          <w:sz w:val="18"/>
          <w:szCs w:val="22"/>
        </w:rPr>
        <w:t>).</w:t>
      </w:r>
    </w:p>
    <w:p w:rsidR="004E59EC" w:rsidRPr="00581941" w:rsidRDefault="004E59EC" w:rsidP="004E59EC">
      <w:pPr>
        <w:pStyle w:val="3-BodyText"/>
      </w:pPr>
      <w:r w:rsidRPr="00581941">
        <w:t xml:space="preserve">The lower confidence bound for the risk difference for proportion of participants with plasma HIV-1 RNA ≥ 50 </w:t>
      </w:r>
      <w:r w:rsidR="0061619F" w:rsidRPr="00581941">
        <w:t>c</w:t>
      </w:r>
      <w:r w:rsidRPr="00581941">
        <w:t xml:space="preserve">/mL </w:t>
      </w:r>
      <w:r w:rsidR="00D275F4" w:rsidRPr="00581941">
        <w:t>met</w:t>
      </w:r>
      <w:r w:rsidRPr="00581941">
        <w:t xml:space="preserve"> the nominated non-inferiority margin of -8%.</w:t>
      </w:r>
    </w:p>
    <w:p w:rsidR="004E59EC" w:rsidRPr="00581941" w:rsidRDefault="004E59EC" w:rsidP="004E59EC">
      <w:pPr>
        <w:pStyle w:val="3-BodyText"/>
      </w:pPr>
      <w:r w:rsidRPr="00581941">
        <w:t xml:space="preserve">Resistance testing was conducted on one participant (from the TBR treatment arm) who met confirmed virological withdrawal (CVW) criteria - two consecutive on-treatment viral load measurements ≥ 50 c/mL, with the second measurement being ≥ 200 c/mL (the second being the confirmatory virology sample). No </w:t>
      </w:r>
      <w:r w:rsidR="00967BB5" w:rsidRPr="00581941">
        <w:t>integrase strand transfer inhibitor (</w:t>
      </w:r>
      <w:r w:rsidRPr="00581941">
        <w:t>INSTI</w:t>
      </w:r>
      <w:r w:rsidR="00967BB5" w:rsidRPr="00581941">
        <w:t>)</w:t>
      </w:r>
      <w:r w:rsidRPr="00581941">
        <w:t>, reverse transcriptase</w:t>
      </w:r>
      <w:r w:rsidR="00AA4616" w:rsidRPr="00581941">
        <w:t>-</w:t>
      </w:r>
      <w:r w:rsidRPr="00581941">
        <w:t xml:space="preserve"> or protease </w:t>
      </w:r>
      <w:r w:rsidR="00AA4616" w:rsidRPr="00581941">
        <w:t>inhibitor-</w:t>
      </w:r>
      <w:r w:rsidRPr="00581941">
        <w:t>associated resistance mutations were detected. No participants in the DTG/3TC treatment arm met the criteria for CVW. T</w:t>
      </w:r>
      <w:r w:rsidRPr="00581941">
        <w:rPr>
          <w:lang w:eastAsia="en-GB"/>
        </w:rPr>
        <w:t>he</w:t>
      </w:r>
      <w:r w:rsidR="00B87A2D" w:rsidRPr="00581941">
        <w:rPr>
          <w:lang w:eastAsia="en-GB"/>
        </w:rPr>
        <w:t xml:space="preserve"> PBAC has previously considered the</w:t>
      </w:r>
      <w:r w:rsidR="00C1362B" w:rsidRPr="00581941">
        <w:rPr>
          <w:lang w:eastAsia="en-GB"/>
        </w:rPr>
        <w:t xml:space="preserve"> introduction of two</w:t>
      </w:r>
      <w:r w:rsidRPr="00581941">
        <w:rPr>
          <w:lang w:eastAsia="en-GB"/>
        </w:rPr>
        <w:t>-drug regimens represented a potential change from longstanding treatment practice (paragraph 6.15, DTG/3TC PSD, July 2019 PBAC meeting);</w:t>
      </w:r>
      <w:r w:rsidR="00B87A2D" w:rsidRPr="00581941">
        <w:rPr>
          <w:lang w:eastAsia="en-GB"/>
        </w:rPr>
        <w:t xml:space="preserve"> as such,</w:t>
      </w:r>
      <w:r w:rsidRPr="00581941">
        <w:rPr>
          <w:lang w:eastAsia="en-GB"/>
        </w:rPr>
        <w:t xml:space="preserve"> longer-term data on effectiveness, safety, and resistance</w:t>
      </w:r>
      <w:r w:rsidR="00B87A2D" w:rsidRPr="00581941">
        <w:rPr>
          <w:lang w:eastAsia="en-GB"/>
        </w:rPr>
        <w:t xml:space="preserve"> (particularly as no resistance information in the DTG/3TC population was available</w:t>
      </w:r>
      <w:r w:rsidR="00251353" w:rsidRPr="00581941">
        <w:rPr>
          <w:lang w:eastAsia="en-GB"/>
        </w:rPr>
        <w:t xml:space="preserve"> at the time</w:t>
      </w:r>
      <w:r w:rsidR="00B87A2D" w:rsidRPr="00581941">
        <w:rPr>
          <w:lang w:eastAsia="en-GB"/>
        </w:rPr>
        <w:t>)</w:t>
      </w:r>
      <w:r w:rsidRPr="00581941">
        <w:rPr>
          <w:lang w:eastAsia="en-GB"/>
        </w:rPr>
        <w:t xml:space="preserve"> would be informative. </w:t>
      </w:r>
    </w:p>
    <w:p w:rsidR="004E59EC" w:rsidRPr="00581941" w:rsidRDefault="004E59EC" w:rsidP="004E59EC">
      <w:pPr>
        <w:pStyle w:val="3-BodyText"/>
      </w:pPr>
      <w:r w:rsidRPr="00581941">
        <w:t>Table 7 presents EQ-5D results from the 48-week snapshot analysis.</w:t>
      </w:r>
    </w:p>
    <w:p w:rsidR="004E59EC" w:rsidRPr="00581941" w:rsidRDefault="004E59EC" w:rsidP="004E59EC">
      <w:pPr>
        <w:keepNext/>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Table 7: Change from baseline in EQ-5D at Week 48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2274"/>
        <w:gridCol w:w="1475"/>
        <w:gridCol w:w="1475"/>
        <w:gridCol w:w="1475"/>
        <w:gridCol w:w="1472"/>
      </w:tblGrid>
      <w:tr w:rsidR="004E59EC" w:rsidRPr="00581941" w:rsidTr="005C3242">
        <w:trPr>
          <w:trHeight w:val="42"/>
          <w:tblHeader/>
        </w:trPr>
        <w:tc>
          <w:tcPr>
            <w:tcW w:w="1730" w:type="pct"/>
            <w:gridSpan w:val="2"/>
            <w:vMerge w:val="restart"/>
          </w:tcPr>
          <w:p w:rsidR="004E59EC" w:rsidRPr="00581941" w:rsidRDefault="004E59EC" w:rsidP="005C3242">
            <w:pPr>
              <w:keepNext/>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EQ-5D-5L</w:t>
            </w:r>
          </w:p>
        </w:tc>
        <w:tc>
          <w:tcPr>
            <w:tcW w:w="1636" w:type="pct"/>
            <w:gridSpan w:val="2"/>
            <w:shd w:val="clear" w:color="auto" w:fill="auto"/>
          </w:tcPr>
          <w:p w:rsidR="004E59EC" w:rsidRPr="00581941" w:rsidRDefault="004E59EC" w:rsidP="005C3242">
            <w:pPr>
              <w:keepNext/>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Utility Score</w:t>
            </w:r>
          </w:p>
        </w:tc>
        <w:tc>
          <w:tcPr>
            <w:tcW w:w="1634" w:type="pct"/>
            <w:gridSpan w:val="2"/>
          </w:tcPr>
          <w:p w:rsidR="004E59EC" w:rsidRPr="00581941" w:rsidRDefault="004E59EC" w:rsidP="005C3242">
            <w:pPr>
              <w:keepNext/>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Thermometer Score</w:t>
            </w:r>
          </w:p>
        </w:tc>
      </w:tr>
      <w:tr w:rsidR="004E59EC" w:rsidRPr="00581941" w:rsidTr="005C3242">
        <w:tc>
          <w:tcPr>
            <w:tcW w:w="1730" w:type="pct"/>
            <w:gridSpan w:val="2"/>
            <w:vMerge/>
          </w:tcPr>
          <w:p w:rsidR="004E59EC" w:rsidRPr="00581941" w:rsidRDefault="004E59EC" w:rsidP="005C3242">
            <w:pPr>
              <w:keepNext/>
              <w:jc w:val="left"/>
              <w:rPr>
                <w:rFonts w:ascii="Arial Narrow" w:eastAsiaTheme="majorEastAsia" w:hAnsi="Arial Narrow" w:cstheme="majorBidi"/>
                <w:bCs/>
                <w:sz w:val="20"/>
              </w:rPr>
            </w:pPr>
          </w:p>
        </w:tc>
        <w:tc>
          <w:tcPr>
            <w:tcW w:w="818" w:type="pct"/>
            <w:shd w:val="clear" w:color="auto" w:fill="auto"/>
          </w:tcPr>
          <w:p w:rsidR="004E59EC" w:rsidRPr="00581941" w:rsidRDefault="004E59EC" w:rsidP="000A3CCD">
            <w:pPr>
              <w:keepNext/>
              <w:jc w:val="center"/>
              <w:rPr>
                <w:rFonts w:ascii="Arial Narrow" w:eastAsiaTheme="majorEastAsia" w:hAnsi="Arial Narrow" w:cstheme="majorBidi"/>
                <w:bCs/>
                <w:sz w:val="20"/>
              </w:rPr>
            </w:pPr>
            <w:r w:rsidRPr="00581941">
              <w:rPr>
                <w:rFonts w:ascii="Arial Narrow" w:eastAsiaTheme="majorEastAsia" w:hAnsi="Arial Narrow" w:cstheme="majorBidi"/>
                <w:b/>
                <w:bCs/>
                <w:sz w:val="20"/>
              </w:rPr>
              <w:t>DTG/3TC</w:t>
            </w:r>
          </w:p>
        </w:tc>
        <w:tc>
          <w:tcPr>
            <w:tcW w:w="818" w:type="pct"/>
            <w:shd w:val="clear" w:color="auto" w:fill="auto"/>
          </w:tcPr>
          <w:p w:rsidR="004E59EC" w:rsidRPr="00581941" w:rsidRDefault="004E59EC" w:rsidP="000A3CCD">
            <w:pPr>
              <w:keepNext/>
              <w:jc w:val="center"/>
              <w:rPr>
                <w:rFonts w:ascii="Arial Narrow" w:eastAsiaTheme="majorEastAsia" w:hAnsi="Arial Narrow" w:cstheme="majorBidi"/>
                <w:bCs/>
                <w:sz w:val="20"/>
              </w:rPr>
            </w:pPr>
            <w:r w:rsidRPr="00581941">
              <w:rPr>
                <w:rFonts w:ascii="Arial Narrow" w:eastAsiaTheme="majorEastAsia" w:hAnsi="Arial Narrow" w:cstheme="majorBidi"/>
                <w:b/>
                <w:bCs/>
                <w:sz w:val="20"/>
              </w:rPr>
              <w:t>TBR</w:t>
            </w:r>
          </w:p>
        </w:tc>
        <w:tc>
          <w:tcPr>
            <w:tcW w:w="818" w:type="pct"/>
          </w:tcPr>
          <w:p w:rsidR="004E59EC" w:rsidRPr="00581941" w:rsidRDefault="004E59EC" w:rsidP="000A3CCD">
            <w:pPr>
              <w:keepNext/>
              <w:jc w:val="center"/>
              <w:rPr>
                <w:rFonts w:ascii="Arial Narrow" w:eastAsiaTheme="majorEastAsia" w:hAnsi="Arial Narrow" w:cstheme="majorBidi"/>
                <w:bCs/>
                <w:sz w:val="20"/>
              </w:rPr>
            </w:pPr>
            <w:r w:rsidRPr="00581941">
              <w:rPr>
                <w:rFonts w:ascii="Arial Narrow" w:eastAsiaTheme="majorEastAsia" w:hAnsi="Arial Narrow" w:cstheme="majorBidi"/>
                <w:b/>
                <w:bCs/>
                <w:sz w:val="20"/>
              </w:rPr>
              <w:t>DTG/3TC</w:t>
            </w:r>
          </w:p>
        </w:tc>
        <w:tc>
          <w:tcPr>
            <w:tcW w:w="816" w:type="pct"/>
          </w:tcPr>
          <w:p w:rsidR="004E59EC" w:rsidRPr="00581941" w:rsidRDefault="004E59EC" w:rsidP="000A3CCD">
            <w:pPr>
              <w:keepNext/>
              <w:jc w:val="center"/>
              <w:rPr>
                <w:rFonts w:ascii="Arial Narrow" w:eastAsiaTheme="majorEastAsia" w:hAnsi="Arial Narrow" w:cstheme="majorBidi"/>
                <w:bCs/>
                <w:sz w:val="20"/>
              </w:rPr>
            </w:pPr>
            <w:r w:rsidRPr="00581941">
              <w:rPr>
                <w:rFonts w:ascii="Arial Narrow" w:eastAsiaTheme="majorEastAsia" w:hAnsi="Arial Narrow" w:cstheme="majorBidi"/>
                <w:b/>
                <w:bCs/>
                <w:sz w:val="20"/>
              </w:rPr>
              <w:t>TBR</w:t>
            </w:r>
          </w:p>
        </w:tc>
      </w:tr>
      <w:tr w:rsidR="004E59EC" w:rsidRPr="00581941" w:rsidTr="005C3242">
        <w:tc>
          <w:tcPr>
            <w:tcW w:w="1730" w:type="pct"/>
            <w:gridSpan w:val="2"/>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n: baseline; week 48</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369; 364</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372; 370</w:t>
            </w:r>
          </w:p>
        </w:tc>
        <w:tc>
          <w:tcPr>
            <w:tcW w:w="818" w:type="pct"/>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369; 364</w:t>
            </w:r>
          </w:p>
        </w:tc>
        <w:tc>
          <w:tcPr>
            <w:tcW w:w="816" w:type="pct"/>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372; 370</w:t>
            </w:r>
          </w:p>
        </w:tc>
      </w:tr>
      <w:tr w:rsidR="004E59EC" w:rsidRPr="00581941" w:rsidTr="005C3242">
        <w:tc>
          <w:tcPr>
            <w:tcW w:w="469" w:type="pct"/>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Baseline</w:t>
            </w:r>
          </w:p>
        </w:tc>
        <w:tc>
          <w:tcPr>
            <w:tcW w:w="1261" w:type="pct"/>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Mean score (SD)</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0.9497 (0.0950)</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0.9483 (0.0876)</w:t>
            </w:r>
          </w:p>
        </w:tc>
        <w:tc>
          <w:tcPr>
            <w:tcW w:w="818"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87.5 (11.32)</w:t>
            </w:r>
          </w:p>
        </w:tc>
        <w:tc>
          <w:tcPr>
            <w:tcW w:w="816"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87.5 (12.21)</w:t>
            </w:r>
          </w:p>
        </w:tc>
      </w:tr>
      <w:tr w:rsidR="004E59EC" w:rsidRPr="00581941" w:rsidTr="005C3242">
        <w:tc>
          <w:tcPr>
            <w:tcW w:w="469" w:type="pct"/>
            <w:vMerge w:val="restart"/>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Week 48</w:t>
            </w:r>
          </w:p>
        </w:tc>
        <w:tc>
          <w:tcPr>
            <w:tcW w:w="1261" w:type="pct"/>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Mean score (SD)</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0.9533 (0.0917)</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0.9519 (0.0886)</w:t>
            </w:r>
          </w:p>
        </w:tc>
        <w:tc>
          <w:tcPr>
            <w:tcW w:w="818"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88.7 (11.39)</w:t>
            </w:r>
          </w:p>
        </w:tc>
        <w:tc>
          <w:tcPr>
            <w:tcW w:w="816"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89.2 (10.72)</w:t>
            </w:r>
          </w:p>
        </w:tc>
      </w:tr>
      <w:tr w:rsidR="004E59EC" w:rsidRPr="00581941" w:rsidTr="005C3242">
        <w:tc>
          <w:tcPr>
            <w:tcW w:w="469" w:type="pct"/>
            <w:vMerge/>
          </w:tcPr>
          <w:p w:rsidR="004E59EC" w:rsidRPr="00581941" w:rsidRDefault="004E59EC" w:rsidP="005C3242">
            <w:pPr>
              <w:keepNext/>
              <w:jc w:val="left"/>
              <w:rPr>
                <w:rFonts w:ascii="Arial Narrow" w:eastAsiaTheme="majorEastAsia" w:hAnsi="Arial Narrow" w:cstheme="majorBidi"/>
                <w:bCs/>
                <w:sz w:val="20"/>
              </w:rPr>
            </w:pPr>
          </w:p>
        </w:tc>
        <w:tc>
          <w:tcPr>
            <w:tcW w:w="1261" w:type="pct"/>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Adjusted mean change (SE)</w:t>
            </w:r>
            <w:r w:rsidRPr="00581941">
              <w:rPr>
                <w:rFonts w:ascii="Arial Narrow" w:eastAsiaTheme="majorEastAsia" w:hAnsi="Arial Narrow" w:cstheme="majorBidi"/>
                <w:bCs/>
                <w:sz w:val="20"/>
                <w:vertAlign w:val="superscript"/>
              </w:rPr>
              <w:t>a</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0.0037 (0.0041)</w:t>
            </w:r>
          </w:p>
        </w:tc>
        <w:tc>
          <w:tcPr>
            <w:tcW w:w="818" w:type="pct"/>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0.0023 (0.0037)</w:t>
            </w:r>
          </w:p>
        </w:tc>
        <w:tc>
          <w:tcPr>
            <w:tcW w:w="818"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1.1 (0.52)</w:t>
            </w:r>
          </w:p>
        </w:tc>
        <w:tc>
          <w:tcPr>
            <w:tcW w:w="816" w:type="pct"/>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1.7 (0.43)</w:t>
            </w:r>
          </w:p>
        </w:tc>
      </w:tr>
      <w:tr w:rsidR="004E59EC" w:rsidRPr="00581941" w:rsidTr="005C3242">
        <w:tc>
          <w:tcPr>
            <w:tcW w:w="469" w:type="pct"/>
            <w:vMerge/>
          </w:tcPr>
          <w:p w:rsidR="004E59EC" w:rsidRPr="00581941" w:rsidRDefault="004E59EC" w:rsidP="005C3242">
            <w:pPr>
              <w:keepNext/>
              <w:jc w:val="left"/>
              <w:rPr>
                <w:rFonts w:ascii="Arial Narrow" w:eastAsiaTheme="majorEastAsia" w:hAnsi="Arial Narrow" w:cstheme="majorBidi"/>
                <w:bCs/>
                <w:sz w:val="20"/>
              </w:rPr>
            </w:pPr>
          </w:p>
        </w:tc>
        <w:tc>
          <w:tcPr>
            <w:tcW w:w="1261" w:type="pct"/>
            <w:shd w:val="clear" w:color="auto" w:fill="auto"/>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Difference (95% CI); p value</w:t>
            </w:r>
          </w:p>
        </w:tc>
        <w:tc>
          <w:tcPr>
            <w:tcW w:w="1636" w:type="pct"/>
            <w:gridSpan w:val="2"/>
            <w:shd w:val="clear" w:color="auto" w:fill="auto"/>
            <w:vAlign w:val="center"/>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0.0015 (-0.0094, 0.00123); p=0.792</w:t>
            </w:r>
          </w:p>
        </w:tc>
        <w:tc>
          <w:tcPr>
            <w:tcW w:w="1634" w:type="pct"/>
            <w:gridSpan w:val="2"/>
          </w:tcPr>
          <w:p w:rsidR="004E59EC" w:rsidRPr="00581941" w:rsidRDefault="004E59EC" w:rsidP="005C3242">
            <w:pPr>
              <w:keepNext/>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-0.5 (-1.9, 0.8), p=0.414</w:t>
            </w:r>
          </w:p>
        </w:tc>
      </w:tr>
    </w:tbl>
    <w:p w:rsidR="004E59EC" w:rsidRPr="00581941" w:rsidRDefault="004E59EC" w:rsidP="004E59EC">
      <w:pPr>
        <w:spacing w:after="120"/>
        <w:contextualSpacing/>
        <w:jc w:val="left"/>
        <w:rPr>
          <w:rFonts w:ascii="Arial Narrow" w:hAnsi="Arial Narrow"/>
          <w:snapToGrid w:val="0"/>
          <w:sz w:val="20"/>
          <w:szCs w:val="22"/>
        </w:rPr>
      </w:pPr>
      <w:r w:rsidRPr="00581941">
        <w:rPr>
          <w:rFonts w:ascii="Arial Narrow" w:hAnsi="Arial Narrow"/>
          <w:snapToGrid w:val="0"/>
          <w:sz w:val="18"/>
          <w:szCs w:val="22"/>
        </w:rPr>
        <w:t>Source: Table 36, p52 of the submission</w:t>
      </w:r>
    </w:p>
    <w:p w:rsidR="004E59EC" w:rsidRPr="00581941" w:rsidRDefault="004E59EC" w:rsidP="004E59EC">
      <w:pPr>
        <w:spacing w:after="120"/>
        <w:contextualSpacing/>
        <w:jc w:val="left"/>
        <w:rPr>
          <w:rFonts w:ascii="Arial Narrow" w:hAnsi="Arial Narrow"/>
          <w:snapToGrid w:val="0"/>
          <w:sz w:val="18"/>
          <w:szCs w:val="22"/>
        </w:rPr>
      </w:pPr>
      <w:r w:rsidRPr="00581941">
        <w:rPr>
          <w:rFonts w:ascii="Arial Narrow" w:hAnsi="Arial Narrow"/>
          <w:snapToGrid w:val="0"/>
          <w:sz w:val="18"/>
          <w:szCs w:val="22"/>
        </w:rPr>
        <w:t xml:space="preserve">3TC = lamivudine; AE = adverse event; ART = antiretroviral therapy; CI = confidence interval; </w:t>
      </w:r>
      <w:r w:rsidR="008A1F45" w:rsidRPr="00581941">
        <w:rPr>
          <w:rFonts w:ascii="Arial Narrow" w:hAnsi="Arial Narrow"/>
          <w:snapToGrid w:val="0"/>
          <w:sz w:val="18"/>
          <w:szCs w:val="22"/>
        </w:rPr>
        <w:t xml:space="preserve">CSR = clinical study report; </w:t>
      </w:r>
      <w:r w:rsidRPr="00581941">
        <w:rPr>
          <w:rFonts w:ascii="Arial Narrow" w:hAnsi="Arial Narrow"/>
          <w:snapToGrid w:val="0"/>
          <w:sz w:val="18"/>
          <w:szCs w:val="22"/>
        </w:rPr>
        <w:t xml:space="preserve">DTG = dolutegravir; EQ-5D-5L = EuroQol-five dimension-five level; HIV = human immunodeficiency virus; ITT-E = intent to treat-exposed; LOCF = last observation carried forward; RD = risk difference; RNA = ribonucleic acid; SD = standard deviation; SE = standard error; TBR = tenofovir </w:t>
      </w:r>
      <w:r w:rsidR="00AA4616" w:rsidRPr="00581941">
        <w:rPr>
          <w:rFonts w:ascii="Arial Narrow" w:hAnsi="Arial Narrow"/>
          <w:snapToGrid w:val="0"/>
          <w:sz w:val="18"/>
          <w:szCs w:val="22"/>
        </w:rPr>
        <w:t>alafenamide-</w:t>
      </w:r>
      <w:r w:rsidRPr="00581941">
        <w:rPr>
          <w:rFonts w:ascii="Arial Narrow" w:hAnsi="Arial Narrow"/>
          <w:snapToGrid w:val="0"/>
          <w:sz w:val="18"/>
          <w:szCs w:val="22"/>
        </w:rPr>
        <w:t>based regimen</w:t>
      </w:r>
    </w:p>
    <w:p w:rsidR="004E59EC" w:rsidRPr="00581941" w:rsidRDefault="004E59EC" w:rsidP="004E59EC">
      <w:pPr>
        <w:spacing w:after="120"/>
        <w:contextualSpacing/>
        <w:jc w:val="left"/>
        <w:rPr>
          <w:rFonts w:ascii="Arial Narrow" w:hAnsi="Arial Narrow"/>
          <w:snapToGrid w:val="0"/>
          <w:sz w:val="18"/>
          <w:szCs w:val="22"/>
        </w:rPr>
      </w:pPr>
      <w:r w:rsidRPr="00581941">
        <w:rPr>
          <w:rFonts w:ascii="Arial Narrow" w:hAnsi="Arial Narrow"/>
          <w:snapToGrid w:val="0"/>
          <w:sz w:val="18"/>
          <w:szCs w:val="22"/>
          <w:vertAlign w:val="superscript"/>
        </w:rPr>
        <w:t>a</w:t>
      </w:r>
      <w:r w:rsidRPr="00581941">
        <w:rPr>
          <w:rFonts w:ascii="Arial Narrow" w:hAnsi="Arial Narrow"/>
          <w:snapToGrid w:val="0"/>
          <w:sz w:val="18"/>
          <w:szCs w:val="22"/>
        </w:rPr>
        <w:t xml:space="preserve"> Adjusted mean calculated using the LOCF dataset as the estimated mean change from baseline at each visit in each arm from a repeated measures model, with Visit as the repeated factor, adjusting for: Treatment, Visit, Baseline Third Agent Class, Baseline EQ-5D Utility or Thermometer (continuous), Treatment by Visit interaction, and Baseline EQ-5D Utility or Thermometer by Visit interaction.</w:t>
      </w:r>
    </w:p>
    <w:p w:rsidR="004E59EC" w:rsidRPr="00581941" w:rsidRDefault="004E59EC" w:rsidP="004E59EC">
      <w:pPr>
        <w:spacing w:after="120"/>
        <w:contextualSpacing/>
        <w:jc w:val="left"/>
        <w:rPr>
          <w:rFonts w:ascii="Arial Narrow" w:hAnsi="Arial Narrow"/>
          <w:snapToGrid w:val="0"/>
          <w:sz w:val="18"/>
          <w:szCs w:val="22"/>
        </w:rPr>
      </w:pPr>
      <w:r w:rsidRPr="00581941">
        <w:rPr>
          <w:rFonts w:ascii="Arial Narrow" w:hAnsi="Arial Narrow"/>
          <w:snapToGrid w:val="0"/>
          <w:sz w:val="18"/>
          <w:szCs w:val="22"/>
        </w:rPr>
        <w:t xml:space="preserve">Note: The tariffs used to calculate EQ-5D-5L scores were not described in the submission or attached CSR. </w:t>
      </w:r>
    </w:p>
    <w:p w:rsidR="004E59EC" w:rsidRPr="00581941" w:rsidRDefault="004E59EC" w:rsidP="004E59EC">
      <w:pPr>
        <w:rPr>
          <w:snapToGrid w:val="0"/>
        </w:rPr>
      </w:pPr>
    </w:p>
    <w:p w:rsidR="004E59EC" w:rsidRPr="00581941" w:rsidRDefault="004E59EC" w:rsidP="004E59EC">
      <w:pPr>
        <w:pStyle w:val="3-BodyText"/>
        <w:rPr>
          <w:rStyle w:val="CommentReference"/>
          <w:rFonts w:asciiTheme="minorHAnsi" w:hAnsiTheme="minorHAnsi"/>
          <w:b w:val="0"/>
          <w:sz w:val="24"/>
          <w:szCs w:val="24"/>
        </w:rPr>
      </w:pPr>
      <w:r w:rsidRPr="00581941">
        <w:rPr>
          <w:rStyle w:val="CommentReference"/>
          <w:rFonts w:asciiTheme="minorHAnsi" w:hAnsiTheme="minorHAnsi"/>
          <w:b w:val="0"/>
          <w:sz w:val="24"/>
          <w:szCs w:val="24"/>
        </w:rPr>
        <w:t>Overall, no meaningful differences in change in EQ-5D could be observed between the two treatment groups.</w:t>
      </w:r>
    </w:p>
    <w:p w:rsidR="004E59EC" w:rsidRPr="00581941" w:rsidRDefault="004E59EC" w:rsidP="004E59EC">
      <w:pPr>
        <w:pStyle w:val="4-SubsectionHeading"/>
      </w:pPr>
      <w:bookmarkStart w:id="29" w:name="_Toc22897642"/>
      <w:bookmarkStart w:id="30" w:name="_Toc22898854"/>
      <w:bookmarkStart w:id="31" w:name="_Toc40810625"/>
      <w:r w:rsidRPr="00581941">
        <w:t>Comparative harms</w:t>
      </w:r>
      <w:bookmarkEnd w:id="29"/>
      <w:bookmarkEnd w:id="30"/>
      <w:bookmarkEnd w:id="31"/>
    </w:p>
    <w:p w:rsidR="004E59EC" w:rsidRPr="00581941" w:rsidRDefault="008A1F45" w:rsidP="008A1F45">
      <w:pPr>
        <w:pStyle w:val="3-BodyText"/>
      </w:pPr>
      <w:r w:rsidRPr="00581941">
        <w:t>Table 8 presents the summary of</w:t>
      </w:r>
      <w:r w:rsidR="00C9712F" w:rsidRPr="00581941">
        <w:t xml:space="preserve"> adverse events</w:t>
      </w:r>
      <w:r w:rsidRPr="00581941">
        <w:t xml:space="preserve"> </w:t>
      </w:r>
      <w:r w:rsidR="00C9712F" w:rsidRPr="00581941">
        <w:t>(</w:t>
      </w:r>
      <w:r w:rsidRPr="00581941">
        <w:t>AEs</w:t>
      </w:r>
      <w:r w:rsidR="00C9712F" w:rsidRPr="00581941">
        <w:t>) at 48 weeks</w:t>
      </w:r>
      <w:r w:rsidRPr="00581941">
        <w:t xml:space="preserve"> in the TANGO trial. </w:t>
      </w:r>
      <w:r w:rsidR="004E59EC" w:rsidRPr="00581941">
        <w:t xml:space="preserve">The incidence and severity of any AEs was similar between treatment groups and consistent with those observed during the July 2019 submission. </w:t>
      </w:r>
    </w:p>
    <w:p w:rsidR="004E59EC" w:rsidRPr="00581941" w:rsidRDefault="004E59EC" w:rsidP="00441D32">
      <w:pPr>
        <w:keepNext/>
        <w:keepLines/>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Table 8: Summary of AEs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22"/>
        <w:gridCol w:w="2054"/>
        <w:gridCol w:w="1773"/>
        <w:gridCol w:w="1560"/>
        <w:gridCol w:w="1508"/>
      </w:tblGrid>
      <w:tr w:rsidR="004E59EC" w:rsidRPr="00581941" w:rsidTr="000A3CCD">
        <w:trPr>
          <w:trHeight w:val="20"/>
          <w:tblHeader/>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
                <w:bCs/>
                <w:sz w:val="20"/>
              </w:rPr>
            </w:pPr>
          </w:p>
        </w:tc>
        <w:tc>
          <w:tcPr>
            <w:tcW w:w="1139" w:type="pct"/>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DTG/3TC (N</w:t>
            </w:r>
            <w:r w:rsidR="000A3CCD" w:rsidRPr="00581941">
              <w:rPr>
                <w:rFonts w:ascii="Arial Narrow" w:eastAsiaTheme="majorEastAsia" w:hAnsi="Arial Narrow" w:cstheme="majorBidi"/>
                <w:b/>
                <w:bCs/>
                <w:sz w:val="20"/>
              </w:rPr>
              <w:t xml:space="preserve"> </w:t>
            </w:r>
            <w:r w:rsidRPr="00581941">
              <w:rPr>
                <w:rFonts w:ascii="Arial Narrow" w:eastAsiaTheme="majorEastAsia" w:hAnsi="Arial Narrow" w:cstheme="majorBidi"/>
                <w:b/>
                <w:bCs/>
                <w:sz w:val="20"/>
              </w:rPr>
              <w:t>=</w:t>
            </w:r>
            <w:r w:rsidR="000A3CCD" w:rsidRPr="00581941">
              <w:rPr>
                <w:rFonts w:ascii="Arial Narrow" w:eastAsiaTheme="majorEastAsia" w:hAnsi="Arial Narrow" w:cstheme="majorBidi"/>
                <w:b/>
                <w:bCs/>
                <w:sz w:val="20"/>
              </w:rPr>
              <w:t xml:space="preserve"> </w:t>
            </w:r>
            <w:r w:rsidRPr="00581941">
              <w:rPr>
                <w:rFonts w:ascii="Arial Narrow" w:eastAsiaTheme="majorEastAsia" w:hAnsi="Arial Narrow" w:cstheme="majorBidi"/>
                <w:b/>
                <w:bCs/>
                <w:sz w:val="20"/>
              </w:rPr>
              <w:t>369), n (%)</w:t>
            </w:r>
          </w:p>
        </w:tc>
        <w:tc>
          <w:tcPr>
            <w:tcW w:w="983" w:type="pct"/>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TBR (N</w:t>
            </w:r>
            <w:r w:rsidR="000A3CCD" w:rsidRPr="00581941">
              <w:rPr>
                <w:rFonts w:ascii="Arial Narrow" w:eastAsiaTheme="majorEastAsia" w:hAnsi="Arial Narrow" w:cstheme="majorBidi"/>
                <w:b/>
                <w:bCs/>
                <w:sz w:val="20"/>
              </w:rPr>
              <w:t xml:space="preserve"> </w:t>
            </w:r>
            <w:r w:rsidRPr="00581941">
              <w:rPr>
                <w:rFonts w:ascii="Arial Narrow" w:eastAsiaTheme="majorEastAsia" w:hAnsi="Arial Narrow" w:cstheme="majorBidi"/>
                <w:b/>
                <w:bCs/>
                <w:sz w:val="20"/>
              </w:rPr>
              <w:t>=</w:t>
            </w:r>
            <w:r w:rsidR="000A3CCD" w:rsidRPr="00581941">
              <w:rPr>
                <w:rFonts w:ascii="Arial Narrow" w:eastAsiaTheme="majorEastAsia" w:hAnsi="Arial Narrow" w:cstheme="majorBidi"/>
                <w:b/>
                <w:bCs/>
                <w:sz w:val="20"/>
              </w:rPr>
              <w:t xml:space="preserve"> </w:t>
            </w:r>
            <w:r w:rsidRPr="00581941">
              <w:rPr>
                <w:rFonts w:ascii="Arial Narrow" w:eastAsiaTheme="majorEastAsia" w:hAnsi="Arial Narrow" w:cstheme="majorBidi"/>
                <w:b/>
                <w:bCs/>
                <w:sz w:val="20"/>
              </w:rPr>
              <w:t>371), n (%)</w:t>
            </w:r>
          </w:p>
        </w:tc>
        <w:tc>
          <w:tcPr>
            <w:tcW w:w="865" w:type="pct"/>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 xml:space="preserve">RR (95% CI) </w:t>
            </w:r>
            <w:r w:rsidRPr="00581941">
              <w:rPr>
                <w:rFonts w:ascii="Arial Narrow" w:eastAsiaTheme="majorEastAsia" w:hAnsi="Arial Narrow" w:cstheme="majorBidi"/>
                <w:b/>
                <w:bCs/>
                <w:sz w:val="20"/>
                <w:vertAlign w:val="superscript"/>
              </w:rPr>
              <w:t>a</w:t>
            </w:r>
          </w:p>
        </w:tc>
        <w:tc>
          <w:tcPr>
            <w:tcW w:w="836" w:type="pct"/>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 xml:space="preserve">RD% (95% CI) </w:t>
            </w:r>
            <w:r w:rsidRPr="00581941">
              <w:rPr>
                <w:rFonts w:ascii="Arial Narrow" w:eastAsiaTheme="majorEastAsia" w:hAnsi="Arial Narrow" w:cstheme="majorBidi"/>
                <w:b/>
                <w:bCs/>
                <w:sz w:val="20"/>
                <w:vertAlign w:val="superscript"/>
              </w:rPr>
              <w:t>a</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Any AE</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295 (79.9)</w:t>
            </w:r>
          </w:p>
        </w:tc>
        <w:tc>
          <w:tcPr>
            <w:tcW w:w="983" w:type="pct"/>
            <w:tcBorders>
              <w:top w:val="single" w:sz="4" w:space="0" w:color="auto"/>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292 (78.7)</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1.02 (0.94, 1.09)</w:t>
            </w:r>
          </w:p>
        </w:tc>
        <w:tc>
          <w:tcPr>
            <w:tcW w:w="836" w:type="pct"/>
            <w:tcBorders>
              <w:top w:val="single" w:sz="4" w:space="0" w:color="auto"/>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1.2 (-4.6, 7.1)</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1 AE</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102 (27.6)</w:t>
            </w:r>
          </w:p>
        </w:tc>
        <w:tc>
          <w:tcPr>
            <w:tcW w:w="983" w:type="pct"/>
            <w:tcBorders>
              <w:top w:val="single" w:sz="4" w:space="0" w:color="auto"/>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94 (25.3)</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1.09 (0.86, 1.39)</w:t>
            </w:r>
          </w:p>
        </w:tc>
        <w:tc>
          <w:tcPr>
            <w:tcW w:w="836" w:type="pct"/>
            <w:tcBorders>
              <w:top w:val="single" w:sz="4" w:space="0" w:color="auto"/>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2.3 (-4.1, 8.7)</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2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170 (46.1)</w:t>
            </w:r>
          </w:p>
        </w:tc>
        <w:tc>
          <w:tcPr>
            <w:tcW w:w="983"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177 (47.7)</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0.97 (0.83, 1.13)</w:t>
            </w:r>
          </w:p>
        </w:tc>
        <w:tc>
          <w:tcPr>
            <w:tcW w:w="836"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-1.6 (-8.8, 5.6)</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3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19 (5.1)</w:t>
            </w:r>
          </w:p>
        </w:tc>
        <w:tc>
          <w:tcPr>
            <w:tcW w:w="983"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15 (4.0)</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1.27 (0.66, 2.47)</w:t>
            </w:r>
          </w:p>
        </w:tc>
        <w:tc>
          <w:tcPr>
            <w:tcW w:w="836"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1.1 (-1.9, 4.1)</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4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3 (0.8)</w:t>
            </w:r>
          </w:p>
        </w:tc>
        <w:tc>
          <w:tcPr>
            <w:tcW w:w="983"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6 (1.6)</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0.50 (0.13, 2.00)</w:t>
            </w:r>
          </w:p>
        </w:tc>
        <w:tc>
          <w:tcPr>
            <w:tcW w:w="836"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-0.8 (-2.4, 0.8)</w:t>
            </w:r>
          </w:p>
        </w:tc>
      </w:tr>
      <w:tr w:rsidR="004E59EC" w:rsidRPr="00581941" w:rsidTr="005C3242">
        <w:trPr>
          <w:trHeight w:val="20"/>
        </w:trPr>
        <w:tc>
          <w:tcPr>
            <w:tcW w:w="5000" w:type="pct"/>
            <w:gridSpan w:val="5"/>
            <w:tcBorders>
              <w:right w:val="single" w:sz="4" w:space="0" w:color="auto"/>
            </w:tcBorders>
            <w:shd w:val="clear" w:color="auto" w:fill="auto"/>
            <w:vAlign w:val="center"/>
          </w:tcPr>
          <w:p w:rsidR="004E59EC" w:rsidRPr="00286FE5" w:rsidRDefault="004E59EC" w:rsidP="00441D32">
            <w:pPr>
              <w:keepNext/>
              <w:keepLines/>
              <w:jc w:val="left"/>
              <w:rPr>
                <w:rFonts w:ascii="Arial Narrow" w:eastAsiaTheme="majorEastAsia" w:hAnsi="Arial Narrow" w:cstheme="majorBidi"/>
                <w:bCs/>
                <w:sz w:val="20"/>
              </w:rPr>
            </w:pPr>
            <w:r w:rsidRPr="00286FE5">
              <w:rPr>
                <w:rFonts w:ascii="Arial Narrow" w:eastAsiaTheme="majorEastAsia" w:hAnsi="Arial Narrow" w:cstheme="majorBidi"/>
                <w:bCs/>
                <w:sz w:val="20"/>
              </w:rPr>
              <w:t xml:space="preserve">Most common AEs (n ≥ 2% of participants) with a significant difference in incidence between treatment groups  </w:t>
            </w:r>
          </w:p>
        </w:tc>
      </w:tr>
      <w:tr w:rsidR="004E59EC" w:rsidRPr="00581941" w:rsidTr="000A3CCD">
        <w:trPr>
          <w:trHeight w:val="20"/>
        </w:trPr>
        <w:tc>
          <w:tcPr>
            <w:tcW w:w="1177" w:type="pct"/>
            <w:shd w:val="clear" w:color="auto" w:fill="auto"/>
            <w:vAlign w:val="bottom"/>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Bronchitis</w:t>
            </w:r>
          </w:p>
        </w:tc>
        <w:tc>
          <w:tcPr>
            <w:tcW w:w="1139"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8 (2.2)</w:t>
            </w:r>
          </w:p>
        </w:tc>
        <w:tc>
          <w:tcPr>
            <w:tcW w:w="983"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20 (5.4)</w:t>
            </w:r>
          </w:p>
        </w:tc>
        <w:tc>
          <w:tcPr>
            <w:tcW w:w="865"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0.40 (0.18, 0.90)</w:t>
            </w:r>
          </w:p>
        </w:tc>
        <w:tc>
          <w:tcPr>
            <w:tcW w:w="836"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-3.2 (-6.0, -0.5)</w:t>
            </w:r>
          </w:p>
        </w:tc>
      </w:tr>
      <w:tr w:rsidR="004E59EC" w:rsidRPr="00581941" w:rsidTr="000A3CCD">
        <w:trPr>
          <w:trHeight w:val="20"/>
        </w:trPr>
        <w:tc>
          <w:tcPr>
            <w:tcW w:w="1177" w:type="pct"/>
            <w:shd w:val="clear" w:color="auto" w:fill="auto"/>
            <w:vAlign w:val="bottom"/>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Fatigue</w:t>
            </w:r>
          </w:p>
        </w:tc>
        <w:tc>
          <w:tcPr>
            <w:tcW w:w="1139"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20 (5.4)</w:t>
            </w:r>
          </w:p>
        </w:tc>
        <w:tc>
          <w:tcPr>
            <w:tcW w:w="983"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3 (0.8)</w:t>
            </w:r>
          </w:p>
        </w:tc>
        <w:tc>
          <w:tcPr>
            <w:tcW w:w="865"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6.70 (2.01, 22.36)</w:t>
            </w:r>
          </w:p>
        </w:tc>
        <w:tc>
          <w:tcPr>
            <w:tcW w:w="836"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4.6 (2.1, 7.1)</w:t>
            </w:r>
          </w:p>
        </w:tc>
      </w:tr>
      <w:tr w:rsidR="004E59EC" w:rsidRPr="00581941" w:rsidTr="000A3CCD">
        <w:trPr>
          <w:trHeight w:val="20"/>
        </w:trPr>
        <w:tc>
          <w:tcPr>
            <w:tcW w:w="1177" w:type="pct"/>
            <w:shd w:val="clear" w:color="auto" w:fill="auto"/>
            <w:vAlign w:val="bottom"/>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Seasonal allergy</w:t>
            </w:r>
          </w:p>
        </w:tc>
        <w:tc>
          <w:tcPr>
            <w:tcW w:w="1139"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12 (3.3)</w:t>
            </w:r>
          </w:p>
        </w:tc>
        <w:tc>
          <w:tcPr>
            <w:tcW w:w="983"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3 (0.8)</w:t>
            </w:r>
          </w:p>
        </w:tc>
        <w:tc>
          <w:tcPr>
            <w:tcW w:w="865"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4.02 (1.14, 14.13)</w:t>
            </w:r>
          </w:p>
        </w:tc>
        <w:tc>
          <w:tcPr>
            <w:tcW w:w="836"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2.4 (0.4, 4.5)</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jc w:val="left"/>
              <w:rPr>
                <w:rFonts w:ascii="Arial Narrow" w:eastAsiaTheme="majorEastAsia" w:hAnsi="Arial Narrow" w:cstheme="majorBidi"/>
                <w:bCs/>
                <w:sz w:val="20"/>
              </w:rPr>
            </w:pPr>
            <w:r w:rsidRPr="00286FE5">
              <w:rPr>
                <w:rFonts w:ascii="Arial Narrow" w:eastAsiaTheme="majorEastAsia" w:hAnsi="Arial Narrow" w:cstheme="majorBidi"/>
                <w:bCs/>
                <w:sz w:val="20"/>
              </w:rPr>
              <w:t>Any DR-AE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45 (12.2)</w:t>
            </w:r>
          </w:p>
        </w:tc>
        <w:tc>
          <w:tcPr>
            <w:tcW w:w="983"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theme="majorBidi"/>
                <w:bCs/>
                <w:sz w:val="20"/>
              </w:rPr>
              <w:t>5 (1.3)</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theme="majorBidi"/>
                <w:b/>
                <w:bCs/>
                <w:sz w:val="20"/>
              </w:rPr>
              <w:t>9.05 (3.63, 22.54)</w:t>
            </w:r>
          </w:p>
        </w:tc>
        <w:tc>
          <w:tcPr>
            <w:tcW w:w="836" w:type="pct"/>
            <w:tcBorders>
              <w:top w:val="nil"/>
              <w:left w:val="nil"/>
              <w:bottom w:val="single" w:sz="4" w:space="0" w:color="auto"/>
              <w:right w:val="single" w:sz="4" w:space="0" w:color="auto"/>
            </w:tcBorders>
            <w:shd w:val="clear" w:color="auto" w:fill="auto"/>
            <w:vAlign w:val="center"/>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theme="majorBidi"/>
                <w:b/>
                <w:bCs/>
                <w:sz w:val="20"/>
              </w:rPr>
              <w:t>10.8 (7.3, 14.4)</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1 AE</w:t>
            </w:r>
          </w:p>
        </w:tc>
        <w:tc>
          <w:tcPr>
            <w:tcW w:w="1139"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Calibri"/>
                <w:bCs/>
                <w:sz w:val="20"/>
                <w:szCs w:val="20"/>
              </w:rPr>
              <w:t>28 (7.6)</w:t>
            </w:r>
          </w:p>
        </w:tc>
        <w:tc>
          <w:tcPr>
            <w:tcW w:w="983"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Calibri"/>
                <w:bCs/>
                <w:sz w:val="20"/>
                <w:szCs w:val="20"/>
              </w:rPr>
              <w:t>2 (0.5)</w:t>
            </w:r>
          </w:p>
        </w:tc>
        <w:tc>
          <w:tcPr>
            <w:tcW w:w="865"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Calibri"/>
                <w:b/>
                <w:bCs/>
                <w:sz w:val="20"/>
                <w:szCs w:val="20"/>
              </w:rPr>
              <w:t>14.08 (3.38, 58.66)</w:t>
            </w:r>
          </w:p>
        </w:tc>
        <w:tc>
          <w:tcPr>
            <w:tcW w:w="836"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Calibri"/>
                <w:b/>
                <w:bCs/>
                <w:sz w:val="20"/>
                <w:szCs w:val="20"/>
              </w:rPr>
              <w:t>7.0 (4.2, 9.9)</w:t>
            </w:r>
          </w:p>
        </w:tc>
      </w:tr>
      <w:tr w:rsidR="004E59EC" w:rsidRPr="00581941" w:rsidTr="000A3CCD">
        <w:trPr>
          <w:trHeight w:val="20"/>
        </w:trPr>
        <w:tc>
          <w:tcPr>
            <w:tcW w:w="1177" w:type="pct"/>
            <w:shd w:val="clear" w:color="auto" w:fill="auto"/>
            <w:vAlign w:val="center"/>
          </w:tcPr>
          <w:p w:rsidR="004E59EC" w:rsidRPr="00286FE5" w:rsidRDefault="004E59EC" w:rsidP="00441D32">
            <w:pPr>
              <w:keepNext/>
              <w:keepLines/>
              <w:ind w:left="393"/>
              <w:jc w:val="left"/>
              <w:rPr>
                <w:rFonts w:ascii="Arial Narrow" w:eastAsiaTheme="majorEastAsia" w:hAnsi="Arial Narrow" w:cstheme="majorBidi"/>
                <w:bCs/>
                <w:sz w:val="20"/>
              </w:rPr>
            </w:pPr>
            <w:r w:rsidRPr="00286FE5">
              <w:rPr>
                <w:rFonts w:ascii="Arial Narrow" w:eastAsiaTheme="majorEastAsia" w:hAnsi="Arial Narrow" w:cstheme="majorBidi"/>
                <w:bCs/>
                <w:sz w:val="20"/>
              </w:rPr>
              <w:t>Grade 2 AE</w:t>
            </w:r>
          </w:p>
        </w:tc>
        <w:tc>
          <w:tcPr>
            <w:tcW w:w="1139"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Calibri"/>
                <w:bCs/>
                <w:sz w:val="20"/>
                <w:szCs w:val="20"/>
              </w:rPr>
              <w:t>17 (4.6)</w:t>
            </w:r>
          </w:p>
        </w:tc>
        <w:tc>
          <w:tcPr>
            <w:tcW w:w="983"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Cs/>
                <w:sz w:val="20"/>
              </w:rPr>
            </w:pPr>
            <w:r w:rsidRPr="00286FE5">
              <w:rPr>
                <w:rFonts w:ascii="Arial Narrow" w:eastAsiaTheme="majorEastAsia" w:hAnsi="Arial Narrow" w:cs="Calibri"/>
                <w:bCs/>
                <w:sz w:val="20"/>
                <w:szCs w:val="20"/>
              </w:rPr>
              <w:t>3 (0.8)</w:t>
            </w:r>
          </w:p>
        </w:tc>
        <w:tc>
          <w:tcPr>
            <w:tcW w:w="865" w:type="pct"/>
            <w:tcBorders>
              <w:top w:val="nil"/>
              <w:left w:val="single" w:sz="4" w:space="0" w:color="auto"/>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Calibri"/>
                <w:b/>
                <w:bCs/>
                <w:sz w:val="20"/>
                <w:szCs w:val="20"/>
              </w:rPr>
              <w:t>5.70 (1.68, 19.28)</w:t>
            </w:r>
          </w:p>
        </w:tc>
        <w:tc>
          <w:tcPr>
            <w:tcW w:w="836" w:type="pct"/>
            <w:tcBorders>
              <w:top w:val="nil"/>
              <w:left w:val="nil"/>
              <w:bottom w:val="single" w:sz="4" w:space="0" w:color="auto"/>
              <w:right w:val="single" w:sz="4" w:space="0" w:color="auto"/>
            </w:tcBorders>
            <w:shd w:val="clear" w:color="auto" w:fill="auto"/>
            <w:vAlign w:val="bottom"/>
          </w:tcPr>
          <w:p w:rsidR="004E59EC" w:rsidRPr="00286FE5" w:rsidRDefault="004E59EC" w:rsidP="00441D32">
            <w:pPr>
              <w:keepNext/>
              <w:keepLines/>
              <w:jc w:val="center"/>
              <w:rPr>
                <w:rFonts w:ascii="Arial Narrow" w:eastAsiaTheme="majorEastAsia" w:hAnsi="Arial Narrow" w:cstheme="majorBidi"/>
                <w:b/>
                <w:bCs/>
                <w:sz w:val="20"/>
              </w:rPr>
            </w:pPr>
            <w:r w:rsidRPr="00286FE5">
              <w:rPr>
                <w:rFonts w:ascii="Arial Narrow" w:eastAsiaTheme="majorEastAsia" w:hAnsi="Arial Narrow" w:cs="Calibri"/>
                <w:b/>
                <w:bCs/>
                <w:sz w:val="20"/>
                <w:szCs w:val="20"/>
              </w:rPr>
              <w:t>3.8 (1.5, 6.1)</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ind w:left="393"/>
              <w:jc w:val="left"/>
              <w:rPr>
                <w:rFonts w:ascii="Arial Narrow" w:eastAsiaTheme="majorEastAsia" w:hAnsi="Arial Narrow" w:cstheme="majorBidi"/>
                <w:bCs/>
                <w:sz w:val="20"/>
              </w:rPr>
            </w:pPr>
            <w:r w:rsidRPr="00581941">
              <w:rPr>
                <w:rFonts w:ascii="Arial Narrow" w:eastAsiaTheme="majorEastAsia" w:hAnsi="Arial Narrow" w:cstheme="majorBidi"/>
                <w:bCs/>
                <w:sz w:val="20"/>
              </w:rPr>
              <w:t>Grade &gt;</w:t>
            </w:r>
            <w:r w:rsidR="00AA4616" w:rsidRPr="00581941">
              <w:rPr>
                <w:rFonts w:ascii="Arial Narrow" w:eastAsiaTheme="majorEastAsia" w:hAnsi="Arial Narrow" w:cstheme="majorBidi"/>
                <w:bCs/>
                <w:sz w:val="20"/>
              </w:rPr>
              <w:t xml:space="preserve"> </w:t>
            </w:r>
            <w:r w:rsidRPr="00581941">
              <w:rPr>
                <w:rFonts w:ascii="Arial Narrow" w:eastAsiaTheme="majorEastAsia" w:hAnsi="Arial Narrow" w:cstheme="majorBidi"/>
                <w:bCs/>
                <w:sz w:val="20"/>
              </w:rPr>
              <w:t>2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AE leading to withdrawal</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13 (3.5)</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 (0.5)</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6.54 (1.49, 28.76)</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3.0 (1.0, 5.0)</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DR-AE leading to withdrawal</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9 (2.4)</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9.05 (1.15, 71.07)</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
                <w:bCs/>
                <w:sz w:val="20"/>
              </w:rPr>
            </w:pPr>
            <w:r w:rsidRPr="00581941">
              <w:rPr>
                <w:rFonts w:ascii="Arial Narrow" w:eastAsiaTheme="majorEastAsia" w:hAnsi="Arial Narrow" w:cstheme="majorBidi"/>
                <w:b/>
                <w:bCs/>
                <w:sz w:val="20"/>
              </w:rPr>
              <w:t>2.2 (0.5, 3.8)</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Any SAE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21 (5.7)</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16 (4.3)</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1.32 (0.70, 2.49)</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1.4 (-1.8, 4.5)</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DR-SAE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0.0 (0.0, 0.0)</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Fatal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1 (0.3)</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0.3 (-0.3, 0.8)</w:t>
            </w:r>
          </w:p>
        </w:tc>
      </w:tr>
      <w:tr w:rsidR="004E59EC" w:rsidRPr="00581941" w:rsidTr="000A3CCD">
        <w:trPr>
          <w:trHeight w:val="20"/>
        </w:trPr>
        <w:tc>
          <w:tcPr>
            <w:tcW w:w="1177" w:type="pct"/>
            <w:shd w:val="clear" w:color="auto" w:fill="auto"/>
            <w:vAlign w:val="center"/>
          </w:tcPr>
          <w:p w:rsidR="004E59EC" w:rsidRPr="00581941" w:rsidRDefault="004E59EC" w:rsidP="00441D32">
            <w:pPr>
              <w:keepNext/>
              <w:keepLines/>
              <w:jc w:val="left"/>
              <w:rPr>
                <w:rFonts w:ascii="Arial Narrow" w:eastAsiaTheme="majorEastAsia" w:hAnsi="Arial Narrow" w:cstheme="majorBidi"/>
                <w:bCs/>
                <w:sz w:val="20"/>
              </w:rPr>
            </w:pPr>
            <w:r w:rsidRPr="00581941">
              <w:rPr>
                <w:rFonts w:ascii="Arial Narrow" w:eastAsiaTheme="majorEastAsia" w:hAnsi="Arial Narrow" w:cstheme="majorBidi"/>
                <w:bCs/>
                <w:sz w:val="20"/>
              </w:rPr>
              <w:t>DR fatal AE</w:t>
            </w:r>
          </w:p>
        </w:tc>
        <w:tc>
          <w:tcPr>
            <w:tcW w:w="1139"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983"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w:t>
            </w:r>
          </w:p>
        </w:tc>
        <w:tc>
          <w:tcPr>
            <w:tcW w:w="865" w:type="pct"/>
            <w:tcBorders>
              <w:top w:val="nil"/>
              <w:left w:val="single" w:sz="4" w:space="0" w:color="auto"/>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w:t>
            </w:r>
          </w:p>
        </w:tc>
        <w:tc>
          <w:tcPr>
            <w:tcW w:w="836" w:type="pct"/>
            <w:tcBorders>
              <w:top w:val="nil"/>
              <w:left w:val="nil"/>
              <w:bottom w:val="single" w:sz="4" w:space="0" w:color="auto"/>
              <w:right w:val="single" w:sz="4" w:space="0" w:color="auto"/>
            </w:tcBorders>
            <w:shd w:val="clear" w:color="auto" w:fill="auto"/>
            <w:vAlign w:val="center"/>
          </w:tcPr>
          <w:p w:rsidR="004E59EC" w:rsidRPr="00581941" w:rsidRDefault="004E59EC" w:rsidP="00441D32">
            <w:pPr>
              <w:keepNext/>
              <w:keepLines/>
              <w:jc w:val="center"/>
              <w:rPr>
                <w:rFonts w:ascii="Arial Narrow" w:eastAsiaTheme="majorEastAsia" w:hAnsi="Arial Narrow" w:cstheme="majorBidi"/>
                <w:bCs/>
                <w:sz w:val="20"/>
              </w:rPr>
            </w:pPr>
            <w:r w:rsidRPr="00581941">
              <w:rPr>
                <w:rFonts w:ascii="Arial Narrow" w:eastAsiaTheme="majorEastAsia" w:hAnsi="Arial Narrow" w:cstheme="majorBidi"/>
                <w:bCs/>
                <w:sz w:val="20"/>
              </w:rPr>
              <w:t>0.0 (0.0, 0.0)</w:t>
            </w:r>
          </w:p>
        </w:tc>
      </w:tr>
    </w:tbl>
    <w:p w:rsidR="004E59EC" w:rsidRPr="00581941" w:rsidRDefault="00F0423C" w:rsidP="00441D32">
      <w:pPr>
        <w:keepNext/>
        <w:keepLines/>
        <w:spacing w:after="120"/>
        <w:contextualSpacing/>
        <w:jc w:val="left"/>
        <w:rPr>
          <w:rFonts w:ascii="Arial Narrow" w:hAnsi="Arial Narrow"/>
          <w:snapToGrid w:val="0"/>
          <w:sz w:val="18"/>
          <w:szCs w:val="22"/>
        </w:rPr>
      </w:pPr>
      <w:r w:rsidRPr="00581941">
        <w:rPr>
          <w:rFonts w:ascii="Arial Narrow" w:hAnsi="Arial Narrow"/>
          <w:snapToGrid w:val="0"/>
          <w:sz w:val="18"/>
          <w:szCs w:val="22"/>
        </w:rPr>
        <w:t>Source: Table 37-39</w:t>
      </w:r>
      <w:r w:rsidR="004E59EC" w:rsidRPr="00581941">
        <w:rPr>
          <w:rFonts w:ascii="Arial Narrow" w:hAnsi="Arial Narrow"/>
          <w:snapToGrid w:val="0"/>
          <w:sz w:val="18"/>
          <w:szCs w:val="22"/>
        </w:rPr>
        <w:t>, p</w:t>
      </w:r>
      <w:r w:rsidRPr="00581941">
        <w:rPr>
          <w:rFonts w:ascii="Arial Narrow" w:hAnsi="Arial Narrow"/>
          <w:snapToGrid w:val="0"/>
          <w:sz w:val="18"/>
          <w:szCs w:val="22"/>
        </w:rPr>
        <w:t>p</w:t>
      </w:r>
      <w:r w:rsidR="004E59EC" w:rsidRPr="00581941">
        <w:rPr>
          <w:rFonts w:ascii="Arial Narrow" w:hAnsi="Arial Narrow"/>
          <w:snapToGrid w:val="0"/>
          <w:sz w:val="18"/>
          <w:szCs w:val="22"/>
        </w:rPr>
        <w:t>52</w:t>
      </w:r>
      <w:r w:rsidRPr="00581941">
        <w:rPr>
          <w:rFonts w:ascii="Arial Narrow" w:hAnsi="Arial Narrow"/>
          <w:snapToGrid w:val="0"/>
          <w:sz w:val="18"/>
          <w:szCs w:val="22"/>
        </w:rPr>
        <w:t>-53</w:t>
      </w:r>
      <w:r w:rsidR="004E59EC" w:rsidRPr="00581941">
        <w:rPr>
          <w:rFonts w:ascii="Arial Narrow" w:hAnsi="Arial Narrow"/>
          <w:snapToGrid w:val="0"/>
          <w:sz w:val="18"/>
          <w:szCs w:val="22"/>
        </w:rPr>
        <w:t xml:space="preserve"> of the submission</w:t>
      </w:r>
    </w:p>
    <w:p w:rsidR="004E59EC" w:rsidRPr="00581941" w:rsidRDefault="004E59EC" w:rsidP="00441D32">
      <w:pPr>
        <w:keepNext/>
        <w:keepLines/>
        <w:spacing w:after="120"/>
        <w:contextualSpacing/>
        <w:jc w:val="left"/>
        <w:rPr>
          <w:rFonts w:ascii="Arial Narrow" w:hAnsi="Arial Narrow"/>
          <w:snapToGrid w:val="0"/>
          <w:sz w:val="18"/>
          <w:szCs w:val="22"/>
        </w:rPr>
      </w:pPr>
      <w:r w:rsidRPr="00581941">
        <w:rPr>
          <w:rFonts w:ascii="Arial Narrow" w:hAnsi="Arial Narrow"/>
          <w:snapToGrid w:val="0"/>
          <w:sz w:val="18"/>
          <w:szCs w:val="22"/>
        </w:rPr>
        <w:t xml:space="preserve">3TC = lamivudine; AE = adverse events; CI = confidence interval; DR = drug related; DTG = dolutegravir; RD = risk difference; RR = relative risk; SAE = serious adverse event; TBR = tenofovir alafenamide based regimen; </w:t>
      </w:r>
      <w:r w:rsidRPr="00581941">
        <w:rPr>
          <w:rFonts w:ascii="Arial Narrow" w:hAnsi="Arial Narrow"/>
          <w:b/>
          <w:snapToGrid w:val="0"/>
          <w:sz w:val="18"/>
          <w:szCs w:val="22"/>
        </w:rPr>
        <w:t xml:space="preserve">Bold </w:t>
      </w:r>
      <w:r w:rsidRPr="00581941">
        <w:rPr>
          <w:rFonts w:ascii="Arial Narrow" w:hAnsi="Arial Narrow"/>
          <w:snapToGrid w:val="0"/>
          <w:sz w:val="18"/>
          <w:szCs w:val="22"/>
        </w:rPr>
        <w:t>= statistical significance</w:t>
      </w:r>
    </w:p>
    <w:p w:rsidR="004E59EC" w:rsidRPr="00581941" w:rsidRDefault="004E59EC" w:rsidP="00441D32">
      <w:pPr>
        <w:keepNext/>
        <w:keepLines/>
        <w:spacing w:after="120"/>
        <w:contextualSpacing/>
        <w:jc w:val="left"/>
        <w:rPr>
          <w:rFonts w:ascii="Arial Narrow" w:hAnsi="Arial Narrow"/>
          <w:snapToGrid w:val="0"/>
          <w:sz w:val="18"/>
          <w:szCs w:val="22"/>
        </w:rPr>
      </w:pPr>
      <w:r w:rsidRPr="00581941">
        <w:rPr>
          <w:rFonts w:ascii="Arial Narrow" w:hAnsi="Arial Narrow"/>
          <w:snapToGrid w:val="0"/>
          <w:sz w:val="18"/>
          <w:szCs w:val="22"/>
          <w:vertAlign w:val="superscript"/>
        </w:rPr>
        <w:t>a</w:t>
      </w:r>
      <w:r w:rsidRPr="00581941">
        <w:rPr>
          <w:rFonts w:ascii="Arial Narrow" w:hAnsi="Arial Narrow"/>
          <w:snapToGrid w:val="0"/>
          <w:sz w:val="18"/>
          <w:szCs w:val="22"/>
        </w:rPr>
        <w:t xml:space="preserve"> Ad-hoc analyses</w:t>
      </w:r>
    </w:p>
    <w:p w:rsidR="004E59EC" w:rsidRPr="00581941" w:rsidRDefault="004E59EC" w:rsidP="004E59EC">
      <w:pPr>
        <w:pStyle w:val="3-BodyText"/>
      </w:pPr>
      <w:r w:rsidRPr="00581941">
        <w:t xml:space="preserve">Discontinuations due to </w:t>
      </w:r>
      <w:r w:rsidR="00C9712F" w:rsidRPr="00581941">
        <w:t>AEs</w:t>
      </w:r>
      <w:r w:rsidRPr="00581941">
        <w:t xml:space="preserve"> were more common with DTG/3TC (13 vs. 2 participant</w:t>
      </w:r>
      <w:r w:rsidR="00E45D23" w:rsidRPr="00581941">
        <w:t>s</w:t>
      </w:r>
      <w:r w:rsidRPr="00581941">
        <w:t>) whereas discontinuations due to “other” reasons were more common with TBR (12 vs. 22 participants).</w:t>
      </w:r>
      <w:r w:rsidR="00F1185C" w:rsidRPr="00581941">
        <w:t xml:space="preserve"> The PBAC noted imbalance in drug-related AEs was expected from an open-label trial design comparing a treatment switch with a continuing therapy treatment arm (paragraph 6.12, Juluca PSD, July 2018 PBAC meeting).</w:t>
      </w:r>
      <w:r w:rsidRPr="00581941">
        <w:t xml:space="preserve"> Viral load tests were conducted on participants discontinuing </w:t>
      </w:r>
      <w:r w:rsidR="000A3CCD" w:rsidRPr="00581941">
        <w:t>due to</w:t>
      </w:r>
      <w:r w:rsidRPr="00581941">
        <w:t xml:space="preserve"> the reason “other” with at least one on-treatment assessment (9 and 21 participants, in the DTG/3TC and TBR arms, respectively). All demonstrated plasma HIV-1 RNA &lt; 40 c/mL at their last visit.</w:t>
      </w:r>
    </w:p>
    <w:p w:rsidR="004E59EC" w:rsidRPr="00581941" w:rsidRDefault="004E59EC" w:rsidP="004E59EC">
      <w:pPr>
        <w:pStyle w:val="3-BodyText"/>
      </w:pPr>
      <w:r w:rsidRPr="00581941">
        <w:t xml:space="preserve">The submission noted that treatment with DTG/3TC was associated with significantly higher incidence of fatigue and seasonal allergy and a significantly lower incidence of bronchitis compared with TBR. The incidence of serious AEs (SAEs) were low and comparable between treatment groups. No </w:t>
      </w:r>
      <w:r w:rsidR="00053DDE" w:rsidRPr="00581941">
        <w:t>treatment</w:t>
      </w:r>
      <w:r w:rsidR="00053DDE" w:rsidRPr="00581941">
        <w:noBreakHyphen/>
      </w:r>
      <w:r w:rsidRPr="00581941">
        <w:t>related deaths were observed in either treatment group.</w:t>
      </w:r>
    </w:p>
    <w:p w:rsidR="004E59EC" w:rsidRPr="00581941" w:rsidRDefault="004E59EC" w:rsidP="004E59EC">
      <w:pPr>
        <w:pStyle w:val="4-SubsectionHeading"/>
      </w:pPr>
      <w:bookmarkStart w:id="32" w:name="_Toc22897644"/>
      <w:bookmarkStart w:id="33" w:name="_Toc22898856"/>
      <w:bookmarkStart w:id="34" w:name="_Toc40810626"/>
      <w:r w:rsidRPr="00581941">
        <w:t>Clinical claim</w:t>
      </w:r>
      <w:bookmarkEnd w:id="32"/>
      <w:bookmarkEnd w:id="33"/>
      <w:bookmarkEnd w:id="34"/>
    </w:p>
    <w:p w:rsidR="004E59EC" w:rsidRPr="00581941" w:rsidRDefault="004E59EC" w:rsidP="00B332E1">
      <w:pPr>
        <w:pStyle w:val="3-BodyText"/>
        <w:rPr>
          <w:rFonts w:eastAsia="Calibri"/>
          <w:iCs/>
        </w:rPr>
      </w:pPr>
      <w:r w:rsidRPr="00581941">
        <w:rPr>
          <w:rFonts w:eastAsia="Calibri"/>
        </w:rPr>
        <w:t>The submission described DTG/3TC as non-inferior in terms of effectiveness compared to</w:t>
      </w:r>
      <w:r w:rsidR="007A3856" w:rsidRPr="00581941">
        <w:rPr>
          <w:rFonts w:eastAsia="Calibri"/>
        </w:rPr>
        <w:t xml:space="preserve"> the TBRs</w:t>
      </w:r>
      <w:r w:rsidRPr="00581941">
        <w:rPr>
          <w:rFonts w:eastAsia="Calibri"/>
        </w:rPr>
        <w:t xml:space="preserve"> </w:t>
      </w:r>
      <w:r w:rsidRPr="00581941">
        <w:t>Biktarvy, Genvoya, Odefsey</w:t>
      </w:r>
      <w:r w:rsidR="007A3856" w:rsidRPr="00581941">
        <w:t xml:space="preserve"> and non-TBRs</w:t>
      </w:r>
      <w:r w:rsidRPr="00581941">
        <w:t xml:space="preserve"> Triumeq and Juluca</w:t>
      </w:r>
      <w:r w:rsidRPr="00581941">
        <w:rPr>
          <w:rFonts w:eastAsia="Calibri"/>
        </w:rPr>
        <w:t xml:space="preserve">. This claim was adequately supported </w:t>
      </w:r>
      <w:r w:rsidRPr="00581941">
        <w:rPr>
          <w:rFonts w:eastAsia="Calibri"/>
          <w:iCs/>
        </w:rPr>
        <w:t>if PBAC accept that the TBRs in the TANGO trial could act as a proxy for the other two or three-drug regimens.</w:t>
      </w:r>
      <w:r w:rsidRPr="00581941">
        <w:rPr>
          <w:rFonts w:eastAsia="Calibri"/>
        </w:rPr>
        <w:t xml:space="preserve"> </w:t>
      </w:r>
      <w:r w:rsidRPr="00581941">
        <w:rPr>
          <w:iCs/>
        </w:rPr>
        <w:t>Biktarvy and Juluca</w:t>
      </w:r>
      <w:r w:rsidRPr="00581941">
        <w:rPr>
          <w:rFonts w:eastAsia="Calibri"/>
          <w:iCs/>
        </w:rPr>
        <w:t xml:space="preserve"> were not used </w:t>
      </w:r>
      <w:r w:rsidR="002D28FE" w:rsidRPr="00581941">
        <w:rPr>
          <w:rFonts w:eastAsia="Calibri"/>
          <w:iCs/>
        </w:rPr>
        <w:t xml:space="preserve">by patients in the TBR arm </w:t>
      </w:r>
      <w:r w:rsidRPr="00581941">
        <w:rPr>
          <w:rFonts w:eastAsia="Calibri"/>
          <w:iCs/>
        </w:rPr>
        <w:t>in the TANGO trial.</w:t>
      </w:r>
      <w:r w:rsidRPr="00581941">
        <w:rPr>
          <w:rFonts w:eastAsia="Calibri"/>
        </w:rPr>
        <w:t xml:space="preserve"> </w:t>
      </w:r>
      <w:r w:rsidRPr="00581941">
        <w:rPr>
          <w:rFonts w:eastAsia="Calibri"/>
          <w:iCs/>
        </w:rPr>
        <w:t xml:space="preserve">At its July 2019 consideration of DTG/3TC for </w:t>
      </w:r>
      <w:r w:rsidR="00053DDE" w:rsidRPr="00581941">
        <w:rPr>
          <w:rFonts w:eastAsia="Calibri"/>
          <w:iCs/>
        </w:rPr>
        <w:t>treatment</w:t>
      </w:r>
      <w:r w:rsidR="00053DDE" w:rsidRPr="00581941">
        <w:rPr>
          <w:rFonts w:eastAsia="Calibri"/>
          <w:iCs/>
        </w:rPr>
        <w:noBreakHyphen/>
      </w:r>
      <w:r w:rsidRPr="00581941">
        <w:rPr>
          <w:rFonts w:eastAsia="Calibri"/>
          <w:iCs/>
        </w:rPr>
        <w:t xml:space="preserve">naïve patients, the PBAC considered that the claim of non-inferior comparative effectiveness was reasonable for the </w:t>
      </w:r>
      <w:r w:rsidR="00053DDE" w:rsidRPr="00581941">
        <w:rPr>
          <w:rFonts w:eastAsia="Calibri"/>
          <w:iCs/>
        </w:rPr>
        <w:t>treatment</w:t>
      </w:r>
      <w:r w:rsidR="00053DDE" w:rsidRPr="00581941">
        <w:rPr>
          <w:rFonts w:eastAsia="Calibri"/>
          <w:iCs/>
        </w:rPr>
        <w:noBreakHyphen/>
      </w:r>
      <w:r w:rsidRPr="00581941">
        <w:rPr>
          <w:rFonts w:eastAsia="Calibri"/>
          <w:iCs/>
        </w:rPr>
        <w:t>naïve population (paragraph 6.31, DTG/3TC PSD, July 2019 PBAC meeting).</w:t>
      </w:r>
      <w:r w:rsidR="00B332E1" w:rsidRPr="00581941">
        <w:t xml:space="preserve"> </w:t>
      </w:r>
      <w:r w:rsidR="00B332E1" w:rsidRPr="00581941">
        <w:rPr>
          <w:rFonts w:eastAsia="Calibri"/>
          <w:iCs/>
        </w:rPr>
        <w:t>The PBAC was</w:t>
      </w:r>
      <w:r w:rsidR="000C1B12" w:rsidRPr="00581941">
        <w:rPr>
          <w:rFonts w:eastAsia="Calibri"/>
          <w:iCs/>
        </w:rPr>
        <w:t xml:space="preserve"> previously</w:t>
      </w:r>
      <w:r w:rsidR="00B332E1" w:rsidRPr="00581941">
        <w:rPr>
          <w:rFonts w:eastAsia="Calibri"/>
          <w:iCs/>
        </w:rPr>
        <w:t xml:space="preserve"> satisfied that a regimen of DTG + Truvada</w:t>
      </w:r>
      <w:r w:rsidR="00B332E1" w:rsidRPr="00581941">
        <w:rPr>
          <w:rFonts w:eastAsia="Calibri"/>
          <w:iCs/>
          <w:vertAlign w:val="superscript"/>
        </w:rPr>
        <w:t xml:space="preserve">® </w:t>
      </w:r>
      <w:r w:rsidR="00B332E1" w:rsidRPr="00581941">
        <w:rPr>
          <w:rFonts w:eastAsia="Calibri"/>
          <w:iCs/>
        </w:rPr>
        <w:t>(the comparator in the GEMINI trial) could be a reasonabl</w:t>
      </w:r>
      <w:r w:rsidR="00C1362B" w:rsidRPr="00581941">
        <w:rPr>
          <w:rFonts w:eastAsia="Calibri"/>
          <w:iCs/>
        </w:rPr>
        <w:t>e proxy for other similar three-</w:t>
      </w:r>
      <w:r w:rsidR="00B332E1" w:rsidRPr="00581941">
        <w:rPr>
          <w:rFonts w:eastAsia="Calibri"/>
          <w:iCs/>
        </w:rPr>
        <w:t>drug regimens (3DRs) in treatment-naïve patients</w:t>
      </w:r>
      <w:r w:rsidRPr="00581941">
        <w:rPr>
          <w:rFonts w:eastAsia="Calibri"/>
          <w:iCs/>
        </w:rPr>
        <w:t xml:space="preserve"> (paragraph </w:t>
      </w:r>
      <w:r w:rsidR="00B332E1" w:rsidRPr="00581941">
        <w:rPr>
          <w:rFonts w:eastAsia="Calibri"/>
          <w:iCs/>
        </w:rPr>
        <w:t>7.2</w:t>
      </w:r>
      <w:r w:rsidRPr="00581941">
        <w:rPr>
          <w:rFonts w:eastAsia="Calibri"/>
          <w:iCs/>
        </w:rPr>
        <w:t>, DTG/3TC PSD, July 2019 PBAC meeting).</w:t>
      </w:r>
    </w:p>
    <w:p w:rsidR="004E59EC" w:rsidRPr="00581941" w:rsidRDefault="004E59EC" w:rsidP="004E59EC">
      <w:pPr>
        <w:pStyle w:val="3-BodyText"/>
        <w:rPr>
          <w:rFonts w:eastAsia="Calibri"/>
        </w:rPr>
      </w:pPr>
      <w:r w:rsidRPr="00581941">
        <w:rPr>
          <w:rFonts w:eastAsia="Calibri"/>
        </w:rPr>
        <w:t xml:space="preserve">The submission described DTG/3TC as non-inferior in terms of safety compared to </w:t>
      </w:r>
      <w:r w:rsidRPr="00581941">
        <w:t>Biktarvy</w:t>
      </w:r>
      <w:r w:rsidR="002F7BD8" w:rsidRPr="00581941">
        <w:rPr>
          <w:vertAlign w:val="superscript"/>
        </w:rPr>
        <w:t>®</w:t>
      </w:r>
      <w:r w:rsidRPr="00581941">
        <w:t>, Genvoya</w:t>
      </w:r>
      <w:r w:rsidR="002F7BD8" w:rsidRPr="00581941">
        <w:rPr>
          <w:vertAlign w:val="superscript"/>
        </w:rPr>
        <w:t>®</w:t>
      </w:r>
      <w:r w:rsidRPr="00581941">
        <w:t>, Odefsey</w:t>
      </w:r>
      <w:r w:rsidR="002F7BD8" w:rsidRPr="00581941">
        <w:rPr>
          <w:vertAlign w:val="superscript"/>
        </w:rPr>
        <w:t>®</w:t>
      </w:r>
      <w:r w:rsidRPr="00581941">
        <w:t>, Triumeq</w:t>
      </w:r>
      <w:r w:rsidR="002F7BD8" w:rsidRPr="00581941">
        <w:rPr>
          <w:vertAlign w:val="superscript"/>
        </w:rPr>
        <w:t>®</w:t>
      </w:r>
      <w:r w:rsidRPr="00581941">
        <w:t>, and Juluca</w:t>
      </w:r>
      <w:r w:rsidR="002F7BD8" w:rsidRPr="00581941">
        <w:rPr>
          <w:vertAlign w:val="superscript"/>
        </w:rPr>
        <w:t>®</w:t>
      </w:r>
      <w:r w:rsidRPr="00581941">
        <w:rPr>
          <w:rFonts w:eastAsia="Calibri"/>
        </w:rPr>
        <w:t xml:space="preserve">. This claim was adequately supported. </w:t>
      </w:r>
      <w:r w:rsidRPr="00581941">
        <w:rPr>
          <w:rFonts w:eastAsia="Calibri"/>
          <w:iCs/>
        </w:rPr>
        <w:t xml:space="preserve">At its July 2019 consideration of DTG/3TC for </w:t>
      </w:r>
      <w:r w:rsidR="00053DDE" w:rsidRPr="00581941">
        <w:rPr>
          <w:rFonts w:eastAsia="Calibri"/>
          <w:iCs/>
        </w:rPr>
        <w:t>treatment</w:t>
      </w:r>
      <w:r w:rsidR="00053DDE" w:rsidRPr="00581941">
        <w:rPr>
          <w:rFonts w:eastAsia="Calibri"/>
          <w:iCs/>
        </w:rPr>
        <w:noBreakHyphen/>
      </w:r>
      <w:r w:rsidRPr="00581941">
        <w:rPr>
          <w:rFonts w:eastAsia="Calibri"/>
          <w:iCs/>
        </w:rPr>
        <w:t xml:space="preserve">naïve patients, the PBAC considered the data supported a conclusion of non-inferior comparative safety versus a regimen of DTG + Truvada, and by extension other similar 3DR regimens in </w:t>
      </w:r>
      <w:r w:rsidR="00053DDE" w:rsidRPr="00581941">
        <w:rPr>
          <w:rFonts w:eastAsia="Calibri"/>
          <w:iCs/>
        </w:rPr>
        <w:t>treatment</w:t>
      </w:r>
      <w:r w:rsidR="00053DDE" w:rsidRPr="00581941">
        <w:rPr>
          <w:rFonts w:eastAsia="Calibri"/>
          <w:iCs/>
        </w:rPr>
        <w:noBreakHyphen/>
      </w:r>
      <w:r w:rsidRPr="00581941">
        <w:rPr>
          <w:rFonts w:eastAsia="Calibri"/>
          <w:iCs/>
        </w:rPr>
        <w:t>naïve patients (paragraph 7.4, DTG/3TC PSD, July 2019 PBAC meeting).</w:t>
      </w:r>
    </w:p>
    <w:p w:rsidR="006013E0" w:rsidRPr="00581941" w:rsidRDefault="006013E0" w:rsidP="004E59EC">
      <w:pPr>
        <w:pStyle w:val="3-BodyText"/>
        <w:rPr>
          <w:rFonts w:eastAsia="Calibri"/>
        </w:rPr>
      </w:pPr>
      <w:r w:rsidRPr="00581941">
        <w:rPr>
          <w:rFonts w:eastAsia="Calibri"/>
        </w:rPr>
        <w:t>The PBAC considered the clinical claims of non-inferior comparative efficacy and safety to</w:t>
      </w:r>
      <w:r w:rsidR="009176FF" w:rsidRPr="00581941">
        <w:rPr>
          <w:rFonts w:eastAsia="Calibri"/>
        </w:rPr>
        <w:t xml:space="preserve"> its component drugs taken concomitantly</w:t>
      </w:r>
      <w:r w:rsidR="00C13084" w:rsidRPr="00581941">
        <w:rPr>
          <w:rFonts w:eastAsia="Calibri"/>
        </w:rPr>
        <w:t xml:space="preserve"> </w:t>
      </w:r>
      <w:r w:rsidR="009176FF" w:rsidRPr="00581941">
        <w:rPr>
          <w:rFonts w:eastAsia="Calibri"/>
        </w:rPr>
        <w:t>and</w:t>
      </w:r>
      <w:r w:rsidR="00571325" w:rsidRPr="00581941">
        <w:rPr>
          <w:rFonts w:eastAsia="Calibri"/>
        </w:rPr>
        <w:t xml:space="preserve"> to</w:t>
      </w:r>
      <w:r w:rsidR="009176FF" w:rsidRPr="00581941">
        <w:rPr>
          <w:rFonts w:eastAsia="Calibri"/>
        </w:rPr>
        <w:t xml:space="preserve"> the</w:t>
      </w:r>
      <w:r w:rsidRPr="00581941">
        <w:rPr>
          <w:rFonts w:eastAsia="Calibri"/>
        </w:rPr>
        <w:t xml:space="preserve"> nominated TBRs </w:t>
      </w:r>
      <w:r w:rsidR="00C13084" w:rsidRPr="00581941">
        <w:rPr>
          <w:rFonts w:eastAsia="Calibri"/>
        </w:rPr>
        <w:t xml:space="preserve">and non-TBRs </w:t>
      </w:r>
      <w:r w:rsidRPr="00581941">
        <w:rPr>
          <w:rFonts w:eastAsia="Calibri"/>
        </w:rPr>
        <w:t>were reasonable and accepted the TBRs were a reasonable proxy for comparative efficacy and safety to the nomin</w:t>
      </w:r>
      <w:r w:rsidR="00571325" w:rsidRPr="00581941">
        <w:rPr>
          <w:rFonts w:eastAsia="Calibri"/>
        </w:rPr>
        <w:t>a</w:t>
      </w:r>
      <w:r w:rsidRPr="00581941">
        <w:rPr>
          <w:rFonts w:eastAsia="Calibri"/>
        </w:rPr>
        <w:t xml:space="preserve">ted non-TBRs. The PBAC noted this was consistent with its view that a regimen of DTG + Truvada was a reasonable proxy for other 3DRs when it considered </w:t>
      </w:r>
      <w:r w:rsidR="00926C6B" w:rsidRPr="00581941">
        <w:t>DTG/3TC</w:t>
      </w:r>
      <w:r w:rsidR="00926C6B" w:rsidRPr="00581941" w:rsidDel="00926C6B">
        <w:rPr>
          <w:rFonts w:eastAsia="Calibri"/>
        </w:rPr>
        <w:t xml:space="preserve"> </w:t>
      </w:r>
      <w:r w:rsidRPr="00581941">
        <w:rPr>
          <w:rFonts w:eastAsia="Calibri"/>
        </w:rPr>
        <w:t>at its July 2019 meeting.</w:t>
      </w:r>
    </w:p>
    <w:p w:rsidR="004E59EC" w:rsidRPr="00581941" w:rsidRDefault="004E59EC" w:rsidP="004E59EC">
      <w:pPr>
        <w:pStyle w:val="4-SubsectionHeading"/>
      </w:pPr>
      <w:bookmarkStart w:id="35" w:name="_Toc22897645"/>
      <w:bookmarkStart w:id="36" w:name="_Toc22898857"/>
      <w:bookmarkStart w:id="37" w:name="_Toc40810627"/>
      <w:r w:rsidRPr="00581941">
        <w:t>Economic analysis</w:t>
      </w:r>
      <w:bookmarkEnd w:id="35"/>
      <w:bookmarkEnd w:id="36"/>
      <w:bookmarkEnd w:id="37"/>
      <w:r w:rsidRPr="00581941">
        <w:t xml:space="preserve"> </w:t>
      </w:r>
    </w:p>
    <w:p w:rsidR="004E59EC" w:rsidRPr="00581941" w:rsidRDefault="004E59EC" w:rsidP="003A5614">
      <w:pPr>
        <w:pStyle w:val="3-BodyText"/>
      </w:pPr>
      <w:r w:rsidRPr="00581941">
        <w:t xml:space="preserve">The submission presented a </w:t>
      </w:r>
      <w:r w:rsidR="00EC0B68" w:rsidRPr="00581941">
        <w:t>cost</w:t>
      </w:r>
      <w:r w:rsidR="00EC0B68" w:rsidRPr="00581941">
        <w:noBreakHyphen/>
        <w:t>m</w:t>
      </w:r>
      <w:r w:rsidRPr="00581941">
        <w:t xml:space="preserve">inimisation analysis (CMA) for DTG/3TC based on the lowest cost methodology according to the individual components (Part 1) or the nominated </w:t>
      </w:r>
      <w:r w:rsidR="0057083E">
        <w:t>comparators (Part 2</w:t>
      </w:r>
      <w:r w:rsidRPr="00581941">
        <w:t>). The CMA, other than nominated comparators, was unchanged from the previous submission.</w:t>
      </w:r>
    </w:p>
    <w:p w:rsidR="004E59EC" w:rsidRPr="00581941" w:rsidRDefault="004E59EC" w:rsidP="004E59EC">
      <w:pPr>
        <w:pStyle w:val="3-BodyText"/>
      </w:pPr>
      <w:r w:rsidRPr="00581941">
        <w:t>Table 9 presents the key components of the CMA.</w:t>
      </w:r>
    </w:p>
    <w:p w:rsidR="004E59EC" w:rsidRPr="00581941" w:rsidRDefault="004E59EC" w:rsidP="004E59EC">
      <w:pPr>
        <w:keepNext/>
        <w:jc w:val="left"/>
        <w:rPr>
          <w:rFonts w:ascii="Arial Narrow" w:eastAsiaTheme="majorEastAsia" w:hAnsi="Arial Narrow" w:cstheme="majorBidi"/>
          <w:b/>
          <w:bCs/>
          <w:sz w:val="20"/>
        </w:rPr>
      </w:pPr>
      <w:r w:rsidRPr="00581941">
        <w:rPr>
          <w:rFonts w:ascii="Arial Narrow" w:eastAsiaTheme="majorEastAsia" w:hAnsi="Arial Narrow" w:cstheme="majorBidi"/>
          <w:b/>
          <w:bCs/>
          <w:sz w:val="20"/>
        </w:rPr>
        <w:t xml:space="preserve">Table 9: Key components and assumptions of the </w:t>
      </w:r>
      <w:r w:rsidR="00EC0B68" w:rsidRPr="00581941">
        <w:rPr>
          <w:rFonts w:ascii="Arial Narrow" w:eastAsiaTheme="majorEastAsia" w:hAnsi="Arial Narrow" w:cstheme="majorBidi"/>
          <w:b/>
          <w:bCs/>
          <w:sz w:val="20"/>
        </w:rPr>
        <w:t>cost</w:t>
      </w:r>
      <w:r w:rsidR="00EC0B68" w:rsidRPr="00581941">
        <w:rPr>
          <w:rFonts w:ascii="Arial Narrow" w:eastAsiaTheme="majorEastAsia" w:hAnsi="Arial Narrow" w:cstheme="majorBidi"/>
          <w:b/>
          <w:bCs/>
          <w:sz w:val="20"/>
        </w:rPr>
        <w:noBreakHyphen/>
        <w:t>m</w:t>
      </w:r>
      <w:r w:rsidRPr="00581941">
        <w:rPr>
          <w:rFonts w:ascii="Arial Narrow" w:eastAsiaTheme="majorEastAsia" w:hAnsi="Arial Narrow" w:cstheme="majorBidi"/>
          <w:b/>
          <w:bCs/>
          <w:sz w:val="20"/>
        </w:rPr>
        <w:t>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501"/>
      </w:tblGrid>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imes New Roman"/>
                <w:b/>
                <w:sz w:val="20"/>
              </w:rPr>
            </w:pPr>
            <w:r w:rsidRPr="00581941">
              <w:rPr>
                <w:rFonts w:ascii="Arial Narrow" w:eastAsiaTheme="majorEastAsia" w:hAnsi="Arial Narrow" w:cs="Times New Roman"/>
                <w:b/>
                <w:sz w:val="20"/>
              </w:rPr>
              <w:t>Component</w:t>
            </w:r>
          </w:p>
        </w:tc>
        <w:tc>
          <w:tcPr>
            <w:tcW w:w="3605" w:type="pct"/>
            <w:vAlign w:val="center"/>
          </w:tcPr>
          <w:p w:rsidR="004E59EC" w:rsidRPr="00581941" w:rsidRDefault="004E59EC" w:rsidP="005C3242">
            <w:pPr>
              <w:keepNext/>
              <w:jc w:val="left"/>
              <w:rPr>
                <w:rFonts w:ascii="Arial Narrow" w:eastAsiaTheme="majorEastAsia" w:hAnsi="Arial Narrow" w:cs="Times New Roman"/>
                <w:b/>
                <w:sz w:val="20"/>
              </w:rPr>
            </w:pPr>
            <w:r w:rsidRPr="00581941">
              <w:rPr>
                <w:rFonts w:ascii="Arial Narrow" w:eastAsiaTheme="majorEastAsia" w:hAnsi="Arial Narrow" w:cs="Times New Roman"/>
                <w:b/>
                <w:sz w:val="20"/>
              </w:rPr>
              <w:t>Claim or assumption</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Therapeutic claim: bioequivalence</w:t>
            </w:r>
          </w:p>
        </w:tc>
        <w:tc>
          <w:tcPr>
            <w:tcW w:w="360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Based on bioequivalence between DTG/3TC and individual components previously considered appropriate during the July 2019 submission (paragraphs 6.19 and 7.2</w:t>
            </w:r>
            <w:r w:rsidR="00752BB1" w:rsidRPr="00581941">
              <w:rPr>
                <w:rFonts w:ascii="Arial Narrow" w:eastAsiaTheme="majorEastAsia" w:hAnsi="Arial Narrow" w:cstheme="majorBidi"/>
                <w:bCs/>
                <w:sz w:val="20"/>
              </w:rPr>
              <w:t xml:space="preserve">, July 2019 </w:t>
            </w:r>
            <w:r w:rsidR="00926C6B" w:rsidRPr="00581941">
              <w:rPr>
                <w:rFonts w:ascii="Arial Narrow" w:eastAsiaTheme="majorEastAsia" w:hAnsi="Arial Narrow" w:cstheme="majorBidi"/>
                <w:bCs/>
                <w:sz w:val="20"/>
              </w:rPr>
              <w:t>DTG/3TC</w:t>
            </w:r>
            <w:r w:rsidR="00926C6B" w:rsidRPr="00581941" w:rsidDel="00926C6B">
              <w:rPr>
                <w:rFonts w:ascii="Arial Narrow" w:eastAsiaTheme="majorEastAsia" w:hAnsi="Arial Narrow" w:cstheme="majorBidi"/>
                <w:bCs/>
                <w:sz w:val="20"/>
              </w:rPr>
              <w:t xml:space="preserve"> </w:t>
            </w:r>
            <w:r w:rsidR="00752BB1" w:rsidRPr="00581941">
              <w:rPr>
                <w:rFonts w:ascii="Arial Narrow" w:eastAsiaTheme="majorEastAsia" w:hAnsi="Arial Narrow" w:cstheme="majorBidi"/>
                <w:bCs/>
                <w:sz w:val="20"/>
              </w:rPr>
              <w:t>PSD</w:t>
            </w:r>
            <w:r w:rsidRPr="00581941">
              <w:rPr>
                <w:rFonts w:ascii="Arial Narrow" w:eastAsiaTheme="majorEastAsia" w:hAnsi="Arial Narrow" w:cstheme="majorBidi"/>
                <w:bCs/>
                <w:sz w:val="20"/>
              </w:rPr>
              <w:t>)</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Therapeutic claim: effectiveness</w:t>
            </w:r>
          </w:p>
        </w:tc>
        <w:tc>
          <w:tcPr>
            <w:tcW w:w="3605" w:type="pct"/>
            <w:vAlign w:val="center"/>
          </w:tcPr>
          <w:p w:rsidR="004E59EC" w:rsidRPr="00581941" w:rsidRDefault="004E59EC" w:rsidP="008F4AEF">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Based on evidence presented, DTG/3TC is non-inferior in terms of effectiveness in comparison to Biktarvy, Genvoya, Odefsey, Juluca and Triumeq for the treatment of HIV infection</w:t>
            </w:r>
            <w:r w:rsidR="00581941">
              <w:rPr>
                <w:rFonts w:ascii="Arial Narrow" w:eastAsiaTheme="majorEastAsia" w:hAnsi="Arial Narrow" w:cstheme="majorBidi"/>
                <w:bCs/>
                <w:sz w:val="20"/>
              </w:rPr>
              <w:t xml:space="preserve">. </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Therapeutic claim: safety</w:t>
            </w:r>
          </w:p>
        </w:tc>
        <w:tc>
          <w:tcPr>
            <w:tcW w:w="3605" w:type="pct"/>
            <w:vAlign w:val="center"/>
          </w:tcPr>
          <w:p w:rsidR="004E59EC" w:rsidRPr="00581941" w:rsidRDefault="004E59EC" w:rsidP="002B2D59">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Based on evidence presented, DTG/3TC is non-inferior in terms of safety in comparison to Biktarvy, Genvoya, Odefsey, Juluca and Triumeq for the treatment of HIV infection</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Evidence base</w:t>
            </w:r>
          </w:p>
        </w:tc>
        <w:tc>
          <w:tcPr>
            <w:tcW w:w="3605" w:type="pct"/>
            <w:vAlign w:val="center"/>
          </w:tcPr>
          <w:p w:rsidR="004E59EC" w:rsidRPr="00581941" w:rsidRDefault="004E59EC" w:rsidP="006971DE">
            <w:pPr>
              <w:keepNext/>
              <w:numPr>
                <w:ilvl w:val="0"/>
                <w:numId w:val="12"/>
              </w:numPr>
              <w:ind w:left="209" w:hanging="218"/>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Direct randomised trial: TANGO:  48 week analyses </w:t>
            </w:r>
          </w:p>
          <w:p w:rsidR="004E59EC" w:rsidRPr="00581941" w:rsidRDefault="004E59EC" w:rsidP="002B2D59">
            <w:pPr>
              <w:keepNext/>
              <w:numPr>
                <w:ilvl w:val="0"/>
                <w:numId w:val="12"/>
              </w:numPr>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Extended assessment of harms: </w:t>
            </w:r>
            <w:r w:rsidR="00926C6B" w:rsidRPr="00581941">
              <w:rPr>
                <w:rFonts w:ascii="Arial Narrow" w:eastAsiaTheme="majorEastAsia" w:hAnsi="Arial Narrow" w:cstheme="majorBidi"/>
                <w:bCs/>
                <w:sz w:val="20"/>
              </w:rPr>
              <w:t>DTG/3TC</w:t>
            </w:r>
            <w:r w:rsidR="00926C6B" w:rsidRPr="00581941" w:rsidDel="00926C6B">
              <w:rPr>
                <w:rFonts w:ascii="Arial Narrow" w:eastAsiaTheme="majorEastAsia" w:hAnsi="Arial Narrow" w:cstheme="majorBidi"/>
                <w:bCs/>
                <w:sz w:val="20"/>
              </w:rPr>
              <w:t xml:space="preserve"> </w:t>
            </w:r>
            <w:r w:rsidRPr="00581941">
              <w:rPr>
                <w:rFonts w:ascii="Arial Narrow" w:eastAsiaTheme="majorEastAsia" w:hAnsi="Arial Narrow" w:cstheme="majorBidi"/>
                <w:bCs/>
                <w:sz w:val="20"/>
              </w:rPr>
              <w:t>July 2019 PBAC submission and DTG, Triumeq, DTG/3TC PBRER 2019</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Equi-effective doses</w:t>
            </w:r>
          </w:p>
        </w:tc>
        <w:tc>
          <w:tcPr>
            <w:tcW w:w="3605" w:type="pct"/>
            <w:vAlign w:val="center"/>
          </w:tcPr>
          <w:p w:rsidR="004E59EC" w:rsidRPr="00581941" w:rsidRDefault="004E59EC" w:rsidP="00EC0B68">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Individual components: DTG/3TC (50/300 mg) </w:t>
            </w:r>
            <w:r w:rsidR="00EC0B68" w:rsidRPr="00581941">
              <w:rPr>
                <w:rFonts w:ascii="Arial Narrow" w:eastAsiaTheme="majorEastAsia" w:hAnsi="Arial Narrow" w:cstheme="majorBidi"/>
                <w:bCs/>
                <w:sz w:val="20"/>
              </w:rPr>
              <w:t xml:space="preserve">equivalent to </w:t>
            </w:r>
            <w:r w:rsidRPr="00581941">
              <w:rPr>
                <w:rFonts w:ascii="Arial Narrow" w:eastAsiaTheme="majorEastAsia" w:hAnsi="Arial Narrow" w:cstheme="majorBidi"/>
                <w:bCs/>
                <w:sz w:val="20"/>
              </w:rPr>
              <w:t>DTG 50 mg + 3TC 300</w:t>
            </w:r>
            <w:r w:rsidR="00EF332D" w:rsidRPr="00581941">
              <w:rPr>
                <w:rFonts w:ascii="Arial Narrow" w:eastAsiaTheme="majorEastAsia" w:hAnsi="Arial Narrow" w:cstheme="majorBidi"/>
                <w:bCs/>
                <w:sz w:val="20"/>
              </w:rPr>
              <w:t> </w:t>
            </w:r>
            <w:r w:rsidRPr="00581941">
              <w:rPr>
                <w:rFonts w:ascii="Arial Narrow" w:eastAsiaTheme="majorEastAsia" w:hAnsi="Arial Narrow" w:cstheme="majorBidi"/>
                <w:bCs/>
                <w:sz w:val="20"/>
              </w:rPr>
              <w:t>mg</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Direct medicine costs</w:t>
            </w:r>
          </w:p>
        </w:tc>
        <w:tc>
          <w:tcPr>
            <w:tcW w:w="3605" w:type="pct"/>
            <w:vAlign w:val="center"/>
          </w:tcPr>
          <w:p w:rsidR="004E59EC" w:rsidRPr="00581941" w:rsidRDefault="004E59EC" w:rsidP="006971DE">
            <w:pPr>
              <w:keepNext/>
              <w:numPr>
                <w:ilvl w:val="0"/>
                <w:numId w:val="12"/>
              </w:numPr>
              <w:ind w:left="209" w:hanging="218"/>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Part 1 (individual components): </w:t>
            </w:r>
            <w:r w:rsidR="00EC0B68" w:rsidRPr="00581941">
              <w:rPr>
                <w:rFonts w:ascii="Arial Narrow" w:eastAsiaTheme="majorEastAsia" w:hAnsi="Arial Narrow" w:cstheme="majorBidi"/>
                <w:bCs/>
                <w:sz w:val="20"/>
              </w:rPr>
              <w:t>cost</w:t>
            </w:r>
            <w:r w:rsidR="00EC0B68" w:rsidRPr="00581941">
              <w:rPr>
                <w:rFonts w:ascii="Arial Narrow" w:eastAsiaTheme="majorEastAsia" w:hAnsi="Arial Narrow" w:cstheme="majorBidi"/>
                <w:bCs/>
                <w:sz w:val="20"/>
              </w:rPr>
              <w:noBreakHyphen/>
              <w:t>m</w:t>
            </w:r>
            <w:r w:rsidRPr="00581941">
              <w:rPr>
                <w:rFonts w:ascii="Arial Narrow" w:eastAsiaTheme="majorEastAsia" w:hAnsi="Arial Narrow" w:cstheme="majorBidi"/>
                <w:bCs/>
                <w:sz w:val="20"/>
              </w:rPr>
              <w:t xml:space="preserve">inimised to DTG +3TC; </w:t>
            </w:r>
          </w:p>
          <w:p w:rsidR="004E59EC" w:rsidRPr="00581941" w:rsidRDefault="004E59EC" w:rsidP="002B2D59">
            <w:pPr>
              <w:keepNext/>
              <w:numPr>
                <w:ilvl w:val="0"/>
                <w:numId w:val="12"/>
              </w:numPr>
              <w:ind w:left="209" w:hanging="218"/>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Part 2 (alternative FDC triple therapy): </w:t>
            </w:r>
            <w:r w:rsidR="00EC0B68" w:rsidRPr="00581941">
              <w:rPr>
                <w:rFonts w:ascii="Arial Narrow" w:eastAsiaTheme="majorEastAsia" w:hAnsi="Arial Narrow" w:cstheme="majorBidi"/>
                <w:bCs/>
                <w:sz w:val="20"/>
              </w:rPr>
              <w:t>cost</w:t>
            </w:r>
            <w:r w:rsidR="00EC0B68" w:rsidRPr="00581941">
              <w:rPr>
                <w:rFonts w:ascii="Arial Narrow" w:eastAsiaTheme="majorEastAsia" w:hAnsi="Arial Narrow" w:cstheme="majorBidi"/>
                <w:bCs/>
                <w:sz w:val="20"/>
              </w:rPr>
              <w:noBreakHyphen/>
              <w:t>m</w:t>
            </w:r>
            <w:r w:rsidRPr="00581941">
              <w:rPr>
                <w:rFonts w:ascii="Arial Narrow" w:eastAsiaTheme="majorEastAsia" w:hAnsi="Arial Narrow" w:cstheme="majorBidi"/>
                <w:bCs/>
                <w:sz w:val="20"/>
              </w:rPr>
              <w:t>inimised to Biktarvy, Triumeq, Genvoya, Odefsey, Juluca</w:t>
            </w:r>
          </w:p>
        </w:tc>
      </w:tr>
      <w:tr w:rsidR="004E59EC" w:rsidRPr="00581941" w:rsidTr="000E7FF3">
        <w:tc>
          <w:tcPr>
            <w:tcW w:w="1395" w:type="pct"/>
            <w:vAlign w:val="center"/>
          </w:tcPr>
          <w:p w:rsidR="004E59EC" w:rsidRPr="00581941" w:rsidRDefault="004E59EC" w:rsidP="005C3242">
            <w:pPr>
              <w:keepNext/>
              <w:jc w:val="left"/>
              <w:rPr>
                <w:rFonts w:ascii="Arial Narrow" w:eastAsiaTheme="majorEastAsia" w:hAnsi="Arial Narrow" w:cstheme="majorBidi"/>
                <w:bCs/>
                <w:sz w:val="20"/>
              </w:rPr>
            </w:pPr>
            <w:r w:rsidRPr="00581941">
              <w:rPr>
                <w:rFonts w:ascii="Arial Narrow" w:eastAsiaTheme="majorEastAsia" w:hAnsi="Arial Narrow" w:cstheme="majorBidi"/>
                <w:bCs/>
                <w:sz w:val="20"/>
              </w:rPr>
              <w:t>Other costs or cost offsets</w:t>
            </w:r>
          </w:p>
        </w:tc>
        <w:tc>
          <w:tcPr>
            <w:tcW w:w="3605" w:type="pct"/>
            <w:vAlign w:val="center"/>
          </w:tcPr>
          <w:p w:rsidR="004E59EC" w:rsidRPr="00581941" w:rsidRDefault="004E59EC" w:rsidP="006971DE">
            <w:pPr>
              <w:keepNext/>
              <w:numPr>
                <w:ilvl w:val="0"/>
                <w:numId w:val="12"/>
              </w:numPr>
              <w:ind w:left="209" w:hanging="218"/>
              <w:jc w:val="left"/>
              <w:rPr>
                <w:rFonts w:ascii="Arial Narrow" w:eastAsiaTheme="majorEastAsia" w:hAnsi="Arial Narrow" w:cstheme="majorBidi"/>
                <w:bCs/>
                <w:sz w:val="20"/>
              </w:rPr>
            </w:pPr>
            <w:r w:rsidRPr="00581941">
              <w:rPr>
                <w:rFonts w:ascii="Arial Narrow" w:eastAsiaTheme="majorEastAsia" w:hAnsi="Arial Narrow" w:cstheme="majorBidi"/>
                <w:bCs/>
                <w:sz w:val="20"/>
              </w:rPr>
              <w:t xml:space="preserve">ABC: HLA-B*5701 testing prior to the commencement (MBS Item 71203/73323); </w:t>
            </w:r>
          </w:p>
          <w:p w:rsidR="004E59EC" w:rsidRPr="00581941" w:rsidRDefault="004E59EC" w:rsidP="006971DE">
            <w:pPr>
              <w:keepNext/>
              <w:numPr>
                <w:ilvl w:val="0"/>
                <w:numId w:val="12"/>
              </w:numPr>
              <w:ind w:left="209" w:hanging="218"/>
              <w:jc w:val="left"/>
              <w:rPr>
                <w:rFonts w:ascii="Arial Narrow" w:eastAsiaTheme="majorEastAsia" w:hAnsi="Arial Narrow" w:cstheme="majorBidi"/>
                <w:bCs/>
                <w:sz w:val="20"/>
              </w:rPr>
            </w:pPr>
            <w:r w:rsidRPr="00581941">
              <w:rPr>
                <w:rFonts w:ascii="Arial Narrow" w:eastAsiaTheme="majorEastAsia" w:hAnsi="Arial Narrow" w:cstheme="majorBidi"/>
                <w:bCs/>
                <w:sz w:val="20"/>
              </w:rPr>
              <w:t>Tenofovir: assessment of urinary protein and glucose every 6 months (DHHS 2018; MBS Item: 66503)</w:t>
            </w:r>
          </w:p>
        </w:tc>
      </w:tr>
    </w:tbl>
    <w:p w:rsidR="004E59EC" w:rsidRPr="00581941" w:rsidRDefault="004E59EC" w:rsidP="004E59EC">
      <w:pPr>
        <w:spacing w:after="120"/>
        <w:contextualSpacing/>
        <w:jc w:val="left"/>
        <w:rPr>
          <w:rFonts w:ascii="Arial Narrow" w:hAnsi="Arial Narrow"/>
          <w:snapToGrid w:val="0"/>
          <w:sz w:val="18"/>
          <w:szCs w:val="22"/>
        </w:rPr>
      </w:pPr>
      <w:r w:rsidRPr="00581941">
        <w:rPr>
          <w:rFonts w:ascii="Arial Narrow" w:hAnsi="Arial Narrow"/>
          <w:snapToGrid w:val="0"/>
          <w:sz w:val="18"/>
          <w:szCs w:val="22"/>
        </w:rPr>
        <w:t>Source: Table 45, p63 of the submission</w:t>
      </w:r>
    </w:p>
    <w:p w:rsidR="004E59EC" w:rsidRPr="00581941" w:rsidRDefault="004E59EC" w:rsidP="004E59EC">
      <w:pPr>
        <w:spacing w:after="120"/>
        <w:contextualSpacing/>
        <w:jc w:val="left"/>
        <w:rPr>
          <w:rFonts w:ascii="Arial Narrow" w:hAnsi="Arial Narrow"/>
          <w:snapToGrid w:val="0"/>
          <w:sz w:val="20"/>
          <w:szCs w:val="22"/>
        </w:rPr>
      </w:pPr>
      <w:r w:rsidRPr="00581941">
        <w:rPr>
          <w:rFonts w:ascii="Arial Narrow" w:hAnsi="Arial Narrow"/>
          <w:snapToGrid w:val="0"/>
          <w:sz w:val="18"/>
          <w:szCs w:val="22"/>
        </w:rPr>
        <w:t>3TC = lamivudine; ABC = abacavir; BIC = bictegravir; DHHS = Department of Health and Human Services; DTG = dolutegravir; ELV/c = elvitegravir/cobicistat; FDC = fixe</w:t>
      </w:r>
      <w:r w:rsidR="00053DDE" w:rsidRPr="00581941">
        <w:rPr>
          <w:rFonts w:ascii="Arial Narrow" w:hAnsi="Arial Narrow"/>
          <w:snapToGrid w:val="0"/>
          <w:sz w:val="18"/>
          <w:szCs w:val="22"/>
        </w:rPr>
        <w:t>d</w:t>
      </w:r>
      <w:r w:rsidR="00053DDE" w:rsidRPr="00581941">
        <w:rPr>
          <w:rFonts w:ascii="Arial Narrow" w:hAnsi="Arial Narrow"/>
          <w:snapToGrid w:val="0"/>
          <w:sz w:val="18"/>
          <w:szCs w:val="22"/>
        </w:rPr>
        <w:noBreakHyphen/>
        <w:t>dose</w:t>
      </w:r>
      <w:r w:rsidRPr="00581941">
        <w:rPr>
          <w:rFonts w:ascii="Arial Narrow" w:hAnsi="Arial Narrow"/>
          <w:snapToGrid w:val="0"/>
          <w:sz w:val="18"/>
          <w:szCs w:val="22"/>
        </w:rPr>
        <w:t xml:space="preserve"> combination; FTC = emtricitabine; HIV = human immunodeficiency virus; HLA = human leukocyte antigen; MBS = </w:t>
      </w:r>
      <w:r w:rsidR="008F4AEF" w:rsidRPr="00581941">
        <w:rPr>
          <w:rFonts w:ascii="Arial Narrow" w:hAnsi="Arial Narrow"/>
          <w:snapToGrid w:val="0"/>
          <w:sz w:val="18"/>
          <w:szCs w:val="22"/>
        </w:rPr>
        <w:t>Medicare Benefits S</w:t>
      </w:r>
      <w:r w:rsidRPr="00581941">
        <w:rPr>
          <w:rFonts w:ascii="Arial Narrow" w:hAnsi="Arial Narrow"/>
          <w:snapToGrid w:val="0"/>
          <w:sz w:val="18"/>
          <w:szCs w:val="22"/>
        </w:rPr>
        <w:t xml:space="preserve">chedule; </w:t>
      </w:r>
      <w:r w:rsidR="00C13084" w:rsidRPr="00581941">
        <w:rPr>
          <w:rFonts w:ascii="Arial Narrow" w:hAnsi="Arial Narrow"/>
          <w:snapToGrid w:val="0"/>
          <w:sz w:val="18"/>
          <w:szCs w:val="22"/>
        </w:rPr>
        <w:t>PBAC =</w:t>
      </w:r>
      <w:r w:rsidR="00694744" w:rsidRPr="00581941">
        <w:rPr>
          <w:rFonts w:ascii="Arial Narrow" w:hAnsi="Arial Narrow"/>
          <w:snapToGrid w:val="0"/>
          <w:sz w:val="18"/>
          <w:szCs w:val="22"/>
        </w:rPr>
        <w:t xml:space="preserve"> Pharmaceutical Advisory Committee;</w:t>
      </w:r>
      <w:r w:rsidR="00C13084" w:rsidRPr="00581941">
        <w:rPr>
          <w:rFonts w:ascii="Arial Narrow" w:hAnsi="Arial Narrow"/>
          <w:snapToGrid w:val="0"/>
          <w:sz w:val="18"/>
          <w:szCs w:val="22"/>
        </w:rPr>
        <w:t xml:space="preserve"> PBRER =</w:t>
      </w:r>
      <w:r w:rsidR="00694744" w:rsidRPr="00581941">
        <w:t xml:space="preserve"> </w:t>
      </w:r>
      <w:r w:rsidR="00694744" w:rsidRPr="00581941">
        <w:rPr>
          <w:rFonts w:ascii="Arial Narrow" w:hAnsi="Arial Narrow"/>
          <w:snapToGrid w:val="0"/>
          <w:sz w:val="18"/>
          <w:szCs w:val="22"/>
        </w:rPr>
        <w:t xml:space="preserve">Periodic Benefit Risk Evaluation Report; </w:t>
      </w:r>
      <w:r w:rsidRPr="00581941">
        <w:rPr>
          <w:rFonts w:ascii="Arial Narrow" w:hAnsi="Arial Narrow"/>
          <w:snapToGrid w:val="0"/>
          <w:sz w:val="18"/>
          <w:szCs w:val="22"/>
        </w:rPr>
        <w:t>RPV = rilpivirine; TAF = tenofovir alafenamide; TDF = tenofovir disoproxil fumarate</w:t>
      </w:r>
    </w:p>
    <w:p w:rsidR="004E59EC" w:rsidRPr="00581941" w:rsidRDefault="004E59EC" w:rsidP="004E59EC"/>
    <w:p w:rsidR="004E59EC" w:rsidRPr="00581941" w:rsidRDefault="004E59EC" w:rsidP="004E59EC">
      <w:pPr>
        <w:pStyle w:val="3-BodyText"/>
      </w:pPr>
      <w:r w:rsidRPr="00581941">
        <w:t>The equi-effective doses were derived from the recommended adult daily dose (TGA</w:t>
      </w:r>
      <w:r w:rsidR="00C656D3" w:rsidRPr="00581941">
        <w:t>-</w:t>
      </w:r>
      <w:r w:rsidRPr="00581941">
        <w:t xml:space="preserve">approved/draft product information) for the intervention (Dovato) and the individual component medicines (DTG + 3TC). </w:t>
      </w:r>
    </w:p>
    <w:p w:rsidR="004E59EC" w:rsidRPr="00581941" w:rsidRDefault="004E59EC" w:rsidP="004E59EC">
      <w:pPr>
        <w:pStyle w:val="3-BodyText"/>
      </w:pPr>
      <w:r w:rsidRPr="00581941">
        <w:t>A difference in MBS costs for monitoring requirement</w:t>
      </w:r>
      <w:r w:rsidR="00C656D3" w:rsidRPr="00581941">
        <w:t>s</w:t>
      </w:r>
      <w:r w:rsidRPr="00581941">
        <w:t xml:space="preserve"> was expected between DTG/3TC and the alternative FDC triple therapies containing abacavir (ABC) and tenofovir</w:t>
      </w:r>
      <w:r w:rsidR="002D28FE" w:rsidRPr="00581941">
        <w:t xml:space="preserve"> </w:t>
      </w:r>
      <w:r w:rsidRPr="00581941">
        <w:t>(Biktarvy, Triumeq, Genvoya, Odefsey):</w:t>
      </w:r>
    </w:p>
    <w:p w:rsidR="004E59EC" w:rsidRPr="00581941" w:rsidRDefault="004E59EC" w:rsidP="00CF1701">
      <w:pPr>
        <w:pStyle w:val="ListParagraph"/>
        <w:ind w:left="1077" w:hanging="357"/>
      </w:pPr>
      <w:r w:rsidRPr="00581941">
        <w:t>Abacavir (ABC): human leukocyte antigen (HLA)-B*5701 testing prior to the commencement (MBS Item 71203/73323; $34.50)</w:t>
      </w:r>
    </w:p>
    <w:p w:rsidR="004E59EC" w:rsidRPr="00581941" w:rsidRDefault="004E59EC" w:rsidP="00CF1701">
      <w:pPr>
        <w:pStyle w:val="ListParagraph"/>
        <w:ind w:left="1077" w:hanging="357"/>
      </w:pPr>
      <w:r w:rsidRPr="00581941">
        <w:t>Tenofovir: urinary protein and glucose at baseline and every 6 months (MBS Item: 66503; $9.95 at baseline, 6 months, and 12 months)</w:t>
      </w:r>
    </w:p>
    <w:p w:rsidR="004E59EC" w:rsidRPr="00581941" w:rsidRDefault="004E59EC" w:rsidP="00752BB1">
      <w:pPr>
        <w:pStyle w:val="3-BodyText"/>
      </w:pPr>
      <w:r w:rsidRPr="00581941">
        <w:t>The CMA</w:t>
      </w:r>
      <w:r w:rsidR="00752BB1" w:rsidRPr="00581941">
        <w:t xml:space="preserve"> approach for </w:t>
      </w:r>
      <w:r w:rsidR="00926C6B" w:rsidRPr="00581941">
        <w:t>DTG/3TC</w:t>
      </w:r>
      <w:r w:rsidR="00926C6B" w:rsidRPr="00581941" w:rsidDel="00926C6B">
        <w:t xml:space="preserve"> </w:t>
      </w:r>
      <w:r w:rsidR="00752BB1" w:rsidRPr="00581941">
        <w:t>versus cost of individual components was reasonable as the TGA has accepted they are bioequivalent. The CMA approach verses the alternative ART regimens relie</w:t>
      </w:r>
      <w:r w:rsidR="005B544E" w:rsidRPr="00581941">
        <w:t>d</w:t>
      </w:r>
      <w:r w:rsidR="00752BB1" w:rsidRPr="00581941">
        <w:t xml:space="preserve"> on the PBAC accepting that TBRs could act as a proxy for other three-drug FDCs.</w:t>
      </w:r>
      <w:r w:rsidRPr="00581941">
        <w:t xml:space="preserve"> </w:t>
      </w:r>
    </w:p>
    <w:p w:rsidR="004E59EC" w:rsidRPr="00581941" w:rsidRDefault="004E59EC" w:rsidP="004E59EC">
      <w:pPr>
        <w:pStyle w:val="3-BodyText"/>
      </w:pPr>
      <w:r w:rsidRPr="00581941">
        <w:t xml:space="preserve">Part 1 of the CMA, DTG/3TC </w:t>
      </w:r>
      <w:r w:rsidR="00EC0B68" w:rsidRPr="00581941">
        <w:t>cost</w:t>
      </w:r>
      <w:r w:rsidR="00EC0B68" w:rsidRPr="00581941">
        <w:noBreakHyphen/>
        <w:t>m</w:t>
      </w:r>
      <w:r w:rsidRPr="00581941">
        <w:t>inimised against the individual components, demonstrated the lowest cost method for DTG/3TC. The CMA included prices current as of April 2020</w:t>
      </w:r>
      <w:r w:rsidR="006748AE" w:rsidRPr="00581941">
        <w:t xml:space="preserve"> and </w:t>
      </w:r>
      <w:r w:rsidR="006748AE" w:rsidRPr="00581941">
        <w:rPr>
          <w:color w:val="000000" w:themeColor="text1"/>
        </w:rPr>
        <w:t>was consistent with the current PBS price for treatment naïve patients</w:t>
      </w:r>
      <w:r w:rsidRPr="00581941">
        <w:t xml:space="preserve">. </w:t>
      </w:r>
      <w:r w:rsidR="006748AE" w:rsidRPr="00581941">
        <w:rPr>
          <w:iCs/>
        </w:rPr>
        <w:t xml:space="preserve">DTG/3TC was less costly </w:t>
      </w:r>
      <w:r w:rsidR="00B84881" w:rsidRPr="00581941">
        <w:rPr>
          <w:iCs/>
        </w:rPr>
        <w:t>than</w:t>
      </w:r>
      <w:r w:rsidR="006748AE" w:rsidRPr="00581941">
        <w:rPr>
          <w:iCs/>
        </w:rPr>
        <w:t xml:space="preserve"> Symtuza, which was not included as a comparator in the submission.</w:t>
      </w:r>
      <w:r w:rsidR="006748AE" w:rsidRPr="00581941">
        <w:t xml:space="preserve"> </w:t>
      </w:r>
      <w:r w:rsidRPr="00581941">
        <w:t xml:space="preserve">Table 10 presents the results of the </w:t>
      </w:r>
      <w:r w:rsidR="00EC0B68" w:rsidRPr="00581941">
        <w:t>cost</w:t>
      </w:r>
      <w:r w:rsidR="00EC0B68" w:rsidRPr="00581941">
        <w:noBreakHyphen/>
        <w:t>m</w:t>
      </w:r>
      <w:r w:rsidRPr="00581941">
        <w:t>inimisation analysis.</w:t>
      </w:r>
    </w:p>
    <w:p w:rsidR="004E59EC" w:rsidRPr="00581941" w:rsidRDefault="004E59EC" w:rsidP="004E59EC">
      <w:pPr>
        <w:rPr>
          <w:rFonts w:ascii="Arial Narrow" w:hAnsi="Arial Narrow"/>
          <w:b/>
          <w:sz w:val="20"/>
          <w:szCs w:val="16"/>
        </w:rPr>
      </w:pPr>
      <w:r w:rsidRPr="00581941">
        <w:rPr>
          <w:rFonts w:ascii="Arial Narrow" w:hAnsi="Arial Narrow"/>
          <w:b/>
          <w:sz w:val="20"/>
          <w:szCs w:val="16"/>
        </w:rPr>
        <w:t>Table 10: Results of CMA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68"/>
        <w:gridCol w:w="1535"/>
        <w:gridCol w:w="1365"/>
        <w:gridCol w:w="727"/>
        <w:gridCol w:w="649"/>
        <w:gridCol w:w="877"/>
        <w:gridCol w:w="1987"/>
        <w:gridCol w:w="909"/>
      </w:tblGrid>
      <w:tr w:rsidR="004E59EC" w:rsidRPr="00581941" w:rsidTr="00966FBA">
        <w:trPr>
          <w:trHeight w:val="103"/>
          <w:tblHeader/>
        </w:trPr>
        <w:tc>
          <w:tcPr>
            <w:tcW w:w="537"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Arial Narrow"/>
                <w:b/>
                <w:bCs/>
                <w:sz w:val="20"/>
                <w:szCs w:val="20"/>
              </w:rPr>
            </w:pPr>
          </w:p>
        </w:tc>
        <w:tc>
          <w:tcPr>
            <w:tcW w:w="2857" w:type="pct"/>
            <w:gridSpan w:val="5"/>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Drug costs (AEMP)</w:t>
            </w:r>
          </w:p>
        </w:tc>
        <w:tc>
          <w:tcPr>
            <w:tcW w:w="1102"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Additional monitoring costs</w:t>
            </w: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Total costs</w:t>
            </w:r>
          </w:p>
        </w:tc>
      </w:tr>
      <w:tr w:rsidR="004E59EC" w:rsidRPr="00581941" w:rsidTr="00966FBA">
        <w:trPr>
          <w:trHeight w:val="32"/>
          <w:tblHeader/>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Arial Narrow"/>
                <w:b/>
                <w:bCs/>
                <w:sz w:val="20"/>
                <w:szCs w:val="20"/>
              </w:rPr>
            </w:pPr>
          </w:p>
        </w:tc>
        <w:tc>
          <w:tcPr>
            <w:tcW w:w="1608"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Treatment</w:t>
            </w:r>
          </w:p>
        </w:tc>
        <w:tc>
          <w:tcPr>
            <w:tcW w:w="763"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30 days</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1 year</w:t>
            </w:r>
          </w:p>
        </w:tc>
        <w:tc>
          <w:tcPr>
            <w:tcW w:w="1102"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1 year</w:t>
            </w: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Arial Narrow"/>
                <w:b/>
                <w:bCs/>
                <w:spacing w:val="-1"/>
                <w:sz w:val="20"/>
                <w:szCs w:val="20"/>
              </w:rPr>
            </w:pPr>
            <w:r w:rsidRPr="00581941">
              <w:rPr>
                <w:rFonts w:ascii="Arial Narrow" w:eastAsiaTheme="minorEastAsia" w:hAnsi="Arial Narrow" w:cs="Arial Narrow"/>
                <w:b/>
                <w:bCs/>
                <w:spacing w:val="-1"/>
                <w:sz w:val="20"/>
                <w:szCs w:val="20"/>
              </w:rPr>
              <w:t>1 year</w:t>
            </w:r>
          </w:p>
        </w:tc>
      </w:tr>
      <w:tr w:rsidR="004E59EC" w:rsidRPr="00581941" w:rsidTr="005C3242">
        <w:trPr>
          <w:trHeight w:val="20"/>
        </w:trPr>
        <w:tc>
          <w:tcPr>
            <w:tcW w:w="537"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Part 1: Individual components</w:t>
            </w: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DTG (50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Tivicay</w:t>
            </w:r>
          </w:p>
        </w:tc>
        <w:tc>
          <w:tcPr>
            <w:tcW w:w="403"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$632.27</w:t>
            </w:r>
          </w:p>
        </w:tc>
        <w:tc>
          <w:tcPr>
            <w:tcW w:w="360"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$697.78</w:t>
            </w:r>
          </w:p>
        </w:tc>
        <w:tc>
          <w:tcPr>
            <w:tcW w:w="486"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$8,495.50</w:t>
            </w:r>
          </w:p>
        </w:tc>
        <w:tc>
          <w:tcPr>
            <w:tcW w:w="1102"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NA</w:t>
            </w:r>
          </w:p>
        </w:tc>
        <w:tc>
          <w:tcPr>
            <w:tcW w:w="504"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$8,495.50</w:t>
            </w:r>
          </w:p>
        </w:tc>
      </w:tr>
      <w:tr w:rsidR="004E59EC" w:rsidRPr="00581941" w:rsidTr="005C3242">
        <w:trPr>
          <w:trHeight w:val="20"/>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3TC (300 mg)</w:t>
            </w:r>
          </w:p>
        </w:tc>
        <w:tc>
          <w:tcPr>
            <w:tcW w:w="757" w:type="pct"/>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lamivudine</w:t>
            </w:r>
          </w:p>
        </w:tc>
        <w:tc>
          <w:tcPr>
            <w:tcW w:w="403"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$65.51</w:t>
            </w:r>
          </w:p>
        </w:tc>
        <w:tc>
          <w:tcPr>
            <w:tcW w:w="360"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c>
          <w:tcPr>
            <w:tcW w:w="486"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c>
          <w:tcPr>
            <w:tcW w:w="1102"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c>
          <w:tcPr>
            <w:tcW w:w="504"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r>
      <w:tr w:rsidR="004E59EC" w:rsidRPr="00581941" w:rsidTr="005C3242">
        <w:trPr>
          <w:trHeight w:val="20"/>
        </w:trPr>
        <w:tc>
          <w:tcPr>
            <w:tcW w:w="537"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Part 2: Alternative FDC triple therapy</w:t>
            </w: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DTG/ABC/3TC  (50/600/300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Triumeq</w:t>
            </w:r>
          </w:p>
        </w:tc>
        <w:tc>
          <w:tcPr>
            <w:tcW w:w="763" w:type="pct"/>
            <w:gridSpan w:val="2"/>
            <w:shd w:val="clear" w:color="auto" w:fill="auto"/>
            <w:vAlign w:val="center"/>
          </w:tcPr>
          <w:p w:rsidR="004E59EC" w:rsidRPr="00581941" w:rsidRDefault="00C73785"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$830.03</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$10,105.62</w:t>
            </w:r>
          </w:p>
        </w:tc>
        <w:tc>
          <w:tcPr>
            <w:tcW w:w="1102"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MBS Item 71203/73323: $34.50 at commencement</w:t>
            </w: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$10,140.12</w:t>
            </w:r>
          </w:p>
        </w:tc>
      </w:tr>
      <w:tr w:rsidR="004E59EC" w:rsidRPr="00581941" w:rsidTr="005C3242">
        <w:trPr>
          <w:trHeight w:val="20"/>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BIC/TAF/FTC (50/25/200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Biktarvy</w:t>
            </w:r>
          </w:p>
        </w:tc>
        <w:tc>
          <w:tcPr>
            <w:tcW w:w="763"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$900.34</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$10,961.64</w:t>
            </w:r>
          </w:p>
        </w:tc>
        <w:tc>
          <w:tcPr>
            <w:tcW w:w="1102" w:type="pct"/>
            <w:vMerge w:val="restar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MBS Item 66503:</w:t>
            </w:r>
          </w:p>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$9.95 every 6 months (baseline, month 6, month 12) = $29.85</w:t>
            </w: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$10,991.49</w:t>
            </w:r>
          </w:p>
        </w:tc>
      </w:tr>
      <w:tr w:rsidR="004E59EC" w:rsidRPr="00581941" w:rsidTr="005C3242">
        <w:trPr>
          <w:trHeight w:val="20"/>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ELV/c/TAF/FTC  (150/150/10/200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Genvoya</w:t>
            </w:r>
          </w:p>
        </w:tc>
        <w:tc>
          <w:tcPr>
            <w:tcW w:w="763"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$958.06</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$11,644.38</w:t>
            </w:r>
          </w:p>
        </w:tc>
        <w:tc>
          <w:tcPr>
            <w:tcW w:w="1102"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$11,694.28</w:t>
            </w:r>
          </w:p>
        </w:tc>
      </w:tr>
      <w:tr w:rsidR="004E59EC" w:rsidRPr="00581941" w:rsidTr="005C3242">
        <w:trPr>
          <w:trHeight w:val="20"/>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RPV/TAF/FTC (25/25/200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Odefsey</w:t>
            </w:r>
          </w:p>
        </w:tc>
        <w:tc>
          <w:tcPr>
            <w:tcW w:w="763"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$958.06</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$11644.38</w:t>
            </w:r>
          </w:p>
        </w:tc>
        <w:tc>
          <w:tcPr>
            <w:tcW w:w="1102"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$11,694.28</w:t>
            </w:r>
          </w:p>
        </w:tc>
      </w:tr>
      <w:tr w:rsidR="004E59EC" w:rsidRPr="00581941" w:rsidTr="005C3242">
        <w:trPr>
          <w:trHeight w:val="20"/>
        </w:trPr>
        <w:tc>
          <w:tcPr>
            <w:tcW w:w="537" w:type="pct"/>
            <w:vMerge/>
            <w:shd w:val="clear" w:color="auto" w:fill="auto"/>
            <w:vAlign w:val="center"/>
          </w:tcPr>
          <w:p w:rsidR="004E59EC" w:rsidRPr="00581941" w:rsidRDefault="004E59EC" w:rsidP="005C3242">
            <w:pPr>
              <w:keepLines/>
              <w:widowControl w:val="0"/>
              <w:kinsoku w:val="0"/>
              <w:overflowPunct w:val="0"/>
              <w:autoSpaceDE w:val="0"/>
              <w:autoSpaceDN w:val="0"/>
              <w:adjustRightInd w:val="0"/>
              <w:jc w:val="left"/>
              <w:rPr>
                <w:rFonts w:ascii="Arial Narrow" w:eastAsiaTheme="minorEastAsia" w:hAnsi="Arial Narrow" w:cs="Times New Roman"/>
                <w:sz w:val="20"/>
                <w:szCs w:val="20"/>
              </w:rPr>
            </w:pPr>
          </w:p>
        </w:tc>
        <w:tc>
          <w:tcPr>
            <w:tcW w:w="851"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DTG/RPV (50/25 mg)</w:t>
            </w:r>
          </w:p>
        </w:tc>
        <w:tc>
          <w:tcPr>
            <w:tcW w:w="757" w:type="pct"/>
            <w:vAlign w:val="center"/>
          </w:tcPr>
          <w:p w:rsidR="004E59EC" w:rsidRPr="00581941" w:rsidRDefault="004E59EC" w:rsidP="002B2D59">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Juluca</w:t>
            </w:r>
          </w:p>
        </w:tc>
        <w:tc>
          <w:tcPr>
            <w:tcW w:w="763" w:type="pct"/>
            <w:gridSpan w:val="2"/>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$842.43</w:t>
            </w:r>
          </w:p>
        </w:tc>
        <w:tc>
          <w:tcPr>
            <w:tcW w:w="486"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$10,265.59</w:t>
            </w:r>
          </w:p>
        </w:tc>
        <w:tc>
          <w:tcPr>
            <w:tcW w:w="1102"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NA</w:t>
            </w:r>
          </w:p>
        </w:tc>
        <w:tc>
          <w:tcPr>
            <w:tcW w:w="504" w:type="pct"/>
            <w:shd w:val="clear" w:color="auto" w:fill="auto"/>
            <w:vAlign w:val="center"/>
          </w:tcPr>
          <w:p w:rsidR="004E59EC" w:rsidRPr="00581941" w:rsidRDefault="004E59EC" w:rsidP="005C3242">
            <w:pPr>
              <w:keepLines/>
              <w:widowControl w:val="0"/>
              <w:kinsoku w:val="0"/>
              <w:overflowPunct w:val="0"/>
              <w:autoSpaceDE w:val="0"/>
              <w:autoSpaceDN w:val="0"/>
              <w:adjustRightInd w:val="0"/>
              <w:jc w:val="center"/>
              <w:rPr>
                <w:rFonts w:ascii="Arial Narrow" w:eastAsiaTheme="minorEastAsia" w:hAnsi="Arial Narrow" w:cs="Times New Roman"/>
                <w:sz w:val="20"/>
                <w:szCs w:val="20"/>
              </w:rPr>
            </w:pPr>
            <w:r w:rsidRPr="00581941">
              <w:rPr>
                <w:rFonts w:ascii="Arial Narrow" w:eastAsiaTheme="minorEastAsia" w:hAnsi="Arial Narrow" w:cs="Times New Roman"/>
                <w:sz w:val="20"/>
                <w:szCs w:val="20"/>
              </w:rPr>
              <w:t>$10,256.59</w:t>
            </w:r>
          </w:p>
        </w:tc>
      </w:tr>
    </w:tbl>
    <w:p w:rsidR="004E59EC" w:rsidRPr="00581941" w:rsidRDefault="004E59EC" w:rsidP="004E59EC">
      <w:pPr>
        <w:jc w:val="left"/>
        <w:rPr>
          <w:rFonts w:ascii="Arial Narrow" w:eastAsiaTheme="majorEastAsia" w:hAnsi="Arial Narrow" w:cstheme="majorBidi"/>
          <w:sz w:val="18"/>
          <w:szCs w:val="18"/>
          <w:lang w:eastAsia="en-US"/>
        </w:rPr>
      </w:pPr>
      <w:r w:rsidRPr="00581941">
        <w:rPr>
          <w:rFonts w:ascii="Arial Narrow" w:eastAsiaTheme="majorEastAsia" w:hAnsi="Arial Narrow" w:cstheme="majorBidi"/>
          <w:sz w:val="18"/>
          <w:szCs w:val="18"/>
          <w:lang w:eastAsia="en-US"/>
        </w:rPr>
        <w:t xml:space="preserve">Source: Table 47, p64 of the submission, submission </w:t>
      </w:r>
      <w:r w:rsidR="00EC0B68" w:rsidRPr="00581941">
        <w:rPr>
          <w:rFonts w:ascii="Arial Narrow" w:eastAsiaTheme="majorEastAsia" w:hAnsi="Arial Narrow" w:cstheme="majorBidi"/>
          <w:sz w:val="18"/>
          <w:szCs w:val="18"/>
          <w:lang w:eastAsia="en-US"/>
        </w:rPr>
        <w:t>cost</w:t>
      </w:r>
      <w:r w:rsidR="00EC0B68" w:rsidRPr="00581941">
        <w:rPr>
          <w:rFonts w:ascii="Arial Narrow" w:eastAsiaTheme="majorEastAsia" w:hAnsi="Arial Narrow" w:cstheme="majorBidi"/>
          <w:sz w:val="18"/>
          <w:szCs w:val="18"/>
          <w:lang w:eastAsia="en-US"/>
        </w:rPr>
        <w:noBreakHyphen/>
        <w:t>m</w:t>
      </w:r>
      <w:r w:rsidRPr="00581941">
        <w:rPr>
          <w:rFonts w:ascii="Arial Narrow" w:eastAsiaTheme="majorEastAsia" w:hAnsi="Arial Narrow" w:cstheme="majorBidi"/>
          <w:sz w:val="18"/>
          <w:szCs w:val="18"/>
          <w:lang w:eastAsia="en-US"/>
        </w:rPr>
        <w:t xml:space="preserve">inimisation and financial impact worksheets. </w:t>
      </w:r>
    </w:p>
    <w:p w:rsidR="004E59EC" w:rsidRPr="00581941" w:rsidRDefault="004E59EC" w:rsidP="00F10F8B">
      <w:pPr>
        <w:rPr>
          <w:rFonts w:eastAsiaTheme="majorEastAsia"/>
          <w:sz w:val="18"/>
          <w:szCs w:val="18"/>
          <w:lang w:eastAsia="en-US"/>
        </w:rPr>
      </w:pPr>
      <w:r w:rsidRPr="00581941">
        <w:rPr>
          <w:rFonts w:ascii="Arial Narrow" w:eastAsiaTheme="majorEastAsia" w:hAnsi="Arial Narrow" w:cstheme="majorBidi"/>
          <w:sz w:val="18"/>
          <w:szCs w:val="18"/>
          <w:lang w:eastAsia="en-US"/>
        </w:rPr>
        <w:t xml:space="preserve">3TC = lamivudine; ABC = abacavir; AEMP = approved ex-manufacturer price; BIC = bictegravir; c = cobicistat; DRV = darunavir; DTG = dolutegravir; ELV/c = elvitegravir/cobicistat; </w:t>
      </w:r>
      <w:r w:rsidR="005B544E" w:rsidRPr="00581941">
        <w:rPr>
          <w:rFonts w:ascii="Arial Narrow" w:eastAsiaTheme="majorEastAsia" w:hAnsi="Arial Narrow" w:cstheme="majorBidi"/>
          <w:sz w:val="18"/>
          <w:szCs w:val="18"/>
          <w:lang w:eastAsia="en-US"/>
        </w:rPr>
        <w:t>FDC</w:t>
      </w:r>
      <w:r w:rsidR="00F10F8B" w:rsidRPr="00581941">
        <w:rPr>
          <w:rFonts w:ascii="Arial Narrow" w:eastAsiaTheme="majorEastAsia" w:hAnsi="Arial Narrow" w:cstheme="majorBidi"/>
          <w:sz w:val="18"/>
          <w:szCs w:val="18"/>
          <w:lang w:eastAsia="en-US"/>
        </w:rPr>
        <w:t xml:space="preserve"> </w:t>
      </w:r>
      <w:r w:rsidR="005B544E" w:rsidRPr="00581941">
        <w:rPr>
          <w:rFonts w:ascii="Arial Narrow" w:eastAsiaTheme="majorEastAsia" w:hAnsi="Arial Narrow" w:cstheme="majorBidi"/>
          <w:sz w:val="18"/>
          <w:szCs w:val="18"/>
          <w:lang w:eastAsia="en-US"/>
        </w:rPr>
        <w:t>=</w:t>
      </w:r>
      <w:r w:rsidR="00F10F8B" w:rsidRPr="00581941">
        <w:rPr>
          <w:rFonts w:ascii="Arial Narrow" w:eastAsiaTheme="majorEastAsia" w:hAnsi="Arial Narrow" w:cstheme="majorBidi"/>
          <w:sz w:val="18"/>
          <w:szCs w:val="18"/>
          <w:lang w:eastAsia="en-US"/>
        </w:rPr>
        <w:t xml:space="preserve"> fixed-dose combination; </w:t>
      </w:r>
      <w:r w:rsidRPr="00581941">
        <w:rPr>
          <w:rFonts w:ascii="Arial Narrow" w:eastAsiaTheme="majorEastAsia" w:hAnsi="Arial Narrow" w:cstheme="majorBidi"/>
          <w:sz w:val="18"/>
          <w:szCs w:val="18"/>
          <w:lang w:eastAsia="en-US"/>
        </w:rPr>
        <w:t>FTC = emtricitabine; HIV = human immunodeficiency virus; NA</w:t>
      </w:r>
      <w:r w:rsidR="00C656D3" w:rsidRPr="00581941">
        <w:rPr>
          <w:rFonts w:ascii="Arial Narrow" w:eastAsiaTheme="majorEastAsia" w:hAnsi="Arial Narrow" w:cstheme="majorBidi"/>
          <w:sz w:val="18"/>
          <w:szCs w:val="18"/>
          <w:lang w:eastAsia="en-US"/>
        </w:rPr>
        <w:t xml:space="preserve"> </w:t>
      </w:r>
      <w:r w:rsidRPr="00581941">
        <w:rPr>
          <w:rFonts w:ascii="Arial Narrow" w:eastAsiaTheme="majorEastAsia" w:hAnsi="Arial Narrow" w:cstheme="majorBidi"/>
          <w:sz w:val="18"/>
          <w:szCs w:val="18"/>
          <w:lang w:eastAsia="en-US"/>
        </w:rPr>
        <w:t>= not applicable; RPV = rilpivirine; TAF = tenofovir alafenamide</w:t>
      </w:r>
    </w:p>
    <w:p w:rsidR="004E59EC" w:rsidRPr="001A6D41" w:rsidRDefault="004E59EC" w:rsidP="004E59EC">
      <w:pPr>
        <w:pStyle w:val="4-SubsectionHeading"/>
      </w:pPr>
      <w:bookmarkStart w:id="38" w:name="_Toc22897646"/>
      <w:bookmarkStart w:id="39" w:name="_Toc22898858"/>
      <w:bookmarkStart w:id="40" w:name="_Toc40810628"/>
      <w:r w:rsidRPr="00581941">
        <w:t>Drug cost/patient/year</w:t>
      </w:r>
      <w:bookmarkEnd w:id="38"/>
      <w:bookmarkEnd w:id="39"/>
      <w:bookmarkEnd w:id="40"/>
    </w:p>
    <w:p w:rsidR="004E59EC" w:rsidRPr="00581941" w:rsidRDefault="004E59EC" w:rsidP="006748AE">
      <w:pPr>
        <w:pStyle w:val="ListParagraph"/>
        <w:keepNext/>
        <w:numPr>
          <w:ilvl w:val="1"/>
          <w:numId w:val="1"/>
        </w:numPr>
        <w:spacing w:after="160"/>
        <w:rPr>
          <w:color w:val="000000" w:themeColor="text1"/>
        </w:rPr>
      </w:pPr>
      <w:r w:rsidRPr="00581941">
        <w:rPr>
          <w:color w:val="000000" w:themeColor="text1"/>
        </w:rPr>
        <w:t xml:space="preserve">The </w:t>
      </w:r>
      <w:r w:rsidRPr="00581941">
        <w:rPr>
          <w:rFonts w:cs="Calibri"/>
          <w:snapToGrid/>
          <w:color w:val="000000" w:themeColor="text1"/>
        </w:rPr>
        <w:t>drug cost per patient per year is $8,783.96 based on an DPMQ of $1,442.95, a pack size of 60 tablets and 365.25 days in a year ($1,442.95/60 x 365.25 = $8,783.96). This compares with $8,860.84 (DPMQ dolutegravir [$1,311.93] + DPMQ for lamivudine [$143.65])/60 x 365.25) for DTG + 3TC taken concomitantly. Treatment is ongoing; it is expected that patients would remain on ART treatment for the duration of their life.</w:t>
      </w:r>
      <w:r w:rsidR="006748AE" w:rsidRPr="00581941" w:rsidDel="006748AE">
        <w:t xml:space="preserve"> </w:t>
      </w:r>
    </w:p>
    <w:p w:rsidR="004E59EC" w:rsidRPr="00581941" w:rsidRDefault="004E59EC" w:rsidP="004E59EC">
      <w:pPr>
        <w:pStyle w:val="4-SubsectionHeading"/>
      </w:pPr>
      <w:bookmarkStart w:id="41" w:name="_Toc22897647"/>
      <w:bookmarkStart w:id="42" w:name="_Toc22898859"/>
      <w:bookmarkStart w:id="43" w:name="_Toc40810629"/>
      <w:bookmarkStart w:id="44" w:name="_Toc22897650"/>
      <w:bookmarkStart w:id="45" w:name="_Toc22898862"/>
      <w:r w:rsidRPr="00581941">
        <w:t>Estimated PBS usage &amp; financial implications</w:t>
      </w:r>
      <w:bookmarkEnd w:id="41"/>
      <w:bookmarkEnd w:id="42"/>
      <w:bookmarkEnd w:id="43"/>
    </w:p>
    <w:p w:rsidR="004E59EC" w:rsidRPr="00581941" w:rsidRDefault="004E59EC" w:rsidP="004E59EC">
      <w:pPr>
        <w:pStyle w:val="3-BodyText"/>
        <w:rPr>
          <w:color w:val="0066FF"/>
        </w:rPr>
      </w:pPr>
      <w:r w:rsidRPr="00581941">
        <w:t xml:space="preserve">This submission </w:t>
      </w:r>
      <w:r w:rsidR="005C28CC" w:rsidRPr="00581941">
        <w:t>was not</w:t>
      </w:r>
      <w:r w:rsidRPr="00581941">
        <w:t xml:space="preserve"> considered by DUSC</w:t>
      </w:r>
      <w:r w:rsidRPr="00581941">
        <w:rPr>
          <w:color w:val="0070C0"/>
        </w:rPr>
        <w:t>.</w:t>
      </w:r>
    </w:p>
    <w:p w:rsidR="004E59EC" w:rsidRPr="00581941" w:rsidRDefault="004E59EC" w:rsidP="004E59EC">
      <w:pPr>
        <w:pStyle w:val="ListParagraph"/>
        <w:keepLines/>
        <w:numPr>
          <w:ilvl w:val="1"/>
          <w:numId w:val="1"/>
        </w:numPr>
        <w:spacing w:after="160"/>
        <w:rPr>
          <w:color w:val="0066FF"/>
        </w:rPr>
      </w:pPr>
      <w:r w:rsidRPr="00581941">
        <w:t xml:space="preserve">The submission used a </w:t>
      </w:r>
      <w:r w:rsidRPr="00581941">
        <w:rPr>
          <w:iCs/>
        </w:rPr>
        <w:t>hybrid epidemiological</w:t>
      </w:r>
      <w:r w:rsidR="007B661B" w:rsidRPr="00581941">
        <w:rPr>
          <w:iCs/>
        </w:rPr>
        <w:t xml:space="preserve"> and</w:t>
      </w:r>
      <w:r w:rsidRPr="00581941">
        <w:rPr>
          <w:iCs/>
        </w:rPr>
        <w:t xml:space="preserve"> </w:t>
      </w:r>
      <w:r w:rsidRPr="00581941">
        <w:t xml:space="preserve">market share approach to estimate use in patients who are </w:t>
      </w:r>
      <w:r w:rsidR="00053DDE" w:rsidRPr="00581941">
        <w:t>treatment</w:t>
      </w:r>
      <w:r w:rsidR="00053DDE" w:rsidRPr="00581941">
        <w:noBreakHyphen/>
      </w:r>
      <w:r w:rsidRPr="00581941">
        <w:t>experienced, derived from the prevalent HIV treated population, overlaid with the proportion of</w:t>
      </w:r>
      <w:r w:rsidR="007B661B" w:rsidRPr="00581941">
        <w:t xml:space="preserve"> patients who are</w:t>
      </w:r>
      <w:r w:rsidRPr="00581941">
        <w:t xml:space="preserve"> virologically suppressed and switching therapy. </w:t>
      </w:r>
      <w:r w:rsidRPr="00581941">
        <w:rPr>
          <w:iCs/>
        </w:rPr>
        <w:t xml:space="preserve">The approach was consistent with the July 2019 submission for </w:t>
      </w:r>
      <w:r w:rsidR="00053DDE" w:rsidRPr="00581941">
        <w:rPr>
          <w:iCs/>
        </w:rPr>
        <w:t>treatment</w:t>
      </w:r>
      <w:r w:rsidR="00053DDE" w:rsidRPr="00581941">
        <w:rPr>
          <w:iCs/>
        </w:rPr>
        <w:noBreakHyphen/>
      </w:r>
      <w:r w:rsidR="00AC3786" w:rsidRPr="00581941">
        <w:rPr>
          <w:iCs/>
        </w:rPr>
        <w:t>experienced</w:t>
      </w:r>
      <w:r w:rsidRPr="00581941">
        <w:rPr>
          <w:iCs/>
        </w:rPr>
        <w:t xml:space="preserve"> patients, however some of the inputs were updated. </w:t>
      </w:r>
      <w:r w:rsidRPr="00581941">
        <w:rPr>
          <w:rFonts w:cs="Calibri"/>
        </w:rPr>
        <w:t xml:space="preserve">Table 11 </w:t>
      </w:r>
      <w:r w:rsidRPr="00581941">
        <w:t>presents the key inputs for the financial estimates.</w:t>
      </w:r>
    </w:p>
    <w:p w:rsidR="004E59EC" w:rsidRPr="00581941" w:rsidRDefault="004E59EC" w:rsidP="004E59EC">
      <w:pPr>
        <w:pStyle w:val="TableFigureHeading"/>
        <w:rPr>
          <w:rStyle w:val="CommentReference"/>
          <w:b/>
          <w:szCs w:val="24"/>
        </w:rPr>
      </w:pPr>
      <w:r w:rsidRPr="00581941">
        <w:rPr>
          <w:rStyle w:val="CommentReference"/>
          <w:b/>
          <w:szCs w:val="24"/>
        </w:rPr>
        <w:t>Table 11: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951"/>
        <w:gridCol w:w="3353"/>
      </w:tblGrid>
      <w:tr w:rsidR="004E59EC" w:rsidRPr="00581941" w:rsidTr="005C3242">
        <w:trPr>
          <w:tblHeader/>
        </w:trPr>
        <w:tc>
          <w:tcPr>
            <w:tcW w:w="950" w:type="pct"/>
            <w:shd w:val="clear" w:color="auto" w:fill="auto"/>
            <w:vAlign w:val="center"/>
          </w:tcPr>
          <w:p w:rsidR="004E59EC" w:rsidRPr="00581941" w:rsidRDefault="004E59EC" w:rsidP="005C3242">
            <w:pPr>
              <w:pStyle w:val="In-tableHeading"/>
              <w:rPr>
                <w:lang w:val="en-AU"/>
              </w:rPr>
            </w:pPr>
            <w:r w:rsidRPr="00581941">
              <w:rPr>
                <w:lang w:val="en-AU"/>
              </w:rPr>
              <w:t>Parameter</w:t>
            </w:r>
          </w:p>
        </w:tc>
        <w:tc>
          <w:tcPr>
            <w:tcW w:w="2191" w:type="pct"/>
            <w:shd w:val="clear" w:color="auto" w:fill="auto"/>
            <w:vAlign w:val="center"/>
          </w:tcPr>
          <w:p w:rsidR="004E59EC" w:rsidRPr="00581941" w:rsidRDefault="004E59EC" w:rsidP="005C3242">
            <w:pPr>
              <w:pStyle w:val="In-tableHeading"/>
              <w:rPr>
                <w:iCs/>
                <w:lang w:val="en-AU"/>
              </w:rPr>
            </w:pPr>
            <w:r w:rsidRPr="00581941">
              <w:rPr>
                <w:lang w:val="en-AU"/>
              </w:rPr>
              <w:t xml:space="preserve">Value applied, source, </w:t>
            </w:r>
            <w:r w:rsidRPr="00581941">
              <w:rPr>
                <w:iCs/>
                <w:lang w:val="en-AU"/>
              </w:rPr>
              <w:t>and change from July 2019</w:t>
            </w:r>
          </w:p>
        </w:tc>
        <w:tc>
          <w:tcPr>
            <w:tcW w:w="1859" w:type="pct"/>
            <w:shd w:val="clear" w:color="auto" w:fill="auto"/>
            <w:vAlign w:val="center"/>
          </w:tcPr>
          <w:p w:rsidR="004E59EC" w:rsidRPr="00581941" w:rsidRDefault="004E59EC" w:rsidP="005C3242">
            <w:pPr>
              <w:pStyle w:val="In-tableHeading"/>
              <w:rPr>
                <w:iCs/>
                <w:lang w:val="en-AU"/>
              </w:rPr>
            </w:pPr>
            <w:r w:rsidRPr="00581941">
              <w:rPr>
                <w:iCs/>
                <w:lang w:val="en-AU"/>
              </w:rPr>
              <w:t xml:space="preserve">Comment </w:t>
            </w:r>
          </w:p>
        </w:tc>
      </w:tr>
      <w:tr w:rsidR="004E59EC" w:rsidRPr="00581941" w:rsidTr="005C3242">
        <w:tc>
          <w:tcPr>
            <w:tcW w:w="950" w:type="pct"/>
            <w:shd w:val="clear" w:color="auto" w:fill="auto"/>
            <w:vAlign w:val="center"/>
          </w:tcPr>
          <w:p w:rsidR="004E59EC" w:rsidRPr="00581941" w:rsidRDefault="004E59EC" w:rsidP="005C3242">
            <w:pPr>
              <w:pStyle w:val="TableText0"/>
            </w:pPr>
            <w:r w:rsidRPr="00581941">
              <w:t>Comparator market share data</w:t>
            </w:r>
          </w:p>
        </w:tc>
        <w:tc>
          <w:tcPr>
            <w:tcW w:w="2191" w:type="pct"/>
            <w:shd w:val="clear" w:color="auto" w:fill="auto"/>
            <w:vAlign w:val="center"/>
          </w:tcPr>
          <w:p w:rsidR="004E59EC" w:rsidRPr="00581941" w:rsidRDefault="004E59EC" w:rsidP="005C3242">
            <w:pPr>
              <w:pStyle w:val="TableText0"/>
              <w:rPr>
                <w:rFonts w:cs="Times New Roman"/>
                <w:szCs w:val="20"/>
              </w:rPr>
            </w:pPr>
            <w:r w:rsidRPr="00581941">
              <w:rPr>
                <w:rFonts w:cs="Times New Roman"/>
                <w:szCs w:val="20"/>
              </w:rPr>
              <w:t>Dec 2018 to Nov 2019 PBS/RPBS services for: Triumeq Tivicay, Descovy, Truvada (TDF/FTC several brands)</w:t>
            </w:r>
            <w:r w:rsidR="008F4FE7" w:rsidRPr="00581941">
              <w:rPr>
                <w:rFonts w:cs="Times New Roman"/>
                <w:szCs w:val="20"/>
              </w:rPr>
              <w:t xml:space="preserve"> </w:t>
            </w:r>
            <w:r w:rsidRPr="00581941">
              <w:rPr>
                <w:rFonts w:cs="Times New Roman"/>
                <w:szCs w:val="20"/>
                <w:vertAlign w:val="superscript"/>
              </w:rPr>
              <w:t>a</w:t>
            </w:r>
            <w:r w:rsidRPr="00581941">
              <w:rPr>
                <w:rFonts w:cs="Times New Roman"/>
                <w:szCs w:val="20"/>
              </w:rPr>
              <w:t>, Biktarvy,  Genvoya, Odefsey, and Juluca</w:t>
            </w:r>
          </w:p>
          <w:p w:rsidR="004E59EC" w:rsidRPr="00581941" w:rsidRDefault="004E59EC" w:rsidP="005C3242">
            <w:pPr>
              <w:pStyle w:val="TableText0"/>
            </w:pPr>
            <w:r w:rsidRPr="00581941">
              <w:t>Delisted TDF/FTC based 3DRs appr</w:t>
            </w:r>
            <w:r w:rsidR="002B2D59" w:rsidRPr="00581941">
              <w:t>opriately distributed to Genvoy and Odefsey</w:t>
            </w:r>
          </w:p>
        </w:tc>
        <w:tc>
          <w:tcPr>
            <w:tcW w:w="1859" w:type="pct"/>
            <w:shd w:val="clear" w:color="auto" w:fill="auto"/>
            <w:vAlign w:val="center"/>
          </w:tcPr>
          <w:p w:rsidR="004E59EC" w:rsidRPr="00581941" w:rsidRDefault="004E59EC" w:rsidP="005C3242">
            <w:pPr>
              <w:pStyle w:val="TableText0"/>
            </w:pPr>
            <w:r w:rsidRPr="00581941">
              <w:t>Appropriate. Uptake from DTG and 3TC taken concomitantly not considered.</w:t>
            </w:r>
          </w:p>
        </w:tc>
      </w:tr>
      <w:tr w:rsidR="004E59EC" w:rsidRPr="00581941" w:rsidTr="005C3242">
        <w:tc>
          <w:tcPr>
            <w:tcW w:w="5000" w:type="pct"/>
            <w:gridSpan w:val="3"/>
            <w:shd w:val="clear" w:color="auto" w:fill="auto"/>
            <w:vAlign w:val="center"/>
          </w:tcPr>
          <w:p w:rsidR="004E59EC" w:rsidRPr="00581941" w:rsidDel="008C0B27" w:rsidRDefault="004E59EC" w:rsidP="005C3242">
            <w:pPr>
              <w:pStyle w:val="TableText0"/>
              <w:rPr>
                <w:b/>
                <w:bCs w:val="0"/>
                <w:iCs/>
              </w:rPr>
            </w:pPr>
            <w:r w:rsidRPr="00581941">
              <w:rPr>
                <w:b/>
                <w:bCs w:val="0"/>
                <w:iCs/>
              </w:rPr>
              <w:t>Estimated DTG/3TC uptake</w:t>
            </w:r>
          </w:p>
        </w:tc>
      </w:tr>
      <w:tr w:rsidR="004E59EC" w:rsidRPr="00581941" w:rsidTr="005C3242">
        <w:tc>
          <w:tcPr>
            <w:tcW w:w="950" w:type="pct"/>
            <w:shd w:val="clear" w:color="auto" w:fill="auto"/>
            <w:vAlign w:val="center"/>
          </w:tcPr>
          <w:p w:rsidR="004E59EC" w:rsidRPr="00581941" w:rsidRDefault="004E59EC" w:rsidP="005C3242">
            <w:pPr>
              <w:pStyle w:val="TableText0"/>
            </w:pPr>
            <w:r w:rsidRPr="00581941">
              <w:t>Prevalent treated population</w:t>
            </w:r>
          </w:p>
        </w:tc>
        <w:tc>
          <w:tcPr>
            <w:tcW w:w="2191" w:type="pct"/>
            <w:shd w:val="clear" w:color="auto" w:fill="auto"/>
          </w:tcPr>
          <w:p w:rsidR="004E59EC" w:rsidRPr="00581941" w:rsidRDefault="00DC3D23" w:rsidP="002B2D59">
            <w:pPr>
              <w:jc w:val="left"/>
            </w:pPr>
            <w:r>
              <w:rPr>
                <w:rFonts w:ascii="Arial Narrow" w:hAnsi="Arial Narrow" w:cs="Times New Roman"/>
                <w:sz w:val="20"/>
                <w:szCs w:val="20"/>
              </w:rPr>
              <w:t>20,000 to &lt; 30,000</w:t>
            </w:r>
            <w:r w:rsidR="004E59EC" w:rsidRPr="00581941">
              <w:rPr>
                <w:rFonts w:ascii="Arial Narrow" w:hAnsi="Arial Narrow" w:cs="Times New Roman"/>
                <w:sz w:val="20"/>
                <w:szCs w:val="20"/>
              </w:rPr>
              <w:t xml:space="preserve"> (Year 1) to </w:t>
            </w:r>
            <w:r>
              <w:rPr>
                <w:rFonts w:ascii="Arial Narrow" w:hAnsi="Arial Narrow" w:cs="Times New Roman"/>
                <w:sz w:val="20"/>
                <w:szCs w:val="20"/>
              </w:rPr>
              <w:t>30,000 to &lt;  40,000</w:t>
            </w:r>
            <w:r w:rsidR="004E59EC" w:rsidRPr="00581941">
              <w:rPr>
                <w:rFonts w:ascii="Arial Narrow" w:hAnsi="Arial Narrow" w:cs="Times New Roman"/>
                <w:sz w:val="20"/>
                <w:szCs w:val="20"/>
              </w:rPr>
              <w:t xml:space="preserve"> (Year 6)</w:t>
            </w:r>
          </w:p>
          <w:p w:rsidR="004E59EC" w:rsidRPr="00581941" w:rsidRDefault="004E59EC" w:rsidP="002B2D59">
            <w:pPr>
              <w:jc w:val="left"/>
            </w:pPr>
            <w:r w:rsidRPr="00581941">
              <w:rPr>
                <w:rFonts w:ascii="Arial Narrow" w:hAnsi="Arial Narrow" w:cs="Times New Roman"/>
                <w:sz w:val="20"/>
                <w:szCs w:val="20"/>
              </w:rPr>
              <w:t>Forecast from Kirby Institute data and PBS 10% sample</w:t>
            </w:r>
            <w:r w:rsidRPr="00581941">
              <w:rPr>
                <w:rStyle w:val="TableTextChar0"/>
              </w:rPr>
              <w:t xml:space="preserve">. </w:t>
            </w:r>
            <w:r w:rsidRPr="00581941">
              <w:rPr>
                <w:rStyle w:val="TableTextChar0"/>
                <w:sz w:val="20"/>
                <w:szCs w:val="20"/>
              </w:rPr>
              <w:t>Similar to July 2019 submission (prevalent – incident) population.</w:t>
            </w:r>
            <w:r w:rsidRPr="00581941">
              <w:t xml:space="preserve"> </w:t>
            </w:r>
          </w:p>
        </w:tc>
        <w:tc>
          <w:tcPr>
            <w:tcW w:w="1859" w:type="pct"/>
            <w:shd w:val="clear" w:color="auto" w:fill="auto"/>
            <w:vAlign w:val="center"/>
          </w:tcPr>
          <w:p w:rsidR="004E59EC" w:rsidRPr="00581941" w:rsidRDefault="004E59EC" w:rsidP="005C3242">
            <w:pPr>
              <w:pStyle w:val="TableText0"/>
            </w:pPr>
            <w:r w:rsidRPr="00581941">
              <w:t xml:space="preserve">Growth of prevalent population potentially overestimated due to PrEP </w:t>
            </w:r>
          </w:p>
        </w:tc>
      </w:tr>
      <w:tr w:rsidR="004E59EC" w:rsidRPr="00581941" w:rsidTr="004310BA">
        <w:tc>
          <w:tcPr>
            <w:tcW w:w="950" w:type="pct"/>
            <w:shd w:val="clear" w:color="auto" w:fill="auto"/>
            <w:vAlign w:val="center"/>
          </w:tcPr>
          <w:p w:rsidR="004E59EC" w:rsidRPr="00581941" w:rsidDel="008C0B27" w:rsidRDefault="004E59EC" w:rsidP="005C3242">
            <w:pPr>
              <w:pStyle w:val="TableText0"/>
            </w:pPr>
            <w:r w:rsidRPr="00581941">
              <w:t>Proportion switching ART</w:t>
            </w:r>
          </w:p>
        </w:tc>
        <w:tc>
          <w:tcPr>
            <w:tcW w:w="2191" w:type="pct"/>
            <w:shd w:val="clear" w:color="auto" w:fill="auto"/>
          </w:tcPr>
          <w:p w:rsidR="004E59EC" w:rsidRPr="00286FE5" w:rsidRDefault="004E59EC" w:rsidP="005C3242">
            <w:pPr>
              <w:jc w:val="left"/>
              <w:rPr>
                <w:rFonts w:ascii="Arial Narrow" w:hAnsi="Arial Narrow" w:cs="Times New Roman"/>
                <w:sz w:val="20"/>
                <w:szCs w:val="20"/>
              </w:rPr>
            </w:pPr>
            <w:r w:rsidRPr="00286FE5">
              <w:rPr>
                <w:rFonts w:ascii="Arial Narrow" w:hAnsi="Arial Narrow" w:cs="Times New Roman"/>
                <w:sz w:val="20"/>
                <w:szCs w:val="20"/>
              </w:rPr>
              <w:t>43% (Year 1) and 24% (Years 2-6)</w:t>
            </w:r>
          </w:p>
          <w:p w:rsidR="004E59EC" w:rsidRPr="00286FE5" w:rsidDel="008C0B27" w:rsidRDefault="004E59EC" w:rsidP="002B2D59">
            <w:pPr>
              <w:pStyle w:val="TableText0"/>
              <w:rPr>
                <w:rFonts w:cs="Times New Roman"/>
                <w:iCs/>
                <w:szCs w:val="20"/>
              </w:rPr>
            </w:pPr>
            <w:r w:rsidRPr="00286FE5">
              <w:t>Based on 10% PBS sample da</w:t>
            </w:r>
            <w:r w:rsidR="002B2D59" w:rsidRPr="00286FE5">
              <w:t>ta for switching after Biktarvy</w:t>
            </w:r>
            <w:r w:rsidRPr="00286FE5">
              <w:t xml:space="preserve"> listing </w:t>
            </w:r>
            <w:r w:rsidRPr="00286FE5">
              <w:rPr>
                <w:iCs/>
              </w:rPr>
              <w:t>(limited detail provided) and long-term average. Increased from July 2019 submission: 34.9% (Year 1) and 20.4% (Years 2-6)</w:t>
            </w:r>
          </w:p>
        </w:tc>
        <w:tc>
          <w:tcPr>
            <w:tcW w:w="1859" w:type="pct"/>
            <w:shd w:val="clear" w:color="auto" w:fill="auto"/>
            <w:vAlign w:val="center"/>
          </w:tcPr>
          <w:p w:rsidR="004E59EC" w:rsidRPr="00286FE5" w:rsidDel="008C0B27" w:rsidRDefault="004E59EC" w:rsidP="004310BA">
            <w:pPr>
              <w:pStyle w:val="TableText0"/>
            </w:pPr>
            <w:r w:rsidRPr="00286FE5">
              <w:rPr>
                <w:rFonts w:cs="Times New Roman"/>
                <w:iCs/>
                <w:szCs w:val="20"/>
              </w:rPr>
              <w:t>Potentially overestimated</w:t>
            </w:r>
            <w:r w:rsidR="00581941" w:rsidRPr="00286FE5">
              <w:rPr>
                <w:rFonts w:cs="Times New Roman"/>
                <w:iCs/>
                <w:szCs w:val="20"/>
              </w:rPr>
              <w:t xml:space="preserve">. </w:t>
            </w:r>
            <w:r w:rsidRPr="00286FE5">
              <w:rPr>
                <w:rFonts w:cs="Times New Roman"/>
                <w:iCs/>
                <w:szCs w:val="20"/>
              </w:rPr>
              <w:t>Advisory board reported 19% of patients switched to optimise ART.</w:t>
            </w:r>
          </w:p>
        </w:tc>
      </w:tr>
      <w:tr w:rsidR="004E59EC" w:rsidRPr="00581941" w:rsidTr="005C3242">
        <w:tc>
          <w:tcPr>
            <w:tcW w:w="950" w:type="pct"/>
            <w:shd w:val="clear" w:color="auto" w:fill="auto"/>
            <w:vAlign w:val="center"/>
          </w:tcPr>
          <w:p w:rsidR="004E59EC" w:rsidRPr="00581941" w:rsidRDefault="0081027D" w:rsidP="005C3242">
            <w:pPr>
              <w:pStyle w:val="TableText0"/>
            </w:pPr>
            <w:r w:rsidRPr="00581941">
              <w:t>Proportion v</w:t>
            </w:r>
            <w:r w:rsidR="004E59EC" w:rsidRPr="00581941">
              <w:t>irologically suppressed</w:t>
            </w:r>
          </w:p>
        </w:tc>
        <w:tc>
          <w:tcPr>
            <w:tcW w:w="2191" w:type="pct"/>
            <w:shd w:val="clear" w:color="auto" w:fill="auto"/>
            <w:vAlign w:val="center"/>
          </w:tcPr>
          <w:p w:rsidR="004E59EC" w:rsidRPr="00286FE5" w:rsidRDefault="004E59EC" w:rsidP="005C3242">
            <w:pPr>
              <w:pStyle w:val="TableText0"/>
              <w:rPr>
                <w:iCs/>
              </w:rPr>
            </w:pPr>
            <w:r w:rsidRPr="00286FE5">
              <w:rPr>
                <w:rFonts w:cs="Times New Roman"/>
                <w:szCs w:val="20"/>
              </w:rPr>
              <w:t xml:space="preserve">95% (Kirby Institute 2018). </w:t>
            </w:r>
            <w:r w:rsidRPr="00286FE5">
              <w:rPr>
                <w:rFonts w:cs="Times New Roman"/>
                <w:iCs/>
                <w:szCs w:val="20"/>
              </w:rPr>
              <w:t>Unchanged</w:t>
            </w:r>
          </w:p>
        </w:tc>
        <w:tc>
          <w:tcPr>
            <w:tcW w:w="1859" w:type="pct"/>
            <w:shd w:val="clear" w:color="auto" w:fill="auto"/>
            <w:vAlign w:val="center"/>
          </w:tcPr>
          <w:p w:rsidR="004E59EC" w:rsidRPr="00286FE5" w:rsidRDefault="004E59EC" w:rsidP="005C3242">
            <w:pPr>
              <w:pStyle w:val="TableText0"/>
            </w:pPr>
            <w:r w:rsidRPr="00286FE5">
              <w:t>Appropriate</w:t>
            </w:r>
          </w:p>
        </w:tc>
      </w:tr>
      <w:tr w:rsidR="004E59EC" w:rsidRPr="00581941" w:rsidTr="005C3242">
        <w:tc>
          <w:tcPr>
            <w:tcW w:w="950" w:type="pct"/>
            <w:shd w:val="clear" w:color="auto" w:fill="auto"/>
            <w:vAlign w:val="center"/>
          </w:tcPr>
          <w:p w:rsidR="004E59EC" w:rsidRPr="00581941" w:rsidDel="008C0B27" w:rsidRDefault="004E59EC" w:rsidP="005C3242">
            <w:pPr>
              <w:pStyle w:val="TableText0"/>
            </w:pPr>
            <w:r w:rsidRPr="00581941">
              <w:t xml:space="preserve">Eligible for DTG/3TC </w:t>
            </w:r>
          </w:p>
        </w:tc>
        <w:tc>
          <w:tcPr>
            <w:tcW w:w="2191" w:type="pct"/>
            <w:shd w:val="clear" w:color="auto" w:fill="auto"/>
            <w:vAlign w:val="center"/>
          </w:tcPr>
          <w:p w:rsidR="004E59EC" w:rsidRPr="00286FE5" w:rsidDel="008C0B27" w:rsidRDefault="004E59EC" w:rsidP="005C3242">
            <w:pPr>
              <w:pStyle w:val="TableText0"/>
              <w:rPr>
                <w:rFonts w:cs="Times New Roman"/>
                <w:iCs/>
                <w:szCs w:val="20"/>
              </w:rPr>
            </w:pPr>
            <w:r w:rsidRPr="00286FE5">
              <w:rPr>
                <w:rFonts w:cs="Times New Roman"/>
                <w:szCs w:val="20"/>
              </w:rPr>
              <w:t xml:space="preserve">60% (Advisory board 2018). </w:t>
            </w:r>
            <w:r w:rsidRPr="00286FE5">
              <w:rPr>
                <w:rFonts w:cs="Times New Roman"/>
                <w:iCs/>
                <w:szCs w:val="20"/>
              </w:rPr>
              <w:t>Unchanged</w:t>
            </w:r>
          </w:p>
        </w:tc>
        <w:tc>
          <w:tcPr>
            <w:tcW w:w="1859" w:type="pct"/>
            <w:shd w:val="clear" w:color="auto" w:fill="auto"/>
            <w:vAlign w:val="center"/>
          </w:tcPr>
          <w:p w:rsidR="004E59EC" w:rsidRPr="00286FE5" w:rsidDel="008C0B27" w:rsidRDefault="004E59EC" w:rsidP="005C3242">
            <w:pPr>
              <w:pStyle w:val="TableText0"/>
            </w:pPr>
            <w:r w:rsidRPr="00286FE5">
              <w:t>Unchanged. Mean was 55%. Ranged from 10% to 90%. Uncertain as survey question poorly worded.</w:t>
            </w:r>
          </w:p>
        </w:tc>
      </w:tr>
      <w:tr w:rsidR="004E59EC" w:rsidRPr="00581941" w:rsidTr="005C3242">
        <w:tc>
          <w:tcPr>
            <w:tcW w:w="950" w:type="pct"/>
            <w:shd w:val="clear" w:color="auto" w:fill="auto"/>
            <w:vAlign w:val="center"/>
          </w:tcPr>
          <w:p w:rsidR="004E59EC" w:rsidRPr="00581941" w:rsidRDefault="004E59EC" w:rsidP="005C3242">
            <w:pPr>
              <w:pStyle w:val="TableText0"/>
            </w:pPr>
            <w:r w:rsidRPr="00581941">
              <w:rPr>
                <w:rFonts w:cs="Times New Roman"/>
                <w:szCs w:val="20"/>
              </w:rPr>
              <w:t xml:space="preserve">Uptake </w:t>
            </w:r>
          </w:p>
        </w:tc>
        <w:tc>
          <w:tcPr>
            <w:tcW w:w="2191" w:type="pct"/>
            <w:shd w:val="clear" w:color="auto" w:fill="auto"/>
            <w:vAlign w:val="center"/>
          </w:tcPr>
          <w:p w:rsidR="004E59EC" w:rsidRPr="00286FE5" w:rsidRDefault="004E59EC" w:rsidP="005C3242">
            <w:pPr>
              <w:pStyle w:val="TableText0"/>
              <w:rPr>
                <w:iCs/>
              </w:rPr>
            </w:pPr>
            <w:r w:rsidRPr="00286FE5">
              <w:t xml:space="preserve">25% (Year 1) and 33% (Year 2-6). </w:t>
            </w:r>
            <w:r w:rsidRPr="00286FE5">
              <w:rPr>
                <w:iCs/>
              </w:rPr>
              <w:t>Increased from July 2019 submission 19.9% (Year 1) and 11.6% (Years 2-6)</w:t>
            </w:r>
          </w:p>
        </w:tc>
        <w:tc>
          <w:tcPr>
            <w:tcW w:w="1859" w:type="pct"/>
            <w:shd w:val="clear" w:color="auto" w:fill="auto"/>
            <w:vAlign w:val="center"/>
          </w:tcPr>
          <w:p w:rsidR="004E59EC" w:rsidRPr="00286FE5" w:rsidRDefault="004E59EC" w:rsidP="005C3242">
            <w:pPr>
              <w:pStyle w:val="TableText0"/>
            </w:pPr>
            <w:r w:rsidRPr="00286FE5">
              <w:t>Likely overestimated.</w:t>
            </w:r>
            <w:r w:rsidRPr="00286FE5">
              <w:rPr>
                <w:rFonts w:eastAsia="Times New Roman" w:cs="Arial"/>
                <w:bCs w:val="0"/>
                <w:snapToGrid w:val="0"/>
                <w:color w:val="000000" w:themeColor="text1"/>
                <w:szCs w:val="20"/>
              </w:rPr>
              <w:t xml:space="preserve"> </w:t>
            </w:r>
            <w:r w:rsidRPr="00286FE5">
              <w:rPr>
                <w:rFonts w:eastAsia="Times New Roman" w:cs="Arial"/>
                <w:bCs w:val="0"/>
                <w:iCs/>
                <w:snapToGrid w:val="0"/>
                <w:color w:val="000000" w:themeColor="text1"/>
                <w:szCs w:val="20"/>
              </w:rPr>
              <w:t>Uncertain desirability of 2DRs in practice. Relatively small number of patients would seek to change regimen. Juluca</w:t>
            </w:r>
            <w:r w:rsidR="002F7BD8" w:rsidRPr="00286FE5">
              <w:rPr>
                <w:rFonts w:eastAsia="Times New Roman" w:cs="Arial"/>
                <w:bCs w:val="0"/>
                <w:iCs/>
                <w:snapToGrid w:val="0"/>
                <w:color w:val="000000" w:themeColor="text1"/>
                <w:szCs w:val="20"/>
                <w:vertAlign w:val="superscript"/>
              </w:rPr>
              <w:t>®</w:t>
            </w:r>
            <w:r w:rsidRPr="00286FE5">
              <w:rPr>
                <w:rFonts w:eastAsia="Times New Roman" w:cs="Arial"/>
                <w:bCs w:val="0"/>
                <w:iCs/>
                <w:snapToGrid w:val="0"/>
                <w:color w:val="000000" w:themeColor="text1"/>
                <w:szCs w:val="20"/>
              </w:rPr>
              <w:t xml:space="preserve"> absorbed a portion of switch patients willing to use 2DR (para 7.9, July 2019 PSD). Increased from July 2019 submission (19.1% in Year 1, then 11.6%). </w:t>
            </w:r>
          </w:p>
        </w:tc>
      </w:tr>
      <w:tr w:rsidR="004E59EC" w:rsidRPr="00581941" w:rsidTr="005C3242">
        <w:tc>
          <w:tcPr>
            <w:tcW w:w="950" w:type="pct"/>
            <w:shd w:val="clear" w:color="auto" w:fill="auto"/>
          </w:tcPr>
          <w:p w:rsidR="004E59EC" w:rsidRPr="00581941" w:rsidRDefault="004E59EC" w:rsidP="005C3242">
            <w:pPr>
              <w:pStyle w:val="TableText0"/>
            </w:pPr>
            <w:r w:rsidRPr="00581941">
              <w:rPr>
                <w:szCs w:val="20"/>
              </w:rPr>
              <w:t xml:space="preserve">Persistence to therapy </w:t>
            </w:r>
          </w:p>
        </w:tc>
        <w:tc>
          <w:tcPr>
            <w:tcW w:w="2191" w:type="pct"/>
            <w:shd w:val="clear" w:color="auto" w:fill="auto"/>
            <w:vAlign w:val="center"/>
          </w:tcPr>
          <w:p w:rsidR="004E59EC" w:rsidRPr="00286FE5" w:rsidRDefault="004E59EC" w:rsidP="005C3242">
            <w:pPr>
              <w:pStyle w:val="TableText0"/>
              <w:rPr>
                <w:rFonts w:cs="Times New Roman"/>
                <w:szCs w:val="20"/>
              </w:rPr>
            </w:pPr>
            <w:r w:rsidRPr="00286FE5">
              <w:rPr>
                <w:rFonts w:cs="Times New Roman"/>
                <w:szCs w:val="20"/>
              </w:rPr>
              <w:t>92% (Triumeq</w:t>
            </w:r>
            <w:r w:rsidR="002F7BD8" w:rsidRPr="00286FE5">
              <w:rPr>
                <w:rFonts w:cs="Times New Roman"/>
                <w:szCs w:val="20"/>
                <w:vertAlign w:val="superscript"/>
              </w:rPr>
              <w:t>®</w:t>
            </w:r>
            <w:r w:rsidRPr="00286FE5">
              <w:rPr>
                <w:rFonts w:cs="Times New Roman"/>
                <w:szCs w:val="20"/>
              </w:rPr>
              <w:t xml:space="preserve"> discontinuation in PBS 10% sample) </w:t>
            </w:r>
            <w:r w:rsidRPr="00286FE5">
              <w:rPr>
                <w:rFonts w:cs="Times New Roman"/>
                <w:iCs/>
                <w:szCs w:val="20"/>
              </w:rPr>
              <w:t>Decreased from 94.4% in July 2019 submission</w:t>
            </w:r>
            <w:r w:rsidRPr="00286FE5">
              <w:rPr>
                <w:rFonts w:cs="Times New Roman"/>
                <w:szCs w:val="20"/>
              </w:rPr>
              <w:t xml:space="preserve"> </w:t>
            </w:r>
          </w:p>
        </w:tc>
        <w:tc>
          <w:tcPr>
            <w:tcW w:w="1859" w:type="pct"/>
            <w:shd w:val="clear" w:color="auto" w:fill="auto"/>
            <w:vAlign w:val="center"/>
          </w:tcPr>
          <w:p w:rsidR="004E59EC" w:rsidRPr="00286FE5" w:rsidRDefault="004E59EC" w:rsidP="005C3242">
            <w:pPr>
              <w:pStyle w:val="TableText0"/>
            </w:pPr>
            <w:r w:rsidRPr="00286FE5">
              <w:t>Appropriate</w:t>
            </w:r>
          </w:p>
        </w:tc>
      </w:tr>
      <w:tr w:rsidR="004E59EC" w:rsidRPr="00581941" w:rsidTr="005C3242">
        <w:tc>
          <w:tcPr>
            <w:tcW w:w="950" w:type="pct"/>
            <w:shd w:val="clear" w:color="auto" w:fill="auto"/>
          </w:tcPr>
          <w:p w:rsidR="004E59EC" w:rsidRPr="00581941" w:rsidRDefault="004E59EC" w:rsidP="005C3242">
            <w:pPr>
              <w:pStyle w:val="TableText0"/>
              <w:rPr>
                <w:szCs w:val="20"/>
              </w:rPr>
            </w:pPr>
            <w:r w:rsidRPr="00581941">
              <w:t>% comparator market eligible for DTG/3TC</w:t>
            </w:r>
          </w:p>
        </w:tc>
        <w:tc>
          <w:tcPr>
            <w:tcW w:w="2191" w:type="pct"/>
            <w:shd w:val="clear" w:color="auto" w:fill="auto"/>
            <w:vAlign w:val="center"/>
          </w:tcPr>
          <w:p w:rsidR="004E59EC" w:rsidRPr="00286FE5" w:rsidRDefault="004E59EC" w:rsidP="005C3242">
            <w:pPr>
              <w:pStyle w:val="TableText0"/>
              <w:rPr>
                <w:rFonts w:cs="Times New Roman"/>
                <w:szCs w:val="20"/>
              </w:rPr>
            </w:pPr>
            <w:r w:rsidRPr="00286FE5">
              <w:rPr>
                <w:rFonts w:cs="Times New Roman"/>
                <w:szCs w:val="20"/>
              </w:rPr>
              <w:t>24.36% (Year 1) to 48.17%</w:t>
            </w:r>
            <w:r w:rsidR="00C656D3" w:rsidRPr="00286FE5">
              <w:rPr>
                <w:rFonts w:cs="Times New Roman"/>
                <w:szCs w:val="20"/>
              </w:rPr>
              <w:t xml:space="preserve"> </w:t>
            </w:r>
            <w:r w:rsidRPr="00286FE5">
              <w:rPr>
                <w:rFonts w:cs="Times New Roman"/>
                <w:szCs w:val="20"/>
                <w:vertAlign w:val="superscript"/>
              </w:rPr>
              <w:t>b</w:t>
            </w:r>
          </w:p>
        </w:tc>
        <w:tc>
          <w:tcPr>
            <w:tcW w:w="1859" w:type="pct"/>
            <w:shd w:val="clear" w:color="auto" w:fill="auto"/>
            <w:vAlign w:val="center"/>
          </w:tcPr>
          <w:p w:rsidR="004E59EC" w:rsidRPr="00286FE5" w:rsidRDefault="004E59EC" w:rsidP="005C3242">
            <w:pPr>
              <w:pStyle w:val="TableText0"/>
            </w:pPr>
            <w:r w:rsidRPr="00286FE5">
              <w:t>Appropriate</w:t>
            </w:r>
          </w:p>
        </w:tc>
      </w:tr>
      <w:tr w:rsidR="004E59EC" w:rsidRPr="00581941" w:rsidTr="005C3242">
        <w:tc>
          <w:tcPr>
            <w:tcW w:w="950" w:type="pct"/>
            <w:shd w:val="clear" w:color="auto" w:fill="auto"/>
          </w:tcPr>
          <w:p w:rsidR="004E59EC" w:rsidRPr="00581941" w:rsidRDefault="004E59EC" w:rsidP="005C3242">
            <w:pPr>
              <w:pStyle w:val="TableText0"/>
            </w:pPr>
            <w:r w:rsidRPr="00581941">
              <w:t xml:space="preserve">DTG/3TC uptake </w:t>
            </w:r>
          </w:p>
        </w:tc>
        <w:tc>
          <w:tcPr>
            <w:tcW w:w="2191" w:type="pct"/>
            <w:shd w:val="clear" w:color="auto" w:fill="auto"/>
            <w:vAlign w:val="center"/>
          </w:tcPr>
          <w:p w:rsidR="004E59EC" w:rsidRPr="00286FE5" w:rsidRDefault="004E59EC" w:rsidP="005C3242">
            <w:pPr>
              <w:pStyle w:val="TableText0"/>
              <w:rPr>
                <w:rFonts w:cs="Times New Roman"/>
                <w:szCs w:val="20"/>
                <w:vertAlign w:val="superscript"/>
              </w:rPr>
            </w:pPr>
            <w:r w:rsidRPr="00286FE5">
              <w:rPr>
                <w:rFonts w:cs="Times New Roman"/>
                <w:szCs w:val="20"/>
              </w:rPr>
              <w:t>25% (Year 1) to 30.83% (Year 6)</w:t>
            </w:r>
            <w:r w:rsidR="00C656D3" w:rsidRPr="00286FE5">
              <w:rPr>
                <w:rFonts w:cs="Times New Roman"/>
                <w:szCs w:val="20"/>
              </w:rPr>
              <w:t xml:space="preserve"> </w:t>
            </w:r>
            <w:r w:rsidRPr="00286FE5">
              <w:rPr>
                <w:rFonts w:cs="Times New Roman"/>
                <w:szCs w:val="20"/>
                <w:vertAlign w:val="superscript"/>
              </w:rPr>
              <w:t>c</w:t>
            </w:r>
          </w:p>
        </w:tc>
        <w:tc>
          <w:tcPr>
            <w:tcW w:w="1859" w:type="pct"/>
            <w:shd w:val="clear" w:color="auto" w:fill="auto"/>
            <w:vAlign w:val="center"/>
          </w:tcPr>
          <w:p w:rsidR="004E59EC" w:rsidRPr="00286FE5" w:rsidRDefault="004E59EC" w:rsidP="005C3242">
            <w:pPr>
              <w:pStyle w:val="TableText0"/>
            </w:pPr>
            <w:r w:rsidRPr="00286FE5">
              <w:t>Likely overestimated</w:t>
            </w:r>
          </w:p>
        </w:tc>
      </w:tr>
      <w:tr w:rsidR="004E59EC" w:rsidRPr="00581941" w:rsidTr="005C3242">
        <w:tc>
          <w:tcPr>
            <w:tcW w:w="950" w:type="pct"/>
            <w:shd w:val="clear" w:color="auto" w:fill="auto"/>
          </w:tcPr>
          <w:p w:rsidR="004E59EC" w:rsidRPr="00581941" w:rsidRDefault="00053DDE" w:rsidP="005C3242">
            <w:pPr>
              <w:jc w:val="left"/>
              <w:rPr>
                <w:rFonts w:ascii="Arial Narrow" w:hAnsi="Arial Narrow" w:cs="Times New Roman"/>
                <w:sz w:val="20"/>
                <w:szCs w:val="20"/>
              </w:rPr>
            </w:pPr>
            <w:r w:rsidRPr="00581941">
              <w:rPr>
                <w:rFonts w:ascii="Arial Narrow" w:hAnsi="Arial Narrow" w:cs="Times New Roman"/>
                <w:sz w:val="20"/>
                <w:szCs w:val="20"/>
              </w:rPr>
              <w:t>Treatment</w:t>
            </w:r>
            <w:r w:rsidRPr="00581941">
              <w:rPr>
                <w:rFonts w:ascii="Arial Narrow" w:hAnsi="Arial Narrow" w:cs="Times New Roman"/>
                <w:sz w:val="20"/>
                <w:szCs w:val="20"/>
              </w:rPr>
              <w:noBreakHyphen/>
            </w:r>
            <w:r w:rsidR="004E59EC" w:rsidRPr="00581941">
              <w:rPr>
                <w:rFonts w:ascii="Arial Narrow" w:hAnsi="Arial Narrow" w:cs="Times New Roman"/>
                <w:sz w:val="20"/>
                <w:szCs w:val="20"/>
              </w:rPr>
              <w:t>related monitoring costs</w:t>
            </w:r>
          </w:p>
        </w:tc>
        <w:tc>
          <w:tcPr>
            <w:tcW w:w="2191" w:type="pct"/>
            <w:shd w:val="clear" w:color="auto" w:fill="auto"/>
            <w:vAlign w:val="center"/>
          </w:tcPr>
          <w:p w:rsidR="004E59EC" w:rsidRPr="00581941" w:rsidRDefault="004E59EC" w:rsidP="005C3242">
            <w:pPr>
              <w:pStyle w:val="ListParagraph"/>
              <w:numPr>
                <w:ilvl w:val="0"/>
                <w:numId w:val="0"/>
              </w:numPr>
              <w:spacing w:after="0"/>
              <w:contextualSpacing/>
              <w:jc w:val="left"/>
              <w:rPr>
                <w:rFonts w:ascii="Arial Narrow" w:hAnsi="Arial Narrow" w:cs="Times New Roman"/>
                <w:sz w:val="20"/>
                <w:szCs w:val="20"/>
              </w:rPr>
            </w:pPr>
            <w:r w:rsidRPr="00581941">
              <w:rPr>
                <w:rFonts w:ascii="Arial Narrow" w:hAnsi="Arial Narrow" w:cs="Times New Roman"/>
                <w:sz w:val="20"/>
                <w:szCs w:val="20"/>
              </w:rPr>
              <w:t>ABC hypersensitivity testing (MBS Item 73323)</w:t>
            </w:r>
          </w:p>
          <w:p w:rsidR="004E59EC" w:rsidRPr="00581941" w:rsidRDefault="004E59EC" w:rsidP="005C3242">
            <w:pPr>
              <w:pStyle w:val="ListParagraph"/>
              <w:numPr>
                <w:ilvl w:val="0"/>
                <w:numId w:val="0"/>
              </w:numPr>
              <w:spacing w:after="0"/>
              <w:contextualSpacing/>
              <w:jc w:val="left"/>
              <w:rPr>
                <w:rFonts w:ascii="Arial Narrow" w:hAnsi="Arial Narrow" w:cs="Times New Roman"/>
                <w:sz w:val="20"/>
                <w:szCs w:val="20"/>
              </w:rPr>
            </w:pPr>
            <w:r w:rsidRPr="00581941">
              <w:rPr>
                <w:rFonts w:ascii="Arial Narrow" w:hAnsi="Arial Narrow" w:cs="Times New Roman"/>
                <w:sz w:val="20"/>
                <w:szCs w:val="20"/>
              </w:rPr>
              <w:t xml:space="preserve">Urine protein and urine glucose (MBS Item 66503): (Year 1: 3 tests; Year 2 and beyond: 2 tests per year) for TAF/TDF based regimens. </w:t>
            </w:r>
            <w:r w:rsidRPr="00581941">
              <w:rPr>
                <w:rFonts w:ascii="Arial Narrow" w:hAnsi="Arial Narrow" w:cs="Times New Roman"/>
                <w:iCs/>
                <w:sz w:val="20"/>
                <w:szCs w:val="20"/>
              </w:rPr>
              <w:t>Unchanged</w:t>
            </w:r>
          </w:p>
        </w:tc>
        <w:tc>
          <w:tcPr>
            <w:tcW w:w="1859" w:type="pct"/>
            <w:shd w:val="clear" w:color="auto" w:fill="auto"/>
            <w:vAlign w:val="center"/>
          </w:tcPr>
          <w:p w:rsidR="004E59EC" w:rsidRPr="00581941" w:rsidRDefault="004E59EC" w:rsidP="005C3242">
            <w:pPr>
              <w:pStyle w:val="TableText0"/>
            </w:pPr>
            <w:r w:rsidRPr="00581941">
              <w:t>Appropriate</w:t>
            </w:r>
          </w:p>
        </w:tc>
      </w:tr>
    </w:tbl>
    <w:p w:rsidR="004E59EC" w:rsidRPr="00581941" w:rsidRDefault="004E59EC" w:rsidP="004E59EC">
      <w:pPr>
        <w:pStyle w:val="TableFigureFooter"/>
        <w:jc w:val="left"/>
        <w:rPr>
          <w:iCs/>
        </w:rPr>
      </w:pPr>
      <w:r w:rsidRPr="00581941">
        <w:t>Source: Table 49, pp65-66 of the submission;</w:t>
      </w:r>
      <w:r w:rsidRPr="00581941">
        <w:rPr>
          <w:i/>
          <w:iCs/>
        </w:rPr>
        <w:t xml:space="preserve"> </w:t>
      </w:r>
      <w:r w:rsidRPr="00581941">
        <w:rPr>
          <w:iCs/>
        </w:rPr>
        <w:t>July 2019 DTG/3TC submission and Section 4 spreadsheet</w:t>
      </w:r>
    </w:p>
    <w:p w:rsidR="004E59EC" w:rsidRPr="00581941" w:rsidRDefault="004E59EC" w:rsidP="004E59EC">
      <w:pPr>
        <w:pStyle w:val="TableFigureFooter"/>
        <w:jc w:val="left"/>
      </w:pPr>
      <w:r w:rsidRPr="00581941">
        <w:t>3TC = lamivudine; ABC = abacavir; ART = antiretroviral therapy; DR = drug regimen; DTG = dolutegravir; FTC = emtricitabine; HIV = human immunodeficiency virus; MBS = Medicare Benefits Schedule; PBS = Pharmaceutical Benefits Scheme; PrEP = pre-exposure prophylaxis; PSD = public summary document; TAF = tenofovir alafenamide</w:t>
      </w:r>
      <w:r w:rsidR="00097E4B" w:rsidRPr="00581941">
        <w:t xml:space="preserve">; TDF = tenofovir disoproxil fumarate </w:t>
      </w:r>
    </w:p>
    <w:p w:rsidR="004E59EC" w:rsidRPr="00581941" w:rsidRDefault="004E59EC" w:rsidP="004E59EC">
      <w:pPr>
        <w:pStyle w:val="TableFigureFooter"/>
        <w:jc w:val="left"/>
      </w:pPr>
      <w:r w:rsidRPr="00581941">
        <w:rPr>
          <w:vertAlign w:val="superscript"/>
        </w:rPr>
        <w:t xml:space="preserve">a </w:t>
      </w:r>
      <w:r w:rsidRPr="00581941">
        <w:t>The brand Truvada was delisted from the PBS on 1 April 2020 but generic versions are PBS-listed</w:t>
      </w:r>
      <w:r w:rsidR="00581941">
        <w:t xml:space="preserve"> </w:t>
      </w:r>
    </w:p>
    <w:p w:rsidR="004E59EC" w:rsidRPr="00581941" w:rsidRDefault="004E59EC" w:rsidP="004E59EC">
      <w:pPr>
        <w:pStyle w:val="TableFigureFooter"/>
        <w:jc w:val="left"/>
        <w:rPr>
          <w:iCs/>
        </w:rPr>
      </w:pPr>
      <w:r w:rsidRPr="00581941">
        <w:rPr>
          <w:iCs/>
          <w:vertAlign w:val="superscript"/>
        </w:rPr>
        <w:t>b</w:t>
      </w:r>
      <w:r w:rsidRPr="00581941">
        <w:rPr>
          <w:iCs/>
        </w:rPr>
        <w:t xml:space="preserve"> Calculated as eligible virologically suppressed patients switching ART/prevalent treated population </w:t>
      </w:r>
    </w:p>
    <w:p w:rsidR="004E59EC" w:rsidRPr="00581941" w:rsidRDefault="004E59EC" w:rsidP="004E59EC">
      <w:pPr>
        <w:pStyle w:val="TableFigureFooter"/>
        <w:jc w:val="left"/>
        <w:rPr>
          <w:iCs/>
        </w:rPr>
      </w:pPr>
      <w:r w:rsidRPr="00581941">
        <w:rPr>
          <w:iCs/>
          <w:vertAlign w:val="superscript"/>
        </w:rPr>
        <w:t>c</w:t>
      </w:r>
      <w:r w:rsidRPr="00581941">
        <w:rPr>
          <w:iCs/>
        </w:rPr>
        <w:t xml:space="preserve"> Calculated as DTG/3TC treated patients (eligible virologically suppressed patients switching ART × uptake × persistence)/ eligible virologically suppressed patients switching ART</w:t>
      </w:r>
    </w:p>
    <w:p w:rsidR="004E59EC" w:rsidRPr="00581941" w:rsidRDefault="004E59EC" w:rsidP="004E59EC">
      <w:pPr>
        <w:pStyle w:val="3-BodyText"/>
      </w:pPr>
      <w:r w:rsidRPr="00581941">
        <w:rPr>
          <w:iCs/>
        </w:rPr>
        <w:t xml:space="preserve">Compared with the July 2019 submission, </w:t>
      </w:r>
      <w:r w:rsidRPr="00581941">
        <w:t xml:space="preserve">the submission </w:t>
      </w:r>
      <w:r w:rsidR="0081027D" w:rsidRPr="00581941">
        <w:t>removed assumptions of any switching from</w:t>
      </w:r>
      <w:r w:rsidRPr="00581941">
        <w:t xml:space="preserve"> Stribild and Eviplera which were delisted from the PBS. The submission did not include Atripla. </w:t>
      </w:r>
    </w:p>
    <w:p w:rsidR="004E59EC" w:rsidRPr="00286FE5" w:rsidRDefault="004E59EC" w:rsidP="004E59EC">
      <w:pPr>
        <w:pStyle w:val="3-BodyText"/>
        <w:rPr>
          <w:color w:val="3366FF"/>
        </w:rPr>
      </w:pPr>
      <w:r w:rsidRPr="00581941">
        <w:rPr>
          <w:iCs/>
        </w:rPr>
        <w:t xml:space="preserve">Compared with the July 2019 submission, the submission estimated that </w:t>
      </w:r>
      <w:r w:rsidRPr="00581941">
        <w:t xml:space="preserve">a higher proportion of </w:t>
      </w:r>
      <w:r w:rsidR="00053DDE" w:rsidRPr="00581941">
        <w:t>treatment</w:t>
      </w:r>
      <w:r w:rsidR="00053DDE" w:rsidRPr="00581941">
        <w:noBreakHyphen/>
      </w:r>
      <w:r w:rsidR="00AC3786" w:rsidRPr="00581941">
        <w:t>experienced</w:t>
      </w:r>
      <w:r w:rsidRPr="00581941">
        <w:t xml:space="preserve"> patients would switch ART regimens</w:t>
      </w:r>
      <w:r w:rsidR="00055F44" w:rsidRPr="00581941">
        <w:t xml:space="preserve">. The submission calculated </w:t>
      </w:r>
      <w:r w:rsidR="0081027D" w:rsidRPr="00581941">
        <w:t>revised</w:t>
      </w:r>
      <w:r w:rsidR="004310BA" w:rsidRPr="00581941">
        <w:t xml:space="preserve"> </w:t>
      </w:r>
      <w:r w:rsidRPr="00581941">
        <w:t xml:space="preserve">switch rate </w:t>
      </w:r>
      <w:r w:rsidR="004310BA" w:rsidRPr="00581941">
        <w:t>using</w:t>
      </w:r>
      <w:r w:rsidRPr="00581941">
        <w:t xml:space="preserve"> 10% PBS sample data </w:t>
      </w:r>
      <w:r w:rsidR="009E5B75" w:rsidRPr="00581941">
        <w:t xml:space="preserve">in the six months </w:t>
      </w:r>
      <w:r w:rsidR="004310BA" w:rsidRPr="00581941">
        <w:t xml:space="preserve">following the listing </w:t>
      </w:r>
      <w:r w:rsidR="004310BA" w:rsidRPr="00286FE5">
        <w:t xml:space="preserve">of </w:t>
      </w:r>
      <w:r w:rsidRPr="00286FE5">
        <w:t>Biktarvy</w:t>
      </w:r>
      <w:r w:rsidR="009E5B75" w:rsidRPr="00286FE5">
        <w:rPr>
          <w:vertAlign w:val="superscript"/>
        </w:rPr>
        <w:t xml:space="preserve"> </w:t>
      </w:r>
      <w:r w:rsidR="009E5B75" w:rsidRPr="00286FE5">
        <w:t>(March 2019 to September 2019)</w:t>
      </w:r>
      <w:r w:rsidRPr="00286FE5">
        <w:t>. The financial estimates utilised switch rates of 43% for Year 1 (</w:t>
      </w:r>
      <w:r w:rsidR="00A6535C" w:rsidRPr="00286FE5">
        <w:t>corresponding to</w:t>
      </w:r>
      <w:r w:rsidRPr="00286FE5">
        <w:t xml:space="preserve"> the first 6 months of listing for Biktarvy) and 24% for Years 2-6 (based on the long-term average). </w:t>
      </w:r>
      <w:r w:rsidR="003275A4" w:rsidRPr="00286FE5">
        <w:rPr>
          <w:iCs/>
        </w:rPr>
        <w:t>It is likely that patients would have a greater</w:t>
      </w:r>
      <w:r w:rsidR="00687B7B" w:rsidRPr="00286FE5">
        <w:rPr>
          <w:iCs/>
        </w:rPr>
        <w:t xml:space="preserve"> preference for a new 3DR (e.g. Biktarvy) compared with a 2DR (e.g. DTG/3TC)</w:t>
      </w:r>
      <w:r w:rsidR="003275A4" w:rsidRPr="00286FE5">
        <w:rPr>
          <w:iCs/>
        </w:rPr>
        <w:t>.</w:t>
      </w:r>
      <w:r w:rsidR="00687B7B" w:rsidRPr="00286FE5">
        <w:rPr>
          <w:iCs/>
        </w:rPr>
        <w:t xml:space="preserve"> </w:t>
      </w:r>
      <w:r w:rsidR="003275A4" w:rsidRPr="00286FE5">
        <w:rPr>
          <w:iCs/>
        </w:rPr>
        <w:t>Hence the use of</w:t>
      </w:r>
      <w:r w:rsidR="00687B7B" w:rsidRPr="00286FE5">
        <w:rPr>
          <w:iCs/>
        </w:rPr>
        <w:t xml:space="preserve"> </w:t>
      </w:r>
      <w:r w:rsidR="003275A4" w:rsidRPr="00286FE5">
        <w:rPr>
          <w:iCs/>
        </w:rPr>
        <w:t xml:space="preserve">Biktarvy as a proxy likely resulted in an overestimated switch rate for </w:t>
      </w:r>
      <w:r w:rsidRPr="00286FE5">
        <w:rPr>
          <w:iCs/>
        </w:rPr>
        <w:t>DTG/</w:t>
      </w:r>
      <w:r w:rsidR="00BC0136" w:rsidRPr="00286FE5">
        <w:rPr>
          <w:iCs/>
        </w:rPr>
        <w:t>3TC</w:t>
      </w:r>
      <w:r w:rsidR="00581941" w:rsidRPr="00286FE5">
        <w:rPr>
          <w:iCs/>
        </w:rPr>
        <w:t xml:space="preserve">. </w:t>
      </w:r>
      <w:r w:rsidRPr="00286FE5">
        <w:rPr>
          <w:iCs/>
        </w:rPr>
        <w:t xml:space="preserve">The submission also increased the estimated uptake of DTG/3TC from the July 2019 submission. The PBAC previously considered the eligible </w:t>
      </w:r>
      <w:r w:rsidR="00053DDE" w:rsidRPr="00286FE5">
        <w:rPr>
          <w:iCs/>
        </w:rPr>
        <w:t>treatment</w:t>
      </w:r>
      <w:r w:rsidR="00053DDE" w:rsidRPr="00286FE5">
        <w:rPr>
          <w:iCs/>
        </w:rPr>
        <w:noBreakHyphen/>
      </w:r>
      <w:r w:rsidR="00AC3786" w:rsidRPr="00286FE5">
        <w:rPr>
          <w:iCs/>
        </w:rPr>
        <w:t>experienced</w:t>
      </w:r>
      <w:r w:rsidRPr="00286FE5">
        <w:rPr>
          <w:iCs/>
        </w:rPr>
        <w:t xml:space="preserve"> population and uptake in this group was likely overestimated (paragraph 7.9, DTG/3TC PSD, July 2019 PBAC meeting).</w:t>
      </w:r>
    </w:p>
    <w:p w:rsidR="00B43FB5" w:rsidRPr="00286FE5" w:rsidRDefault="00211E24" w:rsidP="004E59EC">
      <w:pPr>
        <w:pStyle w:val="3-BodyText"/>
      </w:pPr>
      <w:r w:rsidRPr="00286FE5">
        <w:t>T</w:t>
      </w:r>
      <w:r w:rsidR="004E59EC" w:rsidRPr="00286FE5">
        <w:t xml:space="preserve">here was uncertainty associated with estimates </w:t>
      </w:r>
      <w:r w:rsidRPr="00286FE5">
        <w:t xml:space="preserve">for the proportion of patients applicable for DTG/3TC (unchanged from July 2019) and DTG/3TC uptake (increased since July 2019) as they were </w:t>
      </w:r>
      <w:r w:rsidR="004E59EC" w:rsidRPr="00286FE5">
        <w:t>derived from Advisory Board advice. Assuming</w:t>
      </w:r>
      <w:r w:rsidR="00B43FB5" w:rsidRPr="00286FE5">
        <w:t xml:space="preserve"> the</w:t>
      </w:r>
      <w:r w:rsidR="004E59EC" w:rsidRPr="00286FE5">
        <w:t xml:space="preserve"> PBS and TANGO eligibility criteria are similar, the Advisory Board may have underestimated the proportion of patients eligible for DTG/3TC (60% vs. 81%). </w:t>
      </w:r>
    </w:p>
    <w:p w:rsidR="004E59EC" w:rsidRPr="00581941" w:rsidRDefault="004E59EC" w:rsidP="004E59EC">
      <w:pPr>
        <w:pStyle w:val="3-BodyText"/>
      </w:pPr>
      <w:r w:rsidRPr="00581941">
        <w:t>Table 12 presents the estimated use and financial implications</w:t>
      </w:r>
      <w:r w:rsidR="00B43FB5" w:rsidRPr="00581941">
        <w:t xml:space="preserve"> of </w:t>
      </w:r>
      <w:r w:rsidR="00211E24" w:rsidRPr="00581941">
        <w:t>DTG/3TC</w:t>
      </w:r>
      <w:r w:rsidR="00B43FB5" w:rsidRPr="00581941">
        <w:t>.</w:t>
      </w:r>
    </w:p>
    <w:p w:rsidR="004E59EC" w:rsidRPr="00581941" w:rsidRDefault="004E59EC" w:rsidP="004E59EC">
      <w:r w:rsidRPr="00581941">
        <w:rPr>
          <w:rStyle w:val="CommentReference"/>
        </w:rPr>
        <w:t xml:space="preserve">Table </w:t>
      </w:r>
      <w:r w:rsidRPr="00581941">
        <w:rPr>
          <w:rFonts w:ascii="Arial Narrow" w:hAnsi="Arial Narrow"/>
          <w:b/>
          <w:color w:val="000000" w:themeColor="text1"/>
          <w:sz w:val="20"/>
          <w:szCs w:val="20"/>
        </w:rPr>
        <w:t>12</w:t>
      </w:r>
      <w:r w:rsidRPr="00581941">
        <w:rPr>
          <w:rStyle w:val="CommentReference"/>
          <w:b w:val="0"/>
          <w:color w:val="000000" w:themeColor="text1"/>
        </w:rPr>
        <w:t xml:space="preserve">: </w:t>
      </w:r>
      <w:r w:rsidRPr="00581941">
        <w:rPr>
          <w:rStyle w:val="CommentReference"/>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1"/>
        <w:gridCol w:w="1165"/>
        <w:gridCol w:w="1166"/>
        <w:gridCol w:w="1166"/>
        <w:gridCol w:w="1166"/>
        <w:gridCol w:w="1166"/>
        <w:gridCol w:w="1169"/>
      </w:tblGrid>
      <w:tr w:rsidR="004E59EC" w:rsidRPr="00581941" w:rsidTr="005C3242">
        <w:trPr>
          <w:tblHeader/>
        </w:trPr>
        <w:tc>
          <w:tcPr>
            <w:tcW w:w="1086" w:type="pct"/>
            <w:shd w:val="clear" w:color="auto" w:fill="auto"/>
            <w:vAlign w:val="center"/>
          </w:tcPr>
          <w:p w:rsidR="004E59EC" w:rsidRPr="00581941" w:rsidRDefault="004E59EC" w:rsidP="005C3242">
            <w:pPr>
              <w:pStyle w:val="Tabletext"/>
            </w:pPr>
          </w:p>
        </w:tc>
        <w:tc>
          <w:tcPr>
            <w:tcW w:w="652" w:type="pct"/>
            <w:shd w:val="clear" w:color="auto" w:fill="auto"/>
            <w:vAlign w:val="center"/>
          </w:tcPr>
          <w:p w:rsidR="004E59EC" w:rsidRPr="00581941" w:rsidRDefault="004E59EC" w:rsidP="005C3242">
            <w:pPr>
              <w:pStyle w:val="Tabletext"/>
              <w:jc w:val="center"/>
              <w:rPr>
                <w:b/>
              </w:rPr>
            </w:pPr>
            <w:r w:rsidRPr="00581941">
              <w:rPr>
                <w:b/>
              </w:rPr>
              <w:t>Year 1</w:t>
            </w:r>
          </w:p>
        </w:tc>
        <w:tc>
          <w:tcPr>
            <w:tcW w:w="652" w:type="pct"/>
            <w:shd w:val="clear" w:color="auto" w:fill="auto"/>
            <w:vAlign w:val="center"/>
          </w:tcPr>
          <w:p w:rsidR="004E59EC" w:rsidRPr="00581941" w:rsidRDefault="004E59EC" w:rsidP="005C3242">
            <w:pPr>
              <w:pStyle w:val="Tabletext"/>
              <w:jc w:val="center"/>
              <w:rPr>
                <w:b/>
              </w:rPr>
            </w:pPr>
            <w:r w:rsidRPr="00581941">
              <w:rPr>
                <w:b/>
              </w:rPr>
              <w:t>Year 2</w:t>
            </w:r>
          </w:p>
        </w:tc>
        <w:tc>
          <w:tcPr>
            <w:tcW w:w="652" w:type="pct"/>
            <w:shd w:val="clear" w:color="auto" w:fill="auto"/>
            <w:vAlign w:val="center"/>
          </w:tcPr>
          <w:p w:rsidR="004E59EC" w:rsidRPr="00581941" w:rsidRDefault="004E59EC" w:rsidP="005C3242">
            <w:pPr>
              <w:pStyle w:val="Tabletext"/>
              <w:jc w:val="center"/>
              <w:rPr>
                <w:b/>
              </w:rPr>
            </w:pPr>
            <w:r w:rsidRPr="00581941">
              <w:rPr>
                <w:b/>
              </w:rPr>
              <w:t>Year 3</w:t>
            </w:r>
          </w:p>
        </w:tc>
        <w:tc>
          <w:tcPr>
            <w:tcW w:w="652" w:type="pct"/>
            <w:shd w:val="clear" w:color="auto" w:fill="auto"/>
            <w:vAlign w:val="center"/>
          </w:tcPr>
          <w:p w:rsidR="004E59EC" w:rsidRPr="00581941" w:rsidRDefault="004E59EC" w:rsidP="005C3242">
            <w:pPr>
              <w:pStyle w:val="Tabletext"/>
              <w:jc w:val="center"/>
              <w:rPr>
                <w:b/>
              </w:rPr>
            </w:pPr>
            <w:r w:rsidRPr="00581941">
              <w:rPr>
                <w:b/>
              </w:rPr>
              <w:t>Year 4</w:t>
            </w:r>
          </w:p>
        </w:tc>
        <w:tc>
          <w:tcPr>
            <w:tcW w:w="652" w:type="pct"/>
            <w:shd w:val="clear" w:color="auto" w:fill="auto"/>
            <w:vAlign w:val="center"/>
          </w:tcPr>
          <w:p w:rsidR="004E59EC" w:rsidRPr="00581941" w:rsidRDefault="004E59EC" w:rsidP="005C3242">
            <w:pPr>
              <w:pStyle w:val="Tabletext"/>
              <w:jc w:val="center"/>
              <w:rPr>
                <w:b/>
              </w:rPr>
            </w:pPr>
            <w:r w:rsidRPr="00581941">
              <w:rPr>
                <w:b/>
              </w:rPr>
              <w:t>Year 5</w:t>
            </w:r>
          </w:p>
        </w:tc>
        <w:tc>
          <w:tcPr>
            <w:tcW w:w="654" w:type="pct"/>
          </w:tcPr>
          <w:p w:rsidR="004E59EC" w:rsidRPr="00581941" w:rsidRDefault="004E59EC" w:rsidP="005C3242">
            <w:pPr>
              <w:pStyle w:val="Tabletext"/>
              <w:jc w:val="center"/>
              <w:rPr>
                <w:b/>
              </w:rPr>
            </w:pPr>
            <w:r w:rsidRPr="00581941">
              <w:rPr>
                <w:b/>
              </w:rPr>
              <w:t>Year 6</w:t>
            </w:r>
          </w:p>
        </w:tc>
      </w:tr>
      <w:tr w:rsidR="004E59EC" w:rsidRPr="00581941" w:rsidTr="005C3242">
        <w:tc>
          <w:tcPr>
            <w:tcW w:w="1086" w:type="pct"/>
            <w:shd w:val="clear" w:color="auto" w:fill="auto"/>
            <w:vAlign w:val="center"/>
          </w:tcPr>
          <w:p w:rsidR="004E59EC" w:rsidRPr="00581941" w:rsidRDefault="004E59EC" w:rsidP="005C3242">
            <w:pPr>
              <w:pStyle w:val="Tabletext"/>
            </w:pPr>
            <w:r w:rsidRPr="00581941">
              <w:t>DTG/3TC</w:t>
            </w:r>
            <w:r w:rsidRPr="00581941">
              <w:rPr>
                <w:vertAlign w:val="superscript"/>
              </w:rPr>
              <w:t xml:space="preserve"> </w:t>
            </w:r>
            <w:r w:rsidRPr="00581941">
              <w:t>switch patients</w:t>
            </w:r>
          </w:p>
        </w:tc>
        <w:tc>
          <w:tcPr>
            <w:tcW w:w="652" w:type="pct"/>
            <w:shd w:val="clear" w:color="auto" w:fill="auto"/>
          </w:tcPr>
          <w:p w:rsidR="004E59EC" w:rsidRPr="001A6D41" w:rsidRDefault="001A6D41" w:rsidP="005C3242">
            <w:pPr>
              <w:pStyle w:val="Tabletext"/>
              <w:jc w:val="center"/>
              <w:rPr>
                <w:bCs/>
                <w:color w:val="000000"/>
                <w:highlight w:val="black"/>
              </w:rPr>
            </w:pPr>
            <w:r>
              <w:rPr>
                <w:noProof/>
                <w:color w:val="000000"/>
                <w:szCs w:val="20"/>
                <w:highlight w:val="black"/>
              </w:rPr>
              <w:t>''''''''''''</w:t>
            </w:r>
          </w:p>
        </w:tc>
        <w:tc>
          <w:tcPr>
            <w:tcW w:w="652" w:type="pct"/>
            <w:shd w:val="clear" w:color="auto" w:fill="auto"/>
          </w:tcPr>
          <w:p w:rsidR="004E59EC" w:rsidRPr="001A6D41" w:rsidRDefault="001A6D41" w:rsidP="005C3242">
            <w:pPr>
              <w:pStyle w:val="Tabletext"/>
              <w:jc w:val="center"/>
              <w:rPr>
                <w:bCs/>
                <w:color w:val="000000"/>
                <w:highlight w:val="black"/>
              </w:rPr>
            </w:pPr>
            <w:r>
              <w:rPr>
                <w:noProof/>
                <w:color w:val="000000"/>
                <w:szCs w:val="20"/>
                <w:highlight w:val="black"/>
              </w:rPr>
              <w:t>''''''''''''</w:t>
            </w:r>
          </w:p>
        </w:tc>
        <w:tc>
          <w:tcPr>
            <w:tcW w:w="652" w:type="pct"/>
            <w:shd w:val="clear" w:color="auto" w:fill="auto"/>
          </w:tcPr>
          <w:p w:rsidR="004E59EC" w:rsidRPr="001A6D41" w:rsidRDefault="001A6D41" w:rsidP="005C3242">
            <w:pPr>
              <w:pStyle w:val="Tabletext"/>
              <w:jc w:val="center"/>
              <w:rPr>
                <w:bCs/>
                <w:color w:val="000000"/>
                <w:highlight w:val="black"/>
              </w:rPr>
            </w:pPr>
            <w:r>
              <w:rPr>
                <w:noProof/>
                <w:color w:val="000000"/>
                <w:szCs w:val="20"/>
                <w:highlight w:val="black"/>
              </w:rPr>
              <w:t>''''''''''''</w:t>
            </w:r>
          </w:p>
        </w:tc>
        <w:tc>
          <w:tcPr>
            <w:tcW w:w="652" w:type="pct"/>
            <w:shd w:val="clear" w:color="auto" w:fill="auto"/>
          </w:tcPr>
          <w:p w:rsidR="004E59EC" w:rsidRPr="001A6D41" w:rsidRDefault="001A6D41" w:rsidP="005C3242">
            <w:pPr>
              <w:pStyle w:val="Tabletext"/>
              <w:jc w:val="center"/>
              <w:rPr>
                <w:bCs/>
                <w:color w:val="000000"/>
                <w:highlight w:val="black"/>
              </w:rPr>
            </w:pPr>
            <w:r>
              <w:rPr>
                <w:noProof/>
                <w:color w:val="000000"/>
                <w:szCs w:val="20"/>
                <w:highlight w:val="black"/>
              </w:rPr>
              <w:t>'''''''''''''''</w:t>
            </w:r>
          </w:p>
        </w:tc>
        <w:tc>
          <w:tcPr>
            <w:tcW w:w="652" w:type="pct"/>
            <w:shd w:val="clear" w:color="auto" w:fill="auto"/>
          </w:tcPr>
          <w:p w:rsidR="004E59EC" w:rsidRPr="001A6D41" w:rsidRDefault="001A6D41" w:rsidP="005C3242">
            <w:pPr>
              <w:pStyle w:val="Tabletext"/>
              <w:jc w:val="center"/>
              <w:rPr>
                <w:bCs/>
                <w:color w:val="000000"/>
                <w:highlight w:val="black"/>
              </w:rPr>
            </w:pPr>
            <w:r>
              <w:rPr>
                <w:noProof/>
                <w:color w:val="000000"/>
                <w:szCs w:val="20"/>
                <w:highlight w:val="black"/>
              </w:rPr>
              <w:t>''''''''''''</w:t>
            </w:r>
          </w:p>
        </w:tc>
        <w:tc>
          <w:tcPr>
            <w:tcW w:w="654" w:type="pct"/>
          </w:tcPr>
          <w:p w:rsidR="004E59EC" w:rsidRPr="001A6D41" w:rsidRDefault="001A6D41" w:rsidP="005C3242">
            <w:pPr>
              <w:pStyle w:val="Tabletext"/>
              <w:jc w:val="center"/>
              <w:rPr>
                <w:bCs/>
                <w:color w:val="000000"/>
                <w:highlight w:val="black"/>
              </w:rPr>
            </w:pPr>
            <w:r>
              <w:rPr>
                <w:noProof/>
                <w:color w:val="000000"/>
                <w:szCs w:val="20"/>
                <w:highlight w:val="black"/>
              </w:rPr>
              <w:t>''''''''''''</w:t>
            </w:r>
          </w:p>
        </w:tc>
      </w:tr>
      <w:tr w:rsidR="004E59EC" w:rsidRPr="00581941" w:rsidTr="005C3242">
        <w:tc>
          <w:tcPr>
            <w:tcW w:w="1086" w:type="pct"/>
            <w:shd w:val="clear" w:color="auto" w:fill="auto"/>
            <w:vAlign w:val="center"/>
          </w:tcPr>
          <w:p w:rsidR="004E59EC" w:rsidRPr="00581941" w:rsidRDefault="004E59EC" w:rsidP="005C3242">
            <w:pPr>
              <w:pStyle w:val="Tabletext"/>
              <w:ind w:left="253"/>
            </w:pPr>
            <w:r w:rsidRPr="00581941">
              <w:t>July 2019 submission</w:t>
            </w:r>
          </w:p>
        </w:tc>
        <w:tc>
          <w:tcPr>
            <w:tcW w:w="652" w:type="pct"/>
            <w:shd w:val="clear" w:color="auto" w:fill="auto"/>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c>
          <w:tcPr>
            <w:tcW w:w="654" w:type="pct"/>
            <w:vAlign w:val="center"/>
          </w:tcPr>
          <w:p w:rsidR="004E59EC" w:rsidRPr="001A6D41" w:rsidRDefault="001A6D41" w:rsidP="005C3242">
            <w:pPr>
              <w:pStyle w:val="Tabletext"/>
              <w:jc w:val="center"/>
              <w:rPr>
                <w:szCs w:val="20"/>
                <w:highlight w:val="black"/>
              </w:rPr>
            </w:pPr>
            <w:r>
              <w:rPr>
                <w:noProof/>
                <w:color w:val="000000"/>
                <w:szCs w:val="20"/>
                <w:highlight w:val="black"/>
              </w:rPr>
              <w:t>'''''''''''''</w:t>
            </w:r>
          </w:p>
        </w:tc>
      </w:tr>
      <w:tr w:rsidR="004E59EC" w:rsidRPr="00581941" w:rsidTr="005C3242">
        <w:tc>
          <w:tcPr>
            <w:tcW w:w="1086" w:type="pct"/>
            <w:shd w:val="clear" w:color="auto" w:fill="auto"/>
            <w:vAlign w:val="center"/>
          </w:tcPr>
          <w:p w:rsidR="004E59EC" w:rsidRPr="00581941" w:rsidRDefault="004E59EC" w:rsidP="005C3242">
            <w:pPr>
              <w:pStyle w:val="Tabletext"/>
              <w:rPr>
                <w:rFonts w:ascii="Times" w:hAnsi="Times"/>
              </w:rPr>
            </w:pPr>
            <w:r w:rsidRPr="00581941">
              <w:t xml:space="preserve">Scripts </w:t>
            </w:r>
            <w:r w:rsidR="003275A4" w:rsidRPr="00581941">
              <w:t>replaced</w:t>
            </w:r>
          </w:p>
        </w:tc>
        <w:tc>
          <w:tcPr>
            <w:tcW w:w="652" w:type="pct"/>
            <w:shd w:val="clear" w:color="auto" w:fill="auto"/>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c>
          <w:tcPr>
            <w:tcW w:w="652" w:type="pct"/>
            <w:shd w:val="clear" w:color="auto" w:fill="auto"/>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c>
          <w:tcPr>
            <w:tcW w:w="654" w:type="pct"/>
            <w:vAlign w:val="center"/>
          </w:tcPr>
          <w:p w:rsidR="004E59EC" w:rsidRPr="001A6D41" w:rsidRDefault="001A6D41" w:rsidP="005C3242">
            <w:pPr>
              <w:pStyle w:val="Tabletext"/>
              <w:jc w:val="center"/>
              <w:rPr>
                <w:bCs/>
                <w:color w:val="000000"/>
                <w:highlight w:val="black"/>
              </w:rPr>
            </w:pPr>
            <w:r>
              <w:rPr>
                <w:rFonts w:cs="Calibri"/>
                <w:noProof/>
                <w:color w:val="000000"/>
                <w:szCs w:val="20"/>
                <w:highlight w:val="black"/>
              </w:rPr>
              <w:t>''''''''''''''''''</w:t>
            </w:r>
          </w:p>
        </w:tc>
      </w:tr>
      <w:tr w:rsidR="004E59EC" w:rsidRPr="00581941" w:rsidTr="005C3242">
        <w:tc>
          <w:tcPr>
            <w:tcW w:w="1086" w:type="pct"/>
            <w:shd w:val="clear" w:color="auto" w:fill="auto"/>
            <w:vAlign w:val="center"/>
          </w:tcPr>
          <w:p w:rsidR="004E59EC" w:rsidRPr="00581941" w:rsidRDefault="004E59EC" w:rsidP="005C3242">
            <w:pPr>
              <w:pStyle w:val="Tabletext"/>
              <w:ind w:left="253"/>
            </w:pPr>
            <w:r w:rsidRPr="00581941">
              <w:t>July 2019 submission</w:t>
            </w:r>
          </w:p>
        </w:tc>
        <w:tc>
          <w:tcPr>
            <w:tcW w:w="652" w:type="pct"/>
            <w:shd w:val="clear" w:color="auto" w:fill="auto"/>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c>
          <w:tcPr>
            <w:tcW w:w="652" w:type="pct"/>
            <w:shd w:val="clear" w:color="auto" w:fill="auto"/>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c>
          <w:tcPr>
            <w:tcW w:w="652" w:type="pct"/>
            <w:shd w:val="clear" w:color="auto" w:fill="auto"/>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c>
          <w:tcPr>
            <w:tcW w:w="652" w:type="pct"/>
            <w:shd w:val="clear" w:color="auto" w:fill="auto"/>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c>
          <w:tcPr>
            <w:tcW w:w="652" w:type="pct"/>
            <w:shd w:val="clear" w:color="auto" w:fill="auto"/>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c>
          <w:tcPr>
            <w:tcW w:w="654" w:type="pct"/>
            <w:vAlign w:val="center"/>
          </w:tcPr>
          <w:p w:rsidR="004E59EC" w:rsidRPr="001A6D41" w:rsidRDefault="001A6D41" w:rsidP="005C3242">
            <w:pPr>
              <w:pStyle w:val="Tabletext"/>
              <w:jc w:val="center"/>
              <w:rPr>
                <w:rFonts w:cs="Calibri"/>
                <w:color w:val="000000"/>
                <w:szCs w:val="20"/>
                <w:highlight w:val="black"/>
              </w:rPr>
            </w:pPr>
            <w:r>
              <w:rPr>
                <w:noProof/>
                <w:color w:val="000000"/>
                <w:highlight w:val="black"/>
              </w:rPr>
              <w:t>'''''''''''''''</w:t>
            </w:r>
          </w:p>
        </w:tc>
      </w:tr>
      <w:tr w:rsidR="004E59EC" w:rsidRPr="00581941" w:rsidTr="005C3242">
        <w:tc>
          <w:tcPr>
            <w:tcW w:w="5000" w:type="pct"/>
            <w:gridSpan w:val="7"/>
            <w:shd w:val="clear" w:color="auto" w:fill="auto"/>
            <w:vAlign w:val="center"/>
          </w:tcPr>
          <w:p w:rsidR="004E59EC" w:rsidRPr="00581941" w:rsidRDefault="004E59EC" w:rsidP="005C3242">
            <w:pPr>
              <w:pStyle w:val="Tabletext"/>
              <w:rPr>
                <w:b/>
                <w:bCs/>
                <w:color w:val="000000"/>
              </w:rPr>
            </w:pPr>
            <w:r w:rsidRPr="00581941">
              <w:rPr>
                <w:b/>
                <w:bCs/>
                <w:color w:val="000000"/>
              </w:rPr>
              <w:t xml:space="preserve">Estimated financial implications of </w:t>
            </w:r>
            <w:r w:rsidRPr="00581941">
              <w:rPr>
                <w:b/>
                <w:szCs w:val="20"/>
              </w:rPr>
              <w:t>DTG/3TC</w:t>
            </w:r>
          </w:p>
        </w:tc>
      </w:tr>
      <w:tr w:rsidR="004E59EC" w:rsidRPr="00581941" w:rsidTr="005C3242">
        <w:tc>
          <w:tcPr>
            <w:tcW w:w="1086" w:type="pct"/>
            <w:shd w:val="clear" w:color="auto" w:fill="auto"/>
            <w:vAlign w:val="center"/>
          </w:tcPr>
          <w:p w:rsidR="004E59EC" w:rsidRPr="00581941" w:rsidRDefault="004E59EC" w:rsidP="005C3242">
            <w:pPr>
              <w:pStyle w:val="Tabletext"/>
              <w:rPr>
                <w:sz w:val="19"/>
                <w:szCs w:val="19"/>
              </w:rPr>
            </w:pPr>
            <w:r w:rsidRPr="00581941">
              <w:rPr>
                <w:sz w:val="19"/>
                <w:szCs w:val="19"/>
              </w:rPr>
              <w:t>Cost to PBS/RPBS less co-payments</w:t>
            </w:r>
          </w:p>
        </w:tc>
        <w:tc>
          <w:tcPr>
            <w:tcW w:w="652" w:type="pct"/>
            <w:shd w:val="clear" w:color="auto" w:fill="auto"/>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c>
          <w:tcPr>
            <w:tcW w:w="652" w:type="pct"/>
            <w:shd w:val="clear" w:color="auto" w:fill="auto"/>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c>
          <w:tcPr>
            <w:tcW w:w="652" w:type="pct"/>
            <w:shd w:val="clear" w:color="auto" w:fill="auto"/>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c>
          <w:tcPr>
            <w:tcW w:w="652" w:type="pct"/>
            <w:shd w:val="clear" w:color="auto" w:fill="auto"/>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c>
          <w:tcPr>
            <w:tcW w:w="652" w:type="pct"/>
            <w:shd w:val="clear" w:color="auto" w:fill="auto"/>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c>
          <w:tcPr>
            <w:tcW w:w="654" w:type="pct"/>
            <w:vAlign w:val="center"/>
          </w:tcPr>
          <w:p w:rsidR="004E59EC" w:rsidRPr="00581941" w:rsidRDefault="004E59EC" w:rsidP="005C3242">
            <w:pPr>
              <w:pStyle w:val="Tabletext"/>
              <w:jc w:val="center"/>
              <w:rPr>
                <w:szCs w:val="20"/>
              </w:rPr>
            </w:pPr>
            <w:r w:rsidRPr="00581941">
              <w:rPr>
                <w:rFonts w:cs="Arial"/>
                <w:bCs/>
                <w:color w:val="000000"/>
                <w:szCs w:val="20"/>
              </w:rPr>
              <w:t>$</w:t>
            </w:r>
            <w:r w:rsidR="001A6D41">
              <w:rPr>
                <w:rFonts w:cs="Arial"/>
                <w:bCs/>
                <w:noProof/>
                <w:color w:val="000000"/>
                <w:szCs w:val="20"/>
                <w:highlight w:val="black"/>
              </w:rPr>
              <w:t>'''''''''''''''''''''''''''''</w:t>
            </w:r>
            <w:r w:rsidRPr="00581941">
              <w:rPr>
                <w:rFonts w:cs="Arial"/>
                <w:bCs/>
                <w:color w:val="000000"/>
                <w:szCs w:val="20"/>
              </w:rPr>
              <w:t xml:space="preserve"> </w:t>
            </w:r>
          </w:p>
        </w:tc>
      </w:tr>
      <w:tr w:rsidR="004E59EC" w:rsidRPr="00581941" w:rsidTr="005C3242">
        <w:trPr>
          <w:trHeight w:val="70"/>
        </w:trPr>
        <w:tc>
          <w:tcPr>
            <w:tcW w:w="5000" w:type="pct"/>
            <w:gridSpan w:val="7"/>
            <w:shd w:val="clear" w:color="auto" w:fill="auto"/>
            <w:vAlign w:val="center"/>
          </w:tcPr>
          <w:p w:rsidR="004E59EC" w:rsidRPr="00581941" w:rsidRDefault="004E59EC" w:rsidP="005C3242">
            <w:pPr>
              <w:pStyle w:val="Tabletext"/>
              <w:rPr>
                <w:bCs/>
                <w:color w:val="000000"/>
              </w:rPr>
            </w:pPr>
            <w:r w:rsidRPr="00581941">
              <w:rPr>
                <w:b/>
                <w:bCs/>
                <w:color w:val="000000"/>
              </w:rPr>
              <w:t xml:space="preserve">Estimated financial implications for </w:t>
            </w:r>
            <w:r w:rsidR="003275A4" w:rsidRPr="00581941">
              <w:rPr>
                <w:b/>
                <w:bCs/>
                <w:color w:val="000000"/>
              </w:rPr>
              <w:t>replaced</w:t>
            </w:r>
            <w:r w:rsidRPr="00581941">
              <w:rPr>
                <w:b/>
                <w:bCs/>
                <w:color w:val="000000"/>
              </w:rPr>
              <w:t xml:space="preserve"> ARTs</w:t>
            </w:r>
          </w:p>
        </w:tc>
      </w:tr>
      <w:tr w:rsidR="004E59EC" w:rsidRPr="00581941" w:rsidTr="005C3242">
        <w:tc>
          <w:tcPr>
            <w:tcW w:w="1086" w:type="pct"/>
            <w:shd w:val="clear" w:color="auto" w:fill="auto"/>
            <w:vAlign w:val="center"/>
          </w:tcPr>
          <w:p w:rsidR="004E59EC" w:rsidRPr="00581941" w:rsidRDefault="004E59EC" w:rsidP="005C3242">
            <w:pPr>
              <w:pStyle w:val="Tabletext"/>
              <w:rPr>
                <w:sz w:val="19"/>
                <w:szCs w:val="19"/>
              </w:rPr>
            </w:pPr>
            <w:r w:rsidRPr="00581941">
              <w:rPr>
                <w:sz w:val="19"/>
                <w:szCs w:val="19"/>
              </w:rPr>
              <w:t>Cost to PBS/RPBS less co-payments</w:t>
            </w:r>
          </w:p>
        </w:tc>
        <w:tc>
          <w:tcPr>
            <w:tcW w:w="652" w:type="pct"/>
            <w:shd w:val="clear" w:color="auto" w:fill="auto"/>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c>
          <w:tcPr>
            <w:tcW w:w="652" w:type="pct"/>
            <w:shd w:val="clear" w:color="auto" w:fill="auto"/>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c>
          <w:tcPr>
            <w:tcW w:w="652" w:type="pct"/>
            <w:shd w:val="clear" w:color="auto" w:fill="auto"/>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c>
          <w:tcPr>
            <w:tcW w:w="652" w:type="pct"/>
            <w:shd w:val="clear" w:color="auto" w:fill="auto"/>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c>
          <w:tcPr>
            <w:tcW w:w="652" w:type="pct"/>
            <w:shd w:val="clear" w:color="auto" w:fill="auto"/>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c>
          <w:tcPr>
            <w:tcW w:w="654" w:type="pct"/>
            <w:vAlign w:val="center"/>
          </w:tcPr>
          <w:p w:rsidR="004E59EC" w:rsidRPr="00581941" w:rsidRDefault="004E59EC" w:rsidP="005C3242">
            <w:pPr>
              <w:pStyle w:val="Tabletext"/>
              <w:jc w:val="center"/>
              <w:rPr>
                <w:rFonts w:cs="Calibri"/>
                <w:color w:val="000000"/>
              </w:rPr>
            </w:pPr>
            <w:r w:rsidRPr="00581941">
              <w:rPr>
                <w:rFonts w:cs="Calibri"/>
                <w:color w:val="000000"/>
              </w:rPr>
              <w:t>-$</w:t>
            </w:r>
            <w:r w:rsidR="001A6D41">
              <w:rPr>
                <w:rFonts w:cs="Calibri"/>
                <w:noProof/>
                <w:color w:val="000000"/>
                <w:highlight w:val="black"/>
              </w:rPr>
              <w:t>'''''''''''''''''''''''''''''</w:t>
            </w:r>
          </w:p>
        </w:tc>
      </w:tr>
      <w:tr w:rsidR="004E59EC" w:rsidRPr="00581941" w:rsidTr="005C3242">
        <w:trPr>
          <w:trHeight w:val="70"/>
        </w:trPr>
        <w:tc>
          <w:tcPr>
            <w:tcW w:w="5000" w:type="pct"/>
            <w:gridSpan w:val="7"/>
            <w:shd w:val="clear" w:color="auto" w:fill="auto"/>
            <w:vAlign w:val="center"/>
          </w:tcPr>
          <w:p w:rsidR="004E59EC" w:rsidRPr="00581941" w:rsidRDefault="004E59EC" w:rsidP="005C3242">
            <w:pPr>
              <w:pStyle w:val="Tabletext"/>
              <w:rPr>
                <w:b/>
                <w:bCs/>
                <w:color w:val="000000"/>
              </w:rPr>
            </w:pPr>
            <w:r w:rsidRPr="00581941">
              <w:rPr>
                <w:b/>
                <w:bCs/>
                <w:color w:val="000000"/>
              </w:rPr>
              <w:t>Net financial implications</w:t>
            </w:r>
            <w:r w:rsidRPr="00581941">
              <w:rPr>
                <w:b/>
                <w:bCs/>
                <w:color w:val="4BACC6" w:themeColor="accent5"/>
              </w:rPr>
              <w:t xml:space="preserve"> </w:t>
            </w:r>
          </w:p>
        </w:tc>
      </w:tr>
      <w:tr w:rsidR="004E59EC" w:rsidRPr="00581941" w:rsidTr="005C3242">
        <w:tc>
          <w:tcPr>
            <w:tcW w:w="1086" w:type="pct"/>
            <w:shd w:val="clear" w:color="auto" w:fill="auto"/>
            <w:vAlign w:val="center"/>
          </w:tcPr>
          <w:p w:rsidR="004E59EC" w:rsidRPr="00581941" w:rsidRDefault="004E59EC" w:rsidP="005C3242">
            <w:pPr>
              <w:pStyle w:val="Tabletext"/>
              <w:rPr>
                <w:sz w:val="19"/>
                <w:szCs w:val="19"/>
              </w:rPr>
            </w:pPr>
            <w:r w:rsidRPr="00581941">
              <w:rPr>
                <w:sz w:val="19"/>
                <w:szCs w:val="19"/>
              </w:rPr>
              <w:t>Net cost to PBS/RPBS</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c>
          <w:tcPr>
            <w:tcW w:w="654" w:type="pct"/>
            <w:vAlign w:val="center"/>
          </w:tcPr>
          <w:p w:rsidR="004E59EC" w:rsidRPr="00581941" w:rsidRDefault="004E59EC" w:rsidP="005C3242">
            <w:pPr>
              <w:pStyle w:val="Tabletext"/>
              <w:jc w:val="center"/>
              <w:rPr>
                <w:bCs/>
                <w:i/>
                <w:color w:val="000000"/>
              </w:rPr>
            </w:pPr>
            <w:r w:rsidRPr="00581941">
              <w:rPr>
                <w:color w:val="000000"/>
                <w:szCs w:val="20"/>
              </w:rPr>
              <w:t>-$</w:t>
            </w:r>
            <w:r w:rsidR="001A6D41">
              <w:rPr>
                <w:noProof/>
                <w:color w:val="000000"/>
                <w:szCs w:val="20"/>
                <w:highlight w:val="black"/>
              </w:rPr>
              <w:t>''''''''''''''''''''''''''</w:t>
            </w:r>
          </w:p>
        </w:tc>
      </w:tr>
      <w:tr w:rsidR="004E59EC" w:rsidRPr="00581941" w:rsidTr="005C3242">
        <w:tc>
          <w:tcPr>
            <w:tcW w:w="1086" w:type="pct"/>
            <w:shd w:val="clear" w:color="auto" w:fill="auto"/>
            <w:vAlign w:val="center"/>
          </w:tcPr>
          <w:p w:rsidR="004E59EC" w:rsidRPr="00581941" w:rsidRDefault="004E59EC" w:rsidP="005C3242">
            <w:pPr>
              <w:pStyle w:val="Tabletext"/>
              <w:rPr>
                <w:rFonts w:ascii="Times" w:hAnsi="Times"/>
              </w:rPr>
            </w:pPr>
            <w:r w:rsidRPr="00581941">
              <w:rPr>
                <w:sz w:val="19"/>
                <w:szCs w:val="19"/>
              </w:rPr>
              <w:t>Net cost to MBS</w:t>
            </w:r>
          </w:p>
        </w:tc>
        <w:tc>
          <w:tcPr>
            <w:tcW w:w="652" w:type="pct"/>
            <w:shd w:val="clear" w:color="auto" w:fill="auto"/>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c>
          <w:tcPr>
            <w:tcW w:w="654" w:type="pct"/>
            <w:vAlign w:val="center"/>
          </w:tcPr>
          <w:p w:rsidR="004E59EC" w:rsidRPr="00581941" w:rsidRDefault="004E59EC" w:rsidP="005C3242">
            <w:pPr>
              <w:pStyle w:val="Tabletext"/>
              <w:jc w:val="center"/>
              <w:rPr>
                <w:bCs/>
                <w:color w:val="000000"/>
              </w:rPr>
            </w:pPr>
            <w:r w:rsidRPr="00581941">
              <w:rPr>
                <w:rFonts w:cs="Calibri"/>
                <w:color w:val="000000"/>
                <w:szCs w:val="20"/>
              </w:rPr>
              <w:t>-$</w:t>
            </w:r>
            <w:r w:rsidR="001A6D41">
              <w:rPr>
                <w:rFonts w:cs="Calibri"/>
                <w:noProof/>
                <w:color w:val="000000"/>
                <w:szCs w:val="20"/>
                <w:highlight w:val="black"/>
              </w:rPr>
              <w:t>'''''''''''''''</w:t>
            </w:r>
          </w:p>
        </w:tc>
      </w:tr>
      <w:tr w:rsidR="004E59EC" w:rsidRPr="00581941" w:rsidTr="005C3242">
        <w:trPr>
          <w:trHeight w:val="394"/>
        </w:trPr>
        <w:tc>
          <w:tcPr>
            <w:tcW w:w="1086" w:type="pct"/>
            <w:shd w:val="clear" w:color="auto" w:fill="auto"/>
            <w:vAlign w:val="center"/>
          </w:tcPr>
          <w:p w:rsidR="004E59EC" w:rsidRPr="00581941" w:rsidRDefault="004E59EC" w:rsidP="005C3242">
            <w:pPr>
              <w:pStyle w:val="Tabletext"/>
              <w:rPr>
                <w:sz w:val="19"/>
                <w:szCs w:val="19"/>
              </w:rPr>
            </w:pPr>
            <w:r w:rsidRPr="00581941">
              <w:rPr>
                <w:sz w:val="19"/>
                <w:szCs w:val="19"/>
              </w:rPr>
              <w:t>Net cost to PBS/RPBS/MBS</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c>
          <w:tcPr>
            <w:tcW w:w="652" w:type="pct"/>
            <w:shd w:val="clear" w:color="auto" w:fill="auto"/>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c>
          <w:tcPr>
            <w:tcW w:w="654" w:type="pct"/>
            <w:vAlign w:val="center"/>
          </w:tcPr>
          <w:p w:rsidR="004E59EC" w:rsidRPr="00581941" w:rsidRDefault="004E59EC" w:rsidP="005C3242">
            <w:pPr>
              <w:pStyle w:val="Tabletext"/>
              <w:jc w:val="center"/>
              <w:rPr>
                <w:bCs/>
                <w:i/>
                <w:color w:val="000000"/>
              </w:rPr>
            </w:pPr>
            <w:r w:rsidRPr="00581941">
              <w:rPr>
                <w:rFonts w:cs="Calibri"/>
                <w:color w:val="000000"/>
                <w:szCs w:val="20"/>
              </w:rPr>
              <w:t>-$</w:t>
            </w:r>
            <w:r w:rsidR="001A6D41">
              <w:rPr>
                <w:rFonts w:cs="Calibri"/>
                <w:noProof/>
                <w:color w:val="000000"/>
                <w:szCs w:val="20"/>
                <w:highlight w:val="black"/>
              </w:rPr>
              <w:t>'''''''''''''''''''''''</w:t>
            </w:r>
          </w:p>
        </w:tc>
      </w:tr>
    </w:tbl>
    <w:p w:rsidR="004E59EC" w:rsidRPr="00581941" w:rsidRDefault="004E59EC" w:rsidP="004E59EC">
      <w:pPr>
        <w:pStyle w:val="TableFooter"/>
        <w:jc w:val="left"/>
      </w:pPr>
      <w:r w:rsidRPr="00581941">
        <w:t xml:space="preserve">Source:  Tables 92-94, pp126-127, Tables 97-98, p 129, and Table 102, p131 of the submission; </w:t>
      </w:r>
      <w:r w:rsidRPr="00581941">
        <w:rPr>
          <w:iCs/>
        </w:rPr>
        <w:t xml:space="preserve">Section 4 of the July 2019 DTG/3TC submission </w:t>
      </w:r>
      <w:r w:rsidRPr="00581941">
        <w:t xml:space="preserve"> </w:t>
      </w:r>
    </w:p>
    <w:p w:rsidR="004E59EC" w:rsidRPr="00581941" w:rsidRDefault="004E59EC" w:rsidP="004E59EC">
      <w:pPr>
        <w:pStyle w:val="TableFooter"/>
        <w:jc w:val="left"/>
      </w:pPr>
      <w:r w:rsidRPr="00581941">
        <w:t xml:space="preserve">3TC = lamivudine; DTG = dolutegravir; MBS = Medicare Benefits Schedule; PBS = Pharmaceutical Benefits Scheme; RPBS = Repatriation Schedule of Pharmaceutical Benefits </w:t>
      </w:r>
    </w:p>
    <w:p w:rsidR="004E59EC" w:rsidRPr="00581941" w:rsidRDefault="004E59EC" w:rsidP="004E59EC">
      <w:pPr>
        <w:pStyle w:val="TableFooter"/>
        <w:jc w:val="left"/>
      </w:pPr>
      <w:r w:rsidRPr="00581941">
        <w:t>Note: The July 2019 submission projected financial impact from 2019 to 2024 (Years 1 to 6). The current submission projected financial impact from 2021 to 2026.</w:t>
      </w:r>
    </w:p>
    <w:p w:rsidR="0003184B" w:rsidRDefault="0003184B" w:rsidP="004E59EC">
      <w:pPr>
        <w:pStyle w:val="TableFooter"/>
        <w:jc w:val="left"/>
        <w:rPr>
          <w:i/>
        </w:rPr>
      </w:pPr>
    </w:p>
    <w:p w:rsidR="0043702C" w:rsidRPr="008D2C45" w:rsidRDefault="0043702C" w:rsidP="008D2C45">
      <w:pPr>
        <w:pStyle w:val="3-BodyText"/>
        <w:numPr>
          <w:ilvl w:val="0"/>
          <w:numId w:val="0"/>
        </w:numPr>
        <w:ind w:left="720" w:hanging="720"/>
        <w:rPr>
          <w:i/>
        </w:rPr>
      </w:pPr>
      <w:r w:rsidRPr="008D2C45">
        <w:rPr>
          <w:i/>
        </w:rPr>
        <w:t xml:space="preserve">The redacted table shows that at Year 6, the estimated number of DTG/3TC switch patients </w:t>
      </w:r>
      <w:r w:rsidR="008D2C45" w:rsidRPr="008D2C45">
        <w:rPr>
          <w:i/>
        </w:rPr>
        <w:t xml:space="preserve">was 500 to &lt; 5,000 </w:t>
      </w:r>
      <w:r w:rsidRPr="008D2C45">
        <w:rPr>
          <w:i/>
        </w:rPr>
        <w:t xml:space="preserve">(compared to </w:t>
      </w:r>
      <w:r w:rsidR="008D2C45" w:rsidRPr="008D2C45">
        <w:rPr>
          <w:i/>
        </w:rPr>
        <w:t>500 to &lt; 5,000 f</w:t>
      </w:r>
      <w:r w:rsidRPr="008D2C45">
        <w:rPr>
          <w:i/>
        </w:rPr>
        <w:t xml:space="preserve">or the July 2019 submission); the number of scripts replaced was </w:t>
      </w:r>
      <w:r w:rsidR="008D2C45" w:rsidRPr="008D2C45">
        <w:rPr>
          <w:i/>
        </w:rPr>
        <w:t xml:space="preserve">10,000 to &lt; 20,000 </w:t>
      </w:r>
      <w:r w:rsidRPr="008D2C45">
        <w:rPr>
          <w:i/>
        </w:rPr>
        <w:t xml:space="preserve">(compared to </w:t>
      </w:r>
      <w:r w:rsidR="008D2C45" w:rsidRPr="008D2C45">
        <w:rPr>
          <w:i/>
        </w:rPr>
        <w:t xml:space="preserve">10,000 to &lt; 20,000 </w:t>
      </w:r>
      <w:r w:rsidRPr="008D2C45">
        <w:rPr>
          <w:i/>
        </w:rPr>
        <w:t>f</w:t>
      </w:r>
      <w:r w:rsidR="008D2C45" w:rsidRPr="008D2C45">
        <w:rPr>
          <w:i/>
        </w:rPr>
        <w:t>o</w:t>
      </w:r>
      <w:r w:rsidRPr="008D2C45">
        <w:rPr>
          <w:i/>
        </w:rPr>
        <w:t>r the July 2019 submission); and the net cost to the PBS would be a net cost saving.</w:t>
      </w:r>
    </w:p>
    <w:p w:rsidR="007B641B" w:rsidRPr="007B641B" w:rsidRDefault="007B641B" w:rsidP="007B641B">
      <w:pPr>
        <w:pStyle w:val="3-BodyText"/>
        <w:numPr>
          <w:ilvl w:val="0"/>
          <w:numId w:val="0"/>
        </w:numPr>
        <w:ind w:left="720" w:hanging="720"/>
        <w:rPr>
          <w:i/>
          <w:iCs/>
        </w:rPr>
      </w:pPr>
    </w:p>
    <w:p w:rsidR="004E59EC" w:rsidRPr="00581941" w:rsidRDefault="004E59EC" w:rsidP="004E59EC">
      <w:pPr>
        <w:pStyle w:val="3-BodyText"/>
        <w:rPr>
          <w:iCs/>
        </w:rPr>
      </w:pPr>
      <w:r w:rsidRPr="00581941">
        <w:rPr>
          <w:iCs/>
        </w:rPr>
        <w:t xml:space="preserve">The submission likely overestimated the utilisation of DTG/3TC. The estimated number of DTG/3TC prescriptions was higher in the current submission than the July 2019 estimates for the </w:t>
      </w:r>
      <w:r w:rsidR="00053DDE" w:rsidRPr="00581941">
        <w:rPr>
          <w:iCs/>
        </w:rPr>
        <w:t>treatment</w:t>
      </w:r>
      <w:r w:rsidR="00053DDE" w:rsidRPr="00581941">
        <w:rPr>
          <w:iCs/>
        </w:rPr>
        <w:noBreakHyphen/>
      </w:r>
      <w:r w:rsidR="00AC3786" w:rsidRPr="00581941">
        <w:rPr>
          <w:iCs/>
        </w:rPr>
        <w:t>experienced</w:t>
      </w:r>
      <w:r w:rsidRPr="00581941">
        <w:rPr>
          <w:iCs/>
        </w:rPr>
        <w:t xml:space="preserve"> population. This was due to the current submission assuming </w:t>
      </w:r>
      <w:r w:rsidR="004440CA" w:rsidRPr="00581941">
        <w:rPr>
          <w:iCs/>
        </w:rPr>
        <w:t xml:space="preserve">a </w:t>
      </w:r>
      <w:r w:rsidRPr="00581941">
        <w:rPr>
          <w:iCs/>
        </w:rPr>
        <w:t>higher proportion of patients switching treatment and higher uptake of DTG/3TC. In its July 2019 consideration:</w:t>
      </w:r>
    </w:p>
    <w:p w:rsidR="004E59EC" w:rsidRPr="00581941" w:rsidRDefault="004E59EC" w:rsidP="008F4AEF">
      <w:pPr>
        <w:pStyle w:val="Bulletpoints"/>
        <w:ind w:left="1077" w:hanging="357"/>
        <w:rPr>
          <w:iCs/>
        </w:rPr>
      </w:pPr>
      <w:r w:rsidRPr="00581941">
        <w:rPr>
          <w:iCs/>
        </w:rPr>
        <w:t xml:space="preserve">The PBAC advised that the use of 3DRs in practice is </w:t>
      </w:r>
      <w:r w:rsidR="004440CA" w:rsidRPr="00581941">
        <w:rPr>
          <w:iCs/>
        </w:rPr>
        <w:t>well-</w:t>
      </w:r>
      <w:r w:rsidRPr="00581941">
        <w:rPr>
          <w:iCs/>
        </w:rPr>
        <w:t xml:space="preserve">established and it is unclear how many patients will seek to switch to a regimen with fewer drugs; </w:t>
      </w:r>
    </w:p>
    <w:p w:rsidR="004E59EC" w:rsidRPr="00581941" w:rsidRDefault="004E59EC" w:rsidP="008F4AEF">
      <w:pPr>
        <w:pStyle w:val="Bulletpoints"/>
        <w:ind w:left="1077" w:hanging="357"/>
        <w:rPr>
          <w:iCs/>
        </w:rPr>
      </w:pPr>
      <w:r w:rsidRPr="00581941">
        <w:rPr>
          <w:iCs/>
        </w:rPr>
        <w:t xml:space="preserve">The PBAC considered the eligible </w:t>
      </w:r>
      <w:r w:rsidR="00053DDE" w:rsidRPr="00581941">
        <w:rPr>
          <w:iCs/>
        </w:rPr>
        <w:t>treatment</w:t>
      </w:r>
      <w:r w:rsidR="00053DDE" w:rsidRPr="00581941">
        <w:rPr>
          <w:iCs/>
        </w:rPr>
        <w:noBreakHyphen/>
      </w:r>
      <w:r w:rsidR="00AC3786" w:rsidRPr="00581941">
        <w:rPr>
          <w:iCs/>
        </w:rPr>
        <w:t>experienced</w:t>
      </w:r>
      <w:r w:rsidRPr="00581941">
        <w:rPr>
          <w:iCs/>
        </w:rPr>
        <w:t xml:space="preserve"> population and likely uptake </w:t>
      </w:r>
      <w:r w:rsidR="00DE1C60" w:rsidRPr="00581941">
        <w:rPr>
          <w:iCs/>
        </w:rPr>
        <w:t xml:space="preserve">of DTG/3TC </w:t>
      </w:r>
      <w:r w:rsidRPr="00581941">
        <w:rPr>
          <w:iCs/>
        </w:rPr>
        <w:t xml:space="preserve">in this group was likely overestimated. The PBAC considered there is a place for 2DRs in </w:t>
      </w:r>
      <w:r w:rsidR="00053DDE" w:rsidRPr="00581941">
        <w:rPr>
          <w:iCs/>
        </w:rPr>
        <w:t>treatment</w:t>
      </w:r>
      <w:r w:rsidR="00053DDE" w:rsidRPr="00581941">
        <w:rPr>
          <w:iCs/>
        </w:rPr>
        <w:noBreakHyphen/>
      </w:r>
      <w:r w:rsidR="00AC3786" w:rsidRPr="00581941">
        <w:rPr>
          <w:iCs/>
        </w:rPr>
        <w:t>experienced</w:t>
      </w:r>
      <w:r w:rsidRPr="00581941">
        <w:rPr>
          <w:iCs/>
        </w:rPr>
        <w:t xml:space="preserve"> patients and while some patients may realise a safety benefit, it was likely a relatively small number of patients would seek to change regimen; and, </w:t>
      </w:r>
    </w:p>
    <w:p w:rsidR="004E59EC" w:rsidRPr="00581941" w:rsidRDefault="004E59EC" w:rsidP="008F4AEF">
      <w:pPr>
        <w:pStyle w:val="Bulletpoints"/>
        <w:ind w:left="1077" w:hanging="357"/>
        <w:rPr>
          <w:iCs/>
        </w:rPr>
      </w:pPr>
      <w:r w:rsidRPr="00581941">
        <w:rPr>
          <w:iCs/>
        </w:rPr>
        <w:t xml:space="preserve">The PBAC noted Juluca was already listed on the PBS </w:t>
      </w:r>
      <w:r w:rsidR="004440CA" w:rsidRPr="00581941">
        <w:rPr>
          <w:iCs/>
        </w:rPr>
        <w:t xml:space="preserve">and </w:t>
      </w:r>
      <w:r w:rsidRPr="00581941">
        <w:rPr>
          <w:iCs/>
        </w:rPr>
        <w:t xml:space="preserve">considered it may have already absorbed a portion of the </w:t>
      </w:r>
      <w:r w:rsidR="00053DDE" w:rsidRPr="00581941">
        <w:rPr>
          <w:iCs/>
        </w:rPr>
        <w:t>treatment</w:t>
      </w:r>
      <w:r w:rsidR="00053DDE" w:rsidRPr="00581941">
        <w:rPr>
          <w:iCs/>
        </w:rPr>
        <w:noBreakHyphen/>
      </w:r>
      <w:r w:rsidR="00AC3786" w:rsidRPr="00581941">
        <w:rPr>
          <w:iCs/>
        </w:rPr>
        <w:t>experienced</w:t>
      </w:r>
      <w:r w:rsidRPr="00581941">
        <w:rPr>
          <w:iCs/>
        </w:rPr>
        <w:t xml:space="preserve"> market willing to switch to a 2DR (paragraph 7.9, </w:t>
      </w:r>
      <w:r w:rsidR="00946FC5" w:rsidRPr="00581941">
        <w:rPr>
          <w:iCs/>
        </w:rPr>
        <w:t>DTG/3TC</w:t>
      </w:r>
      <w:r w:rsidRPr="00581941">
        <w:rPr>
          <w:iCs/>
        </w:rPr>
        <w:t xml:space="preserve"> PSD, July 2019 PBAC meeting). </w:t>
      </w:r>
    </w:p>
    <w:p w:rsidR="00E834B1" w:rsidRPr="00581941" w:rsidRDefault="00E834B1" w:rsidP="00630E34">
      <w:pPr>
        <w:pStyle w:val="3-BodyText"/>
      </w:pPr>
      <w:r w:rsidRPr="00581941">
        <w:t>The Pre-PBAC Response argued</w:t>
      </w:r>
      <w:r w:rsidR="00190BEE" w:rsidRPr="00581941">
        <w:t xml:space="preserve"> </w:t>
      </w:r>
      <w:r w:rsidRPr="00581941">
        <w:t xml:space="preserve">that the populations that may switch to </w:t>
      </w:r>
      <w:r w:rsidR="00926C6B" w:rsidRPr="00581941">
        <w:t>DTG/3TC</w:t>
      </w:r>
      <w:r w:rsidR="00926C6B" w:rsidRPr="00581941" w:rsidDel="00926C6B">
        <w:t xml:space="preserve"> </w:t>
      </w:r>
      <w:r w:rsidRPr="00581941">
        <w:t>or Juluca were different populations</w:t>
      </w:r>
      <w:r w:rsidR="00C2453D" w:rsidRPr="00581941">
        <w:t xml:space="preserve"> and </w:t>
      </w:r>
      <w:r w:rsidR="00926C6B" w:rsidRPr="00581941">
        <w:t>DTG/3TC</w:t>
      </w:r>
      <w:r w:rsidR="00926C6B" w:rsidRPr="00581941" w:rsidDel="00926C6B">
        <w:t xml:space="preserve"> </w:t>
      </w:r>
      <w:r w:rsidR="00C2453D" w:rsidRPr="00581941">
        <w:t>was expected to be suitable for more patients</w:t>
      </w:r>
      <w:r w:rsidR="00190BEE" w:rsidRPr="00581941">
        <w:t>,</w:t>
      </w:r>
      <w:r w:rsidRPr="00581941">
        <w:t xml:space="preserve"> as Juluca was contraindicated</w:t>
      </w:r>
      <w:r w:rsidR="00C2453D" w:rsidRPr="00581941">
        <w:t xml:space="preserve"> for patients who take a proton pump inhibitor </w:t>
      </w:r>
      <w:r w:rsidR="00190BEE" w:rsidRPr="00581941">
        <w:t>(</w:t>
      </w:r>
      <w:r w:rsidR="00C2453D" w:rsidRPr="00581941">
        <w:t>which was approximately 12% of the Australian population</w:t>
      </w:r>
      <w:r w:rsidR="00190BEE" w:rsidRPr="00581941">
        <w:t>,</w:t>
      </w:r>
      <w:r w:rsidR="00BB102F" w:rsidRPr="00581941">
        <w:t xml:space="preserve"> </w:t>
      </w:r>
      <w:r w:rsidR="00C2453D" w:rsidRPr="00581941">
        <w:t>based on Daniels 2020</w:t>
      </w:r>
      <w:r w:rsidR="00C2453D" w:rsidRPr="00581941">
        <w:rPr>
          <w:rStyle w:val="FootnoteReference"/>
        </w:rPr>
        <w:footnoteReference w:id="2"/>
      </w:r>
      <w:r w:rsidR="00C2453D" w:rsidRPr="00581941">
        <w:t>)</w:t>
      </w:r>
      <w:r w:rsidR="00190BEE" w:rsidRPr="00581941">
        <w:t>. The Sponsor also noted</w:t>
      </w:r>
      <w:r w:rsidR="002B2D59" w:rsidRPr="00581941">
        <w:t xml:space="preserve"> </w:t>
      </w:r>
      <w:r w:rsidR="00C2453D" w:rsidRPr="00581941">
        <w:t xml:space="preserve">that </w:t>
      </w:r>
      <w:r w:rsidR="00926C6B" w:rsidRPr="00581941">
        <w:t>DTG/3TC</w:t>
      </w:r>
      <w:r w:rsidR="00926C6B" w:rsidRPr="00581941" w:rsidDel="00926C6B">
        <w:t xml:space="preserve"> </w:t>
      </w:r>
      <w:r w:rsidR="00C2453D" w:rsidRPr="00581941">
        <w:t>was associated with fewer drug-drug interactions.</w:t>
      </w:r>
    </w:p>
    <w:p w:rsidR="00630E34" w:rsidRPr="00581941" w:rsidRDefault="004E59EC" w:rsidP="00630E34">
      <w:pPr>
        <w:pStyle w:val="3-BodyText"/>
      </w:pPr>
      <w:r w:rsidRPr="00581941">
        <w:t>The</w:t>
      </w:r>
      <w:r w:rsidR="005868D3" w:rsidRPr="00581941">
        <w:t xml:space="preserve"> submission estimated the listing of </w:t>
      </w:r>
      <w:r w:rsidR="00926C6B" w:rsidRPr="00581941">
        <w:t>DTG/3TC</w:t>
      </w:r>
      <w:r w:rsidR="00926C6B" w:rsidRPr="00581941" w:rsidDel="00926C6B">
        <w:t xml:space="preserve"> </w:t>
      </w:r>
      <w:r w:rsidR="005868D3" w:rsidRPr="00581941">
        <w:t xml:space="preserve">would result in a </w:t>
      </w:r>
      <w:r w:rsidR="00DE1C60" w:rsidRPr="00581941">
        <w:t xml:space="preserve">net </w:t>
      </w:r>
      <w:r w:rsidR="008717F2">
        <w:t xml:space="preserve">cost </w:t>
      </w:r>
      <w:r w:rsidR="00A50C3F" w:rsidRPr="00581941">
        <w:t xml:space="preserve">saving </w:t>
      </w:r>
      <w:r w:rsidRPr="00581941">
        <w:t xml:space="preserve">in Year 6, and a total </w:t>
      </w:r>
      <w:r w:rsidR="008717F2">
        <w:t xml:space="preserve">net cost </w:t>
      </w:r>
      <w:r w:rsidRPr="00581941">
        <w:t xml:space="preserve">saving in the first 6 years of listing. The total savings including MBS cost offsets over the first 6 years </w:t>
      </w:r>
      <w:r w:rsidR="00097E4B" w:rsidRPr="00581941">
        <w:t>was</w:t>
      </w:r>
      <w:r w:rsidR="004440CA" w:rsidRPr="00581941">
        <w:t xml:space="preserve"> </w:t>
      </w:r>
      <w:r w:rsidR="008717F2">
        <w:t xml:space="preserve">$40 million to &lt; $50 </w:t>
      </w:r>
      <w:r w:rsidRPr="00581941">
        <w:t xml:space="preserve">million. </w:t>
      </w:r>
      <w:r w:rsidR="0003184B" w:rsidRPr="00581941">
        <w:rPr>
          <w:iCs/>
          <w:color w:val="000000" w:themeColor="text1"/>
        </w:rPr>
        <w:t xml:space="preserve">The estimated </w:t>
      </w:r>
      <w:r w:rsidRPr="00581941">
        <w:rPr>
          <w:iCs/>
          <w:color w:val="000000" w:themeColor="text1"/>
        </w:rPr>
        <w:t xml:space="preserve">savings to the PBS/RPBS </w:t>
      </w:r>
      <w:r w:rsidR="00A50C3F" w:rsidRPr="00581941">
        <w:rPr>
          <w:iCs/>
          <w:color w:val="000000" w:themeColor="text1"/>
        </w:rPr>
        <w:t>were</w:t>
      </w:r>
      <w:r w:rsidR="00251644" w:rsidRPr="00581941">
        <w:rPr>
          <w:iCs/>
          <w:color w:val="000000" w:themeColor="text1"/>
        </w:rPr>
        <w:t xml:space="preserve"> based on DTG/3TC </w:t>
      </w:r>
      <w:r w:rsidR="00211E24" w:rsidRPr="00581941">
        <w:rPr>
          <w:iCs/>
          <w:color w:val="000000" w:themeColor="text1"/>
        </w:rPr>
        <w:t xml:space="preserve">replacing </w:t>
      </w:r>
      <w:r w:rsidRPr="00581941">
        <w:rPr>
          <w:iCs/>
          <w:color w:val="000000" w:themeColor="text1"/>
        </w:rPr>
        <w:t>more expensive therapies.</w:t>
      </w:r>
      <w:r w:rsidRPr="00581941">
        <w:rPr>
          <w:color w:val="000000" w:themeColor="text1"/>
        </w:rPr>
        <w:t xml:space="preserve"> </w:t>
      </w:r>
      <w:r w:rsidRPr="00581941">
        <w:t>The</w:t>
      </w:r>
      <w:r w:rsidR="00BB102F" w:rsidRPr="00581941">
        <w:t xml:space="preserve"> PBAC agreed with the evaluation that these</w:t>
      </w:r>
      <w:r w:rsidRPr="00581941">
        <w:t xml:space="preserve"> savings could be substantially lower if the estimated population treated with DTG/3TC were smaller due to lower uptake or smaller proportion of patients being eligible for treatment.</w:t>
      </w:r>
    </w:p>
    <w:p w:rsidR="006031A4" w:rsidRPr="0055333D" w:rsidRDefault="00630E34" w:rsidP="0055333D">
      <w:pPr>
        <w:pStyle w:val="ListParagraph"/>
        <w:numPr>
          <w:ilvl w:val="0"/>
          <w:numId w:val="0"/>
        </w:numPr>
        <w:ind w:left="709"/>
        <w:rPr>
          <w:i/>
        </w:rPr>
      </w:pPr>
      <w:r w:rsidRPr="00581941">
        <w:rPr>
          <w:i/>
        </w:rPr>
        <w:t>For more detail on PBAC’s view, see section 7 PBAC outcome.</w:t>
      </w:r>
    </w:p>
    <w:bookmarkEnd w:id="44"/>
    <w:bookmarkEnd w:id="45"/>
    <w:p w:rsidR="00630E34" w:rsidRPr="00581941" w:rsidRDefault="00630E34" w:rsidP="00701D62">
      <w:pPr>
        <w:keepNext/>
        <w:widowControl w:val="0"/>
        <w:numPr>
          <w:ilvl w:val="0"/>
          <w:numId w:val="1"/>
        </w:numPr>
        <w:spacing w:before="240" w:after="120"/>
        <w:outlineLvl w:val="0"/>
        <w:rPr>
          <w:rFonts w:asciiTheme="minorHAnsi" w:hAnsiTheme="minorHAnsi"/>
          <w:b/>
          <w:bCs/>
          <w:snapToGrid w:val="0"/>
          <w:sz w:val="32"/>
        </w:rPr>
      </w:pPr>
      <w:r w:rsidRPr="00581941">
        <w:rPr>
          <w:rFonts w:asciiTheme="minorHAnsi" w:hAnsiTheme="minorHAnsi"/>
          <w:b/>
          <w:bCs/>
          <w:snapToGrid w:val="0"/>
          <w:sz w:val="32"/>
        </w:rPr>
        <w:t>PBAC Outcome</w:t>
      </w:r>
    </w:p>
    <w:p w:rsidR="003563A5" w:rsidRPr="00581941" w:rsidRDefault="00701D62" w:rsidP="00630E34">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The PBAC recommended the Section 100</w:t>
      </w:r>
      <w:r w:rsidR="006031A4" w:rsidRPr="00581941">
        <w:rPr>
          <w:rFonts w:asciiTheme="minorHAnsi" w:hAnsiTheme="minorHAnsi"/>
          <w:bCs/>
          <w:snapToGrid w:val="0"/>
        </w:rPr>
        <w:t>,</w:t>
      </w:r>
      <w:r w:rsidRPr="00581941">
        <w:rPr>
          <w:rFonts w:asciiTheme="minorHAnsi" w:hAnsiTheme="minorHAnsi"/>
          <w:bCs/>
          <w:snapToGrid w:val="0"/>
        </w:rPr>
        <w:t xml:space="preserve"> Highly Specialised Drugs Program </w:t>
      </w:r>
      <w:r w:rsidR="006031A4" w:rsidRPr="00581941">
        <w:rPr>
          <w:rFonts w:asciiTheme="minorHAnsi" w:hAnsiTheme="minorHAnsi"/>
          <w:bCs/>
          <w:snapToGrid w:val="0"/>
        </w:rPr>
        <w:t>(</w:t>
      </w:r>
      <w:r w:rsidRPr="00581941">
        <w:rPr>
          <w:rFonts w:asciiTheme="minorHAnsi" w:hAnsiTheme="minorHAnsi"/>
          <w:bCs/>
          <w:snapToGrid w:val="0"/>
        </w:rPr>
        <w:t xml:space="preserve">Community Access), </w:t>
      </w:r>
      <w:r w:rsidR="006031A4" w:rsidRPr="00581941">
        <w:rPr>
          <w:rFonts w:asciiTheme="minorHAnsi" w:hAnsiTheme="minorHAnsi"/>
          <w:bCs/>
          <w:snapToGrid w:val="0"/>
        </w:rPr>
        <w:t>Authority Required (STREAMLINED)</w:t>
      </w:r>
      <w:r w:rsidRPr="00581941">
        <w:rPr>
          <w:rFonts w:asciiTheme="minorHAnsi" w:hAnsiTheme="minorHAnsi"/>
          <w:bCs/>
          <w:snapToGrid w:val="0"/>
        </w:rPr>
        <w:t xml:space="preserve"> listing of</w:t>
      </w:r>
      <w:r w:rsidR="006031A4" w:rsidRPr="00581941">
        <w:rPr>
          <w:rFonts w:asciiTheme="minorHAnsi" w:hAnsiTheme="minorHAnsi"/>
          <w:bCs/>
          <w:snapToGrid w:val="0"/>
        </w:rPr>
        <w:t xml:space="preserve"> combination</w:t>
      </w:r>
      <w:r w:rsidRPr="00581941">
        <w:rPr>
          <w:rFonts w:asciiTheme="minorHAnsi" w:hAnsiTheme="minorHAnsi"/>
          <w:bCs/>
          <w:snapToGrid w:val="0"/>
        </w:rPr>
        <w:t xml:space="preserve"> dolutegravir with lamivudine (D</w:t>
      </w:r>
      <w:r w:rsidR="00857C54" w:rsidRPr="00581941">
        <w:rPr>
          <w:rFonts w:asciiTheme="minorHAnsi" w:hAnsiTheme="minorHAnsi"/>
          <w:bCs/>
          <w:snapToGrid w:val="0"/>
        </w:rPr>
        <w:t>TG/3TC</w:t>
      </w:r>
      <w:r w:rsidRPr="00581941">
        <w:rPr>
          <w:rFonts w:asciiTheme="minorHAnsi" w:hAnsiTheme="minorHAnsi"/>
          <w:bCs/>
          <w:snapToGrid w:val="0"/>
        </w:rPr>
        <w:t>) be extended to allow use in patients</w:t>
      </w:r>
      <w:r w:rsidR="003563A5" w:rsidRPr="00581941">
        <w:rPr>
          <w:rFonts w:asciiTheme="minorHAnsi" w:hAnsiTheme="minorHAnsi"/>
          <w:bCs/>
          <w:snapToGrid w:val="0"/>
        </w:rPr>
        <w:t xml:space="preserve"> with HIV</w:t>
      </w:r>
      <w:r w:rsidRPr="00581941">
        <w:rPr>
          <w:rFonts w:asciiTheme="minorHAnsi" w:hAnsiTheme="minorHAnsi"/>
          <w:bCs/>
          <w:snapToGrid w:val="0"/>
        </w:rPr>
        <w:t xml:space="preserve"> </w:t>
      </w:r>
      <w:r w:rsidR="006031A4" w:rsidRPr="00581941">
        <w:rPr>
          <w:rFonts w:asciiTheme="minorHAnsi" w:hAnsiTheme="minorHAnsi"/>
          <w:bCs/>
          <w:snapToGrid w:val="0"/>
        </w:rPr>
        <w:t>infection who have</w:t>
      </w:r>
      <w:r w:rsidRPr="00581941">
        <w:rPr>
          <w:rFonts w:asciiTheme="minorHAnsi" w:hAnsiTheme="minorHAnsi"/>
          <w:bCs/>
          <w:snapToGrid w:val="0"/>
        </w:rPr>
        <w:t xml:space="preserve"> previously</w:t>
      </w:r>
      <w:r w:rsidR="006031A4" w:rsidRPr="00581941">
        <w:rPr>
          <w:rFonts w:asciiTheme="minorHAnsi" w:hAnsiTheme="minorHAnsi"/>
          <w:bCs/>
          <w:snapToGrid w:val="0"/>
        </w:rPr>
        <w:t xml:space="preserve"> been</w:t>
      </w:r>
      <w:r w:rsidRPr="00581941">
        <w:rPr>
          <w:rFonts w:asciiTheme="minorHAnsi" w:hAnsiTheme="minorHAnsi"/>
          <w:bCs/>
          <w:snapToGrid w:val="0"/>
        </w:rPr>
        <w:t xml:space="preserve"> treated with an alternative</w:t>
      </w:r>
      <w:r w:rsidR="003563A5" w:rsidRPr="00581941">
        <w:rPr>
          <w:rFonts w:asciiTheme="minorHAnsi" w:hAnsiTheme="minorHAnsi"/>
          <w:bCs/>
          <w:snapToGrid w:val="0"/>
        </w:rPr>
        <w:t xml:space="preserve"> anti-retroviral therapy (ART) regimen. </w:t>
      </w:r>
    </w:p>
    <w:p w:rsidR="00630E34" w:rsidRPr="00581941" w:rsidRDefault="003563A5" w:rsidP="00630E34">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The PBAC’s recommendation</w:t>
      </w:r>
      <w:r w:rsidR="0053793D" w:rsidRPr="00581941">
        <w:rPr>
          <w:rFonts w:asciiTheme="minorHAnsi" w:hAnsiTheme="minorHAnsi"/>
          <w:bCs/>
          <w:snapToGrid w:val="0"/>
        </w:rPr>
        <w:t xml:space="preserve"> for listing was based</w:t>
      </w:r>
      <w:r w:rsidR="006031A4" w:rsidRPr="00581941">
        <w:rPr>
          <w:rFonts w:asciiTheme="minorHAnsi" w:hAnsiTheme="minorHAnsi"/>
          <w:bCs/>
          <w:snapToGrid w:val="0"/>
        </w:rPr>
        <w:t xml:space="preserve"> on,</w:t>
      </w:r>
      <w:r w:rsidRPr="00581941">
        <w:rPr>
          <w:rFonts w:asciiTheme="minorHAnsi" w:hAnsiTheme="minorHAnsi"/>
          <w:bCs/>
          <w:snapToGrid w:val="0"/>
        </w:rPr>
        <w:t xml:space="preserve"> </w:t>
      </w:r>
      <w:r w:rsidR="0053793D" w:rsidRPr="00581941">
        <w:rPr>
          <w:rFonts w:asciiTheme="minorHAnsi" w:hAnsiTheme="minorHAnsi"/>
          <w:bCs/>
          <w:snapToGrid w:val="0"/>
        </w:rPr>
        <w:t xml:space="preserve">among other matters, its assessment that </w:t>
      </w:r>
      <w:r w:rsidR="00857C54" w:rsidRPr="00581941">
        <w:rPr>
          <w:rFonts w:asciiTheme="minorHAnsi" w:hAnsiTheme="minorHAnsi"/>
          <w:bCs/>
          <w:snapToGrid w:val="0"/>
        </w:rPr>
        <w:t>DTG/3TC</w:t>
      </w:r>
      <w:r w:rsidR="0053793D" w:rsidRPr="00581941">
        <w:rPr>
          <w:rFonts w:asciiTheme="minorHAnsi" w:hAnsiTheme="minorHAnsi"/>
          <w:bCs/>
          <w:snapToGrid w:val="0"/>
        </w:rPr>
        <w:t xml:space="preserve"> would be acceptably cost-effective in the ART-experienced population</w:t>
      </w:r>
      <w:r w:rsidRPr="00581941">
        <w:rPr>
          <w:rFonts w:asciiTheme="minorHAnsi" w:hAnsiTheme="minorHAnsi"/>
          <w:bCs/>
          <w:snapToGrid w:val="0"/>
        </w:rPr>
        <w:t xml:space="preserve"> on a cost minimisation basis </w:t>
      </w:r>
      <w:r w:rsidR="00C60EC0" w:rsidRPr="00581941">
        <w:rPr>
          <w:rFonts w:asciiTheme="minorHAnsi" w:hAnsiTheme="minorHAnsi"/>
          <w:bCs/>
          <w:snapToGrid w:val="0"/>
        </w:rPr>
        <w:t>with</w:t>
      </w:r>
      <w:r w:rsidR="006031A4" w:rsidRPr="00581941">
        <w:rPr>
          <w:rFonts w:asciiTheme="minorHAnsi" w:hAnsiTheme="minorHAnsi"/>
          <w:bCs/>
          <w:snapToGrid w:val="0"/>
        </w:rPr>
        <w:t xml:space="preserve"> its component drugs,</w:t>
      </w:r>
      <w:r w:rsidRPr="00581941">
        <w:rPr>
          <w:rFonts w:asciiTheme="minorHAnsi" w:hAnsiTheme="minorHAnsi"/>
          <w:bCs/>
          <w:snapToGrid w:val="0"/>
        </w:rPr>
        <w:t xml:space="preserve"> </w:t>
      </w:r>
      <w:r w:rsidR="00C60EC0" w:rsidRPr="00581941">
        <w:rPr>
          <w:rFonts w:asciiTheme="minorHAnsi" w:hAnsiTheme="minorHAnsi"/>
          <w:bCs/>
          <w:snapToGrid w:val="0"/>
        </w:rPr>
        <w:t xml:space="preserve">dolutegravir and lamivudine taken concomitantly. </w:t>
      </w:r>
      <w:r w:rsidR="0053793D" w:rsidRPr="00581941">
        <w:rPr>
          <w:rFonts w:asciiTheme="minorHAnsi" w:hAnsiTheme="minorHAnsi"/>
          <w:bCs/>
          <w:snapToGrid w:val="0"/>
        </w:rPr>
        <w:t xml:space="preserve">The equi-effective doses are 1 tablet of </w:t>
      </w:r>
      <w:r w:rsidR="00857C54" w:rsidRPr="00581941">
        <w:rPr>
          <w:rFonts w:asciiTheme="minorHAnsi" w:hAnsiTheme="minorHAnsi"/>
          <w:bCs/>
          <w:snapToGrid w:val="0"/>
        </w:rPr>
        <w:t>DTG/3TC</w:t>
      </w:r>
      <w:r w:rsidR="00C60EC0" w:rsidRPr="00581941">
        <w:rPr>
          <w:rFonts w:asciiTheme="minorHAnsi" w:hAnsiTheme="minorHAnsi"/>
          <w:bCs/>
          <w:snapToGrid w:val="0"/>
        </w:rPr>
        <w:t xml:space="preserve"> (50 mg dolutegravir/300 mg lamivudine)</w:t>
      </w:r>
      <w:r w:rsidR="00DA7F6E" w:rsidRPr="00581941">
        <w:rPr>
          <w:rFonts w:asciiTheme="minorHAnsi" w:hAnsiTheme="minorHAnsi"/>
          <w:bCs/>
          <w:snapToGrid w:val="0"/>
        </w:rPr>
        <w:t xml:space="preserve"> once daily and </w:t>
      </w:r>
      <w:r w:rsidR="00C60EC0" w:rsidRPr="00581941">
        <w:rPr>
          <w:rFonts w:asciiTheme="minorHAnsi" w:hAnsiTheme="minorHAnsi"/>
          <w:bCs/>
          <w:snapToGrid w:val="0"/>
        </w:rPr>
        <w:t>one tablet each of dolutegravir 50 mg and lamivudine 300 mg once daily.</w:t>
      </w:r>
    </w:p>
    <w:p w:rsidR="00D54E9D" w:rsidRPr="00581941" w:rsidRDefault="00D54E9D" w:rsidP="000D6DE6">
      <w:pPr>
        <w:pStyle w:val="3-BodyText"/>
      </w:pPr>
      <w:r w:rsidRPr="00581941">
        <w:t xml:space="preserve">The PBAC considered it was reasonable to align the listing of </w:t>
      </w:r>
      <w:r w:rsidR="00857C54" w:rsidRPr="00581941">
        <w:rPr>
          <w:bCs/>
        </w:rPr>
        <w:t>DTG/3TC</w:t>
      </w:r>
      <w:r w:rsidRPr="00581941">
        <w:t xml:space="preserve"> for ART-experienced patients with other ART regimens</w:t>
      </w:r>
      <w:r w:rsidR="001A22C6" w:rsidRPr="00581941">
        <w:t xml:space="preserve"> and to amend the current continuing criterion from, ‘</w:t>
      </w:r>
      <w:r w:rsidR="001A22C6" w:rsidRPr="00581941">
        <w:rPr>
          <w:bCs/>
        </w:rPr>
        <w:t>Patient must have previously received PBS-subsidised therapy with this drug for this condition’ to, ‘</w:t>
      </w:r>
      <w:r w:rsidR="000D6DE6" w:rsidRPr="00581941">
        <w:t xml:space="preserve">Patient must have previously received PBS-subsidised therapy for HIV infection’ to permit switches between other ART regimens and </w:t>
      </w:r>
      <w:r w:rsidR="00857C54" w:rsidRPr="00581941">
        <w:rPr>
          <w:bCs/>
        </w:rPr>
        <w:t>DTG/3TC</w:t>
      </w:r>
      <w:r w:rsidR="001A22C6" w:rsidRPr="00581941">
        <w:t>.</w:t>
      </w:r>
    </w:p>
    <w:p w:rsidR="00630E34" w:rsidRPr="00581941" w:rsidRDefault="000D6DE6" w:rsidP="000D6DE6">
      <w:pPr>
        <w:pStyle w:val="3-BodyText"/>
        <w:rPr>
          <w:bCs/>
        </w:rPr>
      </w:pPr>
      <w:r w:rsidRPr="00581941">
        <w:rPr>
          <w:bCs/>
        </w:rPr>
        <w:t xml:space="preserve">The PBAC reaffirmed its view there was a place for </w:t>
      </w:r>
      <w:r w:rsidR="00857C54" w:rsidRPr="00581941">
        <w:rPr>
          <w:bCs/>
        </w:rPr>
        <w:t>DTG/3TC</w:t>
      </w:r>
      <w:r w:rsidR="00EF38A5" w:rsidRPr="00581941">
        <w:rPr>
          <w:bCs/>
        </w:rPr>
        <w:t xml:space="preserve"> (and two-</w:t>
      </w:r>
      <w:r w:rsidRPr="00581941">
        <w:rPr>
          <w:bCs/>
        </w:rPr>
        <w:t xml:space="preserve">drug regimens more broadly) </w:t>
      </w:r>
      <w:r w:rsidR="00A4450D" w:rsidRPr="00581941">
        <w:rPr>
          <w:bCs/>
        </w:rPr>
        <w:t>in treatment-</w:t>
      </w:r>
      <w:r w:rsidRPr="00581941">
        <w:rPr>
          <w:bCs/>
        </w:rPr>
        <w:t>experienced patients</w:t>
      </w:r>
      <w:r w:rsidR="00EF332D" w:rsidRPr="00581941">
        <w:rPr>
          <w:bCs/>
        </w:rPr>
        <w:t>. The PBAC</w:t>
      </w:r>
      <w:r w:rsidR="006031A4" w:rsidRPr="00581941">
        <w:rPr>
          <w:bCs/>
        </w:rPr>
        <w:t xml:space="preserve"> considered that</w:t>
      </w:r>
      <w:r w:rsidRPr="00581941">
        <w:rPr>
          <w:bCs/>
        </w:rPr>
        <w:t xml:space="preserve"> while some patients may realise a safety benefit,</w:t>
      </w:r>
      <w:r w:rsidR="00037668" w:rsidRPr="00581941">
        <w:rPr>
          <w:bCs/>
        </w:rPr>
        <w:t xml:space="preserve"> particularly in</w:t>
      </w:r>
      <w:r w:rsidR="006031A4" w:rsidRPr="00581941">
        <w:rPr>
          <w:bCs/>
        </w:rPr>
        <w:t xml:space="preserve"> the context of</w:t>
      </w:r>
      <w:r w:rsidR="00037668" w:rsidRPr="00581941">
        <w:rPr>
          <w:bCs/>
        </w:rPr>
        <w:t xml:space="preserve"> an aging prevalent population where polypharmacy and comorbidities may lead to some interest</w:t>
      </w:r>
      <w:r w:rsidR="00A41F1D" w:rsidRPr="00581941">
        <w:rPr>
          <w:bCs/>
        </w:rPr>
        <w:t xml:space="preserve"> in</w:t>
      </w:r>
      <w:r w:rsidR="00037668" w:rsidRPr="00581941">
        <w:rPr>
          <w:bCs/>
        </w:rPr>
        <w:t xml:space="preserve"> effective regimens with fewer drugs, </w:t>
      </w:r>
      <w:r w:rsidRPr="00581941">
        <w:rPr>
          <w:bCs/>
        </w:rPr>
        <w:t>it was likely</w:t>
      </w:r>
      <w:r w:rsidR="00EF332D" w:rsidRPr="00581941">
        <w:rPr>
          <w:bCs/>
        </w:rPr>
        <w:t xml:space="preserve"> that</w:t>
      </w:r>
      <w:r w:rsidRPr="00581941">
        <w:rPr>
          <w:bCs/>
        </w:rPr>
        <w:t xml:space="preserve"> </w:t>
      </w:r>
      <w:r w:rsidR="00155FF5" w:rsidRPr="00581941">
        <w:rPr>
          <w:bCs/>
        </w:rPr>
        <w:t xml:space="preserve">only </w:t>
      </w:r>
      <w:r w:rsidRPr="00581941">
        <w:rPr>
          <w:bCs/>
        </w:rPr>
        <w:t xml:space="preserve">a relatively small number of patients </w:t>
      </w:r>
      <w:r w:rsidR="006031A4" w:rsidRPr="00581941">
        <w:rPr>
          <w:bCs/>
        </w:rPr>
        <w:t xml:space="preserve">who are stable on current treatment </w:t>
      </w:r>
      <w:r w:rsidRPr="00581941">
        <w:rPr>
          <w:bCs/>
        </w:rPr>
        <w:t>would seek to change regimen.</w:t>
      </w:r>
    </w:p>
    <w:p w:rsidR="00630E34" w:rsidRPr="00581941" w:rsidRDefault="000D6DE6" w:rsidP="00736C23">
      <w:pPr>
        <w:pStyle w:val="3-BodyText"/>
      </w:pPr>
      <w:r w:rsidRPr="00581941">
        <w:t>The PBAC considered the nominated primary comparator of dolutegravir and lamivudine taken concomitantly was reasonable and further considered the nominated</w:t>
      </w:r>
      <w:r w:rsidR="006013E0" w:rsidRPr="00581941">
        <w:t xml:space="preserve"> secondary</w:t>
      </w:r>
      <w:r w:rsidRPr="00581941">
        <w:t xml:space="preserve"> </w:t>
      </w:r>
      <w:r w:rsidR="006013E0" w:rsidRPr="00581941">
        <w:t>basket of comparators was reasonable</w:t>
      </w:r>
      <w:r w:rsidR="00F03E09" w:rsidRPr="00581941">
        <w:t>, consistent with its conclusions for DTG/3TC in the ART-naïve population.</w:t>
      </w:r>
      <w:r w:rsidR="006013E0" w:rsidRPr="00581941">
        <w:t xml:space="preserve"> </w:t>
      </w:r>
      <w:r w:rsidR="00F03E09" w:rsidRPr="00581941">
        <w:t>The Committee</w:t>
      </w:r>
      <w:r w:rsidR="006013E0" w:rsidRPr="00581941">
        <w:t xml:space="preserve"> </w:t>
      </w:r>
      <w:r w:rsidR="006031A4" w:rsidRPr="00581941">
        <w:t>was satisfied the</w:t>
      </w:r>
      <w:r w:rsidR="006013E0" w:rsidRPr="00581941">
        <w:t xml:space="preserve"> tenofovir-based regimens (TBRs) in the TANGO trial were a reasonable proxy</w:t>
      </w:r>
      <w:r w:rsidR="006031A4" w:rsidRPr="00581941">
        <w:t xml:space="preserve"> for the non-TBRs included</w:t>
      </w:r>
      <w:r w:rsidR="006013E0" w:rsidRPr="00581941">
        <w:t xml:space="preserve"> </w:t>
      </w:r>
      <w:r w:rsidR="006031A4" w:rsidRPr="00581941">
        <w:t>in the</w:t>
      </w:r>
      <w:r w:rsidR="006013E0" w:rsidRPr="00581941">
        <w:t xml:space="preserve"> basket of</w:t>
      </w:r>
      <w:r w:rsidR="006031A4" w:rsidRPr="00581941">
        <w:t xml:space="preserve"> secondary</w:t>
      </w:r>
      <w:r w:rsidR="006013E0" w:rsidRPr="00581941">
        <w:t xml:space="preserve"> comparators</w:t>
      </w:r>
      <w:r w:rsidR="00581941">
        <w:t xml:space="preserve">. </w:t>
      </w:r>
      <w:r w:rsidR="0069563C" w:rsidRPr="00581941">
        <w:t>The PBAC reaffirmed its view</w:t>
      </w:r>
      <w:r w:rsidR="00736C23" w:rsidRPr="00581941">
        <w:t xml:space="preserve"> from when it considered dolutegravir with rilpivirine (Juluca</w:t>
      </w:r>
      <w:r w:rsidR="00736C23" w:rsidRPr="00581941">
        <w:rPr>
          <w:rFonts w:cstheme="minorHAnsi"/>
          <w:vertAlign w:val="superscript"/>
        </w:rPr>
        <w:t>®</w:t>
      </w:r>
      <w:r w:rsidR="00736C23" w:rsidRPr="00581941">
        <w:t>) at its July 2018 meeting</w:t>
      </w:r>
      <w:r w:rsidR="0069563C" w:rsidRPr="00581941">
        <w:t xml:space="preserve"> that </w:t>
      </w:r>
      <w:r w:rsidR="00736C23" w:rsidRPr="00581941">
        <w:t xml:space="preserve">regimens containing efavirenz were of inferior safety to non-efavirenz containing regimens. The Committee noted that since the ART-naïve recommendation of </w:t>
      </w:r>
      <w:r w:rsidR="00857C54" w:rsidRPr="00581941">
        <w:rPr>
          <w:bCs/>
        </w:rPr>
        <w:t>DTG/3TC</w:t>
      </w:r>
      <w:r w:rsidR="00736C23" w:rsidRPr="00581941">
        <w:t xml:space="preserve"> in July 2019</w:t>
      </w:r>
      <w:r w:rsidR="0017339B" w:rsidRPr="00581941">
        <w:t>,</w:t>
      </w:r>
      <w:r w:rsidR="00736C23" w:rsidRPr="00581941">
        <w:t xml:space="preserve"> the combination drugs Stribild (</w:t>
      </w:r>
      <w:r w:rsidR="00736C23" w:rsidRPr="00581941">
        <w:rPr>
          <w:bCs/>
        </w:rPr>
        <w:t>ELV/c/FTC/TDF) and Eviplera (RPV/FTC/TDF) had been delisted from the PBS</w:t>
      </w:r>
      <w:r w:rsidR="0017339B" w:rsidRPr="00581941">
        <w:rPr>
          <w:bCs/>
        </w:rPr>
        <w:t>,</w:t>
      </w:r>
      <w:r w:rsidR="006031A4" w:rsidRPr="00581941">
        <w:rPr>
          <w:bCs/>
        </w:rPr>
        <w:t xml:space="preserve"> and were reasonably excluded as comparators</w:t>
      </w:r>
      <w:r w:rsidR="00736C23" w:rsidRPr="00581941">
        <w:rPr>
          <w:bCs/>
        </w:rPr>
        <w:t xml:space="preserve">. </w:t>
      </w:r>
      <w:r w:rsidR="00736C23" w:rsidRPr="00581941">
        <w:t xml:space="preserve">The PBAC considered the exclusion of protease inhibitor containing regimens </w:t>
      </w:r>
      <w:r w:rsidR="00D10D5E" w:rsidRPr="00581941">
        <w:t xml:space="preserve">(i.e. Symtuza) </w:t>
      </w:r>
      <w:r w:rsidR="00736C23" w:rsidRPr="00581941">
        <w:t>was</w:t>
      </w:r>
      <w:r w:rsidR="00857C54" w:rsidRPr="00581941">
        <w:t xml:space="preserve"> also</w:t>
      </w:r>
      <w:r w:rsidR="00736C23" w:rsidRPr="00581941">
        <w:t xml:space="preserve"> reasonable as clinical guidelines generally reserved these regimens only for certain clinical situations.</w:t>
      </w:r>
    </w:p>
    <w:p w:rsidR="002F1F88" w:rsidRPr="00581941" w:rsidRDefault="00D54E9D" w:rsidP="002F1F88">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The PBAC noted the submission presented the 48-week results of the TANGO trial, which was specifically designed to assess the eff</w:t>
      </w:r>
      <w:r w:rsidR="006031A4" w:rsidRPr="00581941">
        <w:rPr>
          <w:rFonts w:asciiTheme="minorHAnsi" w:hAnsiTheme="minorHAnsi"/>
          <w:bCs/>
          <w:snapToGrid w:val="0"/>
        </w:rPr>
        <w:t xml:space="preserve">icacy and safety of </w:t>
      </w:r>
      <w:r w:rsidR="00926C6B" w:rsidRPr="00581941">
        <w:t>DTG/3TC</w:t>
      </w:r>
      <w:r w:rsidR="00926C6B" w:rsidRPr="00581941" w:rsidDel="00926C6B">
        <w:rPr>
          <w:rFonts w:asciiTheme="minorHAnsi" w:hAnsiTheme="minorHAnsi"/>
          <w:bCs/>
          <w:snapToGrid w:val="0"/>
        </w:rPr>
        <w:t xml:space="preserve"> </w:t>
      </w:r>
      <w:r w:rsidR="006031A4" w:rsidRPr="00581941">
        <w:rPr>
          <w:rFonts w:asciiTheme="minorHAnsi" w:hAnsiTheme="minorHAnsi"/>
          <w:bCs/>
          <w:snapToGrid w:val="0"/>
        </w:rPr>
        <w:t>in</w:t>
      </w:r>
      <w:r w:rsidRPr="00581941">
        <w:rPr>
          <w:rFonts w:asciiTheme="minorHAnsi" w:hAnsiTheme="minorHAnsi"/>
          <w:bCs/>
          <w:snapToGrid w:val="0"/>
        </w:rPr>
        <w:t xml:space="preserve"> ART-experienced patients who switched from a </w:t>
      </w:r>
      <w:r w:rsidR="006013E0" w:rsidRPr="00581941">
        <w:rPr>
          <w:rFonts w:asciiTheme="minorHAnsi" w:hAnsiTheme="minorHAnsi"/>
          <w:bCs/>
          <w:snapToGrid w:val="0"/>
        </w:rPr>
        <w:t>TBR</w:t>
      </w:r>
      <w:r w:rsidR="002F1F88" w:rsidRPr="00581941">
        <w:rPr>
          <w:rFonts w:asciiTheme="minorHAnsi" w:hAnsiTheme="minorHAnsi"/>
          <w:bCs/>
          <w:snapToGrid w:val="0"/>
        </w:rPr>
        <w:t>. The PBAC accepted the longer-term 48-week data from the TANGO trial presented in this submission provided greater certainty as to the comparative effectiveness</w:t>
      </w:r>
      <w:r w:rsidR="006031A4" w:rsidRPr="00581941">
        <w:rPr>
          <w:rFonts w:asciiTheme="minorHAnsi" w:hAnsiTheme="minorHAnsi"/>
          <w:bCs/>
          <w:snapToGrid w:val="0"/>
        </w:rPr>
        <w:t xml:space="preserve"> and safety</w:t>
      </w:r>
      <w:r w:rsidR="002F1F88" w:rsidRPr="00581941">
        <w:rPr>
          <w:rFonts w:asciiTheme="minorHAnsi" w:hAnsiTheme="minorHAnsi"/>
          <w:bCs/>
          <w:snapToGrid w:val="0"/>
        </w:rPr>
        <w:t xml:space="preserve"> of </w:t>
      </w:r>
      <w:r w:rsidR="00857C54" w:rsidRPr="00581941">
        <w:rPr>
          <w:rFonts w:asciiTheme="minorHAnsi" w:hAnsiTheme="minorHAnsi"/>
          <w:bCs/>
          <w:snapToGrid w:val="0"/>
        </w:rPr>
        <w:t>DTG/3TC</w:t>
      </w:r>
      <w:r w:rsidR="002F1F88" w:rsidRPr="00581941">
        <w:rPr>
          <w:rFonts w:asciiTheme="minorHAnsi" w:hAnsiTheme="minorHAnsi"/>
          <w:bCs/>
          <w:snapToGrid w:val="0"/>
        </w:rPr>
        <w:t xml:space="preserve"> in ART-experienced patients compared to the 24-week FDA Snapshot analysis pr</w:t>
      </w:r>
      <w:r w:rsidR="006031A4" w:rsidRPr="00581941">
        <w:rPr>
          <w:rFonts w:asciiTheme="minorHAnsi" w:hAnsiTheme="minorHAnsi"/>
          <w:bCs/>
          <w:snapToGrid w:val="0"/>
        </w:rPr>
        <w:t>esented</w:t>
      </w:r>
      <w:r w:rsidR="002F1F88" w:rsidRPr="00581941">
        <w:rPr>
          <w:rFonts w:asciiTheme="minorHAnsi" w:hAnsiTheme="minorHAnsi"/>
          <w:bCs/>
          <w:snapToGrid w:val="0"/>
        </w:rPr>
        <w:t xml:space="preserve"> in the previous submission. </w:t>
      </w:r>
    </w:p>
    <w:p w:rsidR="00F06A3D" w:rsidRPr="00581941" w:rsidRDefault="00BA5A1F" w:rsidP="00014623">
      <w:pPr>
        <w:pStyle w:val="3-BodyText"/>
      </w:pPr>
      <w:r w:rsidRPr="00581941">
        <w:t>The PBAC considered the results of the 48-week data from the TANGO trial s</w:t>
      </w:r>
      <w:r w:rsidR="00857C54" w:rsidRPr="00581941">
        <w:t xml:space="preserve">upported a conclusion that </w:t>
      </w:r>
      <w:r w:rsidR="00857C54" w:rsidRPr="00581941">
        <w:rPr>
          <w:bCs/>
        </w:rPr>
        <w:t>DTG/3TC</w:t>
      </w:r>
      <w:r w:rsidRPr="00581941">
        <w:t xml:space="preserve"> is of non-inferior comparative effectiveness to TBRs and the other non-TBR comparators nominated in the submission.</w:t>
      </w:r>
    </w:p>
    <w:p w:rsidR="002F1F88" w:rsidRPr="00581941" w:rsidRDefault="00014623" w:rsidP="00014623">
      <w:pPr>
        <w:pStyle w:val="3-BodyText"/>
      </w:pPr>
      <w:r w:rsidRPr="00581941">
        <w:t xml:space="preserve">With regards to comparative safety, the PBAC noted </w:t>
      </w:r>
      <w:r w:rsidR="00857C54" w:rsidRPr="00581941">
        <w:rPr>
          <w:bCs/>
        </w:rPr>
        <w:t>DTG/3TC</w:t>
      </w:r>
      <w:r w:rsidRPr="00581941">
        <w:t xml:space="preserve"> was associated with a </w:t>
      </w:r>
      <w:r w:rsidRPr="00581941">
        <w:rPr>
          <w:bCs/>
        </w:rPr>
        <w:t xml:space="preserve">significantly higher incidence of fatigue and seasonal allergy and a significantly lower incidence of bronchitis compared with TBRs, and further noted that discontinuations due to adverse events were more frequent in the </w:t>
      </w:r>
      <w:r w:rsidR="00857C54" w:rsidRPr="00581941">
        <w:rPr>
          <w:bCs/>
        </w:rPr>
        <w:t>DTG/3TC</w:t>
      </w:r>
      <w:r w:rsidRPr="00581941">
        <w:rPr>
          <w:bCs/>
        </w:rPr>
        <w:t xml:space="preserve"> arm of the TANGO trial. The PBAC considered it was reasonable to </w:t>
      </w:r>
      <w:r w:rsidR="00F06A3D" w:rsidRPr="00581941">
        <w:rPr>
          <w:bCs/>
        </w:rPr>
        <w:t>expect that patients who were stable on current t</w:t>
      </w:r>
      <w:r w:rsidR="0078330A" w:rsidRPr="00581941">
        <w:rPr>
          <w:bCs/>
        </w:rPr>
        <w:t>reatment</w:t>
      </w:r>
      <w:r w:rsidR="00F06A3D" w:rsidRPr="00581941">
        <w:rPr>
          <w:bCs/>
        </w:rPr>
        <w:t xml:space="preserve"> and switching to an alternative</w:t>
      </w:r>
      <w:r w:rsidR="0069563C" w:rsidRPr="00581941">
        <w:rPr>
          <w:bCs/>
        </w:rPr>
        <w:t xml:space="preserve"> therapy under open label conditions</w:t>
      </w:r>
      <w:r w:rsidR="0078330A" w:rsidRPr="00581941">
        <w:rPr>
          <w:bCs/>
        </w:rPr>
        <w:t xml:space="preserve"> may experience new</w:t>
      </w:r>
      <w:r w:rsidR="00F06A3D" w:rsidRPr="00581941">
        <w:rPr>
          <w:bCs/>
        </w:rPr>
        <w:t xml:space="preserve"> adverse events</w:t>
      </w:r>
      <w:r w:rsidR="0078330A" w:rsidRPr="00581941">
        <w:rPr>
          <w:bCs/>
        </w:rPr>
        <w:t xml:space="preserve"> associated with the new regimen</w:t>
      </w:r>
      <w:r w:rsidR="0069563C" w:rsidRPr="00581941">
        <w:rPr>
          <w:bCs/>
        </w:rPr>
        <w:t xml:space="preserve">. On balance, the PBAC considered the safety profile of </w:t>
      </w:r>
      <w:r w:rsidR="00857C54" w:rsidRPr="00581941">
        <w:rPr>
          <w:bCs/>
        </w:rPr>
        <w:t>DTG/3TC</w:t>
      </w:r>
      <w:r w:rsidR="0069563C" w:rsidRPr="00581941">
        <w:rPr>
          <w:bCs/>
        </w:rPr>
        <w:t xml:space="preserve"> to be consistent with the known profiles of the dolutegravir and lamivudine</w:t>
      </w:r>
      <w:r w:rsidR="00224CCD" w:rsidRPr="00581941">
        <w:rPr>
          <w:bCs/>
        </w:rPr>
        <w:t>,</w:t>
      </w:r>
      <w:r w:rsidR="009176FF" w:rsidRPr="00581941">
        <w:rPr>
          <w:bCs/>
        </w:rPr>
        <w:t xml:space="preserve"> and likely</w:t>
      </w:r>
      <w:r w:rsidR="00E834B1" w:rsidRPr="00581941">
        <w:rPr>
          <w:bCs/>
        </w:rPr>
        <w:t xml:space="preserve"> to be</w:t>
      </w:r>
      <w:r w:rsidR="009176FF" w:rsidRPr="00581941">
        <w:rPr>
          <w:bCs/>
        </w:rPr>
        <w:t xml:space="preserve"> non-inferior to the nominated comparators</w:t>
      </w:r>
      <w:r w:rsidR="0069563C" w:rsidRPr="00581941">
        <w:rPr>
          <w:bCs/>
        </w:rPr>
        <w:t>.</w:t>
      </w:r>
    </w:p>
    <w:p w:rsidR="002F1F88" w:rsidRPr="00581941" w:rsidRDefault="00BA5A1F" w:rsidP="002F1F88">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T</w:t>
      </w:r>
      <w:r w:rsidR="002F1F88" w:rsidRPr="00581941">
        <w:rPr>
          <w:rFonts w:asciiTheme="minorHAnsi" w:hAnsiTheme="minorHAnsi"/>
          <w:bCs/>
          <w:snapToGrid w:val="0"/>
        </w:rPr>
        <w:t xml:space="preserve">he PBAC noted the TANGO trial did not present any additional information on the potential for development of resistance as none of the patients in the </w:t>
      </w:r>
      <w:r w:rsidR="00857C54" w:rsidRPr="00581941">
        <w:rPr>
          <w:rFonts w:asciiTheme="minorHAnsi" w:hAnsiTheme="minorHAnsi"/>
          <w:bCs/>
          <w:snapToGrid w:val="0"/>
        </w:rPr>
        <w:t>DTG/3TC</w:t>
      </w:r>
      <w:r w:rsidR="002F1F88" w:rsidRPr="00581941">
        <w:rPr>
          <w:rFonts w:asciiTheme="minorHAnsi" w:hAnsiTheme="minorHAnsi"/>
          <w:bCs/>
          <w:snapToGrid w:val="0"/>
        </w:rPr>
        <w:t xml:space="preserve"> arm of the trial met the criteria f</w:t>
      </w:r>
      <w:r w:rsidR="00622523">
        <w:rPr>
          <w:rFonts w:asciiTheme="minorHAnsi" w:hAnsiTheme="minorHAnsi"/>
          <w:bCs/>
          <w:snapToGrid w:val="0"/>
        </w:rPr>
        <w:t>or confirmed virologic failure.</w:t>
      </w:r>
    </w:p>
    <w:p w:rsidR="00630E34" w:rsidRPr="00581941" w:rsidRDefault="0069563C" w:rsidP="00630E34">
      <w:pPr>
        <w:widowControl w:val="0"/>
        <w:numPr>
          <w:ilvl w:val="1"/>
          <w:numId w:val="1"/>
        </w:numPr>
        <w:spacing w:after="120"/>
        <w:rPr>
          <w:rFonts w:asciiTheme="minorHAnsi" w:hAnsiTheme="minorHAnsi"/>
          <w:bCs/>
          <w:snapToGrid w:val="0"/>
        </w:rPr>
      </w:pPr>
      <w:r w:rsidRPr="00581941">
        <w:rPr>
          <w:rFonts w:asciiTheme="minorHAnsi" w:hAnsiTheme="minorHAnsi"/>
          <w:bCs/>
          <w:snapToGrid w:val="0"/>
        </w:rPr>
        <w:t xml:space="preserve">The PBAC noted the submission requested listing </w:t>
      </w:r>
      <w:r w:rsidR="00D10D5E" w:rsidRPr="00581941">
        <w:rPr>
          <w:rFonts w:asciiTheme="minorHAnsi" w:hAnsiTheme="minorHAnsi"/>
          <w:bCs/>
          <w:snapToGrid w:val="0"/>
        </w:rPr>
        <w:t xml:space="preserve">at </w:t>
      </w:r>
      <w:r w:rsidRPr="00581941">
        <w:rPr>
          <w:rFonts w:asciiTheme="minorHAnsi" w:hAnsiTheme="minorHAnsi"/>
          <w:bCs/>
          <w:snapToGrid w:val="0"/>
        </w:rPr>
        <w:t xml:space="preserve">the same price as its component drugs (and the same price for which </w:t>
      </w:r>
      <w:r w:rsidR="00926C6B" w:rsidRPr="00581941">
        <w:t>DTG/3TC</w:t>
      </w:r>
      <w:r w:rsidR="00926C6B" w:rsidRPr="00581941" w:rsidDel="00926C6B">
        <w:rPr>
          <w:rFonts w:asciiTheme="minorHAnsi" w:hAnsiTheme="minorHAnsi"/>
          <w:bCs/>
          <w:snapToGrid w:val="0"/>
        </w:rPr>
        <w:t xml:space="preserve"> </w:t>
      </w:r>
      <w:r w:rsidRPr="00581941">
        <w:rPr>
          <w:rFonts w:asciiTheme="minorHAnsi" w:hAnsiTheme="minorHAnsi"/>
          <w:bCs/>
          <w:snapToGrid w:val="0"/>
        </w:rPr>
        <w:t>is currently listed on the PBS</w:t>
      </w:r>
      <w:r w:rsidR="0078330A" w:rsidRPr="00581941">
        <w:rPr>
          <w:rFonts w:asciiTheme="minorHAnsi" w:hAnsiTheme="minorHAnsi"/>
          <w:bCs/>
          <w:snapToGrid w:val="0"/>
        </w:rPr>
        <w:t xml:space="preserve"> for ART-naïve patients</w:t>
      </w:r>
      <w:r w:rsidRPr="00581941">
        <w:rPr>
          <w:rFonts w:asciiTheme="minorHAnsi" w:hAnsiTheme="minorHAnsi"/>
          <w:bCs/>
          <w:snapToGrid w:val="0"/>
        </w:rPr>
        <w:t xml:space="preserve">) and considered this was reasonable as </w:t>
      </w:r>
      <w:r w:rsidR="00926C6B" w:rsidRPr="00581941">
        <w:t>DTG/3TC</w:t>
      </w:r>
      <w:r w:rsidR="00926C6B" w:rsidRPr="00581941" w:rsidDel="00926C6B">
        <w:rPr>
          <w:rFonts w:asciiTheme="minorHAnsi" w:hAnsiTheme="minorHAnsi"/>
          <w:bCs/>
          <w:snapToGrid w:val="0"/>
        </w:rPr>
        <w:t xml:space="preserve"> </w:t>
      </w:r>
      <w:r w:rsidRPr="00581941">
        <w:rPr>
          <w:rFonts w:asciiTheme="minorHAnsi" w:hAnsiTheme="minorHAnsi"/>
          <w:bCs/>
          <w:snapToGrid w:val="0"/>
        </w:rPr>
        <w:t>is currently the least costly of the nominated comparators.</w:t>
      </w:r>
    </w:p>
    <w:p w:rsidR="00630E34" w:rsidRPr="00581941" w:rsidRDefault="005D73A0" w:rsidP="005D73A0">
      <w:pPr>
        <w:widowControl w:val="0"/>
        <w:numPr>
          <w:ilvl w:val="1"/>
          <w:numId w:val="1"/>
        </w:numPr>
        <w:spacing w:after="120"/>
      </w:pPr>
      <w:r w:rsidRPr="00581941">
        <w:rPr>
          <w:rFonts w:asciiTheme="minorHAnsi" w:hAnsiTheme="minorHAnsi"/>
          <w:bCs/>
          <w:snapToGrid w:val="0"/>
        </w:rPr>
        <w:t xml:space="preserve">The PBAC noted the submission assumed a higher uptake of </w:t>
      </w:r>
      <w:r w:rsidR="00857C54" w:rsidRPr="00581941">
        <w:rPr>
          <w:rFonts w:asciiTheme="minorHAnsi" w:hAnsiTheme="minorHAnsi"/>
          <w:bCs/>
          <w:snapToGrid w:val="0"/>
        </w:rPr>
        <w:t>DTG/3TC</w:t>
      </w:r>
      <w:r w:rsidR="00A4450D" w:rsidRPr="00581941">
        <w:rPr>
          <w:rFonts w:asciiTheme="minorHAnsi" w:hAnsiTheme="minorHAnsi"/>
          <w:bCs/>
          <w:snapToGrid w:val="0"/>
        </w:rPr>
        <w:t xml:space="preserve"> amongst treatment-</w:t>
      </w:r>
      <w:r w:rsidRPr="00581941">
        <w:rPr>
          <w:rFonts w:asciiTheme="minorHAnsi" w:hAnsiTheme="minorHAnsi"/>
          <w:bCs/>
          <w:snapToGrid w:val="0"/>
        </w:rPr>
        <w:t>experienced patients than the July 2019 submission</w:t>
      </w:r>
      <w:r w:rsidR="00AD263A" w:rsidRPr="00581941">
        <w:rPr>
          <w:rFonts w:asciiTheme="minorHAnsi" w:hAnsiTheme="minorHAnsi"/>
          <w:bCs/>
          <w:snapToGrid w:val="0"/>
        </w:rPr>
        <w:t>.</w:t>
      </w:r>
      <w:r w:rsidRPr="00581941">
        <w:rPr>
          <w:rFonts w:asciiTheme="minorHAnsi" w:hAnsiTheme="minorHAnsi"/>
          <w:bCs/>
          <w:snapToGrid w:val="0"/>
        </w:rPr>
        <w:t xml:space="preserve"> </w:t>
      </w:r>
      <w:r w:rsidR="00AD263A" w:rsidRPr="00581941">
        <w:rPr>
          <w:rFonts w:asciiTheme="minorHAnsi" w:hAnsiTheme="minorHAnsi"/>
          <w:bCs/>
          <w:snapToGrid w:val="0"/>
        </w:rPr>
        <w:t>The PBAC</w:t>
      </w:r>
      <w:r w:rsidRPr="00581941">
        <w:rPr>
          <w:rFonts w:asciiTheme="minorHAnsi" w:hAnsiTheme="minorHAnsi"/>
          <w:bCs/>
          <w:snapToGrid w:val="0"/>
        </w:rPr>
        <w:t xml:space="preserve"> reaffirmed its view that the uptake of </w:t>
      </w:r>
      <w:r w:rsidR="00857C54" w:rsidRPr="00581941">
        <w:rPr>
          <w:rFonts w:asciiTheme="minorHAnsi" w:hAnsiTheme="minorHAnsi"/>
          <w:bCs/>
          <w:snapToGrid w:val="0"/>
        </w:rPr>
        <w:t>DTG/3TC</w:t>
      </w:r>
      <w:r w:rsidR="00A4450D" w:rsidRPr="00581941">
        <w:rPr>
          <w:rFonts w:asciiTheme="minorHAnsi" w:hAnsiTheme="minorHAnsi"/>
          <w:bCs/>
          <w:snapToGrid w:val="0"/>
        </w:rPr>
        <w:t xml:space="preserve"> in treatment-</w:t>
      </w:r>
      <w:r w:rsidRPr="00581941">
        <w:rPr>
          <w:rFonts w:asciiTheme="minorHAnsi" w:hAnsiTheme="minorHAnsi"/>
          <w:bCs/>
          <w:snapToGrid w:val="0"/>
        </w:rPr>
        <w:t>experienced patients was likely overestimated</w:t>
      </w:r>
      <w:r w:rsidR="00AD263A" w:rsidRPr="00581941">
        <w:rPr>
          <w:rFonts w:asciiTheme="minorHAnsi" w:hAnsiTheme="minorHAnsi"/>
          <w:bCs/>
          <w:snapToGrid w:val="0"/>
        </w:rPr>
        <w:t>,</w:t>
      </w:r>
      <w:r w:rsidRPr="00581941">
        <w:rPr>
          <w:rFonts w:asciiTheme="minorHAnsi" w:hAnsiTheme="minorHAnsi"/>
          <w:bCs/>
          <w:snapToGrid w:val="0"/>
        </w:rPr>
        <w:t xml:space="preserve"> as </w:t>
      </w:r>
      <w:r w:rsidR="00C1362B" w:rsidRPr="00581941">
        <w:rPr>
          <w:rFonts w:asciiTheme="minorHAnsi" w:hAnsiTheme="minorHAnsi"/>
          <w:bCs/>
          <w:snapToGrid w:val="0"/>
        </w:rPr>
        <w:t>the place of three</w:t>
      </w:r>
      <w:r w:rsidR="0078330A" w:rsidRPr="00581941">
        <w:rPr>
          <w:rFonts w:asciiTheme="minorHAnsi" w:hAnsiTheme="minorHAnsi"/>
          <w:bCs/>
          <w:snapToGrid w:val="0"/>
        </w:rPr>
        <w:t>-</w:t>
      </w:r>
      <w:r w:rsidR="002C084E" w:rsidRPr="00581941">
        <w:rPr>
          <w:rFonts w:asciiTheme="minorHAnsi" w:hAnsiTheme="minorHAnsi"/>
          <w:bCs/>
          <w:snapToGrid w:val="0"/>
        </w:rPr>
        <w:t xml:space="preserve">drug regimens was well established and patients and clinicians may be reluctant to switch patients who are stable on their current therapy. However, the PBAC </w:t>
      </w:r>
      <w:r w:rsidR="0078330A" w:rsidRPr="00581941">
        <w:rPr>
          <w:rFonts w:asciiTheme="minorHAnsi" w:hAnsiTheme="minorHAnsi"/>
          <w:bCs/>
          <w:snapToGrid w:val="0"/>
        </w:rPr>
        <w:t>noted that</w:t>
      </w:r>
      <w:r w:rsidR="00224CCD" w:rsidRPr="00581941">
        <w:rPr>
          <w:rFonts w:asciiTheme="minorHAnsi" w:hAnsiTheme="minorHAnsi"/>
          <w:bCs/>
          <w:snapToGrid w:val="0"/>
        </w:rPr>
        <w:t>,</w:t>
      </w:r>
      <w:r w:rsidR="0078330A" w:rsidRPr="00581941">
        <w:rPr>
          <w:rFonts w:asciiTheme="minorHAnsi" w:hAnsiTheme="minorHAnsi"/>
          <w:bCs/>
          <w:snapToGrid w:val="0"/>
        </w:rPr>
        <w:t xml:space="preserve"> as the least costly option</w:t>
      </w:r>
      <w:r w:rsidR="002C084E" w:rsidRPr="00581941">
        <w:rPr>
          <w:rFonts w:asciiTheme="minorHAnsi" w:hAnsiTheme="minorHAnsi"/>
          <w:bCs/>
          <w:snapToGrid w:val="0"/>
        </w:rPr>
        <w:t xml:space="preserve"> amongst the nominated basket of comparators</w:t>
      </w:r>
      <w:r w:rsidR="00224CCD" w:rsidRPr="00581941">
        <w:rPr>
          <w:rFonts w:asciiTheme="minorHAnsi" w:hAnsiTheme="minorHAnsi"/>
          <w:bCs/>
          <w:snapToGrid w:val="0"/>
        </w:rPr>
        <w:t>,</w:t>
      </w:r>
      <w:r w:rsidR="002C084E" w:rsidRPr="00581941">
        <w:rPr>
          <w:rFonts w:asciiTheme="minorHAnsi" w:hAnsiTheme="minorHAnsi"/>
          <w:bCs/>
          <w:snapToGrid w:val="0"/>
        </w:rPr>
        <w:t xml:space="preserve"> the listing of </w:t>
      </w:r>
      <w:r w:rsidR="00857C54" w:rsidRPr="00581941">
        <w:rPr>
          <w:rFonts w:asciiTheme="minorHAnsi" w:hAnsiTheme="minorHAnsi"/>
          <w:bCs/>
          <w:snapToGrid w:val="0"/>
        </w:rPr>
        <w:t>DTG/3TC</w:t>
      </w:r>
      <w:r w:rsidR="002C084E" w:rsidRPr="00581941">
        <w:rPr>
          <w:rFonts w:asciiTheme="minorHAnsi" w:hAnsiTheme="minorHAnsi"/>
          <w:bCs/>
          <w:snapToGrid w:val="0"/>
        </w:rPr>
        <w:t xml:space="preserve"> would only substitute for therapies that are </w:t>
      </w:r>
      <w:r w:rsidR="00AD263A" w:rsidRPr="00581941">
        <w:rPr>
          <w:rFonts w:asciiTheme="minorHAnsi" w:hAnsiTheme="minorHAnsi"/>
          <w:bCs/>
          <w:snapToGrid w:val="0"/>
        </w:rPr>
        <w:t>more expensive. T</w:t>
      </w:r>
      <w:r w:rsidR="002C084E" w:rsidRPr="00581941">
        <w:rPr>
          <w:rFonts w:asciiTheme="minorHAnsi" w:hAnsiTheme="minorHAnsi"/>
          <w:bCs/>
          <w:snapToGrid w:val="0"/>
        </w:rPr>
        <w:t xml:space="preserve">he PBAC considered that while the listing of </w:t>
      </w:r>
      <w:r w:rsidR="00857C54" w:rsidRPr="00581941">
        <w:rPr>
          <w:rFonts w:asciiTheme="minorHAnsi" w:hAnsiTheme="minorHAnsi"/>
          <w:bCs/>
          <w:snapToGrid w:val="0"/>
        </w:rPr>
        <w:t>DTG/3TC</w:t>
      </w:r>
      <w:r w:rsidR="002C084E" w:rsidRPr="00581941">
        <w:rPr>
          <w:rFonts w:asciiTheme="minorHAnsi" w:hAnsiTheme="minorHAnsi"/>
          <w:bCs/>
          <w:snapToGrid w:val="0"/>
        </w:rPr>
        <w:t xml:space="preserve"> for ART-experienced patients would represent a saving to the PBS</w:t>
      </w:r>
      <w:r w:rsidR="003F2BC7" w:rsidRPr="00581941">
        <w:rPr>
          <w:rFonts w:asciiTheme="minorHAnsi" w:hAnsiTheme="minorHAnsi"/>
          <w:bCs/>
          <w:snapToGrid w:val="0"/>
        </w:rPr>
        <w:t>, it was likely to be less than that estimated in the submission.</w:t>
      </w:r>
      <w:r w:rsidR="002C084E" w:rsidRPr="00581941">
        <w:rPr>
          <w:rFonts w:asciiTheme="minorHAnsi" w:hAnsiTheme="minorHAnsi"/>
          <w:bCs/>
          <w:snapToGrid w:val="0"/>
        </w:rPr>
        <w:t xml:space="preserve"> </w:t>
      </w:r>
    </w:p>
    <w:p w:rsidR="00486B52" w:rsidRPr="000A4247" w:rsidRDefault="009176FF" w:rsidP="00BB102F">
      <w:pPr>
        <w:numPr>
          <w:ilvl w:val="1"/>
          <w:numId w:val="1"/>
        </w:numPr>
        <w:spacing w:after="120"/>
        <w:rPr>
          <w:rFonts w:asciiTheme="minorHAnsi" w:hAnsiTheme="minorHAnsi"/>
          <w:bCs/>
          <w:i/>
        </w:rPr>
      </w:pPr>
      <w:r w:rsidRPr="00581941">
        <w:rPr>
          <w:rFonts w:asciiTheme="minorHAnsi" w:hAnsiTheme="minorHAnsi"/>
          <w:bCs/>
        </w:rPr>
        <w:t>The PBAC noted that its recommendation was on a cost-minimisation basis and advised that, because DTG/3TC is not expected to provide a substantial and clinically relevant improvement in efficacy, or reduction of toxicity, over its component drugs, or not expected to address a high and urgent unmet clinical need given the presence of an alternative therapy, the criteria prescribed by the National Health (Pharmaceuticals and Vaccines – Cost Recovery) Regulations 2009 for Pricing Pathway A were not met.</w:t>
      </w:r>
    </w:p>
    <w:p w:rsidR="000A4247" w:rsidRPr="000A4247" w:rsidRDefault="000A4247" w:rsidP="000A4247">
      <w:pPr>
        <w:widowControl w:val="0"/>
        <w:numPr>
          <w:ilvl w:val="1"/>
          <w:numId w:val="1"/>
        </w:numPr>
        <w:spacing w:after="120"/>
        <w:rPr>
          <w:rFonts w:asciiTheme="minorHAnsi" w:hAnsiTheme="minorHAnsi"/>
          <w:b/>
          <w:bCs/>
          <w:snapToGrid w:val="0"/>
        </w:rPr>
      </w:pPr>
      <w:r w:rsidRPr="00581941">
        <w:rPr>
          <w:rFonts w:asciiTheme="minorHAnsi" w:hAnsiTheme="minorHAnsi"/>
          <w:bCs/>
          <w:snapToGrid w:val="0"/>
        </w:rPr>
        <w:t xml:space="preserve">The PBAC noted that this submission is not eligible for an Independent Review as it received a positive recommendation. </w:t>
      </w:r>
    </w:p>
    <w:p w:rsidR="00286FE5" w:rsidRDefault="00286FE5" w:rsidP="00486B52">
      <w:pPr>
        <w:widowControl w:val="0"/>
        <w:spacing w:after="120"/>
        <w:ind w:left="720" w:hanging="720"/>
        <w:rPr>
          <w:rFonts w:asciiTheme="minorHAnsi" w:hAnsiTheme="minorHAnsi"/>
          <w:b/>
          <w:bCs/>
          <w:snapToGrid w:val="0"/>
        </w:rPr>
      </w:pPr>
    </w:p>
    <w:p w:rsidR="00630E34" w:rsidRPr="00581941" w:rsidRDefault="00630E34" w:rsidP="00486B52">
      <w:pPr>
        <w:widowControl w:val="0"/>
        <w:spacing w:after="120"/>
        <w:ind w:left="720" w:hanging="720"/>
        <w:rPr>
          <w:rFonts w:asciiTheme="minorHAnsi" w:hAnsiTheme="minorHAnsi"/>
          <w:b/>
          <w:bCs/>
          <w:snapToGrid w:val="0"/>
        </w:rPr>
      </w:pPr>
      <w:r w:rsidRPr="00581941">
        <w:rPr>
          <w:rFonts w:asciiTheme="minorHAnsi" w:hAnsiTheme="minorHAnsi"/>
          <w:b/>
          <w:bCs/>
          <w:snapToGrid w:val="0"/>
        </w:rPr>
        <w:t>Outcome:</w:t>
      </w:r>
    </w:p>
    <w:p w:rsidR="00630E34" w:rsidRPr="00581941" w:rsidRDefault="00630E34" w:rsidP="00630E34">
      <w:pPr>
        <w:rPr>
          <w:rFonts w:asciiTheme="minorHAnsi" w:hAnsiTheme="minorHAnsi"/>
          <w:bCs/>
          <w:snapToGrid w:val="0"/>
        </w:rPr>
      </w:pPr>
      <w:r w:rsidRPr="00581941">
        <w:rPr>
          <w:rFonts w:asciiTheme="minorHAnsi" w:hAnsiTheme="minorHAnsi"/>
          <w:bCs/>
          <w:snapToGrid w:val="0"/>
        </w:rPr>
        <w:t xml:space="preserve">Recommended </w:t>
      </w:r>
    </w:p>
    <w:p w:rsidR="00630E34" w:rsidRPr="00581941" w:rsidRDefault="00F7101C" w:rsidP="00F7101C">
      <w:pPr>
        <w:keepNext/>
        <w:widowControl w:val="0"/>
        <w:numPr>
          <w:ilvl w:val="0"/>
          <w:numId w:val="1"/>
        </w:numPr>
        <w:spacing w:before="240" w:after="120"/>
        <w:outlineLvl w:val="0"/>
        <w:rPr>
          <w:rFonts w:asciiTheme="minorHAnsi" w:hAnsiTheme="minorHAnsi"/>
          <w:b/>
          <w:bCs/>
          <w:snapToGrid w:val="0"/>
          <w:sz w:val="32"/>
        </w:rPr>
      </w:pPr>
      <w:r w:rsidRPr="00581941">
        <w:rPr>
          <w:rFonts w:asciiTheme="minorHAnsi" w:hAnsiTheme="minorHAnsi"/>
          <w:b/>
          <w:bCs/>
          <w:snapToGrid w:val="0"/>
          <w:sz w:val="32"/>
        </w:rPr>
        <w:t>Recommended listing</w:t>
      </w:r>
    </w:p>
    <w:p w:rsidR="00630E34" w:rsidRPr="00581941" w:rsidRDefault="00630E34" w:rsidP="008B5792">
      <w:pPr>
        <w:widowControl w:val="0"/>
        <w:numPr>
          <w:ilvl w:val="1"/>
          <w:numId w:val="1"/>
        </w:numPr>
        <w:spacing w:after="120"/>
        <w:rPr>
          <w:rFonts w:asciiTheme="minorHAnsi" w:hAnsiTheme="minorHAnsi"/>
          <w:b/>
          <w:bCs/>
          <w:snapToGrid w:val="0"/>
        </w:rPr>
      </w:pPr>
      <w:r w:rsidRPr="00581941">
        <w:rPr>
          <w:rFonts w:asciiTheme="minorHAnsi" w:hAnsiTheme="minorHAnsi"/>
          <w:bCs/>
          <w:snapToGrid w:val="0"/>
        </w:rPr>
        <w:t>Amend existing</w:t>
      </w:r>
      <w:r w:rsidR="00CF6135" w:rsidRPr="00581941">
        <w:rPr>
          <w:rFonts w:asciiTheme="minorHAnsi" w:hAnsiTheme="minorHAnsi"/>
          <w:bCs/>
          <w:snapToGrid w:val="0"/>
        </w:rPr>
        <w:t xml:space="preserve"> Continuing treatment</w:t>
      </w:r>
      <w:r w:rsidRPr="00581941">
        <w:rPr>
          <w:rFonts w:asciiTheme="minorHAnsi" w:hAnsiTheme="minorHAnsi"/>
          <w:bCs/>
          <w:snapToGrid w:val="0"/>
        </w:rPr>
        <w:t xml:space="preserve"> </w:t>
      </w:r>
      <w:r w:rsidR="00CF6135" w:rsidRPr="00581941">
        <w:rPr>
          <w:rFonts w:asciiTheme="minorHAnsi" w:hAnsiTheme="minorHAnsi"/>
          <w:bCs/>
          <w:snapToGrid w:val="0"/>
        </w:rPr>
        <w:t>restriction to appear</w:t>
      </w:r>
      <w:r w:rsidRPr="00581941">
        <w:rPr>
          <w:rFonts w:asciiTheme="minorHAnsi" w:hAnsiTheme="minorHAnsi"/>
          <w:bCs/>
          <w:snapToGrid w:val="0"/>
        </w:rPr>
        <w:t xml:space="preserve"> as follows:</w:t>
      </w:r>
    </w:p>
    <w:p w:rsidR="00630E34" w:rsidRPr="00581941" w:rsidRDefault="00630E34" w:rsidP="00630E34">
      <w:pPr>
        <w:widowControl w:val="0"/>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134"/>
        <w:gridCol w:w="992"/>
        <w:gridCol w:w="994"/>
        <w:gridCol w:w="709"/>
        <w:gridCol w:w="1082"/>
      </w:tblGrid>
      <w:tr w:rsidR="00CF6135" w:rsidRPr="00CE03A9" w:rsidTr="00CE03A9">
        <w:trPr>
          <w:cantSplit/>
          <w:trHeight w:val="189"/>
        </w:trPr>
        <w:tc>
          <w:tcPr>
            <w:tcW w:w="2277" w:type="pct"/>
          </w:tcPr>
          <w:p w:rsidR="008B5792" w:rsidRPr="00CE03A9" w:rsidRDefault="008B5792" w:rsidP="002D5454">
            <w:pPr>
              <w:keepNext/>
              <w:ind w:left="-108"/>
              <w:rPr>
                <w:rFonts w:ascii="Arial Narrow" w:hAnsi="Arial Narrow"/>
                <w:b/>
                <w:sz w:val="20"/>
                <w:szCs w:val="20"/>
              </w:rPr>
            </w:pPr>
            <w:r w:rsidRPr="00CE03A9">
              <w:rPr>
                <w:rFonts w:ascii="Arial Narrow" w:hAnsi="Arial Narrow"/>
                <w:b/>
                <w:sz w:val="20"/>
                <w:szCs w:val="20"/>
              </w:rPr>
              <w:t xml:space="preserve">Name, </w:t>
            </w:r>
            <w:r w:rsidR="002D5454" w:rsidRPr="00CE03A9">
              <w:rPr>
                <w:rFonts w:ascii="Arial Narrow" w:hAnsi="Arial Narrow"/>
                <w:b/>
                <w:sz w:val="20"/>
                <w:szCs w:val="20"/>
              </w:rPr>
              <w:t xml:space="preserve">strength, </w:t>
            </w:r>
            <w:r w:rsidRPr="00CE03A9">
              <w:rPr>
                <w:rFonts w:ascii="Arial Narrow" w:hAnsi="Arial Narrow"/>
                <w:b/>
                <w:sz w:val="20"/>
                <w:szCs w:val="20"/>
              </w:rPr>
              <w:t>form</w:t>
            </w:r>
            <w:r w:rsidR="002D5454" w:rsidRPr="00CE03A9">
              <w:rPr>
                <w:rFonts w:ascii="Arial Narrow" w:hAnsi="Arial Narrow"/>
                <w:b/>
                <w:sz w:val="20"/>
                <w:szCs w:val="20"/>
              </w:rPr>
              <w:t>, pack quantity</w:t>
            </w:r>
          </w:p>
        </w:tc>
        <w:tc>
          <w:tcPr>
            <w:tcW w:w="629" w:type="pct"/>
          </w:tcPr>
          <w:p w:rsidR="008B5792" w:rsidRPr="00CE03A9" w:rsidRDefault="008B5792" w:rsidP="00002D16">
            <w:pPr>
              <w:keepNext/>
              <w:ind w:left="-108"/>
              <w:jc w:val="center"/>
              <w:rPr>
                <w:rFonts w:ascii="Arial Narrow" w:hAnsi="Arial Narrow"/>
                <w:b/>
                <w:sz w:val="20"/>
                <w:szCs w:val="20"/>
              </w:rPr>
            </w:pPr>
            <w:r w:rsidRPr="00CE03A9">
              <w:rPr>
                <w:rFonts w:ascii="Arial Narrow" w:hAnsi="Arial Narrow"/>
                <w:b/>
                <w:sz w:val="20"/>
                <w:szCs w:val="20"/>
              </w:rPr>
              <w:t>PBS item code</w:t>
            </w:r>
          </w:p>
        </w:tc>
        <w:tc>
          <w:tcPr>
            <w:tcW w:w="550" w:type="pct"/>
          </w:tcPr>
          <w:p w:rsidR="008B5792" w:rsidRPr="00CE03A9" w:rsidRDefault="002D5454" w:rsidP="00002D16">
            <w:pPr>
              <w:keepNext/>
              <w:ind w:left="-108"/>
              <w:jc w:val="center"/>
              <w:rPr>
                <w:rFonts w:ascii="Arial Narrow" w:hAnsi="Arial Narrow"/>
                <w:b/>
                <w:sz w:val="20"/>
                <w:szCs w:val="20"/>
              </w:rPr>
            </w:pPr>
            <w:r w:rsidRPr="00CE03A9">
              <w:rPr>
                <w:rFonts w:ascii="Arial Narrow" w:hAnsi="Arial Narrow"/>
                <w:b/>
                <w:sz w:val="20"/>
                <w:szCs w:val="20"/>
              </w:rPr>
              <w:t xml:space="preserve">Max. qty </w:t>
            </w:r>
            <w:r w:rsidR="008B5792" w:rsidRPr="00CE03A9">
              <w:rPr>
                <w:rFonts w:ascii="Arial Narrow" w:hAnsi="Arial Narrow"/>
                <w:b/>
                <w:sz w:val="20"/>
                <w:szCs w:val="20"/>
              </w:rPr>
              <w:t>packs</w:t>
            </w:r>
          </w:p>
        </w:tc>
        <w:tc>
          <w:tcPr>
            <w:tcW w:w="551" w:type="pct"/>
          </w:tcPr>
          <w:p w:rsidR="008B5792" w:rsidRPr="00CE03A9" w:rsidRDefault="008B5792" w:rsidP="00002D16">
            <w:pPr>
              <w:keepNext/>
              <w:ind w:left="-108"/>
              <w:jc w:val="center"/>
              <w:rPr>
                <w:rFonts w:ascii="Arial Narrow" w:hAnsi="Arial Narrow"/>
                <w:b/>
                <w:sz w:val="20"/>
                <w:szCs w:val="20"/>
              </w:rPr>
            </w:pPr>
            <w:r w:rsidRPr="00CE03A9">
              <w:rPr>
                <w:rFonts w:ascii="Arial Narrow" w:hAnsi="Arial Narrow"/>
                <w:b/>
                <w:sz w:val="20"/>
                <w:szCs w:val="20"/>
              </w:rPr>
              <w:t>Max. qty units</w:t>
            </w:r>
          </w:p>
        </w:tc>
        <w:tc>
          <w:tcPr>
            <w:tcW w:w="393" w:type="pct"/>
          </w:tcPr>
          <w:p w:rsidR="002D5454" w:rsidRPr="00CE03A9" w:rsidRDefault="002D5454" w:rsidP="002D5454">
            <w:pPr>
              <w:keepNext/>
              <w:ind w:left="-108"/>
              <w:jc w:val="center"/>
              <w:rPr>
                <w:rFonts w:ascii="Arial Narrow" w:hAnsi="Arial Narrow"/>
                <w:b/>
                <w:sz w:val="20"/>
                <w:szCs w:val="20"/>
              </w:rPr>
            </w:pPr>
            <w:r w:rsidRPr="00CE03A9">
              <w:rPr>
                <w:rFonts w:ascii="Arial Narrow" w:hAnsi="Arial Narrow"/>
                <w:b/>
                <w:sz w:val="20"/>
                <w:szCs w:val="20"/>
              </w:rPr>
              <w:t xml:space="preserve">№.of </w:t>
            </w:r>
          </w:p>
          <w:p w:rsidR="008B5792" w:rsidRPr="00CE03A9" w:rsidRDefault="008B5792" w:rsidP="002D5454">
            <w:pPr>
              <w:keepNext/>
              <w:ind w:left="-108"/>
              <w:jc w:val="center"/>
              <w:rPr>
                <w:rFonts w:ascii="Arial Narrow" w:hAnsi="Arial Narrow"/>
                <w:b/>
                <w:sz w:val="20"/>
                <w:szCs w:val="20"/>
              </w:rPr>
            </w:pPr>
            <w:r w:rsidRPr="00CE03A9">
              <w:rPr>
                <w:rFonts w:ascii="Arial Narrow" w:hAnsi="Arial Narrow"/>
                <w:b/>
                <w:sz w:val="20"/>
                <w:szCs w:val="20"/>
              </w:rPr>
              <w:t>Rpts</w:t>
            </w:r>
          </w:p>
        </w:tc>
        <w:tc>
          <w:tcPr>
            <w:tcW w:w="600" w:type="pct"/>
          </w:tcPr>
          <w:p w:rsidR="008B5792" w:rsidRPr="00CE03A9" w:rsidRDefault="00CF6135" w:rsidP="00D86EED">
            <w:pPr>
              <w:keepNext/>
              <w:jc w:val="left"/>
              <w:rPr>
                <w:rFonts w:ascii="Arial Narrow" w:hAnsi="Arial Narrow"/>
                <w:b/>
                <w:sz w:val="20"/>
                <w:szCs w:val="20"/>
              </w:rPr>
            </w:pPr>
            <w:r w:rsidRPr="00CE03A9">
              <w:rPr>
                <w:rFonts w:ascii="Arial Narrow" w:hAnsi="Arial Narrow"/>
                <w:b/>
                <w:sz w:val="20"/>
                <w:szCs w:val="20"/>
              </w:rPr>
              <w:t>Available brands</w:t>
            </w:r>
          </w:p>
        </w:tc>
      </w:tr>
      <w:tr w:rsidR="00CF6135" w:rsidRPr="00CE03A9" w:rsidTr="00CE03A9">
        <w:trPr>
          <w:cantSplit/>
          <w:trHeight w:val="567"/>
        </w:trPr>
        <w:tc>
          <w:tcPr>
            <w:tcW w:w="2277" w:type="pct"/>
          </w:tcPr>
          <w:p w:rsidR="00CF6135" w:rsidRPr="00CE03A9" w:rsidRDefault="00CF6135" w:rsidP="00002D16">
            <w:pPr>
              <w:keepNext/>
              <w:ind w:left="-108"/>
              <w:rPr>
                <w:rFonts w:ascii="Arial Narrow" w:hAnsi="Arial Narrow"/>
                <w:sz w:val="20"/>
                <w:szCs w:val="20"/>
              </w:rPr>
            </w:pPr>
            <w:r w:rsidRPr="00CE03A9">
              <w:rPr>
                <w:rFonts w:ascii="Arial Narrow" w:hAnsi="Arial Narrow"/>
                <w:sz w:val="20"/>
                <w:szCs w:val="20"/>
              </w:rPr>
              <w:t>DOLUTEGRAVIR with LAMIVUDINE</w:t>
            </w:r>
          </w:p>
          <w:p w:rsidR="00CF6135" w:rsidRPr="00CE03A9" w:rsidRDefault="00CF6135" w:rsidP="00002D16">
            <w:pPr>
              <w:keepNext/>
              <w:ind w:left="-108"/>
              <w:rPr>
                <w:rFonts w:ascii="Arial Narrow" w:hAnsi="Arial Narrow"/>
                <w:sz w:val="20"/>
                <w:szCs w:val="20"/>
              </w:rPr>
            </w:pPr>
          </w:p>
          <w:p w:rsidR="00CF6135" w:rsidRPr="00CE03A9" w:rsidRDefault="00CF6135" w:rsidP="00002D16">
            <w:pPr>
              <w:keepNext/>
              <w:ind w:left="-108"/>
              <w:rPr>
                <w:rFonts w:ascii="Arial Narrow" w:hAnsi="Arial Narrow"/>
                <w:sz w:val="20"/>
                <w:szCs w:val="20"/>
              </w:rPr>
            </w:pPr>
            <w:r w:rsidRPr="00CE03A9">
              <w:rPr>
                <w:rFonts w:ascii="Arial Narrow" w:hAnsi="Arial Narrow"/>
                <w:sz w:val="20"/>
                <w:szCs w:val="20"/>
              </w:rPr>
              <w:t>dolutegravir 50 mg + lamivudine 300 mg tablet, 30</w:t>
            </w:r>
          </w:p>
        </w:tc>
        <w:tc>
          <w:tcPr>
            <w:tcW w:w="629" w:type="pct"/>
          </w:tcPr>
          <w:p w:rsidR="00CF6135" w:rsidRPr="00CE03A9" w:rsidRDefault="00CF6135" w:rsidP="00002D16">
            <w:pPr>
              <w:keepNext/>
              <w:ind w:left="-108"/>
              <w:jc w:val="center"/>
              <w:rPr>
                <w:rFonts w:ascii="Arial Narrow" w:hAnsi="Arial Narrow"/>
                <w:sz w:val="20"/>
                <w:szCs w:val="20"/>
              </w:rPr>
            </w:pPr>
          </w:p>
          <w:p w:rsidR="00CF6135" w:rsidRPr="00CE03A9" w:rsidRDefault="00CF6135" w:rsidP="00002D16">
            <w:pPr>
              <w:keepNext/>
              <w:ind w:left="-108"/>
              <w:jc w:val="center"/>
              <w:rPr>
                <w:rFonts w:ascii="Arial Narrow" w:hAnsi="Arial Narrow"/>
                <w:sz w:val="20"/>
                <w:szCs w:val="20"/>
              </w:rPr>
            </w:pPr>
          </w:p>
          <w:p w:rsidR="00CF6135" w:rsidRPr="00CE03A9" w:rsidRDefault="00CF6135" w:rsidP="00002D16">
            <w:pPr>
              <w:keepNext/>
              <w:ind w:left="-108"/>
              <w:jc w:val="center"/>
              <w:rPr>
                <w:rFonts w:ascii="Arial Narrow" w:hAnsi="Arial Narrow"/>
                <w:sz w:val="20"/>
                <w:szCs w:val="20"/>
              </w:rPr>
            </w:pPr>
            <w:r w:rsidRPr="00CE03A9">
              <w:rPr>
                <w:rFonts w:ascii="Arial Narrow" w:hAnsi="Arial Narrow"/>
                <w:sz w:val="20"/>
                <w:szCs w:val="20"/>
              </w:rPr>
              <w:t>11843H</w:t>
            </w:r>
          </w:p>
        </w:tc>
        <w:tc>
          <w:tcPr>
            <w:tcW w:w="550" w:type="pct"/>
          </w:tcPr>
          <w:p w:rsidR="00CF6135" w:rsidRPr="00CE03A9" w:rsidRDefault="00CF6135" w:rsidP="00002D16">
            <w:pPr>
              <w:keepNext/>
              <w:jc w:val="center"/>
              <w:rPr>
                <w:rFonts w:ascii="Arial Narrow" w:hAnsi="Arial Narrow"/>
                <w:sz w:val="20"/>
                <w:szCs w:val="20"/>
              </w:rPr>
            </w:pPr>
          </w:p>
          <w:p w:rsidR="00CF6135" w:rsidRPr="00CE03A9" w:rsidRDefault="00CF6135" w:rsidP="00002D16">
            <w:pPr>
              <w:keepNext/>
              <w:ind w:left="-108"/>
              <w:jc w:val="center"/>
              <w:rPr>
                <w:rFonts w:ascii="Arial Narrow" w:hAnsi="Arial Narrow"/>
                <w:sz w:val="20"/>
                <w:szCs w:val="20"/>
              </w:rPr>
            </w:pPr>
          </w:p>
          <w:p w:rsidR="00CF6135" w:rsidRPr="00CE03A9" w:rsidRDefault="00CF6135" w:rsidP="00002D16">
            <w:pPr>
              <w:keepNext/>
              <w:jc w:val="center"/>
              <w:rPr>
                <w:rFonts w:ascii="Arial Narrow" w:hAnsi="Arial Narrow"/>
                <w:sz w:val="20"/>
                <w:szCs w:val="20"/>
              </w:rPr>
            </w:pPr>
            <w:r w:rsidRPr="00CE03A9">
              <w:rPr>
                <w:rFonts w:ascii="Arial Narrow" w:hAnsi="Arial Narrow"/>
                <w:sz w:val="20"/>
                <w:szCs w:val="20"/>
              </w:rPr>
              <w:t>2</w:t>
            </w:r>
          </w:p>
        </w:tc>
        <w:tc>
          <w:tcPr>
            <w:tcW w:w="551" w:type="pct"/>
          </w:tcPr>
          <w:p w:rsidR="00CF6135" w:rsidRPr="00CE03A9" w:rsidRDefault="00CF6135" w:rsidP="00002D16">
            <w:pPr>
              <w:keepNext/>
              <w:ind w:left="-108"/>
              <w:jc w:val="center"/>
              <w:rPr>
                <w:rFonts w:ascii="Arial Narrow" w:hAnsi="Arial Narrow"/>
                <w:sz w:val="20"/>
                <w:szCs w:val="20"/>
              </w:rPr>
            </w:pPr>
          </w:p>
          <w:p w:rsidR="00CF6135" w:rsidRPr="00CE03A9" w:rsidRDefault="00CF6135" w:rsidP="00002D16">
            <w:pPr>
              <w:keepNext/>
              <w:rPr>
                <w:rFonts w:ascii="Arial Narrow" w:hAnsi="Arial Narrow"/>
                <w:sz w:val="20"/>
                <w:szCs w:val="20"/>
              </w:rPr>
            </w:pPr>
          </w:p>
          <w:p w:rsidR="00CF6135" w:rsidRPr="00CE03A9" w:rsidRDefault="00CF6135" w:rsidP="00002D16">
            <w:pPr>
              <w:keepNext/>
              <w:ind w:left="-108"/>
              <w:jc w:val="center"/>
              <w:rPr>
                <w:rFonts w:ascii="Arial Narrow" w:hAnsi="Arial Narrow"/>
                <w:sz w:val="20"/>
                <w:szCs w:val="20"/>
              </w:rPr>
            </w:pPr>
            <w:r w:rsidRPr="00CE03A9">
              <w:rPr>
                <w:rFonts w:ascii="Arial Narrow" w:hAnsi="Arial Narrow"/>
                <w:sz w:val="20"/>
                <w:szCs w:val="20"/>
              </w:rPr>
              <w:t>60</w:t>
            </w:r>
          </w:p>
        </w:tc>
        <w:tc>
          <w:tcPr>
            <w:tcW w:w="393" w:type="pct"/>
          </w:tcPr>
          <w:p w:rsidR="00CF6135" w:rsidRPr="00CE03A9" w:rsidRDefault="00CF6135" w:rsidP="00002D16">
            <w:pPr>
              <w:keepNext/>
              <w:ind w:left="-108"/>
              <w:jc w:val="center"/>
              <w:rPr>
                <w:rFonts w:ascii="Arial Narrow" w:hAnsi="Arial Narrow"/>
                <w:sz w:val="20"/>
                <w:szCs w:val="20"/>
              </w:rPr>
            </w:pPr>
          </w:p>
          <w:p w:rsidR="00CF6135" w:rsidRPr="00CE03A9" w:rsidRDefault="00CF6135" w:rsidP="00002D16">
            <w:pPr>
              <w:keepNext/>
              <w:ind w:left="-108"/>
              <w:jc w:val="center"/>
              <w:rPr>
                <w:rFonts w:ascii="Arial Narrow" w:hAnsi="Arial Narrow"/>
                <w:sz w:val="20"/>
                <w:szCs w:val="20"/>
              </w:rPr>
            </w:pPr>
          </w:p>
          <w:p w:rsidR="00CF6135" w:rsidRPr="00CE03A9" w:rsidRDefault="002D5454" w:rsidP="002D5454">
            <w:pPr>
              <w:keepNext/>
              <w:ind w:left="-108"/>
              <w:jc w:val="center"/>
              <w:rPr>
                <w:rFonts w:ascii="Arial Narrow" w:hAnsi="Arial Narrow"/>
                <w:sz w:val="20"/>
                <w:szCs w:val="20"/>
              </w:rPr>
            </w:pPr>
            <w:r w:rsidRPr="00CE03A9">
              <w:rPr>
                <w:rFonts w:ascii="Arial Narrow" w:hAnsi="Arial Narrow"/>
                <w:sz w:val="20"/>
                <w:szCs w:val="20"/>
              </w:rPr>
              <w:t>5</w:t>
            </w:r>
          </w:p>
        </w:tc>
        <w:tc>
          <w:tcPr>
            <w:tcW w:w="600" w:type="pct"/>
          </w:tcPr>
          <w:p w:rsidR="00CF6135" w:rsidRPr="00CE03A9" w:rsidRDefault="00CF6135" w:rsidP="00002D16">
            <w:pPr>
              <w:keepNext/>
              <w:rPr>
                <w:rFonts w:ascii="Arial Narrow" w:hAnsi="Arial Narrow"/>
                <w:sz w:val="20"/>
                <w:szCs w:val="20"/>
              </w:rPr>
            </w:pPr>
          </w:p>
          <w:p w:rsidR="00CF6135" w:rsidRPr="00CE03A9" w:rsidRDefault="00CF6135" w:rsidP="00002D16">
            <w:pPr>
              <w:keepNext/>
              <w:rPr>
                <w:rFonts w:ascii="Arial Narrow" w:hAnsi="Arial Narrow"/>
                <w:sz w:val="20"/>
                <w:szCs w:val="20"/>
              </w:rPr>
            </w:pPr>
          </w:p>
          <w:p w:rsidR="00CF6135" w:rsidRPr="00CE03A9" w:rsidRDefault="00CF6135" w:rsidP="002D5454">
            <w:pPr>
              <w:keepNext/>
              <w:rPr>
                <w:rFonts w:ascii="Arial Narrow" w:hAnsi="Arial Narrow"/>
                <w:sz w:val="20"/>
                <w:szCs w:val="20"/>
              </w:rPr>
            </w:pPr>
            <w:r w:rsidRPr="00CE03A9">
              <w:rPr>
                <w:rFonts w:ascii="Arial Narrow" w:hAnsi="Arial Narrow"/>
                <w:sz w:val="20"/>
                <w:szCs w:val="20"/>
              </w:rPr>
              <w:t>Dovato</w:t>
            </w:r>
          </w:p>
        </w:tc>
      </w:tr>
    </w:tbl>
    <w:p w:rsidR="008B5792" w:rsidRPr="00CE03A9" w:rsidRDefault="008B5792" w:rsidP="008B5792">
      <w:pPr>
        <w:rPr>
          <w:sz w:val="20"/>
          <w:szCs w:val="20"/>
        </w:rPr>
      </w:pPr>
    </w:p>
    <w:p w:rsidR="008B5792" w:rsidRPr="00CE03A9" w:rsidRDefault="008B5792" w:rsidP="008B5792">
      <w:pPr>
        <w:rPr>
          <w:rFonts w:ascii="Arial Narrow" w:hAnsi="Arial Narrow"/>
          <w:b/>
          <w:sz w:val="20"/>
          <w:szCs w:val="20"/>
        </w:rPr>
      </w:pPr>
      <w:r w:rsidRPr="00CE03A9">
        <w:rPr>
          <w:rFonts w:ascii="Arial Narrow" w:hAnsi="Arial Narrow"/>
          <w:b/>
          <w:sz w:val="20"/>
          <w:szCs w:val="20"/>
        </w:rPr>
        <w:t xml:space="preserve">Restriction Summary </w:t>
      </w:r>
      <w:r w:rsidR="00F10BEF" w:rsidRPr="00CE03A9">
        <w:rPr>
          <w:rFonts w:ascii="Arial Narrow" w:hAnsi="Arial Narrow"/>
          <w:b/>
          <w:sz w:val="20"/>
          <w:szCs w:val="20"/>
        </w:rPr>
        <w:t>9910</w:t>
      </w:r>
      <w:r w:rsidRPr="00CE03A9">
        <w:rPr>
          <w:rFonts w:ascii="Arial Narrow" w:hAnsi="Arial Narrow"/>
          <w:b/>
          <w:sz w:val="20"/>
          <w:szCs w:val="20"/>
        </w:rPr>
        <w:t xml:space="preserve"> / Treatment of Concept </w:t>
      </w:r>
      <w:r w:rsidR="00F10BEF" w:rsidRPr="00CE03A9">
        <w:rPr>
          <w:rFonts w:ascii="Arial Narrow" w:hAnsi="Arial Narrow"/>
          <w:b/>
          <w:sz w:val="20"/>
          <w:szCs w:val="20"/>
        </w:rPr>
        <w:t>9934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7603"/>
      </w:tblGrid>
      <w:tr w:rsidR="00CF6135" w:rsidRPr="00CE03A9" w:rsidTr="00F10BEF">
        <w:tc>
          <w:tcPr>
            <w:tcW w:w="784" w:type="pct"/>
            <w:vMerge w:val="restart"/>
            <w:tcBorders>
              <w:top w:val="single" w:sz="4" w:space="0" w:color="auto"/>
              <w:left w:val="single" w:sz="4" w:space="0" w:color="auto"/>
              <w:right w:val="single" w:sz="4" w:space="0" w:color="auto"/>
            </w:tcBorders>
          </w:tcPr>
          <w:p w:rsidR="00CF6135" w:rsidRPr="00CE03A9" w:rsidRDefault="00CF6135" w:rsidP="00002D16">
            <w:pPr>
              <w:jc w:val="center"/>
              <w:rPr>
                <w:rFonts w:ascii="Arial Narrow" w:hAnsi="Arial Narrow"/>
                <w:b/>
                <w:sz w:val="20"/>
                <w:szCs w:val="20"/>
              </w:rPr>
            </w:pPr>
            <w:r w:rsidRPr="00CE03A9">
              <w:rPr>
                <w:rFonts w:ascii="Arial Narrow" w:hAnsi="Arial Narrow"/>
                <w:b/>
                <w:sz w:val="20"/>
                <w:szCs w:val="20"/>
              </w:rPr>
              <w:t>Concept ID</w:t>
            </w:r>
          </w:p>
          <w:p w:rsidR="00F10BEF" w:rsidRPr="00CE03A9" w:rsidRDefault="00F10BEF" w:rsidP="00002D16">
            <w:pPr>
              <w:jc w:val="center"/>
              <w:rPr>
                <w:rFonts w:ascii="Arial Narrow" w:hAnsi="Arial Narrow"/>
                <w:sz w:val="20"/>
                <w:szCs w:val="20"/>
              </w:rPr>
            </w:pPr>
            <w:r w:rsidRPr="00CE03A9">
              <w:rPr>
                <w:rFonts w:ascii="Arial Narrow" w:hAnsi="Arial Narrow"/>
                <w:sz w:val="20"/>
                <w:szCs w:val="20"/>
              </w:rPr>
              <w:t>(for internal</w:t>
            </w:r>
          </w:p>
          <w:p w:rsidR="00F10BEF" w:rsidRPr="00CE03A9" w:rsidRDefault="00F10BEF" w:rsidP="00002D16">
            <w:pPr>
              <w:jc w:val="center"/>
              <w:rPr>
                <w:rFonts w:ascii="Arial Narrow" w:hAnsi="Arial Narrow"/>
                <w:sz w:val="20"/>
                <w:szCs w:val="20"/>
              </w:rPr>
            </w:pPr>
            <w:r w:rsidRPr="00CE03A9">
              <w:rPr>
                <w:rFonts w:ascii="Arial Narrow" w:hAnsi="Arial Narrow"/>
                <w:sz w:val="20"/>
                <w:szCs w:val="20"/>
              </w:rPr>
              <w:t xml:space="preserve"> Dept. use)</w:t>
            </w:r>
          </w:p>
        </w:tc>
        <w:tc>
          <w:tcPr>
            <w:tcW w:w="4216" w:type="pct"/>
            <w:tcBorders>
              <w:top w:val="single" w:sz="4" w:space="0" w:color="auto"/>
              <w:left w:val="single" w:sz="4" w:space="0" w:color="auto"/>
              <w:bottom w:val="single" w:sz="4" w:space="0" w:color="auto"/>
              <w:right w:val="single" w:sz="4" w:space="0" w:color="auto"/>
            </w:tcBorders>
          </w:tcPr>
          <w:p w:rsidR="00CF6135" w:rsidRPr="00CE03A9" w:rsidRDefault="00CF6135" w:rsidP="00002D16">
            <w:pPr>
              <w:rPr>
                <w:rFonts w:ascii="Arial Narrow" w:hAnsi="Arial Narrow"/>
                <w:sz w:val="20"/>
                <w:szCs w:val="20"/>
              </w:rPr>
            </w:pPr>
            <w:r w:rsidRPr="00CE03A9">
              <w:rPr>
                <w:rFonts w:ascii="Arial Narrow" w:hAnsi="Arial Narrow"/>
                <w:b/>
                <w:sz w:val="20"/>
                <w:szCs w:val="20"/>
              </w:rPr>
              <w:t xml:space="preserve">Category / Program:   </w:t>
            </w:r>
            <w:r w:rsidRPr="00CE03A9">
              <w:rPr>
                <w:rFonts w:ascii="Arial Narrow" w:hAnsi="Arial Narrow"/>
                <w:sz w:val="20"/>
                <w:szCs w:val="20"/>
              </w:rPr>
              <w:t>Section 100 (Highly Specialised Drugs Program) - Community Access (Code CA)</w:t>
            </w:r>
          </w:p>
        </w:tc>
      </w:tr>
      <w:tr w:rsidR="00CF6135" w:rsidRPr="00CE03A9" w:rsidTr="00966FBA">
        <w:trPr>
          <w:trHeight w:val="38"/>
        </w:trPr>
        <w:tc>
          <w:tcPr>
            <w:tcW w:w="784" w:type="pct"/>
            <w:vMerge/>
            <w:tcBorders>
              <w:left w:val="single" w:sz="4" w:space="0" w:color="auto"/>
              <w:right w:val="single" w:sz="4" w:space="0" w:color="auto"/>
            </w:tcBorders>
          </w:tcPr>
          <w:p w:rsidR="00CF6135" w:rsidRPr="00CE03A9" w:rsidRDefault="00CF6135" w:rsidP="00002D16">
            <w:pPr>
              <w:rPr>
                <w:rFonts w:ascii="Arial Narrow" w:hAnsi="Arial Narrow"/>
                <w:sz w:val="20"/>
                <w:szCs w:val="20"/>
              </w:rPr>
            </w:pPr>
          </w:p>
        </w:tc>
        <w:tc>
          <w:tcPr>
            <w:tcW w:w="4216" w:type="pct"/>
            <w:tcBorders>
              <w:top w:val="single" w:sz="4" w:space="0" w:color="auto"/>
              <w:left w:val="single" w:sz="4" w:space="0" w:color="auto"/>
              <w:bottom w:val="single" w:sz="4" w:space="0" w:color="auto"/>
              <w:right w:val="single" w:sz="4" w:space="0" w:color="auto"/>
            </w:tcBorders>
          </w:tcPr>
          <w:p w:rsidR="00CF6135" w:rsidRPr="00CE03A9" w:rsidRDefault="00CF6135" w:rsidP="00CF6135">
            <w:pPr>
              <w:rPr>
                <w:rFonts w:ascii="Arial Narrow" w:hAnsi="Arial Narrow"/>
                <w:sz w:val="20"/>
                <w:szCs w:val="20"/>
              </w:rPr>
            </w:pPr>
            <w:r w:rsidRPr="00CE03A9">
              <w:rPr>
                <w:rFonts w:ascii="Arial Narrow" w:hAnsi="Arial Narrow"/>
                <w:b/>
                <w:sz w:val="20"/>
                <w:szCs w:val="20"/>
              </w:rPr>
              <w:t xml:space="preserve">Prescriber type:  </w:t>
            </w:r>
            <w:r w:rsidRPr="00CE03A9">
              <w:rPr>
                <w:rFonts w:ascii="Arial Narrow" w:hAnsi="Arial Narrow"/>
                <w:sz w:val="20"/>
                <w:szCs w:val="20"/>
              </w:rPr>
              <w:fldChar w:fldCharType="begin">
                <w:ffData>
                  <w:name w:val=""/>
                  <w:enabled/>
                  <w:calcOnExit w:val="0"/>
                  <w:checkBox>
                    <w:sizeAuto/>
                    <w:default w:val="1"/>
                  </w:checkBox>
                </w:ffData>
              </w:fldChar>
            </w:r>
            <w:r w:rsidRPr="00CE03A9">
              <w:rPr>
                <w:rFonts w:ascii="Arial Narrow" w:hAnsi="Arial Narrow"/>
                <w:sz w:val="20"/>
                <w:szCs w:val="20"/>
              </w:rPr>
              <w:instrText xml:space="preserve"> FORMCHECKBOX </w:instrText>
            </w:r>
            <w:r w:rsidR="006344E5">
              <w:rPr>
                <w:rFonts w:ascii="Arial Narrow" w:hAnsi="Arial Narrow"/>
                <w:sz w:val="20"/>
                <w:szCs w:val="20"/>
              </w:rPr>
            </w:r>
            <w:r w:rsidR="006344E5">
              <w:rPr>
                <w:rFonts w:ascii="Arial Narrow" w:hAnsi="Arial Narrow"/>
                <w:sz w:val="20"/>
                <w:szCs w:val="20"/>
              </w:rPr>
              <w:fldChar w:fldCharType="separate"/>
            </w:r>
            <w:r w:rsidRPr="00CE03A9">
              <w:rPr>
                <w:rFonts w:ascii="Arial Narrow" w:hAnsi="Arial Narrow"/>
                <w:sz w:val="20"/>
                <w:szCs w:val="20"/>
              </w:rPr>
              <w:fldChar w:fldCharType="end"/>
            </w:r>
            <w:r w:rsidRPr="00CE03A9">
              <w:rPr>
                <w:rFonts w:ascii="Arial Narrow" w:hAnsi="Arial Narrow"/>
                <w:sz w:val="20"/>
                <w:szCs w:val="20"/>
              </w:rPr>
              <w:t xml:space="preserve">Medical Practitioners  </w:t>
            </w:r>
            <w:r w:rsidRPr="00CE03A9">
              <w:rPr>
                <w:rFonts w:ascii="Arial Narrow" w:hAnsi="Arial Narrow"/>
                <w:sz w:val="20"/>
                <w:szCs w:val="20"/>
              </w:rPr>
              <w:fldChar w:fldCharType="begin">
                <w:ffData>
                  <w:name w:val="Check3"/>
                  <w:enabled/>
                  <w:calcOnExit w:val="0"/>
                  <w:checkBox>
                    <w:sizeAuto/>
                    <w:default w:val="1"/>
                  </w:checkBox>
                </w:ffData>
              </w:fldChar>
            </w:r>
            <w:r w:rsidRPr="00CE03A9">
              <w:rPr>
                <w:rFonts w:ascii="Arial Narrow" w:hAnsi="Arial Narrow"/>
                <w:sz w:val="20"/>
                <w:szCs w:val="20"/>
              </w:rPr>
              <w:instrText xml:space="preserve"> FORMCHECKBOX </w:instrText>
            </w:r>
            <w:r w:rsidR="006344E5">
              <w:rPr>
                <w:rFonts w:ascii="Arial Narrow" w:hAnsi="Arial Narrow"/>
                <w:sz w:val="20"/>
                <w:szCs w:val="20"/>
              </w:rPr>
            </w:r>
            <w:r w:rsidR="006344E5">
              <w:rPr>
                <w:rFonts w:ascii="Arial Narrow" w:hAnsi="Arial Narrow"/>
                <w:sz w:val="20"/>
                <w:szCs w:val="20"/>
              </w:rPr>
              <w:fldChar w:fldCharType="separate"/>
            </w:r>
            <w:r w:rsidRPr="00CE03A9">
              <w:rPr>
                <w:rFonts w:ascii="Arial Narrow" w:hAnsi="Arial Narrow"/>
                <w:sz w:val="20"/>
                <w:szCs w:val="20"/>
              </w:rPr>
              <w:fldChar w:fldCharType="end"/>
            </w:r>
            <w:r w:rsidRPr="00CE03A9">
              <w:rPr>
                <w:rFonts w:ascii="Arial Narrow" w:hAnsi="Arial Narrow"/>
                <w:sz w:val="20"/>
                <w:szCs w:val="20"/>
              </w:rPr>
              <w:t xml:space="preserve">Nurse practitioners  </w:t>
            </w:r>
          </w:p>
        </w:tc>
      </w:tr>
      <w:tr w:rsidR="00CF6135" w:rsidRPr="00CE03A9" w:rsidTr="00F10BEF">
        <w:tc>
          <w:tcPr>
            <w:tcW w:w="784" w:type="pct"/>
            <w:vMerge/>
            <w:tcBorders>
              <w:left w:val="single" w:sz="4" w:space="0" w:color="auto"/>
              <w:bottom w:val="single" w:sz="4" w:space="0" w:color="auto"/>
              <w:right w:val="single" w:sz="4" w:space="0" w:color="auto"/>
            </w:tcBorders>
          </w:tcPr>
          <w:p w:rsidR="00CF6135" w:rsidRPr="00CE03A9" w:rsidRDefault="00CF6135" w:rsidP="00002D16">
            <w:pPr>
              <w:rPr>
                <w:rFonts w:ascii="Arial Narrow" w:hAnsi="Arial Narrow"/>
                <w:sz w:val="20"/>
                <w:szCs w:val="20"/>
              </w:rPr>
            </w:pPr>
          </w:p>
        </w:tc>
        <w:tc>
          <w:tcPr>
            <w:tcW w:w="4216" w:type="pct"/>
            <w:tcBorders>
              <w:top w:val="single" w:sz="4" w:space="0" w:color="auto"/>
              <w:left w:val="single" w:sz="4" w:space="0" w:color="auto"/>
              <w:bottom w:val="single" w:sz="4" w:space="0" w:color="auto"/>
              <w:right w:val="single" w:sz="4" w:space="0" w:color="auto"/>
            </w:tcBorders>
          </w:tcPr>
          <w:p w:rsidR="00CF6135" w:rsidRPr="00CE03A9" w:rsidRDefault="00CF6135" w:rsidP="00002D16">
            <w:pPr>
              <w:rPr>
                <w:rFonts w:ascii="Arial Narrow" w:hAnsi="Arial Narrow"/>
                <w:b/>
                <w:sz w:val="20"/>
                <w:szCs w:val="20"/>
              </w:rPr>
            </w:pPr>
            <w:r w:rsidRPr="00CE03A9">
              <w:rPr>
                <w:rFonts w:ascii="Arial Narrow" w:hAnsi="Arial Narrow"/>
                <w:b/>
                <w:sz w:val="20"/>
                <w:szCs w:val="20"/>
              </w:rPr>
              <w:t xml:space="preserve">Restriction Type / Method:  </w:t>
            </w:r>
            <w:r w:rsidRPr="00CE03A9">
              <w:rPr>
                <w:rFonts w:ascii="Arial Narrow" w:hAnsi="Arial Narrow"/>
                <w:sz w:val="20"/>
                <w:szCs w:val="20"/>
              </w:rPr>
              <w:fldChar w:fldCharType="begin">
                <w:ffData>
                  <w:name w:val=""/>
                  <w:enabled/>
                  <w:calcOnExit w:val="0"/>
                  <w:checkBox>
                    <w:sizeAuto/>
                    <w:default w:val="1"/>
                  </w:checkBox>
                </w:ffData>
              </w:fldChar>
            </w:r>
            <w:r w:rsidRPr="00CE03A9">
              <w:rPr>
                <w:rFonts w:ascii="Arial Narrow" w:hAnsi="Arial Narrow"/>
                <w:sz w:val="20"/>
                <w:szCs w:val="20"/>
              </w:rPr>
              <w:instrText xml:space="preserve"> FORMCHECKBOX </w:instrText>
            </w:r>
            <w:r w:rsidR="006344E5">
              <w:rPr>
                <w:rFonts w:ascii="Arial Narrow" w:hAnsi="Arial Narrow"/>
                <w:sz w:val="20"/>
                <w:szCs w:val="20"/>
              </w:rPr>
            </w:r>
            <w:r w:rsidR="006344E5">
              <w:rPr>
                <w:rFonts w:ascii="Arial Narrow" w:hAnsi="Arial Narrow"/>
                <w:sz w:val="20"/>
                <w:szCs w:val="20"/>
              </w:rPr>
              <w:fldChar w:fldCharType="separate"/>
            </w:r>
            <w:r w:rsidRPr="00CE03A9">
              <w:rPr>
                <w:rFonts w:ascii="Arial Narrow" w:hAnsi="Arial Narrow"/>
                <w:sz w:val="20"/>
                <w:szCs w:val="20"/>
              </w:rPr>
              <w:fldChar w:fldCharType="end"/>
            </w:r>
            <w:r w:rsidRPr="00CE03A9">
              <w:rPr>
                <w:rFonts w:ascii="Arial Narrow" w:hAnsi="Arial Narrow"/>
                <w:sz w:val="20"/>
                <w:szCs w:val="20"/>
              </w:rPr>
              <w:t xml:space="preserve">Authority Required </w:t>
            </w:r>
            <w:r w:rsidR="00F10BEF" w:rsidRPr="00CE03A9">
              <w:rPr>
                <w:rFonts w:ascii="Arial Narrow" w:hAnsi="Arial Narrow"/>
                <w:sz w:val="20"/>
                <w:szCs w:val="20"/>
              </w:rPr>
              <w:t>–</w:t>
            </w:r>
            <w:r w:rsidRPr="00CE03A9">
              <w:rPr>
                <w:rFonts w:ascii="Arial Narrow" w:hAnsi="Arial Narrow"/>
                <w:sz w:val="20"/>
                <w:szCs w:val="20"/>
              </w:rPr>
              <w:t xml:space="preserve"> Streamlined</w:t>
            </w:r>
            <w:r w:rsidR="00F10BEF" w:rsidRPr="00CE03A9">
              <w:rPr>
                <w:rFonts w:ascii="Arial Narrow" w:hAnsi="Arial Narrow"/>
                <w:sz w:val="20"/>
                <w:szCs w:val="20"/>
              </w:rPr>
              <w:t xml:space="preserve"> (9934)</w:t>
            </w:r>
          </w:p>
        </w:tc>
      </w:tr>
      <w:tr w:rsidR="008B5792" w:rsidRPr="00CE03A9" w:rsidTr="00F10BEF">
        <w:tc>
          <w:tcPr>
            <w:tcW w:w="784" w:type="pct"/>
            <w:vAlign w:val="center"/>
            <w:hideMark/>
          </w:tcPr>
          <w:p w:rsidR="008B5792" w:rsidRPr="00CE03A9" w:rsidRDefault="008B5792" w:rsidP="00002D16">
            <w:pPr>
              <w:jc w:val="center"/>
              <w:rPr>
                <w:rFonts w:ascii="Arial Narrow" w:hAnsi="Arial Narrow"/>
                <w:color w:val="333333"/>
                <w:sz w:val="20"/>
                <w:szCs w:val="20"/>
              </w:rPr>
            </w:pPr>
            <w:r w:rsidRPr="00CE03A9">
              <w:rPr>
                <w:rFonts w:ascii="Arial Narrow" w:hAnsi="Arial Narrow"/>
                <w:color w:val="333333"/>
                <w:sz w:val="20"/>
                <w:szCs w:val="20"/>
              </w:rPr>
              <w:t>9007</w:t>
            </w:r>
          </w:p>
        </w:tc>
        <w:tc>
          <w:tcPr>
            <w:tcW w:w="4216" w:type="pct"/>
            <w:vAlign w:val="center"/>
            <w:hideMark/>
          </w:tcPr>
          <w:p w:rsidR="008B5792" w:rsidRPr="00CE03A9" w:rsidRDefault="008B5792" w:rsidP="00002D16">
            <w:pPr>
              <w:rPr>
                <w:rFonts w:ascii="Arial Narrow" w:hAnsi="Arial Narrow"/>
                <w:color w:val="333333"/>
                <w:sz w:val="20"/>
                <w:szCs w:val="20"/>
              </w:rPr>
            </w:pPr>
            <w:r w:rsidRPr="00CE03A9">
              <w:rPr>
                <w:rFonts w:ascii="Arial Narrow" w:hAnsi="Arial Narrow"/>
                <w:b/>
                <w:bCs/>
                <w:color w:val="333333"/>
                <w:sz w:val="20"/>
                <w:szCs w:val="20"/>
              </w:rPr>
              <w:t>Indication:</w:t>
            </w:r>
            <w:r w:rsidRPr="00CE03A9">
              <w:rPr>
                <w:rFonts w:ascii="Arial Narrow" w:hAnsi="Arial Narrow"/>
                <w:color w:val="333333"/>
                <w:sz w:val="20"/>
                <w:szCs w:val="20"/>
              </w:rPr>
              <w:t xml:space="preserve"> HIV infection</w:t>
            </w:r>
          </w:p>
        </w:tc>
      </w:tr>
      <w:tr w:rsidR="008B5792" w:rsidRPr="00CE03A9" w:rsidTr="00F10BEF">
        <w:tc>
          <w:tcPr>
            <w:tcW w:w="784" w:type="pct"/>
            <w:vAlign w:val="center"/>
            <w:hideMark/>
          </w:tcPr>
          <w:p w:rsidR="008B5792" w:rsidRPr="00CE03A9" w:rsidRDefault="00F10BEF" w:rsidP="00002D16">
            <w:pPr>
              <w:jc w:val="center"/>
              <w:rPr>
                <w:rFonts w:ascii="Arial Narrow" w:hAnsi="Arial Narrow"/>
                <w:color w:val="333333"/>
                <w:sz w:val="20"/>
                <w:szCs w:val="20"/>
              </w:rPr>
            </w:pPr>
            <w:r w:rsidRPr="00CE03A9">
              <w:rPr>
                <w:rFonts w:ascii="Arial Narrow" w:hAnsi="Arial Narrow"/>
                <w:color w:val="333333"/>
                <w:sz w:val="20"/>
                <w:szCs w:val="20"/>
              </w:rPr>
              <w:t>Edit</w:t>
            </w:r>
          </w:p>
        </w:tc>
        <w:tc>
          <w:tcPr>
            <w:tcW w:w="4216" w:type="pct"/>
            <w:vAlign w:val="center"/>
            <w:hideMark/>
          </w:tcPr>
          <w:p w:rsidR="008B5792" w:rsidRPr="00CE03A9" w:rsidRDefault="008B5792" w:rsidP="00F10BEF">
            <w:pPr>
              <w:rPr>
                <w:rFonts w:ascii="Arial Narrow" w:hAnsi="Arial Narrow"/>
                <w:color w:val="333333"/>
                <w:sz w:val="20"/>
                <w:szCs w:val="20"/>
              </w:rPr>
            </w:pPr>
            <w:r w:rsidRPr="00CE03A9">
              <w:rPr>
                <w:rFonts w:ascii="Arial Narrow" w:hAnsi="Arial Narrow"/>
                <w:b/>
                <w:bCs/>
                <w:color w:val="333333"/>
                <w:sz w:val="20"/>
                <w:szCs w:val="20"/>
              </w:rPr>
              <w:t>Treatment Phase:</w:t>
            </w:r>
            <w:r w:rsidR="00C6702A" w:rsidRPr="00CE03A9">
              <w:rPr>
                <w:rFonts w:ascii="Arial Narrow" w:hAnsi="Arial Narrow"/>
                <w:color w:val="333333"/>
                <w:sz w:val="20"/>
                <w:szCs w:val="20"/>
              </w:rPr>
              <w:t xml:space="preserve"> Continuing or switching</w:t>
            </w:r>
            <w:r w:rsidR="00F10BEF" w:rsidRPr="00CE03A9">
              <w:rPr>
                <w:rFonts w:ascii="Arial Narrow" w:hAnsi="Arial Narrow"/>
                <w:color w:val="333333"/>
                <w:sz w:val="20"/>
                <w:szCs w:val="20"/>
              </w:rPr>
              <w:t xml:space="preserve"> </w:t>
            </w:r>
            <w:r w:rsidRPr="00CE03A9">
              <w:rPr>
                <w:rFonts w:ascii="Arial Narrow" w:hAnsi="Arial Narrow"/>
                <w:color w:val="333333"/>
                <w:sz w:val="20"/>
                <w:szCs w:val="20"/>
              </w:rPr>
              <w:t>treatment</w:t>
            </w:r>
            <w:r w:rsidR="00F10BEF" w:rsidRPr="00CE03A9">
              <w:rPr>
                <w:rFonts w:ascii="Arial Narrow" w:hAnsi="Arial Narrow"/>
                <w:color w:val="333333"/>
                <w:sz w:val="20"/>
                <w:szCs w:val="20"/>
              </w:rPr>
              <w:t xml:space="preserve"> </w:t>
            </w:r>
          </w:p>
        </w:tc>
      </w:tr>
      <w:tr w:rsidR="008B5792" w:rsidRPr="00CE03A9" w:rsidTr="00F10BEF">
        <w:tc>
          <w:tcPr>
            <w:tcW w:w="784" w:type="pct"/>
            <w:vAlign w:val="center"/>
            <w:hideMark/>
          </w:tcPr>
          <w:p w:rsidR="00F10BEF" w:rsidRPr="00CE03A9" w:rsidRDefault="00F10BEF" w:rsidP="00002D16">
            <w:pPr>
              <w:jc w:val="center"/>
              <w:rPr>
                <w:rFonts w:ascii="Arial Narrow" w:hAnsi="Arial Narrow"/>
                <w:color w:val="333333"/>
                <w:sz w:val="20"/>
                <w:szCs w:val="20"/>
              </w:rPr>
            </w:pPr>
            <w:r w:rsidRPr="00CE03A9">
              <w:rPr>
                <w:rFonts w:ascii="Arial Narrow" w:hAnsi="Arial Narrow"/>
                <w:color w:val="333333"/>
                <w:sz w:val="20"/>
                <w:szCs w:val="20"/>
              </w:rPr>
              <w:t>12372</w:t>
            </w:r>
          </w:p>
        </w:tc>
        <w:tc>
          <w:tcPr>
            <w:tcW w:w="4216" w:type="pct"/>
            <w:vAlign w:val="center"/>
            <w:hideMark/>
          </w:tcPr>
          <w:p w:rsidR="008B5792" w:rsidRPr="00CE03A9" w:rsidRDefault="008B5792" w:rsidP="00002D16">
            <w:pPr>
              <w:rPr>
                <w:rFonts w:ascii="Arial Narrow" w:hAnsi="Arial Narrow"/>
                <w:color w:val="333333"/>
                <w:sz w:val="20"/>
                <w:szCs w:val="20"/>
              </w:rPr>
            </w:pPr>
            <w:r w:rsidRPr="00CE03A9">
              <w:rPr>
                <w:rFonts w:ascii="Arial Narrow" w:hAnsi="Arial Narrow"/>
                <w:b/>
                <w:bCs/>
                <w:color w:val="333333"/>
                <w:sz w:val="20"/>
                <w:szCs w:val="20"/>
              </w:rPr>
              <w:t>Clinical criteria:</w:t>
            </w:r>
          </w:p>
        </w:tc>
      </w:tr>
      <w:tr w:rsidR="008B5792" w:rsidRPr="00CE03A9" w:rsidTr="00F10BEF">
        <w:tc>
          <w:tcPr>
            <w:tcW w:w="784" w:type="pct"/>
            <w:vAlign w:val="center"/>
            <w:hideMark/>
          </w:tcPr>
          <w:p w:rsidR="00F10BEF" w:rsidRPr="00CE03A9" w:rsidRDefault="00F10BEF" w:rsidP="00002D16">
            <w:pPr>
              <w:jc w:val="center"/>
              <w:rPr>
                <w:rFonts w:ascii="Arial Narrow" w:hAnsi="Arial Narrow"/>
                <w:color w:val="333333"/>
                <w:sz w:val="20"/>
                <w:szCs w:val="20"/>
              </w:rPr>
            </w:pPr>
            <w:r w:rsidRPr="00CE03A9">
              <w:rPr>
                <w:rFonts w:ascii="Arial Narrow" w:hAnsi="Arial Narrow"/>
                <w:color w:val="333333"/>
                <w:sz w:val="20"/>
                <w:szCs w:val="20"/>
              </w:rPr>
              <w:t>Remove 12371</w:t>
            </w:r>
          </w:p>
          <w:p w:rsidR="008B5792" w:rsidRPr="00CE03A9" w:rsidRDefault="00F10BEF" w:rsidP="00002D16">
            <w:pPr>
              <w:jc w:val="center"/>
              <w:rPr>
                <w:rFonts w:ascii="Arial Narrow" w:hAnsi="Arial Narrow"/>
                <w:color w:val="333333"/>
                <w:sz w:val="20"/>
                <w:szCs w:val="20"/>
              </w:rPr>
            </w:pPr>
            <w:r w:rsidRPr="00CE03A9">
              <w:rPr>
                <w:rFonts w:ascii="Arial Narrow" w:hAnsi="Arial Narrow"/>
                <w:color w:val="333333"/>
                <w:sz w:val="20"/>
                <w:szCs w:val="20"/>
              </w:rPr>
              <w:t xml:space="preserve">Insert </w:t>
            </w:r>
            <w:r w:rsidR="008B5792" w:rsidRPr="00CE03A9">
              <w:rPr>
                <w:rFonts w:ascii="Arial Narrow" w:hAnsi="Arial Narrow"/>
                <w:color w:val="333333"/>
                <w:sz w:val="20"/>
                <w:szCs w:val="20"/>
              </w:rPr>
              <w:t>9018</w:t>
            </w:r>
          </w:p>
        </w:tc>
        <w:tc>
          <w:tcPr>
            <w:tcW w:w="4216" w:type="pct"/>
            <w:vAlign w:val="center"/>
            <w:hideMark/>
          </w:tcPr>
          <w:p w:rsidR="008B5792" w:rsidRPr="00CE03A9" w:rsidRDefault="00CD5238" w:rsidP="00CD5238">
            <w:pPr>
              <w:rPr>
                <w:rFonts w:ascii="Arial Narrow" w:hAnsi="Arial Narrow"/>
                <w:color w:val="333333"/>
                <w:sz w:val="20"/>
                <w:szCs w:val="20"/>
              </w:rPr>
            </w:pPr>
            <w:r w:rsidRPr="00CE03A9">
              <w:rPr>
                <w:rFonts w:ascii="Arial Narrow" w:hAnsi="Arial Narrow"/>
                <w:color w:val="333333"/>
                <w:sz w:val="20"/>
                <w:szCs w:val="20"/>
              </w:rPr>
              <w:t>Patient must have previously received PBS-subsidised therapy for HIV infection</w:t>
            </w:r>
          </w:p>
        </w:tc>
      </w:tr>
    </w:tbl>
    <w:p w:rsidR="00630E34" w:rsidRPr="00581941" w:rsidRDefault="00630E34" w:rsidP="001E086A">
      <w:pPr>
        <w:widowControl w:val="0"/>
        <w:rPr>
          <w:rFonts w:asciiTheme="minorHAnsi" w:hAnsiTheme="minorHAnsi"/>
          <w:bCs/>
          <w:snapToGrid w:val="0"/>
        </w:rPr>
      </w:pPr>
    </w:p>
    <w:p w:rsidR="00CD5238" w:rsidRPr="00581941" w:rsidRDefault="00CD5238" w:rsidP="00CD5238">
      <w:pPr>
        <w:widowControl w:val="0"/>
        <w:rPr>
          <w:rFonts w:asciiTheme="minorHAnsi" w:hAnsiTheme="minorHAnsi"/>
          <w:bCs/>
          <w:snapToGrid w:val="0"/>
        </w:rPr>
      </w:pPr>
      <w:r w:rsidRPr="00581941">
        <w:rPr>
          <w:rFonts w:asciiTheme="minorHAnsi" w:hAnsiTheme="minorHAnsi"/>
          <w:bCs/>
          <w:snapToGrid w:val="0"/>
        </w:rPr>
        <w:t>8.2</w:t>
      </w:r>
      <w:r w:rsidRPr="00581941">
        <w:rPr>
          <w:rFonts w:asciiTheme="minorHAnsi" w:hAnsiTheme="minorHAnsi"/>
          <w:bCs/>
          <w:snapToGrid w:val="0"/>
        </w:rPr>
        <w:tab/>
        <w:t>Remove Grandfather listing for 1 December 2020 (Restriction Summary 9909).</w:t>
      </w:r>
    </w:p>
    <w:p w:rsidR="00CD5238" w:rsidRPr="00581941" w:rsidRDefault="00CD5238" w:rsidP="001E086A">
      <w:pPr>
        <w:widowControl w:val="0"/>
        <w:rPr>
          <w:rFonts w:asciiTheme="minorHAnsi" w:hAnsiTheme="minorHAnsi"/>
          <w:bCs/>
          <w:snapToGrid w:val="0"/>
        </w:rPr>
      </w:pPr>
    </w:p>
    <w:p w:rsidR="00CD5238" w:rsidRPr="00581941" w:rsidRDefault="00CD5238" w:rsidP="00CD5238">
      <w:pPr>
        <w:spacing w:after="120"/>
        <w:rPr>
          <w:rFonts w:cs="Times New Roman"/>
        </w:rPr>
      </w:pPr>
      <w:r w:rsidRPr="00581941">
        <w:rPr>
          <w:rFonts w:cs="Calibri"/>
          <w:b/>
          <w:i/>
        </w:rPr>
        <w:t>This restriction may be subject to further review. Should there be any changes made to the restriction the Sponsor will be informed.</w:t>
      </w:r>
    </w:p>
    <w:p w:rsidR="0009621B" w:rsidRPr="00DE10B4" w:rsidRDefault="0009621B" w:rsidP="0009621B">
      <w:pPr>
        <w:keepNext/>
        <w:widowControl w:val="0"/>
        <w:numPr>
          <w:ilvl w:val="0"/>
          <w:numId w:val="1"/>
        </w:numPr>
        <w:spacing w:before="240" w:after="120"/>
        <w:outlineLvl w:val="0"/>
        <w:rPr>
          <w:rFonts w:asciiTheme="minorHAnsi" w:hAnsiTheme="minorHAnsi"/>
          <w:bCs/>
          <w:lang w:val="en-GB"/>
        </w:rPr>
      </w:pPr>
      <w:r w:rsidRPr="00DE10B4">
        <w:rPr>
          <w:rFonts w:asciiTheme="minorHAnsi" w:hAnsiTheme="minorHAnsi"/>
          <w:b/>
          <w:bCs/>
          <w:snapToGrid w:val="0"/>
          <w:sz w:val="32"/>
        </w:rPr>
        <w:t>Context</w:t>
      </w:r>
      <w:r w:rsidRPr="00DE10B4">
        <w:rPr>
          <w:rFonts w:asciiTheme="minorHAnsi" w:hAnsiTheme="minorHAnsi"/>
          <w:b/>
          <w:sz w:val="32"/>
        </w:rPr>
        <w:t xml:space="preserve"> for Decision</w:t>
      </w:r>
    </w:p>
    <w:p w:rsidR="0009621B" w:rsidRPr="007129F2" w:rsidRDefault="0009621B" w:rsidP="00286FE5">
      <w:pPr>
        <w:spacing w:after="120"/>
        <w:rPr>
          <w:rFonts w:asciiTheme="minorHAnsi" w:hAnsiTheme="minorHAnsi"/>
          <w:bCs/>
          <w:lang w:val="en-GB"/>
        </w:rPr>
      </w:pPr>
      <w:r w:rsidRPr="00DE10B4">
        <w:rPr>
          <w:rFonts w:asciiTheme="minorHAnsi" w:hAnsiTheme="minorHAnsi"/>
          <w:bCs/>
          <w:lang w:val="en-GB"/>
        </w:rPr>
        <w:t>The PBAC helps decide whether and, if so, how medicines should be subsidised through the</w:t>
      </w:r>
      <w:r w:rsidRPr="007129F2">
        <w:rPr>
          <w:rFonts w:asciiTheme="minorHAnsi" w:hAnsiTheme="minorHAnsi"/>
          <w:bCs/>
          <w:lang w:val="en-GB"/>
        </w:rPr>
        <w:t xml:space="preserv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9621B" w:rsidRPr="00C07617" w:rsidRDefault="0009621B" w:rsidP="0009621B">
      <w:pPr>
        <w:keepNext/>
        <w:widowControl w:val="0"/>
        <w:numPr>
          <w:ilvl w:val="0"/>
          <w:numId w:val="1"/>
        </w:numPr>
        <w:spacing w:before="240" w:after="120"/>
        <w:outlineLvl w:val="0"/>
        <w:rPr>
          <w:rFonts w:asciiTheme="minorHAnsi" w:hAnsiTheme="minorHAnsi"/>
          <w:b/>
          <w:sz w:val="32"/>
        </w:rPr>
      </w:pPr>
      <w:r w:rsidRPr="00C07617" w:rsidDel="007129F2">
        <w:rPr>
          <w:rFonts w:asciiTheme="minorHAnsi" w:hAnsiTheme="minorHAnsi"/>
        </w:rPr>
        <w:t xml:space="preserve"> </w:t>
      </w:r>
      <w:r>
        <w:rPr>
          <w:rFonts w:asciiTheme="minorHAnsi" w:hAnsiTheme="minorHAnsi"/>
          <w:b/>
          <w:sz w:val="32"/>
        </w:rPr>
        <w:t>Sponsor’s Comment</w:t>
      </w:r>
    </w:p>
    <w:p w:rsidR="00606FBA" w:rsidRPr="00DE10B4" w:rsidRDefault="00325A07" w:rsidP="00286FE5">
      <w:pPr>
        <w:spacing w:after="120"/>
        <w:rPr>
          <w:rFonts w:asciiTheme="minorHAnsi" w:hAnsiTheme="minorHAnsi"/>
          <w:bCs/>
        </w:rPr>
      </w:pPr>
      <w:r>
        <w:rPr>
          <w:sz w:val="23"/>
          <w:szCs w:val="23"/>
        </w:rPr>
        <w:t xml:space="preserve">ViiV Healthcare welcomes the PBAC’s decision to recommend Dovato for the treatment of HIV-infection in </w:t>
      </w:r>
      <w:r>
        <w:t>anti-retroviral (ART) treatment</w:t>
      </w:r>
      <w:r>
        <w:noBreakHyphen/>
        <w:t>experienced patients.</w:t>
      </w:r>
    </w:p>
    <w:sectPr w:rsidR="00606FBA" w:rsidRPr="00DE10B4"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1DF0" w16cex:dateUtc="2020-05-18T04:45:00Z"/>
  <w16cex:commentExtensible w16cex:durableId="226CC7B3" w16cex:dateUtc="2020-05-17T22:37:00Z"/>
  <w16cex:commentExtensible w16cex:durableId="226CCC55" w16cex:dateUtc="2020-05-17T22:56:00Z"/>
  <w16cex:commentExtensible w16cex:durableId="226D2DBD" w16cex:dateUtc="2020-05-18T05:52:00Z"/>
  <w16cex:commentExtensible w16cex:durableId="226D2668" w16cex:dateUtc="2020-05-18T05:21:00Z"/>
  <w16cex:commentExtensible w16cex:durableId="226D2919" w16cex:dateUtc="2020-05-18T05:32:00Z"/>
  <w16cex:commentExtensible w16cex:durableId="226D2A35" w16cex:dateUtc="2020-05-18T05:37:00Z"/>
  <w16cex:commentExtensible w16cex:durableId="226D2F9E" w16cex:dateUtc="2020-05-18T06:00:00Z"/>
  <w16cex:commentExtensible w16cex:durableId="226CD406" w16cex:dateUtc="2020-05-17T23:29:00Z"/>
  <w16cex:commentExtensible w16cex:durableId="226CD4C1" w16cex:dateUtc="2020-05-17T23:32:00Z"/>
  <w16cex:commentExtensible w16cex:durableId="226CD7A1" w16cex:dateUtc="2020-05-17T23:45:00Z"/>
  <w16cex:commentExtensible w16cex:durableId="226CD8C5" w16cex:dateUtc="2020-05-17T23:49:00Z"/>
  <w16cex:commentExtensible w16cex:durableId="226CDE1C" w16cex:dateUtc="2020-05-18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666EA" w16cid:durableId="226CC693"/>
  <w16cid:commentId w16cid:paraId="564C49A5" w16cid:durableId="226D1D0E"/>
  <w16cid:commentId w16cid:paraId="75709C65" w16cid:durableId="226D1DF0"/>
  <w16cid:commentId w16cid:paraId="09DD2792" w16cid:durableId="226CC698"/>
  <w16cid:commentId w16cid:paraId="549F09A4" w16cid:durableId="226CC7B3"/>
  <w16cid:commentId w16cid:paraId="28DCA5D2" w16cid:durableId="226CC69A"/>
  <w16cid:commentId w16cid:paraId="7F479644" w16cid:durableId="226CC69B"/>
  <w16cid:commentId w16cid:paraId="4AF9970A" w16cid:durableId="226CC6A2"/>
  <w16cid:commentId w16cid:paraId="37363458" w16cid:durableId="226CCC55"/>
  <w16cid:commentId w16cid:paraId="63C6BFA8" w16cid:durableId="226D2D07"/>
  <w16cid:commentId w16cid:paraId="6A3A8151" w16cid:durableId="226D2DBD"/>
  <w16cid:commentId w16cid:paraId="112DA35E" w16cid:durableId="226D2456"/>
  <w16cid:commentId w16cid:paraId="36ABF628" w16cid:durableId="226D2668"/>
  <w16cid:commentId w16cid:paraId="13BA516D" w16cid:durableId="226D2458"/>
  <w16cid:commentId w16cid:paraId="7D3CFD69" w16cid:durableId="226D2919"/>
  <w16cid:commentId w16cid:paraId="51955BA4" w16cid:durableId="226D2F9E"/>
  <w16cid:commentId w16cid:paraId="5FC5FE55" w16cid:durableId="226CC6A7"/>
  <w16cid:commentId w16cid:paraId="0A1336B2" w16cid:durableId="226CC6A8"/>
  <w16cid:commentId w16cid:paraId="4C9AB338" w16cid:durableId="226CD406"/>
  <w16cid:commentId w16cid:paraId="4CA32908" w16cid:durableId="226CC6A9"/>
  <w16cid:commentId w16cid:paraId="0760F94E" w16cid:durableId="226CC6AD"/>
  <w16cid:commentId w16cid:paraId="4A51378B" w16cid:durableId="226CD4C1"/>
  <w16cid:commentId w16cid:paraId="6B729D23" w16cid:durableId="226CD7A1"/>
  <w16cid:commentId w16cid:paraId="135A6CEE" w16cid:durableId="226CC6B0"/>
  <w16cid:commentId w16cid:paraId="6B6288EE" w16cid:durableId="226CC6B3"/>
  <w16cid:commentId w16cid:paraId="3D2AAE73" w16cid:durableId="226CC6B4"/>
  <w16cid:commentId w16cid:paraId="73880EBB" w16cid:durableId="226CC6B6"/>
  <w16cid:commentId w16cid:paraId="0EDD836A" w16cid:durableId="226CD8C5"/>
  <w16cid:commentId w16cid:paraId="54E903D8" w16cid:durableId="226CD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41" w:rsidRDefault="001A6D41" w:rsidP="00124A51">
      <w:r>
        <w:separator/>
      </w:r>
    </w:p>
    <w:p w:rsidR="001A6D41" w:rsidRDefault="001A6D41"/>
  </w:endnote>
  <w:endnote w:type="continuationSeparator" w:id="0">
    <w:p w:rsidR="001A6D41" w:rsidRDefault="001A6D41" w:rsidP="00124A51">
      <w:r>
        <w:continuationSeparator/>
      </w:r>
    </w:p>
    <w:p w:rsidR="001A6D41" w:rsidRDefault="001A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361" w:rsidRDefault="00346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1B" w:rsidRDefault="007B641B">
    <w:pPr>
      <w:pStyle w:val="Footer"/>
    </w:pPr>
  </w:p>
  <w:p w:rsidR="007B641B" w:rsidRPr="00F90A91" w:rsidRDefault="007B641B" w:rsidP="0088562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6344E5">
      <w:rPr>
        <w:b/>
        <w:noProof/>
      </w:rPr>
      <w:t>2</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361" w:rsidRDefault="0034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41" w:rsidRDefault="001A6D41" w:rsidP="00124A51">
      <w:r>
        <w:separator/>
      </w:r>
    </w:p>
    <w:p w:rsidR="001A6D41" w:rsidRDefault="001A6D41"/>
  </w:footnote>
  <w:footnote w:type="continuationSeparator" w:id="0">
    <w:p w:rsidR="001A6D41" w:rsidRDefault="001A6D41" w:rsidP="00124A51">
      <w:r>
        <w:continuationSeparator/>
      </w:r>
    </w:p>
    <w:p w:rsidR="001A6D41" w:rsidRDefault="001A6D41"/>
  </w:footnote>
  <w:footnote w:id="1">
    <w:p w:rsidR="007B641B" w:rsidRPr="00D909ED" w:rsidRDefault="007B641B" w:rsidP="00D909ED">
      <w:pPr>
        <w:pStyle w:val="FootnoteText"/>
        <w:jc w:val="left"/>
        <w:rPr>
          <w:rFonts w:ascii="Arial Narrow" w:hAnsi="Arial Narrow"/>
          <w:sz w:val="18"/>
          <w:szCs w:val="18"/>
        </w:rPr>
      </w:pPr>
      <w:r w:rsidRPr="00D909ED">
        <w:rPr>
          <w:rStyle w:val="FootnoteReference"/>
          <w:rFonts w:ascii="Arial Narrow" w:hAnsi="Arial Narrow"/>
          <w:sz w:val="18"/>
          <w:szCs w:val="18"/>
        </w:rPr>
        <w:footnoteRef/>
      </w:r>
      <w:r>
        <w:rPr>
          <w:rFonts w:ascii="Arial Narrow" w:hAnsi="Arial Narrow"/>
          <w:sz w:val="18"/>
          <w:szCs w:val="18"/>
        </w:rPr>
        <w:t xml:space="preserve"> FDA 2015, Human Immunodeficiency Virus-1 Infection: Developing Antiretroviral Drugs for Treatment </w:t>
      </w:r>
      <w:r w:rsidRPr="00D909ED">
        <w:rPr>
          <w:rFonts w:ascii="Arial Narrow" w:hAnsi="Arial Narrow"/>
          <w:sz w:val="18"/>
          <w:szCs w:val="18"/>
        </w:rPr>
        <w:t xml:space="preserve">Guidance for Industry </w:t>
      </w:r>
      <w:hyperlink r:id="rId1" w:history="1">
        <w:r w:rsidRPr="00D909ED">
          <w:rPr>
            <w:rStyle w:val="Hyperlink"/>
            <w:rFonts w:ascii="Arial Narrow" w:hAnsi="Arial Narrow"/>
            <w:sz w:val="18"/>
            <w:szCs w:val="18"/>
          </w:rPr>
          <w:t>https://www.fda.gov/media/86284/download</w:t>
        </w:r>
      </w:hyperlink>
    </w:p>
  </w:footnote>
  <w:footnote w:id="2">
    <w:p w:rsidR="007B641B" w:rsidRPr="00190BEE" w:rsidRDefault="007B641B">
      <w:pPr>
        <w:pStyle w:val="FootnoteText"/>
        <w:rPr>
          <w:rFonts w:ascii="Arial Narrow" w:hAnsi="Arial Narrow"/>
          <w:sz w:val="18"/>
          <w:szCs w:val="18"/>
        </w:rPr>
      </w:pPr>
      <w:r w:rsidRPr="00190BEE">
        <w:rPr>
          <w:rStyle w:val="FootnoteReference"/>
          <w:rFonts w:ascii="Arial Narrow" w:hAnsi="Arial Narrow"/>
          <w:sz w:val="18"/>
          <w:szCs w:val="18"/>
        </w:rPr>
        <w:footnoteRef/>
      </w:r>
      <w:r w:rsidRPr="00190BEE">
        <w:rPr>
          <w:rFonts w:ascii="Arial Narrow" w:hAnsi="Arial Narrow"/>
          <w:sz w:val="18"/>
          <w:szCs w:val="18"/>
        </w:rPr>
        <w:t xml:space="preserve"> Daniels, B., Pearson, S.-A., Buckley, N. A., Bruno, C., &amp; Zoega, H. (2020). Long-term use of proton-pump inhibitors: whole-of-population patterns in Australia 2013–2016. Therapeutic Advances in Gastroenterology. https://doi.org/10.1177/1756284820913743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361" w:rsidRDefault="00346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1B" w:rsidRPr="00056684" w:rsidRDefault="007B641B" w:rsidP="0088562D">
    <w:pPr>
      <w:pStyle w:val="Header"/>
      <w:ind w:left="360"/>
      <w:rPr>
        <w:rFonts w:asciiTheme="minorHAnsi" w:hAnsiTheme="minorHAnsi"/>
        <w:i/>
        <w:color w:val="808080"/>
      </w:rPr>
    </w:pPr>
    <w:r>
      <w:rPr>
        <w:rFonts w:asciiTheme="minorHAnsi" w:hAnsiTheme="minorHAnsi"/>
        <w:i/>
        <w:color w:val="808080"/>
      </w:rPr>
      <w:t xml:space="preserve">Public Summary Documents </w:t>
    </w:r>
    <w:r w:rsidRPr="00056684">
      <w:rPr>
        <w:rFonts w:asciiTheme="minorHAnsi" w:hAnsiTheme="minorHAnsi"/>
        <w:i/>
        <w:color w:val="808080"/>
      </w:rPr>
      <w:t xml:space="preserve">– </w:t>
    </w:r>
    <w:r>
      <w:rPr>
        <w:rFonts w:asciiTheme="minorHAnsi" w:hAnsiTheme="minorHAnsi"/>
        <w:i/>
        <w:color w:val="808080"/>
      </w:rPr>
      <w:t>July 2020</w:t>
    </w:r>
    <w:r w:rsidRPr="00056684">
      <w:rPr>
        <w:rFonts w:asciiTheme="minorHAnsi" w:hAnsiTheme="minorHAnsi"/>
        <w:i/>
        <w:color w:val="808080"/>
      </w:rPr>
      <w:t xml:space="preserve"> PBAC Meeting</w:t>
    </w:r>
  </w:p>
  <w:p w:rsidR="007B641B" w:rsidRDefault="007B641B" w:rsidP="00A82C10">
    <w:pPr>
      <w:tabs>
        <w:tab w:val="left" w:pos="142"/>
        <w:tab w:val="right" w:pos="9027"/>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361" w:rsidRDefault="00346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2049C"/>
    <w:multiLevelType w:val="hybridMultilevel"/>
    <w:tmpl w:val="A01E077C"/>
    <w:lvl w:ilvl="0" w:tplc="A8C28FF0">
      <w:numFmt w:val="bullet"/>
      <w:lvlText w:val="-"/>
      <w:lvlJc w:val="left"/>
      <w:pPr>
        <w:ind w:left="720" w:hanging="360"/>
      </w:pPr>
      <w:rPr>
        <w:rFonts w:ascii="Arial Narrow" w:eastAsiaTheme="minorHAnsi" w:hAnsi="Arial Narrow" w:cstheme="minorBidi" w:hint="default"/>
      </w:rPr>
    </w:lvl>
    <w:lvl w:ilvl="1" w:tplc="0C090003">
      <w:start w:val="1"/>
      <w:numFmt w:val="bullet"/>
      <w:lvlText w:val="o"/>
      <w:lvlJc w:val="left"/>
      <w:pPr>
        <w:ind w:left="1440" w:hanging="360"/>
      </w:pPr>
      <w:rPr>
        <w:rFonts w:ascii="Courier New" w:hAnsi="Courier New" w:cs="Courier New" w:hint="default"/>
      </w:rPr>
    </w:lvl>
    <w:lvl w:ilvl="2" w:tplc="646E4244">
      <w:start w:val="3"/>
      <w:numFmt w:val="bullet"/>
      <w:lvlText w:val="*"/>
      <w:lvlJc w:val="left"/>
      <w:pPr>
        <w:ind w:left="2160" w:hanging="360"/>
      </w:pPr>
      <w:rPr>
        <w:rFonts w:ascii="Arial Narrow" w:eastAsia="Times New Roman" w:hAnsi="Arial Narrow"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07775"/>
    <w:multiLevelType w:val="hybridMultilevel"/>
    <w:tmpl w:val="42AC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6DE2"/>
    <w:multiLevelType w:val="hybridMultilevel"/>
    <w:tmpl w:val="83C8F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2192D"/>
    <w:multiLevelType w:val="hybridMultilevel"/>
    <w:tmpl w:val="F33037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E07A47CC"/>
    <w:lvl w:ilvl="0" w:tplc="E1B6BF4A">
      <w:start w:val="1"/>
      <w:numFmt w:val="decimal"/>
      <w:lvlText w:val="%1."/>
      <w:lvlJc w:val="left"/>
      <w:pPr>
        <w:ind w:left="929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750CDB"/>
    <w:multiLevelType w:val="hybridMultilevel"/>
    <w:tmpl w:val="29563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A5C39"/>
    <w:multiLevelType w:val="hybridMultilevel"/>
    <w:tmpl w:val="8FC4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76A87"/>
    <w:multiLevelType w:val="hybridMultilevel"/>
    <w:tmpl w:val="F16A27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FF3414"/>
    <w:multiLevelType w:val="hybridMultilevel"/>
    <w:tmpl w:val="303A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32317"/>
    <w:multiLevelType w:val="hybridMultilevel"/>
    <w:tmpl w:val="B70CE0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5B5F0D"/>
    <w:multiLevelType w:val="hybridMultilevel"/>
    <w:tmpl w:val="FCC4A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ACD01A94"/>
    <w:lvl w:ilvl="0" w:tplc="E6A0333E">
      <w:start w:val="1"/>
      <w:numFmt w:val="bullet"/>
      <w:pStyle w:val="Bulletpoints"/>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1349A"/>
    <w:multiLevelType w:val="hybridMultilevel"/>
    <w:tmpl w:val="87962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34A21"/>
    <w:multiLevelType w:val="hybridMultilevel"/>
    <w:tmpl w:val="387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F62FE"/>
    <w:multiLevelType w:val="hybridMultilevel"/>
    <w:tmpl w:val="BC1ADD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8F5857"/>
    <w:multiLevelType w:val="hybridMultilevel"/>
    <w:tmpl w:val="9962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55134"/>
    <w:multiLevelType w:val="hybridMultilevel"/>
    <w:tmpl w:val="18C2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AC5E3F42"/>
    <w:lvl w:ilvl="0">
      <w:start w:val="1"/>
      <w:numFmt w:val="decimal"/>
      <w:pStyle w:val="2-SectionHeading"/>
      <w:lvlText w:val="%1"/>
      <w:lvlJc w:val="left"/>
      <w:pPr>
        <w:ind w:left="720" w:hanging="720"/>
      </w:pPr>
      <w:rPr>
        <w:rFonts w:hint="default"/>
        <w:b/>
        <w:i w:val="0"/>
        <w:sz w:val="32"/>
        <w:szCs w:val="32"/>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AF34F0"/>
    <w:multiLevelType w:val="hybridMultilevel"/>
    <w:tmpl w:val="30B86E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4E721C"/>
    <w:multiLevelType w:val="hybridMultilevel"/>
    <w:tmpl w:val="DE108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6"/>
  </w:num>
  <w:num w:numId="2">
    <w:abstractNumId w:val="17"/>
  </w:num>
  <w:num w:numId="3">
    <w:abstractNumId w:val="19"/>
  </w:num>
  <w:num w:numId="4">
    <w:abstractNumId w:val="0"/>
  </w:num>
  <w:num w:numId="5">
    <w:abstractNumId w:val="2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16"/>
  </w:num>
  <w:num w:numId="10">
    <w:abstractNumId w:val="20"/>
  </w:num>
  <w:num w:numId="11">
    <w:abstractNumId w:val="29"/>
  </w:num>
  <w:num w:numId="12">
    <w:abstractNumId w:val="14"/>
  </w:num>
  <w:num w:numId="13">
    <w:abstractNumId w:val="4"/>
  </w:num>
  <w:num w:numId="14">
    <w:abstractNumId w:val="5"/>
  </w:num>
  <w:num w:numId="15">
    <w:abstractNumId w:val="24"/>
  </w:num>
  <w:num w:numId="16">
    <w:abstractNumId w:val="18"/>
  </w:num>
  <w:num w:numId="17">
    <w:abstractNumId w:val="12"/>
  </w:num>
  <w:num w:numId="18">
    <w:abstractNumId w:val="3"/>
  </w:num>
  <w:num w:numId="19">
    <w:abstractNumId w:val="21"/>
  </w:num>
  <w:num w:numId="20">
    <w:abstractNumId w:val="13"/>
  </w:num>
  <w:num w:numId="21">
    <w:abstractNumId w:val="10"/>
  </w:num>
  <w:num w:numId="22">
    <w:abstractNumId w:val="8"/>
  </w:num>
  <w:num w:numId="23">
    <w:abstractNumId w:val="30"/>
  </w:num>
  <w:num w:numId="24">
    <w:abstractNumId w:val="15"/>
  </w:num>
  <w:num w:numId="25">
    <w:abstractNumId w:val="22"/>
  </w:num>
  <w:num w:numId="26">
    <w:abstractNumId w:val="23"/>
  </w:num>
  <w:num w:numId="27">
    <w:abstractNumId w:val="2"/>
  </w:num>
  <w:num w:numId="28">
    <w:abstractNumId w:val="1"/>
  </w:num>
  <w:num w:numId="29">
    <w:abstractNumId w:val="9"/>
  </w:num>
  <w:num w:numId="30">
    <w:abstractNumId w:val="11"/>
  </w:num>
  <w:num w:numId="31">
    <w:abstractNumId w:val="7"/>
  </w:num>
  <w:num w:numId="32">
    <w:abstractNumId w:val="6"/>
  </w:num>
  <w:num w:numId="33">
    <w:abstractNumId w:val="27"/>
  </w:num>
  <w:num w:numId="3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208"/>
    <w:rsid w:val="00000790"/>
    <w:rsid w:val="0000110B"/>
    <w:rsid w:val="00001293"/>
    <w:rsid w:val="00002A5A"/>
    <w:rsid w:val="00002D16"/>
    <w:rsid w:val="00003499"/>
    <w:rsid w:val="000039B7"/>
    <w:rsid w:val="0000639A"/>
    <w:rsid w:val="0000690F"/>
    <w:rsid w:val="00013247"/>
    <w:rsid w:val="00014623"/>
    <w:rsid w:val="00015886"/>
    <w:rsid w:val="000162EF"/>
    <w:rsid w:val="00017EC6"/>
    <w:rsid w:val="000207C9"/>
    <w:rsid w:val="0002225F"/>
    <w:rsid w:val="00023763"/>
    <w:rsid w:val="000274B8"/>
    <w:rsid w:val="00030096"/>
    <w:rsid w:val="0003184B"/>
    <w:rsid w:val="000329FC"/>
    <w:rsid w:val="000333C8"/>
    <w:rsid w:val="00033863"/>
    <w:rsid w:val="00035DC0"/>
    <w:rsid w:val="00036829"/>
    <w:rsid w:val="00037668"/>
    <w:rsid w:val="00040895"/>
    <w:rsid w:val="000435EE"/>
    <w:rsid w:val="00043BFD"/>
    <w:rsid w:val="00043C37"/>
    <w:rsid w:val="00043DC6"/>
    <w:rsid w:val="00045017"/>
    <w:rsid w:val="00045A2B"/>
    <w:rsid w:val="0004698F"/>
    <w:rsid w:val="000539D0"/>
    <w:rsid w:val="00053DDE"/>
    <w:rsid w:val="00054482"/>
    <w:rsid w:val="00054621"/>
    <w:rsid w:val="000546D7"/>
    <w:rsid w:val="00054AA0"/>
    <w:rsid w:val="000558E1"/>
    <w:rsid w:val="00055D17"/>
    <w:rsid w:val="00055F44"/>
    <w:rsid w:val="0005675C"/>
    <w:rsid w:val="00056ECF"/>
    <w:rsid w:val="00057E2D"/>
    <w:rsid w:val="000604DF"/>
    <w:rsid w:val="00062C62"/>
    <w:rsid w:val="000653B5"/>
    <w:rsid w:val="000658F7"/>
    <w:rsid w:val="00066360"/>
    <w:rsid w:val="00066AF8"/>
    <w:rsid w:val="000672F0"/>
    <w:rsid w:val="00070C19"/>
    <w:rsid w:val="00071248"/>
    <w:rsid w:val="000720B9"/>
    <w:rsid w:val="0007258D"/>
    <w:rsid w:val="000737F7"/>
    <w:rsid w:val="00074689"/>
    <w:rsid w:val="00074804"/>
    <w:rsid w:val="0007514E"/>
    <w:rsid w:val="00075B2C"/>
    <w:rsid w:val="000763F9"/>
    <w:rsid w:val="0007672F"/>
    <w:rsid w:val="00076B54"/>
    <w:rsid w:val="000774F0"/>
    <w:rsid w:val="00080909"/>
    <w:rsid w:val="000809CC"/>
    <w:rsid w:val="00080E07"/>
    <w:rsid w:val="000812CA"/>
    <w:rsid w:val="00081E63"/>
    <w:rsid w:val="0008258D"/>
    <w:rsid w:val="00083894"/>
    <w:rsid w:val="00083E99"/>
    <w:rsid w:val="00084CC4"/>
    <w:rsid w:val="00084FA8"/>
    <w:rsid w:val="000856C5"/>
    <w:rsid w:val="00085C31"/>
    <w:rsid w:val="00087BC5"/>
    <w:rsid w:val="000902D9"/>
    <w:rsid w:val="00090C7E"/>
    <w:rsid w:val="0009239E"/>
    <w:rsid w:val="00092600"/>
    <w:rsid w:val="0009262B"/>
    <w:rsid w:val="00093310"/>
    <w:rsid w:val="0009445C"/>
    <w:rsid w:val="00095200"/>
    <w:rsid w:val="00095FE5"/>
    <w:rsid w:val="0009621B"/>
    <w:rsid w:val="00096284"/>
    <w:rsid w:val="00097E4B"/>
    <w:rsid w:val="000A1BC0"/>
    <w:rsid w:val="000A3CCD"/>
    <w:rsid w:val="000A4147"/>
    <w:rsid w:val="000A4247"/>
    <w:rsid w:val="000A6039"/>
    <w:rsid w:val="000A6777"/>
    <w:rsid w:val="000A7453"/>
    <w:rsid w:val="000A7D08"/>
    <w:rsid w:val="000B0121"/>
    <w:rsid w:val="000B0670"/>
    <w:rsid w:val="000B0E75"/>
    <w:rsid w:val="000B239A"/>
    <w:rsid w:val="000B2DCB"/>
    <w:rsid w:val="000B355C"/>
    <w:rsid w:val="000B4052"/>
    <w:rsid w:val="000B4726"/>
    <w:rsid w:val="000B5CE0"/>
    <w:rsid w:val="000B6CAC"/>
    <w:rsid w:val="000B7612"/>
    <w:rsid w:val="000B78AE"/>
    <w:rsid w:val="000C1B12"/>
    <w:rsid w:val="000C1B87"/>
    <w:rsid w:val="000C3450"/>
    <w:rsid w:val="000C3DF9"/>
    <w:rsid w:val="000C4C5E"/>
    <w:rsid w:val="000C4C8F"/>
    <w:rsid w:val="000C6713"/>
    <w:rsid w:val="000C7297"/>
    <w:rsid w:val="000D0F78"/>
    <w:rsid w:val="000D1BFC"/>
    <w:rsid w:val="000D1D5D"/>
    <w:rsid w:val="000D281A"/>
    <w:rsid w:val="000D2848"/>
    <w:rsid w:val="000D326A"/>
    <w:rsid w:val="000D412A"/>
    <w:rsid w:val="000D51FB"/>
    <w:rsid w:val="000D5F99"/>
    <w:rsid w:val="000D6DE6"/>
    <w:rsid w:val="000E0640"/>
    <w:rsid w:val="000E1231"/>
    <w:rsid w:val="000E135D"/>
    <w:rsid w:val="000E7FF3"/>
    <w:rsid w:val="000F00BA"/>
    <w:rsid w:val="000F170F"/>
    <w:rsid w:val="000F2A06"/>
    <w:rsid w:val="000F316A"/>
    <w:rsid w:val="000F33D9"/>
    <w:rsid w:val="000F3C74"/>
    <w:rsid w:val="000F4BB8"/>
    <w:rsid w:val="000F4FA9"/>
    <w:rsid w:val="000F4FC5"/>
    <w:rsid w:val="000F53FB"/>
    <w:rsid w:val="000F7127"/>
    <w:rsid w:val="000F718A"/>
    <w:rsid w:val="000F79ED"/>
    <w:rsid w:val="000F7B54"/>
    <w:rsid w:val="00100291"/>
    <w:rsid w:val="001005DA"/>
    <w:rsid w:val="0010087B"/>
    <w:rsid w:val="00100F8A"/>
    <w:rsid w:val="0010134B"/>
    <w:rsid w:val="00101DC8"/>
    <w:rsid w:val="0010452E"/>
    <w:rsid w:val="00105AE2"/>
    <w:rsid w:val="0010600E"/>
    <w:rsid w:val="001060C6"/>
    <w:rsid w:val="00106B80"/>
    <w:rsid w:val="0010775C"/>
    <w:rsid w:val="00107AA6"/>
    <w:rsid w:val="0011032E"/>
    <w:rsid w:val="0011185E"/>
    <w:rsid w:val="0011225F"/>
    <w:rsid w:val="001128E9"/>
    <w:rsid w:val="0011348B"/>
    <w:rsid w:val="00113C08"/>
    <w:rsid w:val="00115982"/>
    <w:rsid w:val="00116C53"/>
    <w:rsid w:val="00121799"/>
    <w:rsid w:val="0012194E"/>
    <w:rsid w:val="001222FC"/>
    <w:rsid w:val="0012251A"/>
    <w:rsid w:val="00123902"/>
    <w:rsid w:val="00124A51"/>
    <w:rsid w:val="00126621"/>
    <w:rsid w:val="00126B1D"/>
    <w:rsid w:val="00127C7F"/>
    <w:rsid w:val="001301E9"/>
    <w:rsid w:val="001310C3"/>
    <w:rsid w:val="00131D82"/>
    <w:rsid w:val="00132B22"/>
    <w:rsid w:val="00132EE6"/>
    <w:rsid w:val="0013331F"/>
    <w:rsid w:val="00133D36"/>
    <w:rsid w:val="00133F34"/>
    <w:rsid w:val="001356B3"/>
    <w:rsid w:val="001357C9"/>
    <w:rsid w:val="00137146"/>
    <w:rsid w:val="00137645"/>
    <w:rsid w:val="0014015A"/>
    <w:rsid w:val="00140E99"/>
    <w:rsid w:val="001418B0"/>
    <w:rsid w:val="00141F72"/>
    <w:rsid w:val="001422DE"/>
    <w:rsid w:val="00143F67"/>
    <w:rsid w:val="00145540"/>
    <w:rsid w:val="001456B0"/>
    <w:rsid w:val="00150E04"/>
    <w:rsid w:val="00151196"/>
    <w:rsid w:val="00155FF5"/>
    <w:rsid w:val="00156F8F"/>
    <w:rsid w:val="00157130"/>
    <w:rsid w:val="001576B1"/>
    <w:rsid w:val="0016047B"/>
    <w:rsid w:val="00160A4C"/>
    <w:rsid w:val="00162913"/>
    <w:rsid w:val="00163013"/>
    <w:rsid w:val="00163191"/>
    <w:rsid w:val="00163EFF"/>
    <w:rsid w:val="00163F66"/>
    <w:rsid w:val="001661FB"/>
    <w:rsid w:val="001666FC"/>
    <w:rsid w:val="001667FB"/>
    <w:rsid w:val="0016691A"/>
    <w:rsid w:val="001671A0"/>
    <w:rsid w:val="0016767F"/>
    <w:rsid w:val="001727D0"/>
    <w:rsid w:val="0017339B"/>
    <w:rsid w:val="00173565"/>
    <w:rsid w:val="00173660"/>
    <w:rsid w:val="00173B07"/>
    <w:rsid w:val="00174E2D"/>
    <w:rsid w:val="001751FA"/>
    <w:rsid w:val="00176F2F"/>
    <w:rsid w:val="00181D9C"/>
    <w:rsid w:val="0018317E"/>
    <w:rsid w:val="00184B0E"/>
    <w:rsid w:val="00184E80"/>
    <w:rsid w:val="00186873"/>
    <w:rsid w:val="001872BE"/>
    <w:rsid w:val="0018752F"/>
    <w:rsid w:val="00190BEE"/>
    <w:rsid w:val="00191985"/>
    <w:rsid w:val="00192D2D"/>
    <w:rsid w:val="00193838"/>
    <w:rsid w:val="001938A0"/>
    <w:rsid w:val="00194AD8"/>
    <w:rsid w:val="00195222"/>
    <w:rsid w:val="001975D8"/>
    <w:rsid w:val="001A039F"/>
    <w:rsid w:val="001A178E"/>
    <w:rsid w:val="001A22C6"/>
    <w:rsid w:val="001A296B"/>
    <w:rsid w:val="001A2ECF"/>
    <w:rsid w:val="001A43FA"/>
    <w:rsid w:val="001A47C5"/>
    <w:rsid w:val="001A4C21"/>
    <w:rsid w:val="001A5072"/>
    <w:rsid w:val="001A59FB"/>
    <w:rsid w:val="001A5E9E"/>
    <w:rsid w:val="001A6354"/>
    <w:rsid w:val="001A6366"/>
    <w:rsid w:val="001A6D41"/>
    <w:rsid w:val="001A73F8"/>
    <w:rsid w:val="001A7436"/>
    <w:rsid w:val="001A7AE8"/>
    <w:rsid w:val="001B12AF"/>
    <w:rsid w:val="001B204E"/>
    <w:rsid w:val="001B2372"/>
    <w:rsid w:val="001B2F24"/>
    <w:rsid w:val="001B3443"/>
    <w:rsid w:val="001B4D20"/>
    <w:rsid w:val="001B7EC7"/>
    <w:rsid w:val="001C2A9B"/>
    <w:rsid w:val="001C3494"/>
    <w:rsid w:val="001C4299"/>
    <w:rsid w:val="001C4388"/>
    <w:rsid w:val="001C4874"/>
    <w:rsid w:val="001C54B0"/>
    <w:rsid w:val="001C5F94"/>
    <w:rsid w:val="001C6E66"/>
    <w:rsid w:val="001D1100"/>
    <w:rsid w:val="001D1391"/>
    <w:rsid w:val="001D25D7"/>
    <w:rsid w:val="001D342E"/>
    <w:rsid w:val="001D3B5A"/>
    <w:rsid w:val="001D50B2"/>
    <w:rsid w:val="001D5CF5"/>
    <w:rsid w:val="001D7645"/>
    <w:rsid w:val="001E086A"/>
    <w:rsid w:val="001E0F34"/>
    <w:rsid w:val="001E1E86"/>
    <w:rsid w:val="001E238E"/>
    <w:rsid w:val="001E2483"/>
    <w:rsid w:val="001E2B1E"/>
    <w:rsid w:val="001E2CFF"/>
    <w:rsid w:val="001E2F24"/>
    <w:rsid w:val="001E30D4"/>
    <w:rsid w:val="001E34DF"/>
    <w:rsid w:val="001E4602"/>
    <w:rsid w:val="001E52EB"/>
    <w:rsid w:val="001E5D9F"/>
    <w:rsid w:val="001E61D2"/>
    <w:rsid w:val="001E6F84"/>
    <w:rsid w:val="001E740C"/>
    <w:rsid w:val="001F1235"/>
    <w:rsid w:val="001F1BB5"/>
    <w:rsid w:val="001F1CB3"/>
    <w:rsid w:val="001F3427"/>
    <w:rsid w:val="001F38B5"/>
    <w:rsid w:val="001F4081"/>
    <w:rsid w:val="001F51CB"/>
    <w:rsid w:val="001F5557"/>
    <w:rsid w:val="001F7361"/>
    <w:rsid w:val="002011B0"/>
    <w:rsid w:val="00202924"/>
    <w:rsid w:val="00203181"/>
    <w:rsid w:val="00203217"/>
    <w:rsid w:val="00203783"/>
    <w:rsid w:val="0020385F"/>
    <w:rsid w:val="00204CAF"/>
    <w:rsid w:val="002068A0"/>
    <w:rsid w:val="00207021"/>
    <w:rsid w:val="0020732F"/>
    <w:rsid w:val="00207C1E"/>
    <w:rsid w:val="00207D00"/>
    <w:rsid w:val="002105C1"/>
    <w:rsid w:val="002118C1"/>
    <w:rsid w:val="00211E24"/>
    <w:rsid w:val="00213DB3"/>
    <w:rsid w:val="00213EF5"/>
    <w:rsid w:val="00216BF5"/>
    <w:rsid w:val="002239AF"/>
    <w:rsid w:val="00223A17"/>
    <w:rsid w:val="00223B49"/>
    <w:rsid w:val="00223D5A"/>
    <w:rsid w:val="00224CCD"/>
    <w:rsid w:val="00224DD4"/>
    <w:rsid w:val="00225B1F"/>
    <w:rsid w:val="0022768E"/>
    <w:rsid w:val="002278A0"/>
    <w:rsid w:val="002309CC"/>
    <w:rsid w:val="0023209F"/>
    <w:rsid w:val="002324A1"/>
    <w:rsid w:val="00233C01"/>
    <w:rsid w:val="00233F60"/>
    <w:rsid w:val="0023413C"/>
    <w:rsid w:val="002346BC"/>
    <w:rsid w:val="002346F0"/>
    <w:rsid w:val="00234728"/>
    <w:rsid w:val="0023629D"/>
    <w:rsid w:val="00237255"/>
    <w:rsid w:val="002423AB"/>
    <w:rsid w:val="002424AF"/>
    <w:rsid w:val="002439DC"/>
    <w:rsid w:val="002441D2"/>
    <w:rsid w:val="00244DC8"/>
    <w:rsid w:val="00244E82"/>
    <w:rsid w:val="002458BA"/>
    <w:rsid w:val="00245CE9"/>
    <w:rsid w:val="0024636C"/>
    <w:rsid w:val="002463CD"/>
    <w:rsid w:val="00247925"/>
    <w:rsid w:val="002508EB"/>
    <w:rsid w:val="00251006"/>
    <w:rsid w:val="00251353"/>
    <w:rsid w:val="00251644"/>
    <w:rsid w:val="002524D5"/>
    <w:rsid w:val="002531B0"/>
    <w:rsid w:val="00253B1D"/>
    <w:rsid w:val="00254DCF"/>
    <w:rsid w:val="0025534B"/>
    <w:rsid w:val="00255BB7"/>
    <w:rsid w:val="00257541"/>
    <w:rsid w:val="00257A39"/>
    <w:rsid w:val="00257AC4"/>
    <w:rsid w:val="002606E2"/>
    <w:rsid w:val="00261EEF"/>
    <w:rsid w:val="00262A1A"/>
    <w:rsid w:val="00262A87"/>
    <w:rsid w:val="00264D26"/>
    <w:rsid w:val="002657E2"/>
    <w:rsid w:val="00265A21"/>
    <w:rsid w:val="00267642"/>
    <w:rsid w:val="00267740"/>
    <w:rsid w:val="00267AEA"/>
    <w:rsid w:val="00267B8C"/>
    <w:rsid w:val="002700E6"/>
    <w:rsid w:val="0027141B"/>
    <w:rsid w:val="0027294B"/>
    <w:rsid w:val="00273EB4"/>
    <w:rsid w:val="00274682"/>
    <w:rsid w:val="00274F28"/>
    <w:rsid w:val="00275C5A"/>
    <w:rsid w:val="00276517"/>
    <w:rsid w:val="00280E16"/>
    <w:rsid w:val="00281014"/>
    <w:rsid w:val="00282664"/>
    <w:rsid w:val="0028500C"/>
    <w:rsid w:val="0028665D"/>
    <w:rsid w:val="00286DD9"/>
    <w:rsid w:val="00286FE5"/>
    <w:rsid w:val="002876DD"/>
    <w:rsid w:val="0029085F"/>
    <w:rsid w:val="00291D28"/>
    <w:rsid w:val="002966BF"/>
    <w:rsid w:val="002A115A"/>
    <w:rsid w:val="002A131D"/>
    <w:rsid w:val="002A14AB"/>
    <w:rsid w:val="002A2ADE"/>
    <w:rsid w:val="002A2F07"/>
    <w:rsid w:val="002A2F50"/>
    <w:rsid w:val="002A487B"/>
    <w:rsid w:val="002A6F85"/>
    <w:rsid w:val="002A77FE"/>
    <w:rsid w:val="002B05A1"/>
    <w:rsid w:val="002B09A4"/>
    <w:rsid w:val="002B0F12"/>
    <w:rsid w:val="002B17F4"/>
    <w:rsid w:val="002B1C1F"/>
    <w:rsid w:val="002B2D59"/>
    <w:rsid w:val="002B432F"/>
    <w:rsid w:val="002B62B3"/>
    <w:rsid w:val="002B6754"/>
    <w:rsid w:val="002B6CCE"/>
    <w:rsid w:val="002B75D8"/>
    <w:rsid w:val="002C0076"/>
    <w:rsid w:val="002C084E"/>
    <w:rsid w:val="002C232A"/>
    <w:rsid w:val="002C2510"/>
    <w:rsid w:val="002C2775"/>
    <w:rsid w:val="002C27C1"/>
    <w:rsid w:val="002C44DA"/>
    <w:rsid w:val="002C5099"/>
    <w:rsid w:val="002C51B7"/>
    <w:rsid w:val="002C5889"/>
    <w:rsid w:val="002C67E9"/>
    <w:rsid w:val="002C71CE"/>
    <w:rsid w:val="002C725F"/>
    <w:rsid w:val="002D08F8"/>
    <w:rsid w:val="002D22CA"/>
    <w:rsid w:val="002D28FE"/>
    <w:rsid w:val="002D3B0A"/>
    <w:rsid w:val="002D4FB9"/>
    <w:rsid w:val="002D5454"/>
    <w:rsid w:val="002D577C"/>
    <w:rsid w:val="002E1071"/>
    <w:rsid w:val="002E15B9"/>
    <w:rsid w:val="002E16DC"/>
    <w:rsid w:val="002E2158"/>
    <w:rsid w:val="002E32B4"/>
    <w:rsid w:val="002E3735"/>
    <w:rsid w:val="002E37A4"/>
    <w:rsid w:val="002E4F02"/>
    <w:rsid w:val="002E64FF"/>
    <w:rsid w:val="002E6B88"/>
    <w:rsid w:val="002E7722"/>
    <w:rsid w:val="002F07BA"/>
    <w:rsid w:val="002F0DA9"/>
    <w:rsid w:val="002F1014"/>
    <w:rsid w:val="002F1F88"/>
    <w:rsid w:val="002F643C"/>
    <w:rsid w:val="002F71C0"/>
    <w:rsid w:val="002F74F1"/>
    <w:rsid w:val="002F7BD8"/>
    <w:rsid w:val="00300051"/>
    <w:rsid w:val="003009FC"/>
    <w:rsid w:val="00301017"/>
    <w:rsid w:val="0030155F"/>
    <w:rsid w:val="00305130"/>
    <w:rsid w:val="0030554A"/>
    <w:rsid w:val="0030587B"/>
    <w:rsid w:val="00306D98"/>
    <w:rsid w:val="0030786C"/>
    <w:rsid w:val="0031031A"/>
    <w:rsid w:val="00310981"/>
    <w:rsid w:val="003111F5"/>
    <w:rsid w:val="003120F8"/>
    <w:rsid w:val="003124D9"/>
    <w:rsid w:val="00312594"/>
    <w:rsid w:val="00312C61"/>
    <w:rsid w:val="00315498"/>
    <w:rsid w:val="00316474"/>
    <w:rsid w:val="00322107"/>
    <w:rsid w:val="00322355"/>
    <w:rsid w:val="0032240E"/>
    <w:rsid w:val="00322846"/>
    <w:rsid w:val="00324220"/>
    <w:rsid w:val="00325A07"/>
    <w:rsid w:val="00326DA7"/>
    <w:rsid w:val="003270E4"/>
    <w:rsid w:val="003275A4"/>
    <w:rsid w:val="00330DAA"/>
    <w:rsid w:val="00330F5C"/>
    <w:rsid w:val="003314D5"/>
    <w:rsid w:val="0033324A"/>
    <w:rsid w:val="0033417F"/>
    <w:rsid w:val="003342F7"/>
    <w:rsid w:val="00334753"/>
    <w:rsid w:val="003366C9"/>
    <w:rsid w:val="003371B0"/>
    <w:rsid w:val="00340DF1"/>
    <w:rsid w:val="00342A20"/>
    <w:rsid w:val="003431FB"/>
    <w:rsid w:val="003443D8"/>
    <w:rsid w:val="00346361"/>
    <w:rsid w:val="003517F9"/>
    <w:rsid w:val="00351BA9"/>
    <w:rsid w:val="003528A7"/>
    <w:rsid w:val="00352BE2"/>
    <w:rsid w:val="00354F64"/>
    <w:rsid w:val="0035620E"/>
    <w:rsid w:val="003563A5"/>
    <w:rsid w:val="00356B59"/>
    <w:rsid w:val="00356ED6"/>
    <w:rsid w:val="00360345"/>
    <w:rsid w:val="003609DA"/>
    <w:rsid w:val="003611B1"/>
    <w:rsid w:val="00361416"/>
    <w:rsid w:val="00361A05"/>
    <w:rsid w:val="00361B62"/>
    <w:rsid w:val="003624C4"/>
    <w:rsid w:val="00363B00"/>
    <w:rsid w:val="003654AC"/>
    <w:rsid w:val="00370474"/>
    <w:rsid w:val="00370F4B"/>
    <w:rsid w:val="003710CF"/>
    <w:rsid w:val="003711AF"/>
    <w:rsid w:val="003718B7"/>
    <w:rsid w:val="00371EDA"/>
    <w:rsid w:val="00372372"/>
    <w:rsid w:val="0037358A"/>
    <w:rsid w:val="003750F6"/>
    <w:rsid w:val="003760FC"/>
    <w:rsid w:val="00380CD1"/>
    <w:rsid w:val="00381476"/>
    <w:rsid w:val="00383095"/>
    <w:rsid w:val="0038365C"/>
    <w:rsid w:val="0038369B"/>
    <w:rsid w:val="00383B78"/>
    <w:rsid w:val="0038447D"/>
    <w:rsid w:val="00384BF9"/>
    <w:rsid w:val="003853C4"/>
    <w:rsid w:val="00385A9D"/>
    <w:rsid w:val="00386D96"/>
    <w:rsid w:val="00390279"/>
    <w:rsid w:val="003902B1"/>
    <w:rsid w:val="0039179C"/>
    <w:rsid w:val="003938FB"/>
    <w:rsid w:val="00393AB3"/>
    <w:rsid w:val="00396896"/>
    <w:rsid w:val="00396FD0"/>
    <w:rsid w:val="003A0553"/>
    <w:rsid w:val="003A0C3A"/>
    <w:rsid w:val="003A1A7A"/>
    <w:rsid w:val="003A1ED0"/>
    <w:rsid w:val="003A2392"/>
    <w:rsid w:val="003A2831"/>
    <w:rsid w:val="003A3CB6"/>
    <w:rsid w:val="003A3ED1"/>
    <w:rsid w:val="003A44DB"/>
    <w:rsid w:val="003A5614"/>
    <w:rsid w:val="003A5C43"/>
    <w:rsid w:val="003A70CA"/>
    <w:rsid w:val="003B1060"/>
    <w:rsid w:val="003B3484"/>
    <w:rsid w:val="003B380C"/>
    <w:rsid w:val="003B3971"/>
    <w:rsid w:val="003B55D1"/>
    <w:rsid w:val="003B5912"/>
    <w:rsid w:val="003B5B61"/>
    <w:rsid w:val="003B603B"/>
    <w:rsid w:val="003B69C8"/>
    <w:rsid w:val="003C1654"/>
    <w:rsid w:val="003C308C"/>
    <w:rsid w:val="003C3D53"/>
    <w:rsid w:val="003C463A"/>
    <w:rsid w:val="003C5542"/>
    <w:rsid w:val="003C7D19"/>
    <w:rsid w:val="003C7D2F"/>
    <w:rsid w:val="003D1828"/>
    <w:rsid w:val="003D1CAB"/>
    <w:rsid w:val="003D1DE4"/>
    <w:rsid w:val="003D1E9A"/>
    <w:rsid w:val="003D2422"/>
    <w:rsid w:val="003D39A1"/>
    <w:rsid w:val="003D3FBF"/>
    <w:rsid w:val="003D4A30"/>
    <w:rsid w:val="003D5F18"/>
    <w:rsid w:val="003D7452"/>
    <w:rsid w:val="003D79BB"/>
    <w:rsid w:val="003D79E6"/>
    <w:rsid w:val="003D7C98"/>
    <w:rsid w:val="003D7D9D"/>
    <w:rsid w:val="003E0543"/>
    <w:rsid w:val="003E1E03"/>
    <w:rsid w:val="003E4C2A"/>
    <w:rsid w:val="003E5E73"/>
    <w:rsid w:val="003E749E"/>
    <w:rsid w:val="003F1F90"/>
    <w:rsid w:val="003F22A6"/>
    <w:rsid w:val="003F2BC7"/>
    <w:rsid w:val="003F340F"/>
    <w:rsid w:val="003F4156"/>
    <w:rsid w:val="003F454A"/>
    <w:rsid w:val="003F5609"/>
    <w:rsid w:val="003F5ADF"/>
    <w:rsid w:val="003F6A37"/>
    <w:rsid w:val="00400233"/>
    <w:rsid w:val="00400B29"/>
    <w:rsid w:val="00402A2E"/>
    <w:rsid w:val="00404919"/>
    <w:rsid w:val="0040504B"/>
    <w:rsid w:val="004059F4"/>
    <w:rsid w:val="00407FE5"/>
    <w:rsid w:val="004101B0"/>
    <w:rsid w:val="00410326"/>
    <w:rsid w:val="00410708"/>
    <w:rsid w:val="00410EC7"/>
    <w:rsid w:val="00411B39"/>
    <w:rsid w:val="004124AB"/>
    <w:rsid w:val="004127A7"/>
    <w:rsid w:val="00413A1E"/>
    <w:rsid w:val="004140B2"/>
    <w:rsid w:val="00414476"/>
    <w:rsid w:val="00414603"/>
    <w:rsid w:val="00414C2E"/>
    <w:rsid w:val="00414C3B"/>
    <w:rsid w:val="004151CF"/>
    <w:rsid w:val="00416364"/>
    <w:rsid w:val="00416959"/>
    <w:rsid w:val="0042047F"/>
    <w:rsid w:val="00420AA6"/>
    <w:rsid w:val="00420B9F"/>
    <w:rsid w:val="0042192C"/>
    <w:rsid w:val="0042200B"/>
    <w:rsid w:val="00422260"/>
    <w:rsid w:val="00422AFB"/>
    <w:rsid w:val="0042413F"/>
    <w:rsid w:val="004255EB"/>
    <w:rsid w:val="00430AE7"/>
    <w:rsid w:val="004310BA"/>
    <w:rsid w:val="004310D5"/>
    <w:rsid w:val="004319F8"/>
    <w:rsid w:val="00431E55"/>
    <w:rsid w:val="004321F6"/>
    <w:rsid w:val="00433044"/>
    <w:rsid w:val="00433B59"/>
    <w:rsid w:val="00434088"/>
    <w:rsid w:val="00436369"/>
    <w:rsid w:val="0043702C"/>
    <w:rsid w:val="004375B9"/>
    <w:rsid w:val="00437A8B"/>
    <w:rsid w:val="0044109A"/>
    <w:rsid w:val="00441CF1"/>
    <w:rsid w:val="00441D32"/>
    <w:rsid w:val="00442441"/>
    <w:rsid w:val="004428D0"/>
    <w:rsid w:val="00443AB5"/>
    <w:rsid w:val="004440CA"/>
    <w:rsid w:val="00444185"/>
    <w:rsid w:val="004443A7"/>
    <w:rsid w:val="0044442C"/>
    <w:rsid w:val="00444A14"/>
    <w:rsid w:val="00445941"/>
    <w:rsid w:val="00445BC4"/>
    <w:rsid w:val="004464EB"/>
    <w:rsid w:val="00447D26"/>
    <w:rsid w:val="00447DFC"/>
    <w:rsid w:val="00455D45"/>
    <w:rsid w:val="00457750"/>
    <w:rsid w:val="00460FF2"/>
    <w:rsid w:val="00462B16"/>
    <w:rsid w:val="00464595"/>
    <w:rsid w:val="00464868"/>
    <w:rsid w:val="004658B5"/>
    <w:rsid w:val="00465CF7"/>
    <w:rsid w:val="00466C31"/>
    <w:rsid w:val="00470180"/>
    <w:rsid w:val="00471EA5"/>
    <w:rsid w:val="00472A79"/>
    <w:rsid w:val="00473F19"/>
    <w:rsid w:val="00474D31"/>
    <w:rsid w:val="00474E6C"/>
    <w:rsid w:val="00475E22"/>
    <w:rsid w:val="0048088E"/>
    <w:rsid w:val="00480F2B"/>
    <w:rsid w:val="00482720"/>
    <w:rsid w:val="004835E7"/>
    <w:rsid w:val="00484F4A"/>
    <w:rsid w:val="0048602E"/>
    <w:rsid w:val="004867E2"/>
    <w:rsid w:val="00486B52"/>
    <w:rsid w:val="00486DA6"/>
    <w:rsid w:val="00490B17"/>
    <w:rsid w:val="00491B3A"/>
    <w:rsid w:val="00492BF0"/>
    <w:rsid w:val="00492CFD"/>
    <w:rsid w:val="00494207"/>
    <w:rsid w:val="004945AD"/>
    <w:rsid w:val="00494DD5"/>
    <w:rsid w:val="004962D2"/>
    <w:rsid w:val="00497BC8"/>
    <w:rsid w:val="004A0DA1"/>
    <w:rsid w:val="004A13D6"/>
    <w:rsid w:val="004A48F9"/>
    <w:rsid w:val="004A52E9"/>
    <w:rsid w:val="004A58FA"/>
    <w:rsid w:val="004A6040"/>
    <w:rsid w:val="004A6597"/>
    <w:rsid w:val="004A6770"/>
    <w:rsid w:val="004A7848"/>
    <w:rsid w:val="004B1CB4"/>
    <w:rsid w:val="004B2F18"/>
    <w:rsid w:val="004B3DDB"/>
    <w:rsid w:val="004B44FD"/>
    <w:rsid w:val="004B5CFC"/>
    <w:rsid w:val="004B6F79"/>
    <w:rsid w:val="004B774D"/>
    <w:rsid w:val="004C124B"/>
    <w:rsid w:val="004C4AED"/>
    <w:rsid w:val="004C7317"/>
    <w:rsid w:val="004D14E5"/>
    <w:rsid w:val="004D210E"/>
    <w:rsid w:val="004D2C2D"/>
    <w:rsid w:val="004D4F36"/>
    <w:rsid w:val="004D69B5"/>
    <w:rsid w:val="004D7227"/>
    <w:rsid w:val="004D7FAC"/>
    <w:rsid w:val="004E0E7F"/>
    <w:rsid w:val="004E0EB8"/>
    <w:rsid w:val="004E18E9"/>
    <w:rsid w:val="004E22B3"/>
    <w:rsid w:val="004E2ADC"/>
    <w:rsid w:val="004E405D"/>
    <w:rsid w:val="004E40E4"/>
    <w:rsid w:val="004E43B2"/>
    <w:rsid w:val="004E59EC"/>
    <w:rsid w:val="004F1D02"/>
    <w:rsid w:val="004F2679"/>
    <w:rsid w:val="004F2F21"/>
    <w:rsid w:val="004F3DE5"/>
    <w:rsid w:val="004F5844"/>
    <w:rsid w:val="004F5CFC"/>
    <w:rsid w:val="004F6913"/>
    <w:rsid w:val="004F7865"/>
    <w:rsid w:val="004F7C34"/>
    <w:rsid w:val="00500AF9"/>
    <w:rsid w:val="0050174E"/>
    <w:rsid w:val="00501854"/>
    <w:rsid w:val="0050219B"/>
    <w:rsid w:val="005021EE"/>
    <w:rsid w:val="005031E4"/>
    <w:rsid w:val="00503F17"/>
    <w:rsid w:val="00506928"/>
    <w:rsid w:val="005071B6"/>
    <w:rsid w:val="005077EF"/>
    <w:rsid w:val="00510694"/>
    <w:rsid w:val="00510F61"/>
    <w:rsid w:val="005119C0"/>
    <w:rsid w:val="00511AD5"/>
    <w:rsid w:val="00511DC7"/>
    <w:rsid w:val="005142C5"/>
    <w:rsid w:val="0051501B"/>
    <w:rsid w:val="005152B5"/>
    <w:rsid w:val="005168E7"/>
    <w:rsid w:val="00516CC4"/>
    <w:rsid w:val="00517076"/>
    <w:rsid w:val="0052123C"/>
    <w:rsid w:val="00521319"/>
    <w:rsid w:val="00521375"/>
    <w:rsid w:val="00522A8A"/>
    <w:rsid w:val="00522BC8"/>
    <w:rsid w:val="00523AC1"/>
    <w:rsid w:val="00523C28"/>
    <w:rsid w:val="0052622B"/>
    <w:rsid w:val="0053011D"/>
    <w:rsid w:val="0053176B"/>
    <w:rsid w:val="005323CE"/>
    <w:rsid w:val="00536F42"/>
    <w:rsid w:val="00537182"/>
    <w:rsid w:val="00537280"/>
    <w:rsid w:val="0053793D"/>
    <w:rsid w:val="0054057F"/>
    <w:rsid w:val="00541E5A"/>
    <w:rsid w:val="00541EDD"/>
    <w:rsid w:val="00542743"/>
    <w:rsid w:val="00542C2D"/>
    <w:rsid w:val="0054432A"/>
    <w:rsid w:val="00546777"/>
    <w:rsid w:val="005478A7"/>
    <w:rsid w:val="005478BD"/>
    <w:rsid w:val="005479E3"/>
    <w:rsid w:val="005513AF"/>
    <w:rsid w:val="00551985"/>
    <w:rsid w:val="00551A92"/>
    <w:rsid w:val="00551EC7"/>
    <w:rsid w:val="00552BD3"/>
    <w:rsid w:val="005532A0"/>
    <w:rsid w:val="005532B1"/>
    <w:rsid w:val="0055333D"/>
    <w:rsid w:val="00554054"/>
    <w:rsid w:val="00555109"/>
    <w:rsid w:val="00555ECF"/>
    <w:rsid w:val="00556B35"/>
    <w:rsid w:val="0055741A"/>
    <w:rsid w:val="005611B7"/>
    <w:rsid w:val="005618D4"/>
    <w:rsid w:val="00562F3B"/>
    <w:rsid w:val="00564D70"/>
    <w:rsid w:val="00565DF0"/>
    <w:rsid w:val="0056696F"/>
    <w:rsid w:val="0057023C"/>
    <w:rsid w:val="0057083E"/>
    <w:rsid w:val="00571325"/>
    <w:rsid w:val="00572269"/>
    <w:rsid w:val="0057244A"/>
    <w:rsid w:val="00572F26"/>
    <w:rsid w:val="005734D6"/>
    <w:rsid w:val="00573C50"/>
    <w:rsid w:val="005750C5"/>
    <w:rsid w:val="005752DE"/>
    <w:rsid w:val="005759AC"/>
    <w:rsid w:val="00575A5F"/>
    <w:rsid w:val="00575D8D"/>
    <w:rsid w:val="005761AB"/>
    <w:rsid w:val="00576972"/>
    <w:rsid w:val="00581941"/>
    <w:rsid w:val="005820CC"/>
    <w:rsid w:val="005834B1"/>
    <w:rsid w:val="00583699"/>
    <w:rsid w:val="00585CDD"/>
    <w:rsid w:val="005868D3"/>
    <w:rsid w:val="00587058"/>
    <w:rsid w:val="00587AE0"/>
    <w:rsid w:val="005901F3"/>
    <w:rsid w:val="005911C3"/>
    <w:rsid w:val="00591957"/>
    <w:rsid w:val="00591A3A"/>
    <w:rsid w:val="005963C5"/>
    <w:rsid w:val="00597BF9"/>
    <w:rsid w:val="005A1CBC"/>
    <w:rsid w:val="005A3049"/>
    <w:rsid w:val="005A309A"/>
    <w:rsid w:val="005A373D"/>
    <w:rsid w:val="005A4283"/>
    <w:rsid w:val="005A74A3"/>
    <w:rsid w:val="005A7D1B"/>
    <w:rsid w:val="005B0B58"/>
    <w:rsid w:val="005B23E4"/>
    <w:rsid w:val="005B49B7"/>
    <w:rsid w:val="005B4E53"/>
    <w:rsid w:val="005B544E"/>
    <w:rsid w:val="005B5857"/>
    <w:rsid w:val="005B5CB5"/>
    <w:rsid w:val="005C1B83"/>
    <w:rsid w:val="005C25FF"/>
    <w:rsid w:val="005C28CC"/>
    <w:rsid w:val="005C2D55"/>
    <w:rsid w:val="005C3242"/>
    <w:rsid w:val="005C346B"/>
    <w:rsid w:val="005C50A3"/>
    <w:rsid w:val="005D044D"/>
    <w:rsid w:val="005D0ABD"/>
    <w:rsid w:val="005D18AD"/>
    <w:rsid w:val="005D1EB2"/>
    <w:rsid w:val="005D26B4"/>
    <w:rsid w:val="005D3977"/>
    <w:rsid w:val="005D3A48"/>
    <w:rsid w:val="005D4D92"/>
    <w:rsid w:val="005D59A6"/>
    <w:rsid w:val="005D5D25"/>
    <w:rsid w:val="005D63B6"/>
    <w:rsid w:val="005D73A0"/>
    <w:rsid w:val="005E328C"/>
    <w:rsid w:val="005E40A9"/>
    <w:rsid w:val="005E412E"/>
    <w:rsid w:val="005E4AE5"/>
    <w:rsid w:val="005E6CBC"/>
    <w:rsid w:val="005E72E7"/>
    <w:rsid w:val="005E72FF"/>
    <w:rsid w:val="005E73C0"/>
    <w:rsid w:val="005F0FC2"/>
    <w:rsid w:val="005F2706"/>
    <w:rsid w:val="005F2AC1"/>
    <w:rsid w:val="005F473C"/>
    <w:rsid w:val="005F6A8F"/>
    <w:rsid w:val="005F6BB7"/>
    <w:rsid w:val="005F7588"/>
    <w:rsid w:val="005F7B81"/>
    <w:rsid w:val="006004E9"/>
    <w:rsid w:val="006013E0"/>
    <w:rsid w:val="006031A4"/>
    <w:rsid w:val="00603DB9"/>
    <w:rsid w:val="00604034"/>
    <w:rsid w:val="00604E82"/>
    <w:rsid w:val="00606C82"/>
    <w:rsid w:val="00606FBA"/>
    <w:rsid w:val="00607669"/>
    <w:rsid w:val="006076F4"/>
    <w:rsid w:val="00607AFD"/>
    <w:rsid w:val="00612C4F"/>
    <w:rsid w:val="00612F97"/>
    <w:rsid w:val="0061345D"/>
    <w:rsid w:val="0061391A"/>
    <w:rsid w:val="00613F14"/>
    <w:rsid w:val="00614EB3"/>
    <w:rsid w:val="0061549B"/>
    <w:rsid w:val="0061619F"/>
    <w:rsid w:val="00616802"/>
    <w:rsid w:val="00617480"/>
    <w:rsid w:val="00617E12"/>
    <w:rsid w:val="00620C25"/>
    <w:rsid w:val="00621477"/>
    <w:rsid w:val="00621ADA"/>
    <w:rsid w:val="006221D0"/>
    <w:rsid w:val="00622523"/>
    <w:rsid w:val="00623F7B"/>
    <w:rsid w:val="00630E34"/>
    <w:rsid w:val="0063158F"/>
    <w:rsid w:val="00631944"/>
    <w:rsid w:val="00631D6B"/>
    <w:rsid w:val="00632183"/>
    <w:rsid w:val="006328C2"/>
    <w:rsid w:val="006330A1"/>
    <w:rsid w:val="006344E5"/>
    <w:rsid w:val="0063479F"/>
    <w:rsid w:val="006353F0"/>
    <w:rsid w:val="006357B5"/>
    <w:rsid w:val="00635886"/>
    <w:rsid w:val="006364A1"/>
    <w:rsid w:val="0063678E"/>
    <w:rsid w:val="00637BFD"/>
    <w:rsid w:val="006419C7"/>
    <w:rsid w:val="00641C4E"/>
    <w:rsid w:val="00641FB3"/>
    <w:rsid w:val="0064434C"/>
    <w:rsid w:val="00645701"/>
    <w:rsid w:val="00645C85"/>
    <w:rsid w:val="006471CC"/>
    <w:rsid w:val="00647A29"/>
    <w:rsid w:val="0065079F"/>
    <w:rsid w:val="00651BF4"/>
    <w:rsid w:val="00651EDB"/>
    <w:rsid w:val="00652A28"/>
    <w:rsid w:val="0065379F"/>
    <w:rsid w:val="00655A46"/>
    <w:rsid w:val="00656188"/>
    <w:rsid w:val="0065715A"/>
    <w:rsid w:val="006574B7"/>
    <w:rsid w:val="006610F1"/>
    <w:rsid w:val="00661C6B"/>
    <w:rsid w:val="00662692"/>
    <w:rsid w:val="00664671"/>
    <w:rsid w:val="00665ABB"/>
    <w:rsid w:val="006679AA"/>
    <w:rsid w:val="00671004"/>
    <w:rsid w:val="00672646"/>
    <w:rsid w:val="006748AE"/>
    <w:rsid w:val="00674E42"/>
    <w:rsid w:val="006762FF"/>
    <w:rsid w:val="006813F8"/>
    <w:rsid w:val="00682112"/>
    <w:rsid w:val="0068222F"/>
    <w:rsid w:val="0068274E"/>
    <w:rsid w:val="00682869"/>
    <w:rsid w:val="00682B3F"/>
    <w:rsid w:val="00682BA6"/>
    <w:rsid w:val="00683644"/>
    <w:rsid w:val="006846DA"/>
    <w:rsid w:val="00686957"/>
    <w:rsid w:val="006872BA"/>
    <w:rsid w:val="00687B7B"/>
    <w:rsid w:val="00690795"/>
    <w:rsid w:val="00691648"/>
    <w:rsid w:val="006917D7"/>
    <w:rsid w:val="006925AF"/>
    <w:rsid w:val="00692BB2"/>
    <w:rsid w:val="0069434C"/>
    <w:rsid w:val="00694744"/>
    <w:rsid w:val="00694F44"/>
    <w:rsid w:val="0069563C"/>
    <w:rsid w:val="00696F51"/>
    <w:rsid w:val="006971DE"/>
    <w:rsid w:val="006979A5"/>
    <w:rsid w:val="006A0B9D"/>
    <w:rsid w:val="006A2127"/>
    <w:rsid w:val="006A3A1E"/>
    <w:rsid w:val="006A6B99"/>
    <w:rsid w:val="006A6BC3"/>
    <w:rsid w:val="006A7613"/>
    <w:rsid w:val="006A7E5F"/>
    <w:rsid w:val="006B08E4"/>
    <w:rsid w:val="006B0E75"/>
    <w:rsid w:val="006B261B"/>
    <w:rsid w:val="006B2BD1"/>
    <w:rsid w:val="006B2C90"/>
    <w:rsid w:val="006B35E6"/>
    <w:rsid w:val="006B465A"/>
    <w:rsid w:val="006B5511"/>
    <w:rsid w:val="006B65AD"/>
    <w:rsid w:val="006B6DD0"/>
    <w:rsid w:val="006C0399"/>
    <w:rsid w:val="006C0FD7"/>
    <w:rsid w:val="006C1D22"/>
    <w:rsid w:val="006C2A8E"/>
    <w:rsid w:val="006C3255"/>
    <w:rsid w:val="006C3773"/>
    <w:rsid w:val="006C3F26"/>
    <w:rsid w:val="006C4661"/>
    <w:rsid w:val="006C61BD"/>
    <w:rsid w:val="006D09E1"/>
    <w:rsid w:val="006D0D17"/>
    <w:rsid w:val="006D1467"/>
    <w:rsid w:val="006D1A54"/>
    <w:rsid w:val="006D276D"/>
    <w:rsid w:val="006D37E5"/>
    <w:rsid w:val="006D3C7D"/>
    <w:rsid w:val="006D3CFB"/>
    <w:rsid w:val="006D4659"/>
    <w:rsid w:val="006D5346"/>
    <w:rsid w:val="006D5D5F"/>
    <w:rsid w:val="006D5DCD"/>
    <w:rsid w:val="006D68FB"/>
    <w:rsid w:val="006E198E"/>
    <w:rsid w:val="006E261D"/>
    <w:rsid w:val="006E2868"/>
    <w:rsid w:val="006E4B8E"/>
    <w:rsid w:val="006E6FBE"/>
    <w:rsid w:val="006F05E7"/>
    <w:rsid w:val="006F24F1"/>
    <w:rsid w:val="006F306C"/>
    <w:rsid w:val="006F3481"/>
    <w:rsid w:val="006F34C1"/>
    <w:rsid w:val="006F3A03"/>
    <w:rsid w:val="006F63A5"/>
    <w:rsid w:val="00700491"/>
    <w:rsid w:val="00700EA7"/>
    <w:rsid w:val="0070142B"/>
    <w:rsid w:val="00701D62"/>
    <w:rsid w:val="0070276E"/>
    <w:rsid w:val="007029D0"/>
    <w:rsid w:val="00702C31"/>
    <w:rsid w:val="00702F8F"/>
    <w:rsid w:val="00703A33"/>
    <w:rsid w:val="00704027"/>
    <w:rsid w:val="0070664B"/>
    <w:rsid w:val="00707993"/>
    <w:rsid w:val="007079FC"/>
    <w:rsid w:val="00710213"/>
    <w:rsid w:val="00710E72"/>
    <w:rsid w:val="00711A36"/>
    <w:rsid w:val="00711A9B"/>
    <w:rsid w:val="00714C26"/>
    <w:rsid w:val="0071529C"/>
    <w:rsid w:val="00716889"/>
    <w:rsid w:val="007170DA"/>
    <w:rsid w:val="007172AD"/>
    <w:rsid w:val="00720801"/>
    <w:rsid w:val="0072126E"/>
    <w:rsid w:val="00722812"/>
    <w:rsid w:val="00722B1B"/>
    <w:rsid w:val="007233B0"/>
    <w:rsid w:val="0072379F"/>
    <w:rsid w:val="0072416F"/>
    <w:rsid w:val="00726794"/>
    <w:rsid w:val="00726A63"/>
    <w:rsid w:val="007273A6"/>
    <w:rsid w:val="00727C94"/>
    <w:rsid w:val="00727FD0"/>
    <w:rsid w:val="007315A4"/>
    <w:rsid w:val="00731B0A"/>
    <w:rsid w:val="00731EAE"/>
    <w:rsid w:val="00733073"/>
    <w:rsid w:val="007343E6"/>
    <w:rsid w:val="00735033"/>
    <w:rsid w:val="00735328"/>
    <w:rsid w:val="00735E98"/>
    <w:rsid w:val="00736673"/>
    <w:rsid w:val="0073685B"/>
    <w:rsid w:val="00736C23"/>
    <w:rsid w:val="007377CF"/>
    <w:rsid w:val="007449BF"/>
    <w:rsid w:val="007459CA"/>
    <w:rsid w:val="00746BC0"/>
    <w:rsid w:val="007510B4"/>
    <w:rsid w:val="007518DC"/>
    <w:rsid w:val="00751F91"/>
    <w:rsid w:val="00752142"/>
    <w:rsid w:val="007523F9"/>
    <w:rsid w:val="00752BB1"/>
    <w:rsid w:val="00752FDD"/>
    <w:rsid w:val="0075357E"/>
    <w:rsid w:val="0075440A"/>
    <w:rsid w:val="00755719"/>
    <w:rsid w:val="00755B8E"/>
    <w:rsid w:val="007573E8"/>
    <w:rsid w:val="00760C4E"/>
    <w:rsid w:val="00760F9E"/>
    <w:rsid w:val="007627BE"/>
    <w:rsid w:val="00764F03"/>
    <w:rsid w:val="0076546C"/>
    <w:rsid w:val="00765B1A"/>
    <w:rsid w:val="00766058"/>
    <w:rsid w:val="0076688E"/>
    <w:rsid w:val="00771A18"/>
    <w:rsid w:val="00772A2B"/>
    <w:rsid w:val="0077300C"/>
    <w:rsid w:val="00773CB8"/>
    <w:rsid w:val="00777335"/>
    <w:rsid w:val="00777A7B"/>
    <w:rsid w:val="00781761"/>
    <w:rsid w:val="0078330A"/>
    <w:rsid w:val="00783BCD"/>
    <w:rsid w:val="007843F2"/>
    <w:rsid w:val="00785A9F"/>
    <w:rsid w:val="007913C4"/>
    <w:rsid w:val="00791594"/>
    <w:rsid w:val="00792365"/>
    <w:rsid w:val="007925DF"/>
    <w:rsid w:val="00793C59"/>
    <w:rsid w:val="00793F92"/>
    <w:rsid w:val="007960D2"/>
    <w:rsid w:val="007A061E"/>
    <w:rsid w:val="007A080B"/>
    <w:rsid w:val="007A08AA"/>
    <w:rsid w:val="007A0A12"/>
    <w:rsid w:val="007A0AB9"/>
    <w:rsid w:val="007A0FD2"/>
    <w:rsid w:val="007A132D"/>
    <w:rsid w:val="007A1345"/>
    <w:rsid w:val="007A2DDB"/>
    <w:rsid w:val="007A33A9"/>
    <w:rsid w:val="007A3856"/>
    <w:rsid w:val="007A6DB0"/>
    <w:rsid w:val="007A70BA"/>
    <w:rsid w:val="007B0308"/>
    <w:rsid w:val="007B0D68"/>
    <w:rsid w:val="007B0D79"/>
    <w:rsid w:val="007B251D"/>
    <w:rsid w:val="007B4F58"/>
    <w:rsid w:val="007B528D"/>
    <w:rsid w:val="007B52DE"/>
    <w:rsid w:val="007B62E1"/>
    <w:rsid w:val="007B63CA"/>
    <w:rsid w:val="007B641B"/>
    <w:rsid w:val="007B661B"/>
    <w:rsid w:val="007B77D1"/>
    <w:rsid w:val="007C07C7"/>
    <w:rsid w:val="007C19ED"/>
    <w:rsid w:val="007C1A5A"/>
    <w:rsid w:val="007C1CD9"/>
    <w:rsid w:val="007C32EF"/>
    <w:rsid w:val="007C361D"/>
    <w:rsid w:val="007C3DD9"/>
    <w:rsid w:val="007C3ED9"/>
    <w:rsid w:val="007C4B84"/>
    <w:rsid w:val="007C70FF"/>
    <w:rsid w:val="007C7C25"/>
    <w:rsid w:val="007D004F"/>
    <w:rsid w:val="007D095C"/>
    <w:rsid w:val="007D0B38"/>
    <w:rsid w:val="007D5440"/>
    <w:rsid w:val="007D69EB"/>
    <w:rsid w:val="007D76E4"/>
    <w:rsid w:val="007E128F"/>
    <w:rsid w:val="007E3E92"/>
    <w:rsid w:val="007E4A5E"/>
    <w:rsid w:val="007E7797"/>
    <w:rsid w:val="007F1017"/>
    <w:rsid w:val="007F2B70"/>
    <w:rsid w:val="007F4A3F"/>
    <w:rsid w:val="007F4A61"/>
    <w:rsid w:val="007F5255"/>
    <w:rsid w:val="007F56CC"/>
    <w:rsid w:val="007F61C2"/>
    <w:rsid w:val="00801896"/>
    <w:rsid w:val="00805142"/>
    <w:rsid w:val="00805FCE"/>
    <w:rsid w:val="00806249"/>
    <w:rsid w:val="00807A8B"/>
    <w:rsid w:val="008101D2"/>
    <w:rsid w:val="0081027D"/>
    <w:rsid w:val="00811383"/>
    <w:rsid w:val="00812149"/>
    <w:rsid w:val="00812CAC"/>
    <w:rsid w:val="008150BD"/>
    <w:rsid w:val="00816361"/>
    <w:rsid w:val="008166EF"/>
    <w:rsid w:val="008167AA"/>
    <w:rsid w:val="00816FEF"/>
    <w:rsid w:val="00820A8C"/>
    <w:rsid w:val="008215FB"/>
    <w:rsid w:val="00821CD0"/>
    <w:rsid w:val="00823174"/>
    <w:rsid w:val="00823777"/>
    <w:rsid w:val="008242D9"/>
    <w:rsid w:val="00825751"/>
    <w:rsid w:val="008264EB"/>
    <w:rsid w:val="00830FBF"/>
    <w:rsid w:val="0083210F"/>
    <w:rsid w:val="00833B05"/>
    <w:rsid w:val="008362B4"/>
    <w:rsid w:val="00840CA2"/>
    <w:rsid w:val="0084374F"/>
    <w:rsid w:val="00844A22"/>
    <w:rsid w:val="00844EFB"/>
    <w:rsid w:val="00847703"/>
    <w:rsid w:val="00847DF5"/>
    <w:rsid w:val="0085309D"/>
    <w:rsid w:val="00854629"/>
    <w:rsid w:val="00854FBA"/>
    <w:rsid w:val="00856897"/>
    <w:rsid w:val="00856E9A"/>
    <w:rsid w:val="00857C54"/>
    <w:rsid w:val="0086063C"/>
    <w:rsid w:val="0086075D"/>
    <w:rsid w:val="00861920"/>
    <w:rsid w:val="00862502"/>
    <w:rsid w:val="00862CC1"/>
    <w:rsid w:val="00863A85"/>
    <w:rsid w:val="008660D4"/>
    <w:rsid w:val="00866199"/>
    <w:rsid w:val="00866C2A"/>
    <w:rsid w:val="008717F2"/>
    <w:rsid w:val="00871F00"/>
    <w:rsid w:val="00871FA9"/>
    <w:rsid w:val="008728E9"/>
    <w:rsid w:val="00872F6B"/>
    <w:rsid w:val="008756BD"/>
    <w:rsid w:val="00876268"/>
    <w:rsid w:val="0088031E"/>
    <w:rsid w:val="0088048A"/>
    <w:rsid w:val="00881F40"/>
    <w:rsid w:val="00882874"/>
    <w:rsid w:val="00882DA7"/>
    <w:rsid w:val="00882E3C"/>
    <w:rsid w:val="00883787"/>
    <w:rsid w:val="008855E4"/>
    <w:rsid w:val="0088562D"/>
    <w:rsid w:val="008866AA"/>
    <w:rsid w:val="00886CD2"/>
    <w:rsid w:val="0088709F"/>
    <w:rsid w:val="00887220"/>
    <w:rsid w:val="00890186"/>
    <w:rsid w:val="008908F8"/>
    <w:rsid w:val="00891B32"/>
    <w:rsid w:val="00891E6F"/>
    <w:rsid w:val="0089275D"/>
    <w:rsid w:val="00892A36"/>
    <w:rsid w:val="00893239"/>
    <w:rsid w:val="008935E5"/>
    <w:rsid w:val="00894489"/>
    <w:rsid w:val="0089571F"/>
    <w:rsid w:val="008963A5"/>
    <w:rsid w:val="00896D5D"/>
    <w:rsid w:val="008A075D"/>
    <w:rsid w:val="008A1F45"/>
    <w:rsid w:val="008A3363"/>
    <w:rsid w:val="008A3371"/>
    <w:rsid w:val="008A3C3E"/>
    <w:rsid w:val="008A57F0"/>
    <w:rsid w:val="008A71E9"/>
    <w:rsid w:val="008A7991"/>
    <w:rsid w:val="008A79DE"/>
    <w:rsid w:val="008B0961"/>
    <w:rsid w:val="008B1757"/>
    <w:rsid w:val="008B1852"/>
    <w:rsid w:val="008B253D"/>
    <w:rsid w:val="008B347A"/>
    <w:rsid w:val="008B5792"/>
    <w:rsid w:val="008B7992"/>
    <w:rsid w:val="008B7CD4"/>
    <w:rsid w:val="008B7D7E"/>
    <w:rsid w:val="008C077E"/>
    <w:rsid w:val="008C2509"/>
    <w:rsid w:val="008C4114"/>
    <w:rsid w:val="008C4127"/>
    <w:rsid w:val="008C5610"/>
    <w:rsid w:val="008C5739"/>
    <w:rsid w:val="008C7ECB"/>
    <w:rsid w:val="008D2300"/>
    <w:rsid w:val="008D2547"/>
    <w:rsid w:val="008D2C45"/>
    <w:rsid w:val="008D2E93"/>
    <w:rsid w:val="008D355F"/>
    <w:rsid w:val="008D3B86"/>
    <w:rsid w:val="008D4755"/>
    <w:rsid w:val="008D4C3D"/>
    <w:rsid w:val="008D743C"/>
    <w:rsid w:val="008D7868"/>
    <w:rsid w:val="008E015C"/>
    <w:rsid w:val="008E0A7A"/>
    <w:rsid w:val="008E0D3C"/>
    <w:rsid w:val="008E0D6E"/>
    <w:rsid w:val="008E1B9E"/>
    <w:rsid w:val="008E3641"/>
    <w:rsid w:val="008E41A2"/>
    <w:rsid w:val="008E4387"/>
    <w:rsid w:val="008E535C"/>
    <w:rsid w:val="008E54A9"/>
    <w:rsid w:val="008E55AB"/>
    <w:rsid w:val="008E6E6E"/>
    <w:rsid w:val="008F0CB4"/>
    <w:rsid w:val="008F120A"/>
    <w:rsid w:val="008F27E0"/>
    <w:rsid w:val="008F3216"/>
    <w:rsid w:val="008F41A9"/>
    <w:rsid w:val="008F48EB"/>
    <w:rsid w:val="008F4AEF"/>
    <w:rsid w:val="008F4F0B"/>
    <w:rsid w:val="008F4FE7"/>
    <w:rsid w:val="00900C56"/>
    <w:rsid w:val="00900E09"/>
    <w:rsid w:val="009046C4"/>
    <w:rsid w:val="00904CA1"/>
    <w:rsid w:val="00905F1A"/>
    <w:rsid w:val="009062A5"/>
    <w:rsid w:val="00910FA7"/>
    <w:rsid w:val="00911272"/>
    <w:rsid w:val="009135D6"/>
    <w:rsid w:val="00914C77"/>
    <w:rsid w:val="0091506C"/>
    <w:rsid w:val="00915670"/>
    <w:rsid w:val="009176FF"/>
    <w:rsid w:val="00920E84"/>
    <w:rsid w:val="00921ABE"/>
    <w:rsid w:val="00921ACB"/>
    <w:rsid w:val="00922AD3"/>
    <w:rsid w:val="0092369B"/>
    <w:rsid w:val="00926C6B"/>
    <w:rsid w:val="00934988"/>
    <w:rsid w:val="00934B81"/>
    <w:rsid w:val="00937089"/>
    <w:rsid w:val="0094202F"/>
    <w:rsid w:val="00943D4D"/>
    <w:rsid w:val="00944F8A"/>
    <w:rsid w:val="00945031"/>
    <w:rsid w:val="00946FC5"/>
    <w:rsid w:val="00950DD9"/>
    <w:rsid w:val="009510A2"/>
    <w:rsid w:val="00953257"/>
    <w:rsid w:val="00953277"/>
    <w:rsid w:val="0095474C"/>
    <w:rsid w:val="00955236"/>
    <w:rsid w:val="009611B3"/>
    <w:rsid w:val="00961E58"/>
    <w:rsid w:val="00962CB9"/>
    <w:rsid w:val="009633A4"/>
    <w:rsid w:val="00964312"/>
    <w:rsid w:val="00965B8A"/>
    <w:rsid w:val="00966B5E"/>
    <w:rsid w:val="00966FBA"/>
    <w:rsid w:val="00967BB5"/>
    <w:rsid w:val="00967D0D"/>
    <w:rsid w:val="0097071F"/>
    <w:rsid w:val="009717AC"/>
    <w:rsid w:val="0097186E"/>
    <w:rsid w:val="00972A9F"/>
    <w:rsid w:val="009730BE"/>
    <w:rsid w:val="009732FB"/>
    <w:rsid w:val="00973A5F"/>
    <w:rsid w:val="009751C1"/>
    <w:rsid w:val="009811F1"/>
    <w:rsid w:val="009836DB"/>
    <w:rsid w:val="00983E57"/>
    <w:rsid w:val="00985DE2"/>
    <w:rsid w:val="0098672D"/>
    <w:rsid w:val="0098675D"/>
    <w:rsid w:val="009902AE"/>
    <w:rsid w:val="009904B0"/>
    <w:rsid w:val="00990BAD"/>
    <w:rsid w:val="009918A7"/>
    <w:rsid w:val="009926E0"/>
    <w:rsid w:val="00993C4F"/>
    <w:rsid w:val="0099451E"/>
    <w:rsid w:val="0099599A"/>
    <w:rsid w:val="00995C5D"/>
    <w:rsid w:val="00996B1A"/>
    <w:rsid w:val="009A1302"/>
    <w:rsid w:val="009A2DCC"/>
    <w:rsid w:val="009A3575"/>
    <w:rsid w:val="009A44E2"/>
    <w:rsid w:val="009A4F03"/>
    <w:rsid w:val="009A524B"/>
    <w:rsid w:val="009A5ABC"/>
    <w:rsid w:val="009A7F10"/>
    <w:rsid w:val="009B3E26"/>
    <w:rsid w:val="009B3F59"/>
    <w:rsid w:val="009B4230"/>
    <w:rsid w:val="009B5015"/>
    <w:rsid w:val="009C05AC"/>
    <w:rsid w:val="009C0FFF"/>
    <w:rsid w:val="009C22A8"/>
    <w:rsid w:val="009C3706"/>
    <w:rsid w:val="009C3A3A"/>
    <w:rsid w:val="009C43BA"/>
    <w:rsid w:val="009C48E7"/>
    <w:rsid w:val="009C5456"/>
    <w:rsid w:val="009C6CEA"/>
    <w:rsid w:val="009C7B85"/>
    <w:rsid w:val="009D0254"/>
    <w:rsid w:val="009D0860"/>
    <w:rsid w:val="009D1A64"/>
    <w:rsid w:val="009D5B91"/>
    <w:rsid w:val="009D792E"/>
    <w:rsid w:val="009D7EAE"/>
    <w:rsid w:val="009E0DFE"/>
    <w:rsid w:val="009E31F6"/>
    <w:rsid w:val="009E4509"/>
    <w:rsid w:val="009E4C07"/>
    <w:rsid w:val="009E5B75"/>
    <w:rsid w:val="009E5F56"/>
    <w:rsid w:val="009F197D"/>
    <w:rsid w:val="009F2B07"/>
    <w:rsid w:val="009F40EA"/>
    <w:rsid w:val="009F4979"/>
    <w:rsid w:val="009F537C"/>
    <w:rsid w:val="009F6CB8"/>
    <w:rsid w:val="00A01184"/>
    <w:rsid w:val="00A01D8C"/>
    <w:rsid w:val="00A037C2"/>
    <w:rsid w:val="00A03D43"/>
    <w:rsid w:val="00A04380"/>
    <w:rsid w:val="00A05472"/>
    <w:rsid w:val="00A05C32"/>
    <w:rsid w:val="00A0653F"/>
    <w:rsid w:val="00A06F13"/>
    <w:rsid w:val="00A0728E"/>
    <w:rsid w:val="00A11A66"/>
    <w:rsid w:val="00A11CD0"/>
    <w:rsid w:val="00A13948"/>
    <w:rsid w:val="00A150F7"/>
    <w:rsid w:val="00A1555B"/>
    <w:rsid w:val="00A155C5"/>
    <w:rsid w:val="00A15918"/>
    <w:rsid w:val="00A16AD8"/>
    <w:rsid w:val="00A16FE3"/>
    <w:rsid w:val="00A17992"/>
    <w:rsid w:val="00A2123E"/>
    <w:rsid w:val="00A21C95"/>
    <w:rsid w:val="00A21CF3"/>
    <w:rsid w:val="00A21F47"/>
    <w:rsid w:val="00A23649"/>
    <w:rsid w:val="00A24813"/>
    <w:rsid w:val="00A24A7B"/>
    <w:rsid w:val="00A25064"/>
    <w:rsid w:val="00A27AEC"/>
    <w:rsid w:val="00A320DB"/>
    <w:rsid w:val="00A35D16"/>
    <w:rsid w:val="00A37BCD"/>
    <w:rsid w:val="00A41689"/>
    <w:rsid w:val="00A41E86"/>
    <w:rsid w:val="00A41F1D"/>
    <w:rsid w:val="00A42592"/>
    <w:rsid w:val="00A42842"/>
    <w:rsid w:val="00A42F3E"/>
    <w:rsid w:val="00A43C59"/>
    <w:rsid w:val="00A4450D"/>
    <w:rsid w:val="00A46047"/>
    <w:rsid w:val="00A47099"/>
    <w:rsid w:val="00A50C3F"/>
    <w:rsid w:val="00A50ECD"/>
    <w:rsid w:val="00A5180F"/>
    <w:rsid w:val="00A518EA"/>
    <w:rsid w:val="00A518F3"/>
    <w:rsid w:val="00A52729"/>
    <w:rsid w:val="00A534F3"/>
    <w:rsid w:val="00A53675"/>
    <w:rsid w:val="00A564D7"/>
    <w:rsid w:val="00A56B6A"/>
    <w:rsid w:val="00A578DC"/>
    <w:rsid w:val="00A61020"/>
    <w:rsid w:val="00A63BBC"/>
    <w:rsid w:val="00A640E2"/>
    <w:rsid w:val="00A645A8"/>
    <w:rsid w:val="00A64A5E"/>
    <w:rsid w:val="00A64D65"/>
    <w:rsid w:val="00A6535C"/>
    <w:rsid w:val="00A666D5"/>
    <w:rsid w:val="00A6725B"/>
    <w:rsid w:val="00A70605"/>
    <w:rsid w:val="00A714AD"/>
    <w:rsid w:val="00A73134"/>
    <w:rsid w:val="00A754D3"/>
    <w:rsid w:val="00A75966"/>
    <w:rsid w:val="00A76001"/>
    <w:rsid w:val="00A76EA5"/>
    <w:rsid w:val="00A77502"/>
    <w:rsid w:val="00A777B2"/>
    <w:rsid w:val="00A77CBD"/>
    <w:rsid w:val="00A81512"/>
    <w:rsid w:val="00A81AE1"/>
    <w:rsid w:val="00A825D4"/>
    <w:rsid w:val="00A828F6"/>
    <w:rsid w:val="00A82B73"/>
    <w:rsid w:val="00A82C10"/>
    <w:rsid w:val="00A839E9"/>
    <w:rsid w:val="00A86CC4"/>
    <w:rsid w:val="00A86E8B"/>
    <w:rsid w:val="00A87164"/>
    <w:rsid w:val="00A90172"/>
    <w:rsid w:val="00A93072"/>
    <w:rsid w:val="00A938BD"/>
    <w:rsid w:val="00A93953"/>
    <w:rsid w:val="00A959D8"/>
    <w:rsid w:val="00AA113D"/>
    <w:rsid w:val="00AA1B3E"/>
    <w:rsid w:val="00AA3086"/>
    <w:rsid w:val="00AA4616"/>
    <w:rsid w:val="00AA6BD5"/>
    <w:rsid w:val="00AA6BD8"/>
    <w:rsid w:val="00AA6C3F"/>
    <w:rsid w:val="00AA6C7D"/>
    <w:rsid w:val="00AA7548"/>
    <w:rsid w:val="00AA77E3"/>
    <w:rsid w:val="00AA7FD6"/>
    <w:rsid w:val="00AB042A"/>
    <w:rsid w:val="00AB0ABA"/>
    <w:rsid w:val="00AB19EF"/>
    <w:rsid w:val="00AB2D34"/>
    <w:rsid w:val="00AB3430"/>
    <w:rsid w:val="00AB34F7"/>
    <w:rsid w:val="00AB37B9"/>
    <w:rsid w:val="00AB4AD1"/>
    <w:rsid w:val="00AB5CF2"/>
    <w:rsid w:val="00AB5E07"/>
    <w:rsid w:val="00AB7CFA"/>
    <w:rsid w:val="00AC3786"/>
    <w:rsid w:val="00AC4501"/>
    <w:rsid w:val="00AC5B48"/>
    <w:rsid w:val="00AD1450"/>
    <w:rsid w:val="00AD263A"/>
    <w:rsid w:val="00AD6502"/>
    <w:rsid w:val="00AD720C"/>
    <w:rsid w:val="00AE0695"/>
    <w:rsid w:val="00AE0A8A"/>
    <w:rsid w:val="00AE2A98"/>
    <w:rsid w:val="00AE3E7E"/>
    <w:rsid w:val="00AF02B4"/>
    <w:rsid w:val="00AF1025"/>
    <w:rsid w:val="00AF1315"/>
    <w:rsid w:val="00AF19BF"/>
    <w:rsid w:val="00AF1DFA"/>
    <w:rsid w:val="00AF2DC3"/>
    <w:rsid w:val="00AF31BC"/>
    <w:rsid w:val="00AF36AB"/>
    <w:rsid w:val="00B03005"/>
    <w:rsid w:val="00B033E5"/>
    <w:rsid w:val="00B03A63"/>
    <w:rsid w:val="00B05F4C"/>
    <w:rsid w:val="00B06882"/>
    <w:rsid w:val="00B132ED"/>
    <w:rsid w:val="00B13834"/>
    <w:rsid w:val="00B15606"/>
    <w:rsid w:val="00B17449"/>
    <w:rsid w:val="00B201A4"/>
    <w:rsid w:val="00B201D1"/>
    <w:rsid w:val="00B20519"/>
    <w:rsid w:val="00B20A8E"/>
    <w:rsid w:val="00B213A6"/>
    <w:rsid w:val="00B22FA0"/>
    <w:rsid w:val="00B235B0"/>
    <w:rsid w:val="00B24DF6"/>
    <w:rsid w:val="00B25FEB"/>
    <w:rsid w:val="00B269F5"/>
    <w:rsid w:val="00B26C5B"/>
    <w:rsid w:val="00B332E1"/>
    <w:rsid w:val="00B34BFA"/>
    <w:rsid w:val="00B34D77"/>
    <w:rsid w:val="00B34FE2"/>
    <w:rsid w:val="00B35166"/>
    <w:rsid w:val="00B357D8"/>
    <w:rsid w:val="00B360F4"/>
    <w:rsid w:val="00B36A00"/>
    <w:rsid w:val="00B37BFC"/>
    <w:rsid w:val="00B402F3"/>
    <w:rsid w:val="00B40358"/>
    <w:rsid w:val="00B41614"/>
    <w:rsid w:val="00B42851"/>
    <w:rsid w:val="00B42B5B"/>
    <w:rsid w:val="00B42F80"/>
    <w:rsid w:val="00B435CB"/>
    <w:rsid w:val="00B43FB5"/>
    <w:rsid w:val="00B44B7B"/>
    <w:rsid w:val="00B45AAB"/>
    <w:rsid w:val="00B45CC7"/>
    <w:rsid w:val="00B4704E"/>
    <w:rsid w:val="00B505C8"/>
    <w:rsid w:val="00B50DB8"/>
    <w:rsid w:val="00B50DD3"/>
    <w:rsid w:val="00B53654"/>
    <w:rsid w:val="00B53905"/>
    <w:rsid w:val="00B54B5B"/>
    <w:rsid w:val="00B5562E"/>
    <w:rsid w:val="00B55D65"/>
    <w:rsid w:val="00B55DF7"/>
    <w:rsid w:val="00B57000"/>
    <w:rsid w:val="00B60939"/>
    <w:rsid w:val="00B60AFD"/>
    <w:rsid w:val="00B6201A"/>
    <w:rsid w:val="00B62715"/>
    <w:rsid w:val="00B64F2A"/>
    <w:rsid w:val="00B65611"/>
    <w:rsid w:val="00B65C93"/>
    <w:rsid w:val="00B65FCA"/>
    <w:rsid w:val="00B7087E"/>
    <w:rsid w:val="00B70E8E"/>
    <w:rsid w:val="00B7186F"/>
    <w:rsid w:val="00B747DE"/>
    <w:rsid w:val="00B76C92"/>
    <w:rsid w:val="00B77FEC"/>
    <w:rsid w:val="00B81458"/>
    <w:rsid w:val="00B818A4"/>
    <w:rsid w:val="00B840DA"/>
    <w:rsid w:val="00B84117"/>
    <w:rsid w:val="00B84309"/>
    <w:rsid w:val="00B8477F"/>
    <w:rsid w:val="00B84881"/>
    <w:rsid w:val="00B85868"/>
    <w:rsid w:val="00B858F0"/>
    <w:rsid w:val="00B85AA2"/>
    <w:rsid w:val="00B8649C"/>
    <w:rsid w:val="00B8695D"/>
    <w:rsid w:val="00B86CF3"/>
    <w:rsid w:val="00B87454"/>
    <w:rsid w:val="00B87A2D"/>
    <w:rsid w:val="00B87F0A"/>
    <w:rsid w:val="00B907DC"/>
    <w:rsid w:val="00B9105D"/>
    <w:rsid w:val="00B916D7"/>
    <w:rsid w:val="00B92389"/>
    <w:rsid w:val="00B92D0B"/>
    <w:rsid w:val="00B93BA1"/>
    <w:rsid w:val="00B94945"/>
    <w:rsid w:val="00B94DD6"/>
    <w:rsid w:val="00BA1BB2"/>
    <w:rsid w:val="00BA1F08"/>
    <w:rsid w:val="00BA322D"/>
    <w:rsid w:val="00BA5A1F"/>
    <w:rsid w:val="00BA63FA"/>
    <w:rsid w:val="00BB00B3"/>
    <w:rsid w:val="00BB0BDD"/>
    <w:rsid w:val="00BB102F"/>
    <w:rsid w:val="00BB176C"/>
    <w:rsid w:val="00BB1B98"/>
    <w:rsid w:val="00BB2218"/>
    <w:rsid w:val="00BB2A73"/>
    <w:rsid w:val="00BB3A45"/>
    <w:rsid w:val="00BB4ACC"/>
    <w:rsid w:val="00BB703E"/>
    <w:rsid w:val="00BB732D"/>
    <w:rsid w:val="00BB7405"/>
    <w:rsid w:val="00BC0136"/>
    <w:rsid w:val="00BC0BB2"/>
    <w:rsid w:val="00BC3631"/>
    <w:rsid w:val="00BC5284"/>
    <w:rsid w:val="00BC56D6"/>
    <w:rsid w:val="00BC591F"/>
    <w:rsid w:val="00BC7A7A"/>
    <w:rsid w:val="00BC7D6D"/>
    <w:rsid w:val="00BD2108"/>
    <w:rsid w:val="00BD4F3E"/>
    <w:rsid w:val="00BD6199"/>
    <w:rsid w:val="00BD66D4"/>
    <w:rsid w:val="00BD68A3"/>
    <w:rsid w:val="00BD6938"/>
    <w:rsid w:val="00BD6CF3"/>
    <w:rsid w:val="00BD7411"/>
    <w:rsid w:val="00BD781D"/>
    <w:rsid w:val="00BD783D"/>
    <w:rsid w:val="00BD784F"/>
    <w:rsid w:val="00BE0ECA"/>
    <w:rsid w:val="00BE1559"/>
    <w:rsid w:val="00BE2180"/>
    <w:rsid w:val="00BE21F2"/>
    <w:rsid w:val="00BE4275"/>
    <w:rsid w:val="00BE4944"/>
    <w:rsid w:val="00BE5E8E"/>
    <w:rsid w:val="00BE66A1"/>
    <w:rsid w:val="00BF06AE"/>
    <w:rsid w:val="00BF0F95"/>
    <w:rsid w:val="00BF2433"/>
    <w:rsid w:val="00BF61C9"/>
    <w:rsid w:val="00BF6C94"/>
    <w:rsid w:val="00C00424"/>
    <w:rsid w:val="00C01E51"/>
    <w:rsid w:val="00C0333E"/>
    <w:rsid w:val="00C041BF"/>
    <w:rsid w:val="00C04CB8"/>
    <w:rsid w:val="00C101D9"/>
    <w:rsid w:val="00C1179F"/>
    <w:rsid w:val="00C12C14"/>
    <w:rsid w:val="00C13084"/>
    <w:rsid w:val="00C1362B"/>
    <w:rsid w:val="00C14A3C"/>
    <w:rsid w:val="00C15F04"/>
    <w:rsid w:val="00C179B3"/>
    <w:rsid w:val="00C179ED"/>
    <w:rsid w:val="00C17E3F"/>
    <w:rsid w:val="00C200AA"/>
    <w:rsid w:val="00C237ED"/>
    <w:rsid w:val="00C2453D"/>
    <w:rsid w:val="00C24632"/>
    <w:rsid w:val="00C24FFD"/>
    <w:rsid w:val="00C25418"/>
    <w:rsid w:val="00C25D9C"/>
    <w:rsid w:val="00C2778B"/>
    <w:rsid w:val="00C27914"/>
    <w:rsid w:val="00C31649"/>
    <w:rsid w:val="00C32E81"/>
    <w:rsid w:val="00C3373B"/>
    <w:rsid w:val="00C3434C"/>
    <w:rsid w:val="00C355B4"/>
    <w:rsid w:val="00C37955"/>
    <w:rsid w:val="00C40385"/>
    <w:rsid w:val="00C41768"/>
    <w:rsid w:val="00C418E6"/>
    <w:rsid w:val="00C4421F"/>
    <w:rsid w:val="00C46CFF"/>
    <w:rsid w:val="00C475AA"/>
    <w:rsid w:val="00C516BE"/>
    <w:rsid w:val="00C5344D"/>
    <w:rsid w:val="00C53C98"/>
    <w:rsid w:val="00C55226"/>
    <w:rsid w:val="00C56FCF"/>
    <w:rsid w:val="00C57B6C"/>
    <w:rsid w:val="00C6055A"/>
    <w:rsid w:val="00C60EC0"/>
    <w:rsid w:val="00C628A6"/>
    <w:rsid w:val="00C64344"/>
    <w:rsid w:val="00C65108"/>
    <w:rsid w:val="00C65576"/>
    <w:rsid w:val="00C656D3"/>
    <w:rsid w:val="00C66165"/>
    <w:rsid w:val="00C6702A"/>
    <w:rsid w:val="00C67752"/>
    <w:rsid w:val="00C67E43"/>
    <w:rsid w:val="00C7060A"/>
    <w:rsid w:val="00C70B2F"/>
    <w:rsid w:val="00C713F3"/>
    <w:rsid w:val="00C7151A"/>
    <w:rsid w:val="00C717E3"/>
    <w:rsid w:val="00C71CF6"/>
    <w:rsid w:val="00C71F60"/>
    <w:rsid w:val="00C7204D"/>
    <w:rsid w:val="00C72241"/>
    <w:rsid w:val="00C7282A"/>
    <w:rsid w:val="00C731EE"/>
    <w:rsid w:val="00C73785"/>
    <w:rsid w:val="00C750C8"/>
    <w:rsid w:val="00C7560F"/>
    <w:rsid w:val="00C7723A"/>
    <w:rsid w:val="00C77E23"/>
    <w:rsid w:val="00C80A0E"/>
    <w:rsid w:val="00C8213F"/>
    <w:rsid w:val="00C82475"/>
    <w:rsid w:val="00C85154"/>
    <w:rsid w:val="00C8797A"/>
    <w:rsid w:val="00C87C27"/>
    <w:rsid w:val="00C900B8"/>
    <w:rsid w:val="00C90838"/>
    <w:rsid w:val="00C90C71"/>
    <w:rsid w:val="00C91FD1"/>
    <w:rsid w:val="00C931CF"/>
    <w:rsid w:val="00C93266"/>
    <w:rsid w:val="00C938CF"/>
    <w:rsid w:val="00C94053"/>
    <w:rsid w:val="00C94F1D"/>
    <w:rsid w:val="00C9624D"/>
    <w:rsid w:val="00C969DA"/>
    <w:rsid w:val="00C9712F"/>
    <w:rsid w:val="00CA2C77"/>
    <w:rsid w:val="00CA3216"/>
    <w:rsid w:val="00CA3A46"/>
    <w:rsid w:val="00CA444F"/>
    <w:rsid w:val="00CA49C5"/>
    <w:rsid w:val="00CA5245"/>
    <w:rsid w:val="00CA71F4"/>
    <w:rsid w:val="00CA7B09"/>
    <w:rsid w:val="00CB0B62"/>
    <w:rsid w:val="00CB12A5"/>
    <w:rsid w:val="00CB1CAC"/>
    <w:rsid w:val="00CB2F2A"/>
    <w:rsid w:val="00CB34D5"/>
    <w:rsid w:val="00CB448D"/>
    <w:rsid w:val="00CB5B1A"/>
    <w:rsid w:val="00CB6B22"/>
    <w:rsid w:val="00CB7BF2"/>
    <w:rsid w:val="00CB7F5F"/>
    <w:rsid w:val="00CC1B39"/>
    <w:rsid w:val="00CC35EA"/>
    <w:rsid w:val="00CC3848"/>
    <w:rsid w:val="00CC48A9"/>
    <w:rsid w:val="00CC4AF1"/>
    <w:rsid w:val="00CC5185"/>
    <w:rsid w:val="00CC7990"/>
    <w:rsid w:val="00CD2E32"/>
    <w:rsid w:val="00CD3397"/>
    <w:rsid w:val="00CD3F77"/>
    <w:rsid w:val="00CD4640"/>
    <w:rsid w:val="00CD5238"/>
    <w:rsid w:val="00CD57FE"/>
    <w:rsid w:val="00CD65F7"/>
    <w:rsid w:val="00CD6ADC"/>
    <w:rsid w:val="00CD7193"/>
    <w:rsid w:val="00CE03A9"/>
    <w:rsid w:val="00CE0FAD"/>
    <w:rsid w:val="00CE20EF"/>
    <w:rsid w:val="00CE38C8"/>
    <w:rsid w:val="00CE56B6"/>
    <w:rsid w:val="00CE6274"/>
    <w:rsid w:val="00CE71CC"/>
    <w:rsid w:val="00CE77B6"/>
    <w:rsid w:val="00CF1701"/>
    <w:rsid w:val="00CF2B8D"/>
    <w:rsid w:val="00CF2F9B"/>
    <w:rsid w:val="00CF456B"/>
    <w:rsid w:val="00CF4E53"/>
    <w:rsid w:val="00CF5A22"/>
    <w:rsid w:val="00CF6135"/>
    <w:rsid w:val="00CF7560"/>
    <w:rsid w:val="00D0194D"/>
    <w:rsid w:val="00D0262E"/>
    <w:rsid w:val="00D035BD"/>
    <w:rsid w:val="00D04D24"/>
    <w:rsid w:val="00D05E3D"/>
    <w:rsid w:val="00D06139"/>
    <w:rsid w:val="00D10D5E"/>
    <w:rsid w:val="00D110BD"/>
    <w:rsid w:val="00D1118E"/>
    <w:rsid w:val="00D13675"/>
    <w:rsid w:val="00D141E1"/>
    <w:rsid w:val="00D15314"/>
    <w:rsid w:val="00D16B24"/>
    <w:rsid w:val="00D17D6C"/>
    <w:rsid w:val="00D2155B"/>
    <w:rsid w:val="00D23311"/>
    <w:rsid w:val="00D23D11"/>
    <w:rsid w:val="00D244B6"/>
    <w:rsid w:val="00D24BEA"/>
    <w:rsid w:val="00D25E49"/>
    <w:rsid w:val="00D27230"/>
    <w:rsid w:val="00D2754D"/>
    <w:rsid w:val="00D275F4"/>
    <w:rsid w:val="00D2787A"/>
    <w:rsid w:val="00D279B4"/>
    <w:rsid w:val="00D27B27"/>
    <w:rsid w:val="00D27D06"/>
    <w:rsid w:val="00D301A1"/>
    <w:rsid w:val="00D30877"/>
    <w:rsid w:val="00D33BE9"/>
    <w:rsid w:val="00D33F93"/>
    <w:rsid w:val="00D357FF"/>
    <w:rsid w:val="00D366DB"/>
    <w:rsid w:val="00D416B2"/>
    <w:rsid w:val="00D41F1C"/>
    <w:rsid w:val="00D424C7"/>
    <w:rsid w:val="00D43073"/>
    <w:rsid w:val="00D43B2A"/>
    <w:rsid w:val="00D43D83"/>
    <w:rsid w:val="00D47575"/>
    <w:rsid w:val="00D5120F"/>
    <w:rsid w:val="00D51CB9"/>
    <w:rsid w:val="00D5243B"/>
    <w:rsid w:val="00D533EC"/>
    <w:rsid w:val="00D53AD7"/>
    <w:rsid w:val="00D54E9D"/>
    <w:rsid w:val="00D56A95"/>
    <w:rsid w:val="00D65992"/>
    <w:rsid w:val="00D67B0A"/>
    <w:rsid w:val="00D67EA2"/>
    <w:rsid w:val="00D70F16"/>
    <w:rsid w:val="00D71515"/>
    <w:rsid w:val="00D72955"/>
    <w:rsid w:val="00D72F57"/>
    <w:rsid w:val="00D76A44"/>
    <w:rsid w:val="00D76A9E"/>
    <w:rsid w:val="00D76C80"/>
    <w:rsid w:val="00D815EF"/>
    <w:rsid w:val="00D81F26"/>
    <w:rsid w:val="00D838D4"/>
    <w:rsid w:val="00D84253"/>
    <w:rsid w:val="00D84731"/>
    <w:rsid w:val="00D86231"/>
    <w:rsid w:val="00D86EED"/>
    <w:rsid w:val="00D90834"/>
    <w:rsid w:val="00D909ED"/>
    <w:rsid w:val="00D91923"/>
    <w:rsid w:val="00D93753"/>
    <w:rsid w:val="00D9376E"/>
    <w:rsid w:val="00D94147"/>
    <w:rsid w:val="00D96E4B"/>
    <w:rsid w:val="00DA2619"/>
    <w:rsid w:val="00DA3167"/>
    <w:rsid w:val="00DA45DF"/>
    <w:rsid w:val="00DA463A"/>
    <w:rsid w:val="00DA4DC3"/>
    <w:rsid w:val="00DA4FAC"/>
    <w:rsid w:val="00DA545E"/>
    <w:rsid w:val="00DA561C"/>
    <w:rsid w:val="00DA713E"/>
    <w:rsid w:val="00DA77A5"/>
    <w:rsid w:val="00DA7F6E"/>
    <w:rsid w:val="00DB35BD"/>
    <w:rsid w:val="00DB36B1"/>
    <w:rsid w:val="00DB376E"/>
    <w:rsid w:val="00DB3DBF"/>
    <w:rsid w:val="00DB484F"/>
    <w:rsid w:val="00DB6BAE"/>
    <w:rsid w:val="00DC04F6"/>
    <w:rsid w:val="00DC0690"/>
    <w:rsid w:val="00DC1D65"/>
    <w:rsid w:val="00DC25BC"/>
    <w:rsid w:val="00DC26F4"/>
    <w:rsid w:val="00DC293A"/>
    <w:rsid w:val="00DC3C57"/>
    <w:rsid w:val="00DC3D23"/>
    <w:rsid w:val="00DC5501"/>
    <w:rsid w:val="00DC559C"/>
    <w:rsid w:val="00DC6EAC"/>
    <w:rsid w:val="00DC7154"/>
    <w:rsid w:val="00DC7258"/>
    <w:rsid w:val="00DC74ED"/>
    <w:rsid w:val="00DC7772"/>
    <w:rsid w:val="00DC7E8A"/>
    <w:rsid w:val="00DD0F78"/>
    <w:rsid w:val="00DD273C"/>
    <w:rsid w:val="00DD3484"/>
    <w:rsid w:val="00DD3F28"/>
    <w:rsid w:val="00DD4537"/>
    <w:rsid w:val="00DD4E15"/>
    <w:rsid w:val="00DE0258"/>
    <w:rsid w:val="00DE10B4"/>
    <w:rsid w:val="00DE12B9"/>
    <w:rsid w:val="00DE1C60"/>
    <w:rsid w:val="00DE2304"/>
    <w:rsid w:val="00DE2CF7"/>
    <w:rsid w:val="00DE3138"/>
    <w:rsid w:val="00DE37F8"/>
    <w:rsid w:val="00DE4FCB"/>
    <w:rsid w:val="00DE5D07"/>
    <w:rsid w:val="00DE72A7"/>
    <w:rsid w:val="00DE7832"/>
    <w:rsid w:val="00DF18FC"/>
    <w:rsid w:val="00DF2FF0"/>
    <w:rsid w:val="00DF3794"/>
    <w:rsid w:val="00DF5541"/>
    <w:rsid w:val="00DF5D2B"/>
    <w:rsid w:val="00E00E8E"/>
    <w:rsid w:val="00E01E60"/>
    <w:rsid w:val="00E023C6"/>
    <w:rsid w:val="00E0345B"/>
    <w:rsid w:val="00E045A7"/>
    <w:rsid w:val="00E05630"/>
    <w:rsid w:val="00E05C16"/>
    <w:rsid w:val="00E061D4"/>
    <w:rsid w:val="00E06DBB"/>
    <w:rsid w:val="00E10149"/>
    <w:rsid w:val="00E102B5"/>
    <w:rsid w:val="00E1057E"/>
    <w:rsid w:val="00E10DC1"/>
    <w:rsid w:val="00E11340"/>
    <w:rsid w:val="00E11B68"/>
    <w:rsid w:val="00E122A1"/>
    <w:rsid w:val="00E12ACF"/>
    <w:rsid w:val="00E14009"/>
    <w:rsid w:val="00E16372"/>
    <w:rsid w:val="00E17EE8"/>
    <w:rsid w:val="00E20E4D"/>
    <w:rsid w:val="00E20E65"/>
    <w:rsid w:val="00E20ED6"/>
    <w:rsid w:val="00E21358"/>
    <w:rsid w:val="00E2173D"/>
    <w:rsid w:val="00E2249B"/>
    <w:rsid w:val="00E22A0D"/>
    <w:rsid w:val="00E22C73"/>
    <w:rsid w:val="00E244F6"/>
    <w:rsid w:val="00E24AC8"/>
    <w:rsid w:val="00E2627F"/>
    <w:rsid w:val="00E2771E"/>
    <w:rsid w:val="00E30876"/>
    <w:rsid w:val="00E311EF"/>
    <w:rsid w:val="00E32180"/>
    <w:rsid w:val="00E330A4"/>
    <w:rsid w:val="00E34948"/>
    <w:rsid w:val="00E35E8C"/>
    <w:rsid w:val="00E37569"/>
    <w:rsid w:val="00E401B2"/>
    <w:rsid w:val="00E40673"/>
    <w:rsid w:val="00E41E30"/>
    <w:rsid w:val="00E42F73"/>
    <w:rsid w:val="00E43D70"/>
    <w:rsid w:val="00E43DE8"/>
    <w:rsid w:val="00E445FC"/>
    <w:rsid w:val="00E45D23"/>
    <w:rsid w:val="00E466F3"/>
    <w:rsid w:val="00E47B2C"/>
    <w:rsid w:val="00E47CCA"/>
    <w:rsid w:val="00E5089A"/>
    <w:rsid w:val="00E51560"/>
    <w:rsid w:val="00E51778"/>
    <w:rsid w:val="00E522F1"/>
    <w:rsid w:val="00E53FC8"/>
    <w:rsid w:val="00E54347"/>
    <w:rsid w:val="00E55424"/>
    <w:rsid w:val="00E55915"/>
    <w:rsid w:val="00E55BB5"/>
    <w:rsid w:val="00E60D1B"/>
    <w:rsid w:val="00E61D16"/>
    <w:rsid w:val="00E65E79"/>
    <w:rsid w:val="00E66BA2"/>
    <w:rsid w:val="00E67416"/>
    <w:rsid w:val="00E718B6"/>
    <w:rsid w:val="00E71B37"/>
    <w:rsid w:val="00E723BA"/>
    <w:rsid w:val="00E73581"/>
    <w:rsid w:val="00E740DC"/>
    <w:rsid w:val="00E80A4B"/>
    <w:rsid w:val="00E833F7"/>
    <w:rsid w:val="00E834B1"/>
    <w:rsid w:val="00E83BDF"/>
    <w:rsid w:val="00E84BED"/>
    <w:rsid w:val="00E877AA"/>
    <w:rsid w:val="00E87A1D"/>
    <w:rsid w:val="00E9094A"/>
    <w:rsid w:val="00E916A6"/>
    <w:rsid w:val="00E91D35"/>
    <w:rsid w:val="00E926A5"/>
    <w:rsid w:val="00E972B1"/>
    <w:rsid w:val="00E973EE"/>
    <w:rsid w:val="00EA0774"/>
    <w:rsid w:val="00EA17C3"/>
    <w:rsid w:val="00EA2CAA"/>
    <w:rsid w:val="00EA3864"/>
    <w:rsid w:val="00EA7374"/>
    <w:rsid w:val="00EA7F1C"/>
    <w:rsid w:val="00EB15B6"/>
    <w:rsid w:val="00EB2FD0"/>
    <w:rsid w:val="00EB3BD5"/>
    <w:rsid w:val="00EB3D06"/>
    <w:rsid w:val="00EB4916"/>
    <w:rsid w:val="00EB57F0"/>
    <w:rsid w:val="00EB7BAB"/>
    <w:rsid w:val="00EC00C9"/>
    <w:rsid w:val="00EC0B68"/>
    <w:rsid w:val="00EC0DD9"/>
    <w:rsid w:val="00EC14E7"/>
    <w:rsid w:val="00EC2649"/>
    <w:rsid w:val="00EC2CF0"/>
    <w:rsid w:val="00EC2D07"/>
    <w:rsid w:val="00EC31ED"/>
    <w:rsid w:val="00EC468A"/>
    <w:rsid w:val="00EC5836"/>
    <w:rsid w:val="00EC688C"/>
    <w:rsid w:val="00EC6A8D"/>
    <w:rsid w:val="00EC7DF5"/>
    <w:rsid w:val="00ED05BB"/>
    <w:rsid w:val="00ED57EA"/>
    <w:rsid w:val="00ED5BD4"/>
    <w:rsid w:val="00EE07D3"/>
    <w:rsid w:val="00EE1652"/>
    <w:rsid w:val="00EE1996"/>
    <w:rsid w:val="00EE1C01"/>
    <w:rsid w:val="00EE22AF"/>
    <w:rsid w:val="00EE24DB"/>
    <w:rsid w:val="00EE42CC"/>
    <w:rsid w:val="00EE5359"/>
    <w:rsid w:val="00EF0171"/>
    <w:rsid w:val="00EF13DE"/>
    <w:rsid w:val="00EF1B25"/>
    <w:rsid w:val="00EF1C7F"/>
    <w:rsid w:val="00EF1DA0"/>
    <w:rsid w:val="00EF26B8"/>
    <w:rsid w:val="00EF332D"/>
    <w:rsid w:val="00EF38A5"/>
    <w:rsid w:val="00EF4747"/>
    <w:rsid w:val="00EF4BF8"/>
    <w:rsid w:val="00EF69AB"/>
    <w:rsid w:val="00EF785A"/>
    <w:rsid w:val="00F02253"/>
    <w:rsid w:val="00F03C2E"/>
    <w:rsid w:val="00F03E09"/>
    <w:rsid w:val="00F0423C"/>
    <w:rsid w:val="00F04A66"/>
    <w:rsid w:val="00F04AD9"/>
    <w:rsid w:val="00F04B4B"/>
    <w:rsid w:val="00F0516C"/>
    <w:rsid w:val="00F067A2"/>
    <w:rsid w:val="00F06A3D"/>
    <w:rsid w:val="00F07B9E"/>
    <w:rsid w:val="00F1044E"/>
    <w:rsid w:val="00F10BEF"/>
    <w:rsid w:val="00F10F8B"/>
    <w:rsid w:val="00F1116F"/>
    <w:rsid w:val="00F1185C"/>
    <w:rsid w:val="00F1263A"/>
    <w:rsid w:val="00F12667"/>
    <w:rsid w:val="00F12D9B"/>
    <w:rsid w:val="00F13C27"/>
    <w:rsid w:val="00F13D1C"/>
    <w:rsid w:val="00F15B77"/>
    <w:rsid w:val="00F170AA"/>
    <w:rsid w:val="00F20206"/>
    <w:rsid w:val="00F20C0A"/>
    <w:rsid w:val="00F24837"/>
    <w:rsid w:val="00F2575F"/>
    <w:rsid w:val="00F27565"/>
    <w:rsid w:val="00F310D4"/>
    <w:rsid w:val="00F319DC"/>
    <w:rsid w:val="00F31D5A"/>
    <w:rsid w:val="00F33975"/>
    <w:rsid w:val="00F33DE9"/>
    <w:rsid w:val="00F35E6D"/>
    <w:rsid w:val="00F3619A"/>
    <w:rsid w:val="00F378AB"/>
    <w:rsid w:val="00F400DF"/>
    <w:rsid w:val="00F40343"/>
    <w:rsid w:val="00F40AAA"/>
    <w:rsid w:val="00F40BA7"/>
    <w:rsid w:val="00F40F9D"/>
    <w:rsid w:val="00F41ACD"/>
    <w:rsid w:val="00F41F8B"/>
    <w:rsid w:val="00F45C39"/>
    <w:rsid w:val="00F46CB6"/>
    <w:rsid w:val="00F4756D"/>
    <w:rsid w:val="00F47DE8"/>
    <w:rsid w:val="00F52FAE"/>
    <w:rsid w:val="00F542C1"/>
    <w:rsid w:val="00F54B6C"/>
    <w:rsid w:val="00F54EED"/>
    <w:rsid w:val="00F5516A"/>
    <w:rsid w:val="00F55A6E"/>
    <w:rsid w:val="00F55E73"/>
    <w:rsid w:val="00F55EDA"/>
    <w:rsid w:val="00F56C80"/>
    <w:rsid w:val="00F577D9"/>
    <w:rsid w:val="00F60092"/>
    <w:rsid w:val="00F61047"/>
    <w:rsid w:val="00F61770"/>
    <w:rsid w:val="00F61C18"/>
    <w:rsid w:val="00F65F4B"/>
    <w:rsid w:val="00F67A69"/>
    <w:rsid w:val="00F70BFF"/>
    <w:rsid w:val="00F70C9D"/>
    <w:rsid w:val="00F7101C"/>
    <w:rsid w:val="00F71C80"/>
    <w:rsid w:val="00F724C2"/>
    <w:rsid w:val="00F7409F"/>
    <w:rsid w:val="00F74CD9"/>
    <w:rsid w:val="00F74FD7"/>
    <w:rsid w:val="00F804E6"/>
    <w:rsid w:val="00F80A7B"/>
    <w:rsid w:val="00F80E5D"/>
    <w:rsid w:val="00F814E5"/>
    <w:rsid w:val="00F81E78"/>
    <w:rsid w:val="00F832F6"/>
    <w:rsid w:val="00F835E6"/>
    <w:rsid w:val="00F846D7"/>
    <w:rsid w:val="00F84A59"/>
    <w:rsid w:val="00F851CE"/>
    <w:rsid w:val="00F854F1"/>
    <w:rsid w:val="00F86D75"/>
    <w:rsid w:val="00F91219"/>
    <w:rsid w:val="00F91A48"/>
    <w:rsid w:val="00F92444"/>
    <w:rsid w:val="00F92E2B"/>
    <w:rsid w:val="00F9393E"/>
    <w:rsid w:val="00F96107"/>
    <w:rsid w:val="00F96FD0"/>
    <w:rsid w:val="00F97A78"/>
    <w:rsid w:val="00F97C7F"/>
    <w:rsid w:val="00F97D99"/>
    <w:rsid w:val="00FA0B20"/>
    <w:rsid w:val="00FA24E7"/>
    <w:rsid w:val="00FA3044"/>
    <w:rsid w:val="00FA37FB"/>
    <w:rsid w:val="00FA5EE6"/>
    <w:rsid w:val="00FA6B26"/>
    <w:rsid w:val="00FA7956"/>
    <w:rsid w:val="00FB049E"/>
    <w:rsid w:val="00FB0FBC"/>
    <w:rsid w:val="00FB2FCB"/>
    <w:rsid w:val="00FB3629"/>
    <w:rsid w:val="00FB3801"/>
    <w:rsid w:val="00FB7C55"/>
    <w:rsid w:val="00FC1074"/>
    <w:rsid w:val="00FC1884"/>
    <w:rsid w:val="00FC1CCE"/>
    <w:rsid w:val="00FC371D"/>
    <w:rsid w:val="00FC57E2"/>
    <w:rsid w:val="00FC5F0B"/>
    <w:rsid w:val="00FC7010"/>
    <w:rsid w:val="00FD110D"/>
    <w:rsid w:val="00FD2100"/>
    <w:rsid w:val="00FD22F5"/>
    <w:rsid w:val="00FD2B7A"/>
    <w:rsid w:val="00FD436C"/>
    <w:rsid w:val="00FD446D"/>
    <w:rsid w:val="00FD4F2C"/>
    <w:rsid w:val="00FD6394"/>
    <w:rsid w:val="00FD7F53"/>
    <w:rsid w:val="00FE0292"/>
    <w:rsid w:val="00FE0E6C"/>
    <w:rsid w:val="00FE1768"/>
    <w:rsid w:val="00FE1CDC"/>
    <w:rsid w:val="00FE3E4B"/>
    <w:rsid w:val="00FE540C"/>
    <w:rsid w:val="00FE6BB8"/>
    <w:rsid w:val="00FE70C3"/>
    <w:rsid w:val="00FE71D4"/>
    <w:rsid w:val="00FF0597"/>
    <w:rsid w:val="00FF0B4B"/>
    <w:rsid w:val="00FF13AA"/>
    <w:rsid w:val="00FF1535"/>
    <w:rsid w:val="00FF2876"/>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4.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510F61"/>
    <w:pPr>
      <w:keepLines/>
      <w:numPr>
        <w:ilvl w:val="1"/>
        <w:numId w:val="1"/>
      </w:numPr>
    </w:pPr>
  </w:style>
  <w:style w:type="character" w:customStyle="1" w:styleId="3-BodyTextChar">
    <w:name w:val="3-Body Text Char"/>
    <w:basedOn w:val="ListParagraphChar"/>
    <w:link w:val="3-BodyText"/>
    <w:rsid w:val="00510F61"/>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FigNoteHanging">
    <w:name w:val="TableFigNoteHanging"/>
    <w:basedOn w:val="Normal"/>
    <w:qFormat/>
    <w:rsid w:val="003120F8"/>
    <w:pPr>
      <w:ind w:left="142" w:hanging="142"/>
    </w:pPr>
    <w:rPr>
      <w:rFonts w:asciiTheme="minorHAnsi" w:eastAsiaTheme="minorHAnsi" w:hAnsiTheme="minorHAnsi" w:cstheme="minorBidi"/>
      <w:sz w:val="18"/>
      <w:szCs w:val="22"/>
      <w:lang w:eastAsia="en-US"/>
    </w:rPr>
  </w:style>
  <w:style w:type="paragraph" w:customStyle="1" w:styleId="TableNotes">
    <w:name w:val="Table Notes"/>
    <w:basedOn w:val="Normal"/>
    <w:link w:val="TableNotesChar"/>
    <w:uiPriority w:val="6"/>
    <w:qFormat/>
    <w:rsid w:val="005834B1"/>
    <w:pPr>
      <w:spacing w:after="40"/>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5834B1"/>
    <w:rPr>
      <w:rFonts w:ascii="Arial Narrow" w:eastAsiaTheme="majorEastAsia" w:hAnsi="Arial Narrow" w:cstheme="majorBidi"/>
      <w:sz w:val="16"/>
      <w:szCs w:val="22"/>
      <w:lang w:eastAsia="en-US"/>
    </w:rPr>
  </w:style>
  <w:style w:type="paragraph" w:customStyle="1" w:styleId="TableCentred">
    <w:name w:val="Table Centred"/>
    <w:basedOn w:val="Normal"/>
    <w:uiPriority w:val="5"/>
    <w:qFormat/>
    <w:rsid w:val="00075B2C"/>
    <w:pPr>
      <w:jc w:val="center"/>
    </w:pPr>
    <w:rPr>
      <w:rFonts w:ascii="Arial Narrow" w:eastAsiaTheme="majorEastAsia" w:hAnsi="Arial Narrow" w:cstheme="majorBidi"/>
      <w:sz w:val="20"/>
      <w:szCs w:val="22"/>
      <w:lang w:eastAsia="en-US"/>
    </w:rPr>
  </w:style>
  <w:style w:type="paragraph" w:customStyle="1" w:styleId="TableParagraph">
    <w:name w:val="Table Paragraph"/>
    <w:basedOn w:val="Normal"/>
    <w:uiPriority w:val="1"/>
    <w:qFormat/>
    <w:rsid w:val="007F2B70"/>
    <w:pPr>
      <w:widowControl w:val="0"/>
      <w:autoSpaceDE w:val="0"/>
      <w:autoSpaceDN w:val="0"/>
      <w:adjustRightInd w:val="0"/>
    </w:pPr>
    <w:rPr>
      <w:rFonts w:ascii="Times New Roman" w:eastAsiaTheme="minorEastAsia" w:hAnsi="Times New Roman" w:cs="Times New Roman"/>
    </w:rPr>
  </w:style>
  <w:style w:type="paragraph" w:styleId="FootnoteText">
    <w:name w:val="footnote text"/>
    <w:basedOn w:val="Normal"/>
    <w:link w:val="FootnoteTextChar"/>
    <w:semiHidden/>
    <w:unhideWhenUsed/>
    <w:rsid w:val="003009FC"/>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3009FC"/>
    <w:rPr>
      <w:rFonts w:ascii="Calibri" w:hAnsi="Calibri" w:cs="Arial"/>
      <w:snapToGrid w:val="0"/>
      <w:lang w:eastAsia="en-US"/>
    </w:rPr>
  </w:style>
  <w:style w:type="table" w:customStyle="1" w:styleId="ASDTable1">
    <w:name w:val="ASD Table1"/>
    <w:basedOn w:val="TableNormal"/>
    <w:next w:val="TableGrid"/>
    <w:uiPriority w:val="59"/>
    <w:rsid w:val="00EE535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9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93F92"/>
    <w:rPr>
      <w:rFonts w:ascii="Courier New" w:hAnsi="Courier New" w:cs="Courier New"/>
      <w:lang w:eastAsia="en-GB"/>
    </w:rPr>
  </w:style>
  <w:style w:type="paragraph" w:customStyle="1" w:styleId="TableTextCA">
    <w:name w:val="Table Text CA"/>
    <w:basedOn w:val="Normal"/>
    <w:qFormat/>
    <w:rsid w:val="00B916D7"/>
    <w:pPr>
      <w:spacing w:before="20" w:after="20"/>
      <w:jc w:val="center"/>
    </w:pPr>
    <w:rPr>
      <w:rFonts w:ascii="Arial Narrow" w:eastAsiaTheme="minorHAnsi" w:hAnsi="Arial Narrow" w:cstheme="minorBidi"/>
      <w:sz w:val="20"/>
      <w:szCs w:val="22"/>
      <w:lang w:eastAsia="en-US"/>
    </w:rPr>
  </w:style>
  <w:style w:type="character" w:customStyle="1" w:styleId="UnresolvedMention1">
    <w:name w:val="Unresolved Mention1"/>
    <w:basedOn w:val="DefaultParagraphFont"/>
    <w:rsid w:val="007D76E4"/>
    <w:rPr>
      <w:color w:val="605E5C"/>
      <w:shd w:val="clear" w:color="auto" w:fill="E1DFDD"/>
    </w:rPr>
  </w:style>
  <w:style w:type="character" w:styleId="FootnoteReference">
    <w:name w:val="footnote reference"/>
    <w:basedOn w:val="DefaultParagraphFont"/>
    <w:semiHidden/>
    <w:unhideWhenUsed/>
    <w:rsid w:val="00C24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077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2948850">
      <w:bodyDiv w:val="1"/>
      <w:marLeft w:val="0"/>
      <w:marRight w:val="0"/>
      <w:marTop w:val="0"/>
      <w:marBottom w:val="0"/>
      <w:divBdr>
        <w:top w:val="none" w:sz="0" w:space="0" w:color="auto"/>
        <w:left w:val="none" w:sz="0" w:space="0" w:color="auto"/>
        <w:bottom w:val="none" w:sz="0" w:space="0" w:color="auto"/>
        <w:right w:val="none" w:sz="0" w:space="0" w:color="auto"/>
      </w:divBdr>
      <w:divsChild>
        <w:div w:id="734163753">
          <w:marLeft w:val="0"/>
          <w:marRight w:val="0"/>
          <w:marTop w:val="0"/>
          <w:marBottom w:val="0"/>
          <w:divBdr>
            <w:top w:val="none" w:sz="0" w:space="0" w:color="auto"/>
            <w:left w:val="none" w:sz="0" w:space="0" w:color="auto"/>
            <w:bottom w:val="none" w:sz="0" w:space="0" w:color="auto"/>
            <w:right w:val="none" w:sz="0" w:space="0" w:color="auto"/>
          </w:divBdr>
          <w:divsChild>
            <w:div w:id="1076633169">
              <w:marLeft w:val="0"/>
              <w:marRight w:val="0"/>
              <w:marTop w:val="0"/>
              <w:marBottom w:val="0"/>
              <w:divBdr>
                <w:top w:val="none" w:sz="0" w:space="0" w:color="auto"/>
                <w:left w:val="none" w:sz="0" w:space="0" w:color="auto"/>
                <w:bottom w:val="none" w:sz="0" w:space="0" w:color="auto"/>
                <w:right w:val="none" w:sz="0" w:space="0" w:color="auto"/>
              </w:divBdr>
              <w:divsChild>
                <w:div w:id="12318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3519506">
      <w:bodyDiv w:val="1"/>
      <w:marLeft w:val="0"/>
      <w:marRight w:val="0"/>
      <w:marTop w:val="0"/>
      <w:marBottom w:val="0"/>
      <w:divBdr>
        <w:top w:val="none" w:sz="0" w:space="0" w:color="auto"/>
        <w:left w:val="none" w:sz="0" w:space="0" w:color="auto"/>
        <w:bottom w:val="none" w:sz="0" w:space="0" w:color="auto"/>
        <w:right w:val="none" w:sz="0" w:space="0" w:color="auto"/>
      </w:divBdr>
    </w:div>
    <w:div w:id="188227322">
      <w:bodyDiv w:val="1"/>
      <w:marLeft w:val="0"/>
      <w:marRight w:val="0"/>
      <w:marTop w:val="0"/>
      <w:marBottom w:val="0"/>
      <w:divBdr>
        <w:top w:val="none" w:sz="0" w:space="0" w:color="auto"/>
        <w:left w:val="none" w:sz="0" w:space="0" w:color="auto"/>
        <w:bottom w:val="none" w:sz="0" w:space="0" w:color="auto"/>
        <w:right w:val="none" w:sz="0" w:space="0" w:color="auto"/>
      </w:divBdr>
    </w:div>
    <w:div w:id="236400098">
      <w:bodyDiv w:val="1"/>
      <w:marLeft w:val="0"/>
      <w:marRight w:val="0"/>
      <w:marTop w:val="0"/>
      <w:marBottom w:val="0"/>
      <w:divBdr>
        <w:top w:val="none" w:sz="0" w:space="0" w:color="auto"/>
        <w:left w:val="none" w:sz="0" w:space="0" w:color="auto"/>
        <w:bottom w:val="none" w:sz="0" w:space="0" w:color="auto"/>
        <w:right w:val="none" w:sz="0" w:space="0" w:color="auto"/>
      </w:divBdr>
      <w:divsChild>
        <w:div w:id="2029867211">
          <w:marLeft w:val="0"/>
          <w:marRight w:val="0"/>
          <w:marTop w:val="0"/>
          <w:marBottom w:val="0"/>
          <w:divBdr>
            <w:top w:val="none" w:sz="0" w:space="0" w:color="auto"/>
            <w:left w:val="none" w:sz="0" w:space="0" w:color="auto"/>
            <w:bottom w:val="none" w:sz="0" w:space="0" w:color="auto"/>
            <w:right w:val="none" w:sz="0" w:space="0" w:color="auto"/>
          </w:divBdr>
          <w:divsChild>
            <w:div w:id="1254783371">
              <w:marLeft w:val="0"/>
              <w:marRight w:val="0"/>
              <w:marTop w:val="0"/>
              <w:marBottom w:val="0"/>
              <w:divBdr>
                <w:top w:val="none" w:sz="0" w:space="0" w:color="auto"/>
                <w:left w:val="none" w:sz="0" w:space="0" w:color="auto"/>
                <w:bottom w:val="none" w:sz="0" w:space="0" w:color="auto"/>
                <w:right w:val="none" w:sz="0" w:space="0" w:color="auto"/>
              </w:divBdr>
              <w:divsChild>
                <w:div w:id="7020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3126">
      <w:bodyDiv w:val="1"/>
      <w:marLeft w:val="0"/>
      <w:marRight w:val="0"/>
      <w:marTop w:val="0"/>
      <w:marBottom w:val="0"/>
      <w:divBdr>
        <w:top w:val="none" w:sz="0" w:space="0" w:color="auto"/>
        <w:left w:val="none" w:sz="0" w:space="0" w:color="auto"/>
        <w:bottom w:val="none" w:sz="0" w:space="0" w:color="auto"/>
        <w:right w:val="none" w:sz="0" w:space="0" w:color="auto"/>
      </w:divBdr>
    </w:div>
    <w:div w:id="295255981">
      <w:bodyDiv w:val="1"/>
      <w:marLeft w:val="0"/>
      <w:marRight w:val="0"/>
      <w:marTop w:val="0"/>
      <w:marBottom w:val="0"/>
      <w:divBdr>
        <w:top w:val="none" w:sz="0" w:space="0" w:color="auto"/>
        <w:left w:val="none" w:sz="0" w:space="0" w:color="auto"/>
        <w:bottom w:val="none" w:sz="0" w:space="0" w:color="auto"/>
        <w:right w:val="none" w:sz="0" w:space="0" w:color="auto"/>
      </w:divBdr>
      <w:divsChild>
        <w:div w:id="566233332">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6479040">
      <w:bodyDiv w:val="1"/>
      <w:marLeft w:val="0"/>
      <w:marRight w:val="0"/>
      <w:marTop w:val="0"/>
      <w:marBottom w:val="0"/>
      <w:divBdr>
        <w:top w:val="none" w:sz="0" w:space="0" w:color="auto"/>
        <w:left w:val="none" w:sz="0" w:space="0" w:color="auto"/>
        <w:bottom w:val="none" w:sz="0" w:space="0" w:color="auto"/>
        <w:right w:val="none" w:sz="0" w:space="0" w:color="auto"/>
      </w:divBdr>
    </w:div>
    <w:div w:id="538128348">
      <w:bodyDiv w:val="1"/>
      <w:marLeft w:val="0"/>
      <w:marRight w:val="0"/>
      <w:marTop w:val="0"/>
      <w:marBottom w:val="0"/>
      <w:divBdr>
        <w:top w:val="none" w:sz="0" w:space="0" w:color="auto"/>
        <w:left w:val="none" w:sz="0" w:space="0" w:color="auto"/>
        <w:bottom w:val="none" w:sz="0" w:space="0" w:color="auto"/>
        <w:right w:val="none" w:sz="0" w:space="0" w:color="auto"/>
      </w:divBdr>
    </w:div>
    <w:div w:id="593171640">
      <w:bodyDiv w:val="1"/>
      <w:marLeft w:val="0"/>
      <w:marRight w:val="0"/>
      <w:marTop w:val="0"/>
      <w:marBottom w:val="0"/>
      <w:divBdr>
        <w:top w:val="none" w:sz="0" w:space="0" w:color="auto"/>
        <w:left w:val="none" w:sz="0" w:space="0" w:color="auto"/>
        <w:bottom w:val="none" w:sz="0" w:space="0" w:color="auto"/>
        <w:right w:val="none" w:sz="0" w:space="0" w:color="auto"/>
      </w:divBdr>
    </w:div>
    <w:div w:id="600139858">
      <w:bodyDiv w:val="1"/>
      <w:marLeft w:val="0"/>
      <w:marRight w:val="0"/>
      <w:marTop w:val="0"/>
      <w:marBottom w:val="0"/>
      <w:divBdr>
        <w:top w:val="none" w:sz="0" w:space="0" w:color="auto"/>
        <w:left w:val="none" w:sz="0" w:space="0" w:color="auto"/>
        <w:bottom w:val="none" w:sz="0" w:space="0" w:color="auto"/>
        <w:right w:val="none" w:sz="0" w:space="0" w:color="auto"/>
      </w:divBdr>
      <w:divsChild>
        <w:div w:id="1884443685">
          <w:marLeft w:val="0"/>
          <w:marRight w:val="0"/>
          <w:marTop w:val="0"/>
          <w:marBottom w:val="0"/>
          <w:divBdr>
            <w:top w:val="none" w:sz="0" w:space="0" w:color="auto"/>
            <w:left w:val="none" w:sz="0" w:space="0" w:color="auto"/>
            <w:bottom w:val="none" w:sz="0" w:space="0" w:color="auto"/>
            <w:right w:val="none" w:sz="0" w:space="0" w:color="auto"/>
          </w:divBdr>
          <w:divsChild>
            <w:div w:id="639191421">
              <w:marLeft w:val="0"/>
              <w:marRight w:val="0"/>
              <w:marTop w:val="0"/>
              <w:marBottom w:val="0"/>
              <w:divBdr>
                <w:top w:val="none" w:sz="0" w:space="0" w:color="auto"/>
                <w:left w:val="none" w:sz="0" w:space="0" w:color="auto"/>
                <w:bottom w:val="none" w:sz="0" w:space="0" w:color="auto"/>
                <w:right w:val="none" w:sz="0" w:space="0" w:color="auto"/>
              </w:divBdr>
              <w:divsChild>
                <w:div w:id="5861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9866">
      <w:bodyDiv w:val="1"/>
      <w:marLeft w:val="0"/>
      <w:marRight w:val="0"/>
      <w:marTop w:val="0"/>
      <w:marBottom w:val="0"/>
      <w:divBdr>
        <w:top w:val="none" w:sz="0" w:space="0" w:color="auto"/>
        <w:left w:val="none" w:sz="0" w:space="0" w:color="auto"/>
        <w:bottom w:val="none" w:sz="0" w:space="0" w:color="auto"/>
        <w:right w:val="none" w:sz="0" w:space="0" w:color="auto"/>
      </w:divBdr>
    </w:div>
    <w:div w:id="736245172">
      <w:bodyDiv w:val="1"/>
      <w:marLeft w:val="0"/>
      <w:marRight w:val="0"/>
      <w:marTop w:val="0"/>
      <w:marBottom w:val="0"/>
      <w:divBdr>
        <w:top w:val="none" w:sz="0" w:space="0" w:color="auto"/>
        <w:left w:val="none" w:sz="0" w:space="0" w:color="auto"/>
        <w:bottom w:val="none" w:sz="0" w:space="0" w:color="auto"/>
        <w:right w:val="none" w:sz="0" w:space="0" w:color="auto"/>
      </w:divBdr>
    </w:div>
    <w:div w:id="741103271">
      <w:bodyDiv w:val="1"/>
      <w:marLeft w:val="0"/>
      <w:marRight w:val="0"/>
      <w:marTop w:val="0"/>
      <w:marBottom w:val="0"/>
      <w:divBdr>
        <w:top w:val="none" w:sz="0" w:space="0" w:color="auto"/>
        <w:left w:val="none" w:sz="0" w:space="0" w:color="auto"/>
        <w:bottom w:val="none" w:sz="0" w:space="0" w:color="auto"/>
        <w:right w:val="none" w:sz="0" w:space="0" w:color="auto"/>
      </w:divBdr>
      <w:divsChild>
        <w:div w:id="285966009">
          <w:marLeft w:val="0"/>
          <w:marRight w:val="0"/>
          <w:marTop w:val="0"/>
          <w:marBottom w:val="0"/>
          <w:divBdr>
            <w:top w:val="none" w:sz="0" w:space="0" w:color="auto"/>
            <w:left w:val="none" w:sz="0" w:space="0" w:color="auto"/>
            <w:bottom w:val="none" w:sz="0" w:space="0" w:color="auto"/>
            <w:right w:val="none" w:sz="0" w:space="0" w:color="auto"/>
          </w:divBdr>
          <w:divsChild>
            <w:div w:id="735010039">
              <w:marLeft w:val="0"/>
              <w:marRight w:val="0"/>
              <w:marTop w:val="0"/>
              <w:marBottom w:val="0"/>
              <w:divBdr>
                <w:top w:val="none" w:sz="0" w:space="0" w:color="auto"/>
                <w:left w:val="none" w:sz="0" w:space="0" w:color="auto"/>
                <w:bottom w:val="none" w:sz="0" w:space="0" w:color="auto"/>
                <w:right w:val="none" w:sz="0" w:space="0" w:color="auto"/>
              </w:divBdr>
              <w:divsChild>
                <w:div w:id="8281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1386">
      <w:bodyDiv w:val="1"/>
      <w:marLeft w:val="0"/>
      <w:marRight w:val="0"/>
      <w:marTop w:val="0"/>
      <w:marBottom w:val="0"/>
      <w:divBdr>
        <w:top w:val="none" w:sz="0" w:space="0" w:color="auto"/>
        <w:left w:val="none" w:sz="0" w:space="0" w:color="auto"/>
        <w:bottom w:val="none" w:sz="0" w:space="0" w:color="auto"/>
        <w:right w:val="none" w:sz="0" w:space="0" w:color="auto"/>
      </w:divBdr>
    </w:div>
    <w:div w:id="905190688">
      <w:bodyDiv w:val="1"/>
      <w:marLeft w:val="0"/>
      <w:marRight w:val="0"/>
      <w:marTop w:val="0"/>
      <w:marBottom w:val="0"/>
      <w:divBdr>
        <w:top w:val="none" w:sz="0" w:space="0" w:color="auto"/>
        <w:left w:val="none" w:sz="0" w:space="0" w:color="auto"/>
        <w:bottom w:val="none" w:sz="0" w:space="0" w:color="auto"/>
        <w:right w:val="none" w:sz="0" w:space="0" w:color="auto"/>
      </w:divBdr>
    </w:div>
    <w:div w:id="955911574">
      <w:bodyDiv w:val="1"/>
      <w:marLeft w:val="0"/>
      <w:marRight w:val="0"/>
      <w:marTop w:val="0"/>
      <w:marBottom w:val="0"/>
      <w:divBdr>
        <w:top w:val="none" w:sz="0" w:space="0" w:color="auto"/>
        <w:left w:val="none" w:sz="0" w:space="0" w:color="auto"/>
        <w:bottom w:val="none" w:sz="0" w:space="0" w:color="auto"/>
        <w:right w:val="none" w:sz="0" w:space="0" w:color="auto"/>
      </w:divBdr>
      <w:divsChild>
        <w:div w:id="1220898488">
          <w:marLeft w:val="0"/>
          <w:marRight w:val="0"/>
          <w:marTop w:val="0"/>
          <w:marBottom w:val="0"/>
          <w:divBdr>
            <w:top w:val="none" w:sz="0" w:space="0" w:color="auto"/>
            <w:left w:val="none" w:sz="0" w:space="0" w:color="auto"/>
            <w:bottom w:val="none" w:sz="0" w:space="0" w:color="auto"/>
            <w:right w:val="none" w:sz="0" w:space="0" w:color="auto"/>
          </w:divBdr>
          <w:divsChild>
            <w:div w:id="1834563289">
              <w:marLeft w:val="0"/>
              <w:marRight w:val="0"/>
              <w:marTop w:val="0"/>
              <w:marBottom w:val="0"/>
              <w:divBdr>
                <w:top w:val="none" w:sz="0" w:space="0" w:color="auto"/>
                <w:left w:val="none" w:sz="0" w:space="0" w:color="auto"/>
                <w:bottom w:val="none" w:sz="0" w:space="0" w:color="auto"/>
                <w:right w:val="none" w:sz="0" w:space="0" w:color="auto"/>
              </w:divBdr>
              <w:divsChild>
                <w:div w:id="19259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432">
      <w:bodyDiv w:val="1"/>
      <w:marLeft w:val="0"/>
      <w:marRight w:val="0"/>
      <w:marTop w:val="0"/>
      <w:marBottom w:val="0"/>
      <w:divBdr>
        <w:top w:val="none" w:sz="0" w:space="0" w:color="auto"/>
        <w:left w:val="none" w:sz="0" w:space="0" w:color="auto"/>
        <w:bottom w:val="none" w:sz="0" w:space="0" w:color="auto"/>
        <w:right w:val="none" w:sz="0" w:space="0" w:color="auto"/>
      </w:divBdr>
    </w:div>
    <w:div w:id="11399992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8557">
      <w:bodyDiv w:val="1"/>
      <w:marLeft w:val="0"/>
      <w:marRight w:val="0"/>
      <w:marTop w:val="0"/>
      <w:marBottom w:val="0"/>
      <w:divBdr>
        <w:top w:val="none" w:sz="0" w:space="0" w:color="auto"/>
        <w:left w:val="none" w:sz="0" w:space="0" w:color="auto"/>
        <w:bottom w:val="none" w:sz="0" w:space="0" w:color="auto"/>
        <w:right w:val="none" w:sz="0" w:space="0" w:color="auto"/>
      </w:divBdr>
      <w:divsChild>
        <w:div w:id="689839044">
          <w:marLeft w:val="0"/>
          <w:marRight w:val="0"/>
          <w:marTop w:val="0"/>
          <w:marBottom w:val="0"/>
          <w:divBdr>
            <w:top w:val="none" w:sz="0" w:space="0" w:color="auto"/>
            <w:left w:val="none" w:sz="0" w:space="0" w:color="auto"/>
            <w:bottom w:val="none" w:sz="0" w:space="0" w:color="auto"/>
            <w:right w:val="none" w:sz="0" w:space="0" w:color="auto"/>
          </w:divBdr>
          <w:divsChild>
            <w:div w:id="1011222690">
              <w:marLeft w:val="0"/>
              <w:marRight w:val="0"/>
              <w:marTop w:val="0"/>
              <w:marBottom w:val="0"/>
              <w:divBdr>
                <w:top w:val="none" w:sz="0" w:space="0" w:color="auto"/>
                <w:left w:val="none" w:sz="0" w:space="0" w:color="auto"/>
                <w:bottom w:val="none" w:sz="0" w:space="0" w:color="auto"/>
                <w:right w:val="none" w:sz="0" w:space="0" w:color="auto"/>
              </w:divBdr>
              <w:divsChild>
                <w:div w:id="1094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0566">
      <w:bodyDiv w:val="1"/>
      <w:marLeft w:val="0"/>
      <w:marRight w:val="0"/>
      <w:marTop w:val="0"/>
      <w:marBottom w:val="0"/>
      <w:divBdr>
        <w:top w:val="none" w:sz="0" w:space="0" w:color="auto"/>
        <w:left w:val="none" w:sz="0" w:space="0" w:color="auto"/>
        <w:bottom w:val="none" w:sz="0" w:space="0" w:color="auto"/>
        <w:right w:val="none" w:sz="0" w:space="0" w:color="auto"/>
      </w:divBdr>
    </w:div>
    <w:div w:id="1372194506">
      <w:bodyDiv w:val="1"/>
      <w:marLeft w:val="0"/>
      <w:marRight w:val="0"/>
      <w:marTop w:val="0"/>
      <w:marBottom w:val="0"/>
      <w:divBdr>
        <w:top w:val="none" w:sz="0" w:space="0" w:color="auto"/>
        <w:left w:val="none" w:sz="0" w:space="0" w:color="auto"/>
        <w:bottom w:val="none" w:sz="0" w:space="0" w:color="auto"/>
        <w:right w:val="none" w:sz="0" w:space="0" w:color="auto"/>
      </w:divBdr>
    </w:div>
    <w:div w:id="1383014954">
      <w:bodyDiv w:val="1"/>
      <w:marLeft w:val="0"/>
      <w:marRight w:val="0"/>
      <w:marTop w:val="0"/>
      <w:marBottom w:val="0"/>
      <w:divBdr>
        <w:top w:val="none" w:sz="0" w:space="0" w:color="auto"/>
        <w:left w:val="none" w:sz="0" w:space="0" w:color="auto"/>
        <w:bottom w:val="none" w:sz="0" w:space="0" w:color="auto"/>
        <w:right w:val="none" w:sz="0" w:space="0" w:color="auto"/>
      </w:divBdr>
      <w:divsChild>
        <w:div w:id="895623132">
          <w:marLeft w:val="0"/>
          <w:marRight w:val="0"/>
          <w:marTop w:val="0"/>
          <w:marBottom w:val="0"/>
          <w:divBdr>
            <w:top w:val="none" w:sz="0" w:space="0" w:color="auto"/>
            <w:left w:val="none" w:sz="0" w:space="0" w:color="auto"/>
            <w:bottom w:val="none" w:sz="0" w:space="0" w:color="auto"/>
            <w:right w:val="none" w:sz="0" w:space="0" w:color="auto"/>
          </w:divBdr>
          <w:divsChild>
            <w:div w:id="652565675">
              <w:marLeft w:val="0"/>
              <w:marRight w:val="0"/>
              <w:marTop w:val="0"/>
              <w:marBottom w:val="0"/>
              <w:divBdr>
                <w:top w:val="none" w:sz="0" w:space="0" w:color="auto"/>
                <w:left w:val="none" w:sz="0" w:space="0" w:color="auto"/>
                <w:bottom w:val="none" w:sz="0" w:space="0" w:color="auto"/>
                <w:right w:val="none" w:sz="0" w:space="0" w:color="auto"/>
              </w:divBdr>
              <w:divsChild>
                <w:div w:id="4670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1613">
      <w:bodyDiv w:val="1"/>
      <w:marLeft w:val="0"/>
      <w:marRight w:val="0"/>
      <w:marTop w:val="0"/>
      <w:marBottom w:val="0"/>
      <w:divBdr>
        <w:top w:val="none" w:sz="0" w:space="0" w:color="auto"/>
        <w:left w:val="none" w:sz="0" w:space="0" w:color="auto"/>
        <w:bottom w:val="none" w:sz="0" w:space="0" w:color="auto"/>
        <w:right w:val="none" w:sz="0" w:space="0" w:color="auto"/>
      </w:divBdr>
    </w:div>
    <w:div w:id="1463384815">
      <w:bodyDiv w:val="1"/>
      <w:marLeft w:val="0"/>
      <w:marRight w:val="0"/>
      <w:marTop w:val="0"/>
      <w:marBottom w:val="0"/>
      <w:divBdr>
        <w:top w:val="none" w:sz="0" w:space="0" w:color="auto"/>
        <w:left w:val="none" w:sz="0" w:space="0" w:color="auto"/>
        <w:bottom w:val="none" w:sz="0" w:space="0" w:color="auto"/>
        <w:right w:val="none" w:sz="0" w:space="0" w:color="auto"/>
      </w:divBdr>
      <w:divsChild>
        <w:div w:id="1771317693">
          <w:marLeft w:val="0"/>
          <w:marRight w:val="0"/>
          <w:marTop w:val="0"/>
          <w:marBottom w:val="0"/>
          <w:divBdr>
            <w:top w:val="none" w:sz="0" w:space="0" w:color="auto"/>
            <w:left w:val="none" w:sz="0" w:space="0" w:color="auto"/>
            <w:bottom w:val="none" w:sz="0" w:space="0" w:color="auto"/>
            <w:right w:val="none" w:sz="0" w:space="0" w:color="auto"/>
          </w:divBdr>
          <w:divsChild>
            <w:div w:id="1657151149">
              <w:marLeft w:val="0"/>
              <w:marRight w:val="0"/>
              <w:marTop w:val="0"/>
              <w:marBottom w:val="0"/>
              <w:divBdr>
                <w:top w:val="none" w:sz="0" w:space="0" w:color="auto"/>
                <w:left w:val="none" w:sz="0" w:space="0" w:color="auto"/>
                <w:bottom w:val="none" w:sz="0" w:space="0" w:color="auto"/>
                <w:right w:val="none" w:sz="0" w:space="0" w:color="auto"/>
              </w:divBdr>
              <w:divsChild>
                <w:div w:id="5924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4273">
      <w:bodyDiv w:val="1"/>
      <w:marLeft w:val="0"/>
      <w:marRight w:val="0"/>
      <w:marTop w:val="0"/>
      <w:marBottom w:val="0"/>
      <w:divBdr>
        <w:top w:val="none" w:sz="0" w:space="0" w:color="auto"/>
        <w:left w:val="none" w:sz="0" w:space="0" w:color="auto"/>
        <w:bottom w:val="none" w:sz="0" w:space="0" w:color="auto"/>
        <w:right w:val="none" w:sz="0" w:space="0" w:color="auto"/>
      </w:divBdr>
      <w:divsChild>
        <w:div w:id="1186750626">
          <w:marLeft w:val="0"/>
          <w:marRight w:val="0"/>
          <w:marTop w:val="0"/>
          <w:marBottom w:val="0"/>
          <w:divBdr>
            <w:top w:val="none" w:sz="0" w:space="0" w:color="auto"/>
            <w:left w:val="none" w:sz="0" w:space="0" w:color="auto"/>
            <w:bottom w:val="none" w:sz="0" w:space="0" w:color="auto"/>
            <w:right w:val="none" w:sz="0" w:space="0" w:color="auto"/>
          </w:divBdr>
          <w:divsChild>
            <w:div w:id="1564753269">
              <w:marLeft w:val="0"/>
              <w:marRight w:val="0"/>
              <w:marTop w:val="0"/>
              <w:marBottom w:val="0"/>
              <w:divBdr>
                <w:top w:val="none" w:sz="0" w:space="0" w:color="auto"/>
                <w:left w:val="none" w:sz="0" w:space="0" w:color="auto"/>
                <w:bottom w:val="none" w:sz="0" w:space="0" w:color="auto"/>
                <w:right w:val="none" w:sz="0" w:space="0" w:color="auto"/>
              </w:divBdr>
              <w:divsChild>
                <w:div w:id="19927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5620">
      <w:bodyDiv w:val="1"/>
      <w:marLeft w:val="0"/>
      <w:marRight w:val="0"/>
      <w:marTop w:val="0"/>
      <w:marBottom w:val="0"/>
      <w:divBdr>
        <w:top w:val="none" w:sz="0" w:space="0" w:color="auto"/>
        <w:left w:val="none" w:sz="0" w:space="0" w:color="auto"/>
        <w:bottom w:val="none" w:sz="0" w:space="0" w:color="auto"/>
        <w:right w:val="none" w:sz="0" w:space="0" w:color="auto"/>
      </w:divBdr>
      <w:divsChild>
        <w:div w:id="1708094708">
          <w:marLeft w:val="0"/>
          <w:marRight w:val="0"/>
          <w:marTop w:val="0"/>
          <w:marBottom w:val="0"/>
          <w:divBdr>
            <w:top w:val="none" w:sz="0" w:space="0" w:color="auto"/>
            <w:left w:val="none" w:sz="0" w:space="0" w:color="auto"/>
            <w:bottom w:val="none" w:sz="0" w:space="0" w:color="auto"/>
            <w:right w:val="none" w:sz="0" w:space="0" w:color="auto"/>
          </w:divBdr>
          <w:divsChild>
            <w:div w:id="1349789881">
              <w:marLeft w:val="0"/>
              <w:marRight w:val="0"/>
              <w:marTop w:val="0"/>
              <w:marBottom w:val="0"/>
              <w:divBdr>
                <w:top w:val="none" w:sz="0" w:space="0" w:color="auto"/>
                <w:left w:val="none" w:sz="0" w:space="0" w:color="auto"/>
                <w:bottom w:val="none" w:sz="0" w:space="0" w:color="auto"/>
                <w:right w:val="none" w:sz="0" w:space="0" w:color="auto"/>
              </w:divBdr>
              <w:divsChild>
                <w:div w:id="141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06995">
      <w:bodyDiv w:val="1"/>
      <w:marLeft w:val="0"/>
      <w:marRight w:val="0"/>
      <w:marTop w:val="0"/>
      <w:marBottom w:val="0"/>
      <w:divBdr>
        <w:top w:val="none" w:sz="0" w:space="0" w:color="auto"/>
        <w:left w:val="none" w:sz="0" w:space="0" w:color="auto"/>
        <w:bottom w:val="none" w:sz="0" w:space="0" w:color="auto"/>
        <w:right w:val="none" w:sz="0" w:space="0" w:color="auto"/>
      </w:divBdr>
    </w:div>
    <w:div w:id="1623415001">
      <w:bodyDiv w:val="1"/>
      <w:marLeft w:val="0"/>
      <w:marRight w:val="0"/>
      <w:marTop w:val="0"/>
      <w:marBottom w:val="0"/>
      <w:divBdr>
        <w:top w:val="none" w:sz="0" w:space="0" w:color="auto"/>
        <w:left w:val="none" w:sz="0" w:space="0" w:color="auto"/>
        <w:bottom w:val="none" w:sz="0" w:space="0" w:color="auto"/>
        <w:right w:val="none" w:sz="0" w:space="0" w:color="auto"/>
      </w:divBdr>
    </w:div>
    <w:div w:id="1705405557">
      <w:bodyDiv w:val="1"/>
      <w:marLeft w:val="0"/>
      <w:marRight w:val="0"/>
      <w:marTop w:val="0"/>
      <w:marBottom w:val="0"/>
      <w:divBdr>
        <w:top w:val="none" w:sz="0" w:space="0" w:color="auto"/>
        <w:left w:val="none" w:sz="0" w:space="0" w:color="auto"/>
        <w:bottom w:val="none" w:sz="0" w:space="0" w:color="auto"/>
        <w:right w:val="none" w:sz="0" w:space="0" w:color="auto"/>
      </w:divBdr>
    </w:div>
    <w:div w:id="1735735582">
      <w:bodyDiv w:val="1"/>
      <w:marLeft w:val="0"/>
      <w:marRight w:val="0"/>
      <w:marTop w:val="0"/>
      <w:marBottom w:val="0"/>
      <w:divBdr>
        <w:top w:val="none" w:sz="0" w:space="0" w:color="auto"/>
        <w:left w:val="none" w:sz="0" w:space="0" w:color="auto"/>
        <w:bottom w:val="none" w:sz="0" w:space="0" w:color="auto"/>
        <w:right w:val="none" w:sz="0" w:space="0" w:color="auto"/>
      </w:divBdr>
      <w:divsChild>
        <w:div w:id="2103067722">
          <w:marLeft w:val="0"/>
          <w:marRight w:val="0"/>
          <w:marTop w:val="0"/>
          <w:marBottom w:val="0"/>
          <w:divBdr>
            <w:top w:val="none" w:sz="0" w:space="0" w:color="auto"/>
            <w:left w:val="none" w:sz="0" w:space="0" w:color="auto"/>
            <w:bottom w:val="none" w:sz="0" w:space="0" w:color="auto"/>
            <w:right w:val="none" w:sz="0" w:space="0" w:color="auto"/>
          </w:divBdr>
          <w:divsChild>
            <w:div w:id="555051475">
              <w:marLeft w:val="0"/>
              <w:marRight w:val="0"/>
              <w:marTop w:val="0"/>
              <w:marBottom w:val="0"/>
              <w:divBdr>
                <w:top w:val="none" w:sz="0" w:space="0" w:color="auto"/>
                <w:left w:val="none" w:sz="0" w:space="0" w:color="auto"/>
                <w:bottom w:val="none" w:sz="0" w:space="0" w:color="auto"/>
                <w:right w:val="none" w:sz="0" w:space="0" w:color="auto"/>
              </w:divBdr>
              <w:divsChild>
                <w:div w:id="6915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4647">
      <w:bodyDiv w:val="1"/>
      <w:marLeft w:val="0"/>
      <w:marRight w:val="0"/>
      <w:marTop w:val="0"/>
      <w:marBottom w:val="0"/>
      <w:divBdr>
        <w:top w:val="none" w:sz="0" w:space="0" w:color="auto"/>
        <w:left w:val="none" w:sz="0" w:space="0" w:color="auto"/>
        <w:bottom w:val="none" w:sz="0" w:space="0" w:color="auto"/>
        <w:right w:val="none" w:sz="0" w:space="0" w:color="auto"/>
      </w:divBdr>
    </w:div>
    <w:div w:id="1811819673">
      <w:bodyDiv w:val="1"/>
      <w:marLeft w:val="0"/>
      <w:marRight w:val="0"/>
      <w:marTop w:val="0"/>
      <w:marBottom w:val="0"/>
      <w:divBdr>
        <w:top w:val="none" w:sz="0" w:space="0" w:color="auto"/>
        <w:left w:val="none" w:sz="0" w:space="0" w:color="auto"/>
        <w:bottom w:val="none" w:sz="0" w:space="0" w:color="auto"/>
        <w:right w:val="none" w:sz="0" w:space="0" w:color="auto"/>
      </w:divBdr>
      <w:divsChild>
        <w:div w:id="2142727535">
          <w:marLeft w:val="0"/>
          <w:marRight w:val="0"/>
          <w:marTop w:val="0"/>
          <w:marBottom w:val="0"/>
          <w:divBdr>
            <w:top w:val="none" w:sz="0" w:space="0" w:color="auto"/>
            <w:left w:val="none" w:sz="0" w:space="0" w:color="auto"/>
            <w:bottom w:val="none" w:sz="0" w:space="0" w:color="auto"/>
            <w:right w:val="none" w:sz="0" w:space="0" w:color="auto"/>
          </w:divBdr>
          <w:divsChild>
            <w:div w:id="1863587051">
              <w:marLeft w:val="0"/>
              <w:marRight w:val="0"/>
              <w:marTop w:val="0"/>
              <w:marBottom w:val="0"/>
              <w:divBdr>
                <w:top w:val="none" w:sz="0" w:space="0" w:color="auto"/>
                <w:left w:val="none" w:sz="0" w:space="0" w:color="auto"/>
                <w:bottom w:val="none" w:sz="0" w:space="0" w:color="auto"/>
                <w:right w:val="none" w:sz="0" w:space="0" w:color="auto"/>
              </w:divBdr>
              <w:divsChild>
                <w:div w:id="14253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3799">
      <w:bodyDiv w:val="1"/>
      <w:marLeft w:val="0"/>
      <w:marRight w:val="0"/>
      <w:marTop w:val="0"/>
      <w:marBottom w:val="0"/>
      <w:divBdr>
        <w:top w:val="none" w:sz="0" w:space="0" w:color="auto"/>
        <w:left w:val="none" w:sz="0" w:space="0" w:color="auto"/>
        <w:bottom w:val="none" w:sz="0" w:space="0" w:color="auto"/>
        <w:right w:val="none" w:sz="0" w:space="0" w:color="auto"/>
      </w:divBdr>
      <w:divsChild>
        <w:div w:id="1742672340">
          <w:marLeft w:val="0"/>
          <w:marRight w:val="0"/>
          <w:marTop w:val="0"/>
          <w:marBottom w:val="0"/>
          <w:divBdr>
            <w:top w:val="none" w:sz="0" w:space="0" w:color="auto"/>
            <w:left w:val="none" w:sz="0" w:space="0" w:color="auto"/>
            <w:bottom w:val="none" w:sz="0" w:space="0" w:color="auto"/>
            <w:right w:val="none" w:sz="0" w:space="0" w:color="auto"/>
          </w:divBdr>
          <w:divsChild>
            <w:div w:id="77559415">
              <w:marLeft w:val="0"/>
              <w:marRight w:val="0"/>
              <w:marTop w:val="0"/>
              <w:marBottom w:val="0"/>
              <w:divBdr>
                <w:top w:val="none" w:sz="0" w:space="0" w:color="auto"/>
                <w:left w:val="none" w:sz="0" w:space="0" w:color="auto"/>
                <w:bottom w:val="none" w:sz="0" w:space="0" w:color="auto"/>
                <w:right w:val="none" w:sz="0" w:space="0" w:color="auto"/>
              </w:divBdr>
              <w:divsChild>
                <w:div w:id="8284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20084">
      <w:bodyDiv w:val="1"/>
      <w:marLeft w:val="0"/>
      <w:marRight w:val="0"/>
      <w:marTop w:val="0"/>
      <w:marBottom w:val="0"/>
      <w:divBdr>
        <w:top w:val="none" w:sz="0" w:space="0" w:color="auto"/>
        <w:left w:val="none" w:sz="0" w:space="0" w:color="auto"/>
        <w:bottom w:val="none" w:sz="0" w:space="0" w:color="auto"/>
        <w:right w:val="none" w:sz="0" w:space="0" w:color="auto"/>
      </w:divBdr>
      <w:divsChild>
        <w:div w:id="1844202411">
          <w:marLeft w:val="0"/>
          <w:marRight w:val="0"/>
          <w:marTop w:val="0"/>
          <w:marBottom w:val="0"/>
          <w:divBdr>
            <w:top w:val="none" w:sz="0" w:space="0" w:color="auto"/>
            <w:left w:val="none" w:sz="0" w:space="0" w:color="auto"/>
            <w:bottom w:val="none" w:sz="0" w:space="0" w:color="auto"/>
            <w:right w:val="none" w:sz="0" w:space="0" w:color="auto"/>
          </w:divBdr>
          <w:divsChild>
            <w:div w:id="2042582345">
              <w:marLeft w:val="0"/>
              <w:marRight w:val="0"/>
              <w:marTop w:val="0"/>
              <w:marBottom w:val="0"/>
              <w:divBdr>
                <w:top w:val="none" w:sz="0" w:space="0" w:color="auto"/>
                <w:left w:val="none" w:sz="0" w:space="0" w:color="auto"/>
                <w:bottom w:val="none" w:sz="0" w:space="0" w:color="auto"/>
                <w:right w:val="none" w:sz="0" w:space="0" w:color="auto"/>
              </w:divBdr>
              <w:divsChild>
                <w:div w:id="17242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media/8628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B191-A0BD-4681-80EF-6A9CF160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7814</Words>
  <Characters>44832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2020-10-27T07:55:00Z</dcterms:created>
  <dcterms:modified xsi:type="dcterms:W3CDTF">2020-10-27T07:55:00Z</dcterms:modified>
</cp:coreProperties>
</file>