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914" w:rsidRPr="00DD1B54" w:rsidRDefault="00BB1988" w:rsidP="00DD1B54">
      <w:pPr>
        <w:pStyle w:val="1-MainHeading"/>
        <w:spacing w:before="0" w:after="0"/>
      </w:pPr>
      <w:bookmarkStart w:id="0" w:name="_Toc40214613"/>
      <w:r w:rsidRPr="00146B5E">
        <w:t>6.02</w:t>
      </w:r>
      <w:r w:rsidR="00163F66" w:rsidRPr="00146B5E">
        <w:tab/>
      </w:r>
      <w:r w:rsidR="00EE3E07" w:rsidRPr="00146B5E">
        <w:rPr>
          <w:bCs/>
          <w:caps/>
        </w:rPr>
        <w:t>Clostridium botulinum type A toxin-haemagglutinin complex</w:t>
      </w:r>
      <w:r w:rsidR="00163F66" w:rsidRPr="00146B5E">
        <w:t>,</w:t>
      </w:r>
      <w:bookmarkStart w:id="1" w:name="_GoBack"/>
      <w:bookmarkEnd w:id="1"/>
      <w:r w:rsidR="00163F66" w:rsidRPr="00146B5E">
        <w:br/>
      </w:r>
      <w:r w:rsidR="00EE3E07" w:rsidRPr="00146B5E">
        <w:rPr>
          <w:bCs/>
        </w:rPr>
        <w:t>Lyophilised powder for I.M. injection, 300 units, 500 units</w:t>
      </w:r>
      <w:r w:rsidR="00163F66" w:rsidRPr="00146B5E">
        <w:rPr>
          <w:bCs/>
        </w:rPr>
        <w:t>,</w:t>
      </w:r>
      <w:r w:rsidR="00CE5500" w:rsidRPr="00146B5E">
        <w:t xml:space="preserve"> </w:t>
      </w:r>
      <w:r w:rsidR="00DD1B54">
        <w:br/>
      </w:r>
      <w:r w:rsidRPr="00146B5E">
        <w:rPr>
          <w:bCs/>
        </w:rPr>
        <w:t>Dysport®,</w:t>
      </w:r>
      <w:r w:rsidR="00CE5500" w:rsidRPr="00146B5E">
        <w:t xml:space="preserve"> </w:t>
      </w:r>
      <w:r w:rsidR="00DD1B54">
        <w:br/>
      </w:r>
      <w:r w:rsidRPr="00146B5E">
        <w:rPr>
          <w:bCs/>
        </w:rPr>
        <w:t>Ipsen Pty Ltd</w:t>
      </w:r>
      <w:r w:rsidR="00B60939" w:rsidRPr="00146B5E">
        <w:t>.</w:t>
      </w:r>
      <w:bookmarkEnd w:id="0"/>
    </w:p>
    <w:p w:rsidR="00B50DB8" w:rsidRPr="00146B5E" w:rsidRDefault="00B50DB8" w:rsidP="004A6040">
      <w:pPr>
        <w:pStyle w:val="2-SectionHeading"/>
      </w:pPr>
      <w:bookmarkStart w:id="2" w:name="_Toc40214615"/>
      <w:r w:rsidRPr="00146B5E">
        <w:t xml:space="preserve">Purpose of </w:t>
      </w:r>
      <w:r w:rsidR="00CD7193" w:rsidRPr="00146B5E">
        <w:t>s</w:t>
      </w:r>
      <w:r w:rsidR="00BB3A45" w:rsidRPr="00146B5E">
        <w:t>ubmission</w:t>
      </w:r>
      <w:bookmarkEnd w:id="2"/>
    </w:p>
    <w:p w:rsidR="002C2775" w:rsidRPr="00146B5E" w:rsidRDefault="007170DA" w:rsidP="00D5144B">
      <w:pPr>
        <w:pStyle w:val="3-BodyText"/>
        <w:ind w:left="720"/>
      </w:pPr>
      <w:r w:rsidRPr="00146B5E">
        <w:t xml:space="preserve">The submission requested </w:t>
      </w:r>
      <w:r w:rsidR="008B1757" w:rsidRPr="00146B5E">
        <w:t>Section 100</w:t>
      </w:r>
      <w:r w:rsidR="00B31BC0" w:rsidRPr="00146B5E">
        <w:t xml:space="preserve"> Botulinum Toxin Program </w:t>
      </w:r>
      <w:r w:rsidR="008B1757" w:rsidRPr="00146B5E">
        <w:t xml:space="preserve">listing for </w:t>
      </w:r>
      <w:r w:rsidR="00AE1E83" w:rsidRPr="00146B5E">
        <w:t xml:space="preserve">clostridium botulinum Type A toxin-haemagglutinin complex, hereafter named </w:t>
      </w:r>
      <w:r w:rsidR="0091336A" w:rsidRPr="00146B5E">
        <w:t>Dysport®</w:t>
      </w:r>
      <w:r w:rsidR="00AE1E83" w:rsidRPr="00146B5E">
        <w:t>,</w:t>
      </w:r>
      <w:r w:rsidR="008B1757" w:rsidRPr="00146B5E">
        <w:t xml:space="preserve"> for </w:t>
      </w:r>
      <w:r w:rsidR="0050174E" w:rsidRPr="00146B5E">
        <w:t xml:space="preserve">the </w:t>
      </w:r>
      <w:r w:rsidR="008B1757" w:rsidRPr="00146B5E">
        <w:t xml:space="preserve">treatment of </w:t>
      </w:r>
      <w:r w:rsidR="00B31BC0" w:rsidRPr="00146B5E">
        <w:t>moderate to severe focal spasticity of the upper limb in patients with cerebral palsy</w:t>
      </w:r>
      <w:r w:rsidR="000237F7" w:rsidRPr="00146B5E">
        <w:t xml:space="preserve"> in patients aged 2 years and older</w:t>
      </w:r>
      <w:r w:rsidR="008B1757" w:rsidRPr="00146B5E">
        <w:t xml:space="preserve">. </w:t>
      </w:r>
    </w:p>
    <w:p w:rsidR="00C2778B" w:rsidRPr="00146B5E" w:rsidRDefault="005750C5" w:rsidP="00D5144B">
      <w:pPr>
        <w:pStyle w:val="3-BodyText"/>
        <w:ind w:left="720"/>
      </w:pPr>
      <w:r w:rsidRPr="00146B5E">
        <w:t xml:space="preserve">Listing was requested on the basis of a cost-minimisation analysis versus </w:t>
      </w:r>
      <w:r w:rsidR="00AE1E83" w:rsidRPr="00146B5E">
        <w:t xml:space="preserve">botulinum toxin, type A purified neurotoxin complex, hereafter named </w:t>
      </w:r>
      <w:r w:rsidR="006C23C2" w:rsidRPr="00146B5E">
        <w:t>Botox®</w:t>
      </w:r>
      <w:r w:rsidRPr="00146B5E">
        <w:t>.</w:t>
      </w:r>
      <w:r w:rsidR="00A87288" w:rsidRPr="00146B5E">
        <w:t xml:space="preserve"> </w:t>
      </w:r>
      <w:r w:rsidR="00B31BC0" w:rsidRPr="00146B5E">
        <w:t>The table below provides the components</w:t>
      </w:r>
      <w:r w:rsidR="004B04A1" w:rsidRPr="00146B5E">
        <w:t xml:space="preserve"> </w:t>
      </w:r>
      <w:r w:rsidR="00B31BC0" w:rsidRPr="00146B5E">
        <w:t>of the clinical issues addressed by the submission.</w:t>
      </w:r>
      <w:r w:rsidR="00A87288" w:rsidRPr="00146B5E">
        <w:rPr>
          <w:color w:val="0066FF"/>
        </w:rPr>
        <w:t xml:space="preserve"> </w:t>
      </w:r>
    </w:p>
    <w:p w:rsidR="008B1757" w:rsidRPr="00146B5E" w:rsidRDefault="008B1757" w:rsidP="004A6040">
      <w:pPr>
        <w:pStyle w:val="TableFigureHeading"/>
        <w:rPr>
          <w:rStyle w:val="CommentReference"/>
          <w:b/>
          <w:szCs w:val="24"/>
        </w:rPr>
      </w:pPr>
      <w:r w:rsidRPr="00146B5E">
        <w:rPr>
          <w:rStyle w:val="CommentReference"/>
          <w:b/>
          <w:szCs w:val="24"/>
        </w:rPr>
        <w:t xml:space="preserve">Table </w:t>
      </w:r>
      <w:r w:rsidR="00844F8E" w:rsidRPr="00146B5E">
        <w:rPr>
          <w:rStyle w:val="CommentReference"/>
          <w:b/>
          <w:szCs w:val="24"/>
        </w:rPr>
        <w:t>1</w:t>
      </w:r>
      <w:r w:rsidRPr="00146B5E">
        <w:rPr>
          <w:rStyle w:val="CommentReference"/>
          <w:b/>
          <w:szCs w:val="24"/>
        </w:rPr>
        <w:t>:</w:t>
      </w:r>
      <w:r w:rsidR="00BC591F" w:rsidRPr="00146B5E">
        <w:rPr>
          <w:rStyle w:val="CommentReference"/>
          <w:b/>
          <w:szCs w:val="24"/>
        </w:rPr>
        <w:t xml:space="preserve"> </w:t>
      </w:r>
      <w:r w:rsidRPr="00146B5E">
        <w:rPr>
          <w:rStyle w:val="CommentReference"/>
          <w:b/>
          <w:szCs w:val="24"/>
        </w:rPr>
        <w:t>Key components of the clinical issue addressed by the submission</w:t>
      </w:r>
      <w:r w:rsidR="007170DA" w:rsidRPr="00146B5E">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146B5E" w:rsidTr="005B5AD4">
        <w:trPr>
          <w:cantSplit/>
          <w:tblHeader/>
        </w:trPr>
        <w:tc>
          <w:tcPr>
            <w:tcW w:w="924" w:type="pct"/>
            <w:shd w:val="clear" w:color="auto" w:fill="auto"/>
            <w:vAlign w:val="center"/>
          </w:tcPr>
          <w:p w:rsidR="008B1757" w:rsidRPr="00146B5E" w:rsidRDefault="008B1757" w:rsidP="004A6040">
            <w:pPr>
              <w:pStyle w:val="In-tableHeading"/>
              <w:rPr>
                <w:szCs w:val="20"/>
                <w:lang w:val="en-AU"/>
              </w:rPr>
            </w:pPr>
            <w:r w:rsidRPr="00146B5E">
              <w:rPr>
                <w:lang w:val="en-AU"/>
              </w:rPr>
              <w:t>Component</w:t>
            </w:r>
          </w:p>
        </w:tc>
        <w:tc>
          <w:tcPr>
            <w:tcW w:w="4076" w:type="pct"/>
            <w:shd w:val="clear" w:color="auto" w:fill="auto"/>
          </w:tcPr>
          <w:p w:rsidR="008B1757" w:rsidRPr="00146B5E" w:rsidRDefault="008B1757" w:rsidP="004A6040">
            <w:pPr>
              <w:pStyle w:val="In-tableHeading"/>
              <w:rPr>
                <w:lang w:val="en-AU"/>
              </w:rPr>
            </w:pPr>
            <w:r w:rsidRPr="00146B5E">
              <w:rPr>
                <w:lang w:val="en-AU"/>
              </w:rPr>
              <w:t>Description</w:t>
            </w:r>
          </w:p>
        </w:tc>
      </w:tr>
      <w:tr w:rsidR="004B04A1" w:rsidRPr="00146B5E" w:rsidTr="005B5AD4">
        <w:trPr>
          <w:cantSplit/>
        </w:trPr>
        <w:tc>
          <w:tcPr>
            <w:tcW w:w="924" w:type="pct"/>
            <w:shd w:val="clear" w:color="auto" w:fill="auto"/>
            <w:vAlign w:val="center"/>
          </w:tcPr>
          <w:p w:rsidR="004B04A1" w:rsidRPr="00146B5E" w:rsidRDefault="004B04A1" w:rsidP="004B04A1">
            <w:pPr>
              <w:pStyle w:val="TableText0"/>
            </w:pPr>
            <w:r w:rsidRPr="00146B5E">
              <w:t>Population</w:t>
            </w:r>
          </w:p>
        </w:tc>
        <w:tc>
          <w:tcPr>
            <w:tcW w:w="4076" w:type="pct"/>
            <w:shd w:val="clear" w:color="auto" w:fill="auto"/>
            <w:vAlign w:val="center"/>
          </w:tcPr>
          <w:p w:rsidR="004B04A1" w:rsidRPr="00146B5E" w:rsidRDefault="004B04A1" w:rsidP="004B04A1">
            <w:pPr>
              <w:pStyle w:val="TableText0"/>
              <w:rPr>
                <w:szCs w:val="20"/>
              </w:rPr>
            </w:pPr>
            <w:r w:rsidRPr="00146B5E">
              <w:rPr>
                <w:bCs w:val="0"/>
                <w:szCs w:val="20"/>
              </w:rPr>
              <w:t>Moderate to severe upper limb spasticity in cerebral palsy patients aged 2 to 17 years and adults 18 years and older</w:t>
            </w:r>
          </w:p>
        </w:tc>
      </w:tr>
      <w:tr w:rsidR="004B04A1" w:rsidRPr="00146B5E" w:rsidTr="005B5AD4">
        <w:trPr>
          <w:cantSplit/>
        </w:trPr>
        <w:tc>
          <w:tcPr>
            <w:tcW w:w="924" w:type="pct"/>
            <w:shd w:val="clear" w:color="auto" w:fill="auto"/>
            <w:vAlign w:val="center"/>
          </w:tcPr>
          <w:p w:rsidR="004B04A1" w:rsidRPr="00146B5E" w:rsidRDefault="004B04A1" w:rsidP="004B04A1">
            <w:pPr>
              <w:pStyle w:val="TableText0"/>
            </w:pPr>
            <w:r w:rsidRPr="00146B5E">
              <w:t>Intervention</w:t>
            </w:r>
          </w:p>
        </w:tc>
        <w:tc>
          <w:tcPr>
            <w:tcW w:w="4076" w:type="pct"/>
            <w:shd w:val="clear" w:color="auto" w:fill="auto"/>
            <w:vAlign w:val="center"/>
          </w:tcPr>
          <w:p w:rsidR="004B04A1" w:rsidRPr="00146B5E" w:rsidRDefault="004B04A1" w:rsidP="004B04A1">
            <w:pPr>
              <w:pStyle w:val="TableText0"/>
            </w:pPr>
            <w:r w:rsidRPr="00146B5E">
              <w:rPr>
                <w:bCs w:val="0"/>
                <w:szCs w:val="20"/>
              </w:rPr>
              <w:t>Clostridium botulinum type A toxin-haemagglutinin complex (Dysport</w:t>
            </w:r>
            <w:r w:rsidRPr="00146B5E">
              <w:rPr>
                <w:bCs w:val="0"/>
                <w:szCs w:val="20"/>
                <w:vertAlign w:val="superscript"/>
              </w:rPr>
              <w:t>®</w:t>
            </w:r>
            <w:r w:rsidRPr="00146B5E">
              <w:rPr>
                <w:bCs w:val="0"/>
                <w:szCs w:val="20"/>
              </w:rPr>
              <w:t>)</w:t>
            </w:r>
          </w:p>
        </w:tc>
      </w:tr>
      <w:tr w:rsidR="004B04A1" w:rsidRPr="00146B5E" w:rsidTr="005B5AD4">
        <w:trPr>
          <w:cantSplit/>
        </w:trPr>
        <w:tc>
          <w:tcPr>
            <w:tcW w:w="924" w:type="pct"/>
            <w:shd w:val="clear" w:color="auto" w:fill="auto"/>
            <w:vAlign w:val="center"/>
          </w:tcPr>
          <w:p w:rsidR="004B04A1" w:rsidRPr="00146B5E" w:rsidRDefault="004B04A1" w:rsidP="004B04A1">
            <w:pPr>
              <w:pStyle w:val="TableText0"/>
            </w:pPr>
            <w:r w:rsidRPr="00146B5E">
              <w:t>Comparator</w:t>
            </w:r>
          </w:p>
        </w:tc>
        <w:tc>
          <w:tcPr>
            <w:tcW w:w="4076" w:type="pct"/>
            <w:shd w:val="clear" w:color="auto" w:fill="auto"/>
            <w:vAlign w:val="center"/>
          </w:tcPr>
          <w:p w:rsidR="004B04A1" w:rsidRPr="00146B5E" w:rsidRDefault="004B04A1" w:rsidP="004B04A1">
            <w:pPr>
              <w:pStyle w:val="TableText0"/>
            </w:pPr>
            <w:r w:rsidRPr="00146B5E">
              <w:rPr>
                <w:bCs w:val="0"/>
                <w:szCs w:val="20"/>
              </w:rPr>
              <w:t>Botulinum toxin, type A purified neurotoxin complex (Botox</w:t>
            </w:r>
            <w:r w:rsidRPr="00146B5E">
              <w:rPr>
                <w:bCs w:val="0"/>
                <w:szCs w:val="20"/>
                <w:vertAlign w:val="superscript"/>
              </w:rPr>
              <w:t>®</w:t>
            </w:r>
            <w:r w:rsidRPr="00146B5E">
              <w:rPr>
                <w:bCs w:val="0"/>
                <w:szCs w:val="20"/>
              </w:rPr>
              <w:t xml:space="preserve">) </w:t>
            </w:r>
          </w:p>
        </w:tc>
      </w:tr>
      <w:tr w:rsidR="004B04A1" w:rsidRPr="00146B5E" w:rsidTr="005B5AD4">
        <w:trPr>
          <w:cantSplit/>
        </w:trPr>
        <w:tc>
          <w:tcPr>
            <w:tcW w:w="924" w:type="pct"/>
            <w:shd w:val="clear" w:color="auto" w:fill="auto"/>
            <w:vAlign w:val="center"/>
          </w:tcPr>
          <w:p w:rsidR="004B04A1" w:rsidRPr="00146B5E" w:rsidRDefault="004B04A1" w:rsidP="004B04A1">
            <w:pPr>
              <w:pStyle w:val="TableText0"/>
            </w:pPr>
            <w:r w:rsidRPr="00146B5E">
              <w:t>Outcomes</w:t>
            </w:r>
          </w:p>
        </w:tc>
        <w:tc>
          <w:tcPr>
            <w:tcW w:w="4076" w:type="pct"/>
            <w:shd w:val="clear" w:color="auto" w:fill="auto"/>
            <w:vAlign w:val="center"/>
          </w:tcPr>
          <w:p w:rsidR="004B04A1" w:rsidRPr="00146B5E" w:rsidRDefault="004B04A1" w:rsidP="004B04A1">
            <w:pPr>
              <w:pStyle w:val="TableText0"/>
              <w:rPr>
                <w:rFonts w:eastAsia="Times New Roman" w:cs="Arial"/>
                <w:bCs w:val="0"/>
                <w:snapToGrid w:val="0"/>
                <w:szCs w:val="20"/>
              </w:rPr>
            </w:pPr>
            <w:r w:rsidRPr="00146B5E">
              <w:rPr>
                <w:rStyle w:val="SmallItalics"/>
                <w:rFonts w:ascii="Arial Narrow" w:hAnsi="Arial Narrow"/>
                <w:bCs w:val="0"/>
                <w:i w:val="0"/>
                <w:szCs w:val="20"/>
              </w:rPr>
              <w:t>Spasticity as measured by Modified Ashworth Scale (MAS), Goal Attainment Scale (GAS), adverse events</w:t>
            </w:r>
          </w:p>
        </w:tc>
      </w:tr>
      <w:tr w:rsidR="004B04A1" w:rsidRPr="00146B5E" w:rsidTr="005B5AD4">
        <w:trPr>
          <w:cantSplit/>
        </w:trPr>
        <w:tc>
          <w:tcPr>
            <w:tcW w:w="924" w:type="pct"/>
            <w:shd w:val="clear" w:color="auto" w:fill="auto"/>
            <w:vAlign w:val="center"/>
          </w:tcPr>
          <w:p w:rsidR="004B04A1" w:rsidRPr="00146B5E" w:rsidRDefault="004B04A1" w:rsidP="004B04A1">
            <w:pPr>
              <w:pStyle w:val="TableText0"/>
            </w:pPr>
            <w:r w:rsidRPr="00146B5E">
              <w:t>Clinical claim</w:t>
            </w:r>
          </w:p>
        </w:tc>
        <w:tc>
          <w:tcPr>
            <w:tcW w:w="4076" w:type="pct"/>
            <w:shd w:val="clear" w:color="auto" w:fill="auto"/>
            <w:vAlign w:val="center"/>
          </w:tcPr>
          <w:p w:rsidR="004B04A1" w:rsidRPr="00146B5E" w:rsidRDefault="004B04A1" w:rsidP="004B04A1">
            <w:pPr>
              <w:pStyle w:val="TableText0"/>
              <w:rPr>
                <w:rFonts w:eastAsia="Times New Roman" w:cs="Arial"/>
                <w:bCs w:val="0"/>
                <w:snapToGrid w:val="0"/>
                <w:szCs w:val="20"/>
              </w:rPr>
            </w:pPr>
            <w:r w:rsidRPr="00146B5E">
              <w:rPr>
                <w:rStyle w:val="SmallItalics"/>
                <w:rFonts w:ascii="Arial Narrow" w:hAnsi="Arial Narrow"/>
                <w:bCs w:val="0"/>
                <w:i w:val="0"/>
                <w:szCs w:val="20"/>
              </w:rPr>
              <w:t>For the treatment of moderate to severe upper limb spasticity in cerebral palsy patients, Dysport</w:t>
            </w:r>
            <w:r w:rsidRPr="00146B5E">
              <w:rPr>
                <w:rStyle w:val="SmallItalics"/>
                <w:rFonts w:ascii="Arial Narrow" w:hAnsi="Arial Narrow"/>
                <w:bCs w:val="0"/>
                <w:i w:val="0"/>
                <w:szCs w:val="20"/>
                <w:vertAlign w:val="superscript"/>
              </w:rPr>
              <w:t>®</w:t>
            </w:r>
            <w:r w:rsidRPr="00146B5E">
              <w:rPr>
                <w:rStyle w:val="SmallItalics"/>
                <w:rFonts w:ascii="Arial Narrow" w:hAnsi="Arial Narrow"/>
                <w:bCs w:val="0"/>
                <w:i w:val="0"/>
                <w:szCs w:val="20"/>
              </w:rPr>
              <w:t xml:space="preserve"> is as effective as </w:t>
            </w:r>
            <w:r w:rsidR="006C23C2" w:rsidRPr="00146B5E">
              <w:rPr>
                <w:rStyle w:val="SmallItalics"/>
                <w:rFonts w:ascii="Arial Narrow" w:hAnsi="Arial Narrow"/>
                <w:bCs w:val="0"/>
                <w:i w:val="0"/>
                <w:szCs w:val="20"/>
              </w:rPr>
              <w:t>Botox®</w:t>
            </w:r>
            <w:r w:rsidRPr="00146B5E">
              <w:rPr>
                <w:rStyle w:val="SmallItalics"/>
                <w:rFonts w:ascii="Arial Narrow" w:hAnsi="Arial Narrow"/>
                <w:bCs w:val="0"/>
                <w:i w:val="0"/>
                <w:szCs w:val="20"/>
              </w:rPr>
              <w:t xml:space="preserve"> at improving muscle tone and spasticity with a comparable safety profile.</w:t>
            </w:r>
          </w:p>
        </w:tc>
      </w:tr>
    </w:tbl>
    <w:p w:rsidR="004E43B2" w:rsidRPr="00146B5E" w:rsidRDefault="004B04A1" w:rsidP="00397BFD">
      <w:pPr>
        <w:pStyle w:val="TableFigureFooter"/>
      </w:pPr>
      <w:r w:rsidRPr="00146B5E">
        <w:t>Source: Table 1-1, p16 of the submission.</w:t>
      </w:r>
    </w:p>
    <w:p w:rsidR="005C25FF" w:rsidRPr="00146B5E" w:rsidRDefault="005C25FF" w:rsidP="004A6040">
      <w:pPr>
        <w:pStyle w:val="2-SectionHeading"/>
      </w:pPr>
      <w:bookmarkStart w:id="3" w:name="_Toc40214616"/>
      <w:r w:rsidRPr="00146B5E">
        <w:t>Background</w:t>
      </w:r>
      <w:bookmarkEnd w:id="3"/>
    </w:p>
    <w:p w:rsidR="005C25FF" w:rsidRPr="00146B5E" w:rsidRDefault="005C25FF" w:rsidP="004A6040">
      <w:pPr>
        <w:pStyle w:val="4-SubsectionHeading"/>
      </w:pPr>
      <w:bookmarkStart w:id="4" w:name="_Toc22897638"/>
      <w:bookmarkStart w:id="5" w:name="_Toc40214617"/>
      <w:r w:rsidRPr="00146B5E">
        <w:t>Registration status</w:t>
      </w:r>
      <w:bookmarkEnd w:id="4"/>
      <w:bookmarkEnd w:id="5"/>
    </w:p>
    <w:p w:rsidR="00AE1E83" w:rsidRPr="00146B5E" w:rsidRDefault="00E8259E" w:rsidP="00D5144B">
      <w:pPr>
        <w:pStyle w:val="3-BodyText"/>
        <w:ind w:left="720"/>
      </w:pPr>
      <w:r w:rsidRPr="00146B5E">
        <w:t xml:space="preserve">Dysport® </w:t>
      </w:r>
      <w:r w:rsidR="00DF7E3A" w:rsidRPr="00146B5E">
        <w:t xml:space="preserve">was </w:t>
      </w:r>
      <w:r w:rsidR="00ED74E2" w:rsidRPr="00146B5E">
        <w:t xml:space="preserve">considered by the TGA at the 21 June 2020 Advisory Committee on Medicines meeting at which the ACM considered that the product had an overall </w:t>
      </w:r>
      <w:r w:rsidR="00D01000" w:rsidRPr="00146B5E">
        <w:t>positive</w:t>
      </w:r>
      <w:r w:rsidR="00ED74E2" w:rsidRPr="00146B5E">
        <w:t xml:space="preserve"> benefit-risk profile for the </w:t>
      </w:r>
      <w:r w:rsidR="00DF7E3A" w:rsidRPr="00146B5E">
        <w:t xml:space="preserve"> </w:t>
      </w:r>
      <w:r w:rsidRPr="00146B5E">
        <w:t>symptomatic treatment of upper limb focal spasticity in children aged 2 years and older</w:t>
      </w:r>
      <w:r w:rsidR="00ED74E2" w:rsidRPr="00146B5E">
        <w:t xml:space="preserve">. </w:t>
      </w:r>
      <w:r w:rsidR="00553DC4" w:rsidRPr="00146B5E">
        <w:t xml:space="preserve">The </w:t>
      </w:r>
      <w:r w:rsidR="00D01000" w:rsidRPr="00146B5E">
        <w:t>Delegate’s</w:t>
      </w:r>
      <w:r w:rsidR="00553DC4" w:rsidRPr="00146B5E">
        <w:t xml:space="preserve"> decision </w:t>
      </w:r>
      <w:r w:rsidR="00F26149" w:rsidRPr="00146B5E">
        <w:t>was not available at the time of PBAC consideration</w:t>
      </w:r>
      <w:r w:rsidR="00553DC4" w:rsidRPr="00146B5E">
        <w:t xml:space="preserve">. </w:t>
      </w:r>
      <w:r w:rsidRPr="00146B5E">
        <w:t>Dysport® currently has TGA approval for treatment of this condition in adults.</w:t>
      </w:r>
      <w:r w:rsidR="00A87288" w:rsidRPr="00146B5E">
        <w:t xml:space="preserve"> </w:t>
      </w:r>
    </w:p>
    <w:p w:rsidR="007934D9" w:rsidRPr="00146B5E" w:rsidRDefault="00334631" w:rsidP="007934D9">
      <w:pPr>
        <w:pStyle w:val="3-BodyText"/>
        <w:ind w:left="720"/>
      </w:pPr>
      <w:r w:rsidRPr="00146B5E">
        <w:t>Dysport®</w:t>
      </w:r>
      <w:r w:rsidR="00E8259E" w:rsidRPr="00146B5E">
        <w:t xml:space="preserve"> </w:t>
      </w:r>
      <w:r w:rsidR="00AE1E83" w:rsidRPr="00146B5E">
        <w:t>is</w:t>
      </w:r>
      <w:r w:rsidR="00E8259E" w:rsidRPr="00146B5E">
        <w:t xml:space="preserve"> TGA approv</w:t>
      </w:r>
      <w:r w:rsidR="00AE1E83" w:rsidRPr="00146B5E">
        <w:t>ed</w:t>
      </w:r>
      <w:r w:rsidR="00E8259E" w:rsidRPr="00146B5E">
        <w:t xml:space="preserve"> for treatment of focal spasticity of the lower limbs in children, focal spasticity of the upper and lower limbs in adults, spasmodic torticollis, blepharospasm, hemifacial spasm and glabellar lines.</w:t>
      </w:r>
    </w:p>
    <w:p w:rsidR="007934D9" w:rsidRPr="00146B5E" w:rsidRDefault="007934D9" w:rsidP="007934D9">
      <w:pPr>
        <w:pStyle w:val="4-SubsectionHeading"/>
      </w:pPr>
      <w:r w:rsidRPr="00146B5E">
        <w:lastRenderedPageBreak/>
        <w:t>MSAC consideration</w:t>
      </w:r>
    </w:p>
    <w:p w:rsidR="007934D9" w:rsidRPr="00146B5E" w:rsidRDefault="007934D9" w:rsidP="007934D9">
      <w:pPr>
        <w:pStyle w:val="3-BodyText"/>
        <w:ind w:left="720"/>
      </w:pPr>
      <w:r w:rsidRPr="00146B5E">
        <w:rPr>
          <w:rFonts w:cstheme="minorHAnsi"/>
        </w:rPr>
        <w:t xml:space="preserve">The </w:t>
      </w:r>
      <w:r w:rsidR="00ED74E2" w:rsidRPr="00146B5E">
        <w:rPr>
          <w:rFonts w:cstheme="minorHAnsi"/>
        </w:rPr>
        <w:t xml:space="preserve">PBAC noted that the </w:t>
      </w:r>
      <w:r w:rsidRPr="00146B5E">
        <w:rPr>
          <w:rFonts w:cstheme="minorHAnsi"/>
        </w:rPr>
        <w:t>sponsor has lodged a minor streamlined codependent submission to the Medical Services Advisory Committee (MSAC) for its July 2020 meeting. Application 1610 requests changes to the item descriptor of MBS item 18361, to include ‘Clostridium Botulinum Type A Toxin-Haemagglutinin Complex (Dysport)’ in the list of botulinum toxins associated with the item number, as well as minor amendments to align the descriptor with the current PBS listing.</w:t>
      </w:r>
    </w:p>
    <w:p w:rsidR="005C25FF" w:rsidRPr="00146B5E" w:rsidRDefault="005C25FF" w:rsidP="004E18E9">
      <w:pPr>
        <w:pStyle w:val="4-SubsectionHeading"/>
      </w:pPr>
      <w:bookmarkStart w:id="6" w:name="_Toc22897639"/>
      <w:bookmarkStart w:id="7" w:name="_Toc40214618"/>
      <w:r w:rsidRPr="00146B5E">
        <w:t>Previous PBAC consideration</w:t>
      </w:r>
      <w:bookmarkEnd w:id="6"/>
      <w:bookmarkEnd w:id="7"/>
    </w:p>
    <w:p w:rsidR="00E8259E" w:rsidRPr="00146B5E" w:rsidRDefault="00E8259E" w:rsidP="001B1319">
      <w:pPr>
        <w:pStyle w:val="3-BodyText"/>
        <w:ind w:left="720"/>
      </w:pPr>
      <w:r w:rsidRPr="00146B5E">
        <w:t xml:space="preserve">While </w:t>
      </w:r>
      <w:r w:rsidR="00334631" w:rsidRPr="00146B5E">
        <w:t>Dysport®</w:t>
      </w:r>
      <w:r w:rsidRPr="00146B5E">
        <w:t xml:space="preserve"> has not been previously considered by the PBAC for treatment of upper limb spasticity in patients with cerebral palsy, it has been considered numerous times for other </w:t>
      </w:r>
      <w:r w:rsidR="00F51514" w:rsidRPr="00146B5E">
        <w:t xml:space="preserve">upper and lower limb </w:t>
      </w:r>
      <w:r w:rsidRPr="00146B5E">
        <w:t>spasticity-related conditions.</w:t>
      </w:r>
      <w:r w:rsidR="00A87288" w:rsidRPr="00146B5E">
        <w:t xml:space="preserve"> </w:t>
      </w:r>
      <w:r w:rsidRPr="00146B5E">
        <w:t>A summary of those submissions is provided in the table below.</w:t>
      </w:r>
      <w:r w:rsidR="00A87288" w:rsidRPr="00146B5E">
        <w:t xml:space="preserve"> </w:t>
      </w:r>
      <w:r w:rsidR="00484797" w:rsidRPr="00146B5E">
        <w:t xml:space="preserve">Also provided is a list of </w:t>
      </w:r>
      <w:r w:rsidR="006C23C2" w:rsidRPr="00146B5E">
        <w:t>Botox®</w:t>
      </w:r>
      <w:r w:rsidR="00484797" w:rsidRPr="00146B5E">
        <w:t xml:space="preserve"> submissions for </w:t>
      </w:r>
      <w:r w:rsidR="00D75222" w:rsidRPr="00146B5E">
        <w:t xml:space="preserve">upper and lower limb </w:t>
      </w:r>
      <w:r w:rsidR="00484797" w:rsidRPr="00146B5E">
        <w:t>spasticity-related conditions.</w:t>
      </w:r>
    </w:p>
    <w:p w:rsidR="00484797" w:rsidRPr="00146B5E" w:rsidRDefault="00484797" w:rsidP="00397BFD">
      <w:pPr>
        <w:pStyle w:val="TableFigureHeading"/>
      </w:pPr>
      <w:r w:rsidRPr="00146B5E">
        <w:rPr>
          <w:rStyle w:val="CommentReference"/>
          <w:b/>
          <w:szCs w:val="24"/>
        </w:rPr>
        <w:lastRenderedPageBreak/>
        <w:t xml:space="preserve">Table </w:t>
      </w:r>
      <w:r w:rsidR="00844F8E" w:rsidRPr="00146B5E">
        <w:rPr>
          <w:rStyle w:val="CommentReference"/>
          <w:b/>
          <w:szCs w:val="24"/>
        </w:rPr>
        <w:t>2</w:t>
      </w:r>
      <w:r w:rsidRPr="00146B5E">
        <w:rPr>
          <w:rStyle w:val="CommentReference"/>
          <w:b/>
          <w:szCs w:val="24"/>
        </w:rPr>
        <w:t xml:space="preserve">: </w:t>
      </w:r>
      <w:r w:rsidR="00D75222" w:rsidRPr="00146B5E">
        <w:rPr>
          <w:rStyle w:val="CommentReference"/>
          <w:b/>
          <w:szCs w:val="24"/>
        </w:rPr>
        <w:t xml:space="preserve">Listing of </w:t>
      </w:r>
      <w:r w:rsidR="00334631" w:rsidRPr="00146B5E">
        <w:rPr>
          <w:rStyle w:val="CommentReference"/>
          <w:b/>
          <w:szCs w:val="24"/>
        </w:rPr>
        <w:t>Dysport®</w:t>
      </w:r>
      <w:r w:rsidR="00D75222" w:rsidRPr="00146B5E">
        <w:rPr>
          <w:rStyle w:val="CommentReference"/>
          <w:b/>
          <w:szCs w:val="24"/>
        </w:rPr>
        <w:t xml:space="preserve"> and </w:t>
      </w:r>
      <w:r w:rsidR="006C23C2" w:rsidRPr="00146B5E">
        <w:rPr>
          <w:rStyle w:val="CommentReference"/>
          <w:b/>
          <w:szCs w:val="24"/>
        </w:rPr>
        <w:t>Botox®</w:t>
      </w:r>
      <w:r w:rsidR="00D75222" w:rsidRPr="00146B5E">
        <w:rPr>
          <w:rStyle w:val="CommentReference"/>
          <w:b/>
          <w:szCs w:val="24"/>
        </w:rPr>
        <w:t xml:space="preserve"> submissions for upper and lower limb spasticity-related conditions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50"/>
        <w:gridCol w:w="4860"/>
        <w:gridCol w:w="2307"/>
      </w:tblGrid>
      <w:tr w:rsidR="00F51514" w:rsidRPr="00146B5E" w:rsidTr="005B5AD4">
        <w:trPr>
          <w:cantSplit/>
          <w:tblHeader/>
        </w:trPr>
        <w:tc>
          <w:tcPr>
            <w:tcW w:w="1026" w:type="pct"/>
            <w:vAlign w:val="center"/>
          </w:tcPr>
          <w:p w:rsidR="00484797" w:rsidRPr="005B5AD4" w:rsidRDefault="00484797" w:rsidP="00397BFD">
            <w:pPr>
              <w:pStyle w:val="In-tableHeading"/>
              <w:rPr>
                <w:szCs w:val="20"/>
                <w:lang w:val="en-AU"/>
              </w:rPr>
            </w:pPr>
            <w:r w:rsidRPr="005B5AD4">
              <w:rPr>
                <w:szCs w:val="20"/>
                <w:lang w:val="en-AU"/>
              </w:rPr>
              <w:t>Date</w:t>
            </w:r>
          </w:p>
        </w:tc>
        <w:tc>
          <w:tcPr>
            <w:tcW w:w="2695" w:type="pct"/>
            <w:vAlign w:val="center"/>
          </w:tcPr>
          <w:p w:rsidR="00484797" w:rsidRPr="005B5AD4" w:rsidRDefault="00484797" w:rsidP="007934D9">
            <w:pPr>
              <w:pStyle w:val="In-tableHeading"/>
              <w:widowControl w:val="0"/>
              <w:jc w:val="center"/>
              <w:rPr>
                <w:szCs w:val="20"/>
                <w:lang w:val="en-AU"/>
              </w:rPr>
            </w:pPr>
            <w:r w:rsidRPr="005B5AD4">
              <w:rPr>
                <w:szCs w:val="20"/>
                <w:lang w:val="en-AU"/>
              </w:rPr>
              <w:t>Requested listing</w:t>
            </w:r>
          </w:p>
        </w:tc>
        <w:tc>
          <w:tcPr>
            <w:tcW w:w="1279" w:type="pct"/>
            <w:vAlign w:val="center"/>
          </w:tcPr>
          <w:p w:rsidR="00484797" w:rsidRPr="005B5AD4" w:rsidRDefault="00484797" w:rsidP="007934D9">
            <w:pPr>
              <w:pStyle w:val="In-tableHeading"/>
              <w:widowControl w:val="0"/>
              <w:jc w:val="center"/>
              <w:rPr>
                <w:szCs w:val="20"/>
                <w:lang w:val="en-AU"/>
              </w:rPr>
            </w:pPr>
            <w:r w:rsidRPr="005B5AD4">
              <w:rPr>
                <w:szCs w:val="20"/>
                <w:lang w:val="en-AU"/>
              </w:rPr>
              <w:t>PBAC decision</w:t>
            </w:r>
          </w:p>
        </w:tc>
      </w:tr>
      <w:tr w:rsidR="00F51514" w:rsidRPr="00146B5E" w:rsidTr="005B5AD4">
        <w:trPr>
          <w:cantSplit/>
        </w:trPr>
        <w:tc>
          <w:tcPr>
            <w:tcW w:w="5000" w:type="pct"/>
            <w:gridSpan w:val="3"/>
            <w:vAlign w:val="center"/>
          </w:tcPr>
          <w:p w:rsidR="00484797" w:rsidRPr="005B5AD4" w:rsidRDefault="00334631" w:rsidP="00397BFD">
            <w:pPr>
              <w:pStyle w:val="In-tableHeading"/>
              <w:rPr>
                <w:bCs/>
                <w:szCs w:val="20"/>
                <w:lang w:val="en-AU"/>
              </w:rPr>
            </w:pPr>
            <w:r w:rsidRPr="005B5AD4">
              <w:rPr>
                <w:bCs/>
                <w:szCs w:val="20"/>
                <w:lang w:val="en-AU"/>
              </w:rPr>
              <w:t>Dysport</w:t>
            </w:r>
            <w:r w:rsidRPr="005B5AD4">
              <w:rPr>
                <w:bCs/>
                <w:szCs w:val="20"/>
                <w:vertAlign w:val="superscript"/>
                <w:lang w:val="en-AU"/>
              </w:rPr>
              <w:t>®</w:t>
            </w:r>
            <w:r w:rsidR="00D75222" w:rsidRPr="005B5AD4">
              <w:rPr>
                <w:bCs/>
                <w:szCs w:val="20"/>
                <w:lang w:val="en-AU"/>
              </w:rPr>
              <w:t xml:space="preserve"> submissions</w:t>
            </w:r>
          </w:p>
        </w:tc>
      </w:tr>
      <w:tr w:rsidR="00F51514" w:rsidRPr="00146B5E" w:rsidTr="005B5AD4">
        <w:trPr>
          <w:cantSplit/>
        </w:trPr>
        <w:tc>
          <w:tcPr>
            <w:tcW w:w="1026" w:type="pct"/>
            <w:vAlign w:val="center"/>
          </w:tcPr>
          <w:p w:rsidR="00484797" w:rsidRPr="005B5AD4" w:rsidRDefault="00484797" w:rsidP="00397BFD">
            <w:pPr>
              <w:pStyle w:val="TableText0"/>
              <w:rPr>
                <w:szCs w:val="20"/>
              </w:rPr>
            </w:pPr>
            <w:r w:rsidRPr="005B5AD4">
              <w:rPr>
                <w:szCs w:val="20"/>
              </w:rPr>
              <w:t>September 2001</w:t>
            </w:r>
          </w:p>
        </w:tc>
        <w:tc>
          <w:tcPr>
            <w:tcW w:w="2695" w:type="pct"/>
            <w:vAlign w:val="center"/>
          </w:tcPr>
          <w:p w:rsidR="00484797" w:rsidRPr="005B5AD4" w:rsidRDefault="005A3929" w:rsidP="00397BFD">
            <w:pPr>
              <w:pStyle w:val="TableText0"/>
              <w:rPr>
                <w:szCs w:val="20"/>
              </w:rPr>
            </w:pPr>
            <w:r w:rsidRPr="005B5AD4">
              <w:rPr>
                <w:szCs w:val="20"/>
              </w:rPr>
              <w:t>Treatment of spasticity of the arm in adults following a stroke.</w:t>
            </w:r>
          </w:p>
        </w:tc>
        <w:tc>
          <w:tcPr>
            <w:tcW w:w="1279" w:type="pct"/>
            <w:vAlign w:val="center"/>
          </w:tcPr>
          <w:p w:rsidR="00484797" w:rsidRPr="005B5AD4" w:rsidRDefault="005A3929" w:rsidP="00397BFD">
            <w:pPr>
              <w:pStyle w:val="TableText0"/>
              <w:rPr>
                <w:szCs w:val="20"/>
              </w:rPr>
            </w:pPr>
            <w:r w:rsidRPr="005B5AD4">
              <w:rPr>
                <w:szCs w:val="20"/>
              </w:rPr>
              <w:t>Rejected</w:t>
            </w:r>
          </w:p>
        </w:tc>
      </w:tr>
      <w:tr w:rsidR="00F51514" w:rsidRPr="00146B5E" w:rsidTr="005B5AD4">
        <w:trPr>
          <w:cantSplit/>
        </w:trPr>
        <w:tc>
          <w:tcPr>
            <w:tcW w:w="1026" w:type="pct"/>
            <w:vAlign w:val="center"/>
          </w:tcPr>
          <w:p w:rsidR="00484797" w:rsidRPr="005B5AD4" w:rsidRDefault="00484797" w:rsidP="00397BFD">
            <w:pPr>
              <w:pStyle w:val="TableText0"/>
              <w:rPr>
                <w:szCs w:val="20"/>
              </w:rPr>
            </w:pPr>
            <w:r w:rsidRPr="005B5AD4">
              <w:rPr>
                <w:szCs w:val="20"/>
              </w:rPr>
              <w:t>September 2002 (resubmission)</w:t>
            </w:r>
          </w:p>
        </w:tc>
        <w:tc>
          <w:tcPr>
            <w:tcW w:w="2695" w:type="pct"/>
            <w:vAlign w:val="center"/>
          </w:tcPr>
          <w:p w:rsidR="00484797" w:rsidRPr="005B5AD4" w:rsidRDefault="005A3929" w:rsidP="00397BFD">
            <w:pPr>
              <w:pStyle w:val="TableText0"/>
              <w:rPr>
                <w:rFonts w:eastAsia="Times New Roman" w:cs="Arial"/>
                <w:snapToGrid w:val="0"/>
                <w:szCs w:val="20"/>
              </w:rPr>
            </w:pPr>
            <w:r w:rsidRPr="005B5AD4">
              <w:rPr>
                <w:szCs w:val="20"/>
              </w:rPr>
              <w:t>Treatment of moderate to severe spasticity of the arm following a stroke</w:t>
            </w:r>
            <w:r w:rsidR="00D67A44" w:rsidRPr="005B5AD4">
              <w:rPr>
                <w:szCs w:val="20"/>
              </w:rPr>
              <w:t>.</w:t>
            </w:r>
          </w:p>
        </w:tc>
        <w:tc>
          <w:tcPr>
            <w:tcW w:w="1279" w:type="pct"/>
            <w:vAlign w:val="center"/>
          </w:tcPr>
          <w:p w:rsidR="00484797" w:rsidRPr="005B5AD4" w:rsidRDefault="005A3929" w:rsidP="00397BFD">
            <w:pPr>
              <w:pStyle w:val="TableText0"/>
              <w:rPr>
                <w:rFonts w:eastAsia="Times New Roman" w:cs="Arial"/>
                <w:snapToGrid w:val="0"/>
                <w:szCs w:val="20"/>
              </w:rPr>
            </w:pPr>
            <w:r w:rsidRPr="005B5AD4">
              <w:rPr>
                <w:rFonts w:eastAsia="Times New Roman" w:cs="Arial"/>
                <w:snapToGrid w:val="0"/>
                <w:szCs w:val="20"/>
              </w:rPr>
              <w:t>Rejected</w:t>
            </w:r>
          </w:p>
        </w:tc>
      </w:tr>
      <w:tr w:rsidR="00F51514" w:rsidRPr="00146B5E" w:rsidTr="005B5AD4">
        <w:trPr>
          <w:cantSplit/>
        </w:trPr>
        <w:tc>
          <w:tcPr>
            <w:tcW w:w="1026" w:type="pct"/>
            <w:vAlign w:val="center"/>
          </w:tcPr>
          <w:p w:rsidR="00484797" w:rsidRPr="005B5AD4" w:rsidRDefault="00484797" w:rsidP="00397BFD">
            <w:pPr>
              <w:pStyle w:val="TableText0"/>
              <w:rPr>
                <w:szCs w:val="20"/>
              </w:rPr>
            </w:pPr>
            <w:r w:rsidRPr="005B5AD4">
              <w:rPr>
                <w:szCs w:val="20"/>
              </w:rPr>
              <w:t>November 2007</w:t>
            </w:r>
          </w:p>
        </w:tc>
        <w:tc>
          <w:tcPr>
            <w:tcW w:w="2695" w:type="pct"/>
            <w:vAlign w:val="center"/>
          </w:tcPr>
          <w:p w:rsidR="00484797" w:rsidRPr="005B5AD4" w:rsidRDefault="005A3929" w:rsidP="00397BFD">
            <w:pPr>
              <w:pStyle w:val="TableText0"/>
              <w:rPr>
                <w:rFonts w:eastAsia="Times New Roman" w:cs="Arial"/>
                <w:snapToGrid w:val="0"/>
                <w:szCs w:val="20"/>
              </w:rPr>
            </w:pPr>
            <w:r w:rsidRPr="005B5AD4">
              <w:rPr>
                <w:rFonts w:cs="Arial"/>
                <w:szCs w:val="20"/>
              </w:rPr>
              <w:t>Treatment of moderate to severe spasticity of the upper limb in adults following a stroke as an adjunct to physical therapy.</w:t>
            </w:r>
          </w:p>
        </w:tc>
        <w:tc>
          <w:tcPr>
            <w:tcW w:w="1279" w:type="pct"/>
            <w:vAlign w:val="center"/>
          </w:tcPr>
          <w:p w:rsidR="00484797" w:rsidRPr="005B5AD4" w:rsidRDefault="0091760A" w:rsidP="00397BFD">
            <w:pPr>
              <w:pStyle w:val="TableText0"/>
              <w:rPr>
                <w:rFonts w:eastAsia="Times New Roman" w:cs="Arial"/>
                <w:snapToGrid w:val="0"/>
                <w:szCs w:val="20"/>
              </w:rPr>
            </w:pPr>
            <w:r w:rsidRPr="005B5AD4">
              <w:rPr>
                <w:szCs w:val="20"/>
              </w:rPr>
              <w:t>Recommended; maximum number of treatments is 4 per upper limb and per lifetime.</w:t>
            </w:r>
          </w:p>
        </w:tc>
      </w:tr>
      <w:tr w:rsidR="00F51514" w:rsidRPr="00146B5E" w:rsidTr="005B5AD4">
        <w:trPr>
          <w:cantSplit/>
        </w:trPr>
        <w:tc>
          <w:tcPr>
            <w:tcW w:w="1026" w:type="pct"/>
            <w:vAlign w:val="center"/>
          </w:tcPr>
          <w:p w:rsidR="00484797" w:rsidRPr="005B5AD4" w:rsidRDefault="0091760A" w:rsidP="00397BFD">
            <w:pPr>
              <w:pStyle w:val="TableText0"/>
              <w:rPr>
                <w:szCs w:val="20"/>
              </w:rPr>
            </w:pPr>
            <w:r w:rsidRPr="005B5AD4">
              <w:rPr>
                <w:szCs w:val="20"/>
              </w:rPr>
              <w:t>November 2018</w:t>
            </w:r>
          </w:p>
        </w:tc>
        <w:tc>
          <w:tcPr>
            <w:tcW w:w="2695" w:type="pct"/>
            <w:vAlign w:val="center"/>
          </w:tcPr>
          <w:p w:rsidR="00484797" w:rsidRPr="005B5AD4" w:rsidRDefault="0091760A" w:rsidP="00397BFD">
            <w:pPr>
              <w:pStyle w:val="TableText0"/>
              <w:rPr>
                <w:rFonts w:eastAsia="Times New Roman" w:cs="Arial"/>
                <w:snapToGrid w:val="0"/>
                <w:szCs w:val="20"/>
              </w:rPr>
            </w:pPr>
            <w:r w:rsidRPr="005B5AD4">
              <w:rPr>
                <w:szCs w:val="20"/>
              </w:rPr>
              <w:t xml:space="preserve">Treatment of adults with </w:t>
            </w:r>
            <w:r w:rsidR="00F51514" w:rsidRPr="005B5AD4">
              <w:rPr>
                <w:rFonts w:cs="Calibri"/>
                <w:szCs w:val="20"/>
              </w:rPr>
              <w:t>lower limb focal spasticity</w:t>
            </w:r>
            <w:r w:rsidRPr="005B5AD4">
              <w:rPr>
                <w:szCs w:val="20"/>
              </w:rPr>
              <w:t>, following an acute event that occurred ≤2 years prior to treatment.</w:t>
            </w:r>
            <w:r w:rsidR="00A87288" w:rsidRPr="005B5AD4">
              <w:rPr>
                <w:szCs w:val="20"/>
              </w:rPr>
              <w:t xml:space="preserve"> </w:t>
            </w:r>
          </w:p>
        </w:tc>
        <w:tc>
          <w:tcPr>
            <w:tcW w:w="1279" w:type="pct"/>
            <w:vAlign w:val="center"/>
          </w:tcPr>
          <w:p w:rsidR="00484797" w:rsidRPr="005B5AD4" w:rsidRDefault="0091760A" w:rsidP="00397BFD">
            <w:pPr>
              <w:pStyle w:val="TableText0"/>
              <w:rPr>
                <w:rFonts w:eastAsia="Times New Roman" w:cs="Arial"/>
                <w:snapToGrid w:val="0"/>
                <w:szCs w:val="20"/>
              </w:rPr>
            </w:pPr>
            <w:r w:rsidRPr="005B5AD4">
              <w:rPr>
                <w:rFonts w:eastAsia="Times New Roman" w:cs="Arial"/>
                <w:snapToGrid w:val="0"/>
                <w:szCs w:val="20"/>
              </w:rPr>
              <w:t>Rejected</w:t>
            </w:r>
          </w:p>
        </w:tc>
      </w:tr>
      <w:tr w:rsidR="00F51514" w:rsidRPr="00146B5E" w:rsidTr="005B5AD4">
        <w:trPr>
          <w:cantSplit/>
        </w:trPr>
        <w:tc>
          <w:tcPr>
            <w:tcW w:w="1026" w:type="pct"/>
            <w:vAlign w:val="center"/>
          </w:tcPr>
          <w:p w:rsidR="00484797" w:rsidRPr="005B5AD4" w:rsidRDefault="008349FE" w:rsidP="00397BFD">
            <w:pPr>
              <w:pStyle w:val="TableText0"/>
              <w:rPr>
                <w:szCs w:val="20"/>
              </w:rPr>
            </w:pPr>
            <w:r w:rsidRPr="005B5AD4">
              <w:rPr>
                <w:szCs w:val="20"/>
              </w:rPr>
              <w:t>November 2018</w:t>
            </w:r>
          </w:p>
        </w:tc>
        <w:tc>
          <w:tcPr>
            <w:tcW w:w="2695" w:type="pct"/>
            <w:vAlign w:val="center"/>
          </w:tcPr>
          <w:p w:rsidR="00484797" w:rsidRPr="005B5AD4" w:rsidRDefault="0091760A" w:rsidP="00397BFD">
            <w:pPr>
              <w:pStyle w:val="TableText0"/>
              <w:rPr>
                <w:rFonts w:eastAsia="Times New Roman" w:cs="Arial"/>
                <w:snapToGrid w:val="0"/>
                <w:szCs w:val="20"/>
              </w:rPr>
            </w:pPr>
            <w:r w:rsidRPr="005B5AD4">
              <w:rPr>
                <w:szCs w:val="20"/>
              </w:rPr>
              <w:t xml:space="preserve">Extension of PBS listing to adult patients with non-stroke </w:t>
            </w:r>
            <w:r w:rsidR="00D67A44" w:rsidRPr="005B5AD4">
              <w:rPr>
                <w:szCs w:val="20"/>
              </w:rPr>
              <w:t>upper limb focal spasticity</w:t>
            </w:r>
            <w:r w:rsidRPr="005B5AD4">
              <w:rPr>
                <w:szCs w:val="20"/>
              </w:rPr>
              <w:t>.</w:t>
            </w:r>
            <w:r w:rsidR="00A87288" w:rsidRPr="005B5AD4">
              <w:rPr>
                <w:szCs w:val="20"/>
              </w:rPr>
              <w:t xml:space="preserve"> </w:t>
            </w:r>
            <w:r w:rsidRPr="005B5AD4">
              <w:rPr>
                <w:szCs w:val="20"/>
              </w:rPr>
              <w:t>Requested removal of the maximum limit of four-treatments per limb per lifetime restriction.</w:t>
            </w:r>
          </w:p>
        </w:tc>
        <w:tc>
          <w:tcPr>
            <w:tcW w:w="1279" w:type="pct"/>
            <w:vAlign w:val="center"/>
          </w:tcPr>
          <w:p w:rsidR="00484797" w:rsidRPr="005B5AD4" w:rsidRDefault="0091760A" w:rsidP="00397BFD">
            <w:pPr>
              <w:pStyle w:val="TableText0"/>
              <w:rPr>
                <w:rFonts w:eastAsia="Times New Roman" w:cs="Arial"/>
                <w:snapToGrid w:val="0"/>
                <w:szCs w:val="20"/>
              </w:rPr>
            </w:pPr>
            <w:r w:rsidRPr="005B5AD4">
              <w:rPr>
                <w:rFonts w:eastAsia="Times New Roman" w:cs="Arial"/>
                <w:snapToGrid w:val="0"/>
                <w:szCs w:val="20"/>
              </w:rPr>
              <w:t>Rejected</w:t>
            </w:r>
          </w:p>
        </w:tc>
      </w:tr>
      <w:tr w:rsidR="00F51514" w:rsidRPr="00146B5E" w:rsidTr="005B5AD4">
        <w:trPr>
          <w:cantSplit/>
        </w:trPr>
        <w:tc>
          <w:tcPr>
            <w:tcW w:w="1026" w:type="pct"/>
            <w:vAlign w:val="center"/>
          </w:tcPr>
          <w:p w:rsidR="00062D1A" w:rsidRPr="005B5AD4" w:rsidRDefault="00062D1A" w:rsidP="00397BFD">
            <w:pPr>
              <w:pStyle w:val="TableText0"/>
              <w:rPr>
                <w:szCs w:val="20"/>
              </w:rPr>
            </w:pPr>
            <w:r w:rsidRPr="005B5AD4">
              <w:rPr>
                <w:szCs w:val="20"/>
              </w:rPr>
              <w:t xml:space="preserve">March 2019 </w:t>
            </w:r>
          </w:p>
          <w:p w:rsidR="00062D1A" w:rsidRPr="005B5AD4" w:rsidRDefault="00062D1A" w:rsidP="00397BFD">
            <w:pPr>
              <w:pStyle w:val="TableText0"/>
              <w:rPr>
                <w:szCs w:val="20"/>
              </w:rPr>
            </w:pPr>
            <w:r w:rsidRPr="005B5AD4">
              <w:rPr>
                <w:szCs w:val="20"/>
              </w:rPr>
              <w:t>(minor resubmission)</w:t>
            </w:r>
          </w:p>
        </w:tc>
        <w:tc>
          <w:tcPr>
            <w:tcW w:w="2695" w:type="pct"/>
            <w:vAlign w:val="center"/>
          </w:tcPr>
          <w:p w:rsidR="00062D1A" w:rsidRPr="005B5AD4" w:rsidRDefault="00062D1A" w:rsidP="00397BFD">
            <w:pPr>
              <w:pStyle w:val="TableText0"/>
              <w:rPr>
                <w:szCs w:val="20"/>
              </w:rPr>
            </w:pPr>
            <w:r w:rsidRPr="005B5AD4">
              <w:rPr>
                <w:szCs w:val="20"/>
              </w:rPr>
              <w:t>As per November 2018 for upper limb.</w:t>
            </w:r>
            <w:r w:rsidRPr="005B5AD4">
              <w:rPr>
                <w:rFonts w:cs="Calibri"/>
                <w:szCs w:val="20"/>
              </w:rPr>
              <w:t xml:space="preserve"> </w:t>
            </w:r>
          </w:p>
        </w:tc>
        <w:tc>
          <w:tcPr>
            <w:tcW w:w="1279" w:type="pct"/>
            <w:vAlign w:val="center"/>
          </w:tcPr>
          <w:p w:rsidR="00062D1A" w:rsidRPr="005B5AD4" w:rsidRDefault="00062D1A" w:rsidP="00397BFD">
            <w:pPr>
              <w:pStyle w:val="TableText0"/>
              <w:rPr>
                <w:rFonts w:eastAsia="Times New Roman" w:cs="Arial"/>
                <w:snapToGrid w:val="0"/>
                <w:szCs w:val="20"/>
              </w:rPr>
            </w:pPr>
            <w:r w:rsidRPr="005B5AD4">
              <w:rPr>
                <w:rFonts w:eastAsia="Times New Roman" w:cs="Arial"/>
                <w:snapToGrid w:val="0"/>
                <w:szCs w:val="20"/>
              </w:rPr>
              <w:t>Recommended</w:t>
            </w:r>
          </w:p>
        </w:tc>
      </w:tr>
      <w:tr w:rsidR="00F51514" w:rsidRPr="00146B5E" w:rsidTr="005B5AD4">
        <w:trPr>
          <w:cantSplit/>
        </w:trPr>
        <w:tc>
          <w:tcPr>
            <w:tcW w:w="1026" w:type="pct"/>
            <w:vAlign w:val="center"/>
          </w:tcPr>
          <w:p w:rsidR="00484797" w:rsidRPr="005B5AD4" w:rsidRDefault="00484797" w:rsidP="00397BFD">
            <w:pPr>
              <w:pStyle w:val="TableText0"/>
              <w:rPr>
                <w:szCs w:val="20"/>
              </w:rPr>
            </w:pPr>
            <w:r w:rsidRPr="005B5AD4">
              <w:rPr>
                <w:szCs w:val="20"/>
              </w:rPr>
              <w:t>July 2019</w:t>
            </w:r>
          </w:p>
          <w:p w:rsidR="00AE1E83" w:rsidRPr="005B5AD4" w:rsidRDefault="00AE1E83" w:rsidP="00397BFD">
            <w:pPr>
              <w:pStyle w:val="TableText0"/>
              <w:rPr>
                <w:szCs w:val="20"/>
              </w:rPr>
            </w:pPr>
            <w:r w:rsidRPr="005B5AD4">
              <w:rPr>
                <w:szCs w:val="20"/>
              </w:rPr>
              <w:t>(resubmission)</w:t>
            </w:r>
          </w:p>
        </w:tc>
        <w:tc>
          <w:tcPr>
            <w:tcW w:w="2695" w:type="pct"/>
            <w:vAlign w:val="center"/>
          </w:tcPr>
          <w:p w:rsidR="00484797" w:rsidRPr="005B5AD4" w:rsidRDefault="00484797" w:rsidP="00397BFD">
            <w:pPr>
              <w:pStyle w:val="TableText0"/>
              <w:rPr>
                <w:rFonts w:eastAsia="Times New Roman" w:cs="Arial"/>
                <w:snapToGrid w:val="0"/>
                <w:szCs w:val="20"/>
              </w:rPr>
            </w:pPr>
            <w:r w:rsidRPr="005B5AD4">
              <w:rPr>
                <w:szCs w:val="20"/>
              </w:rPr>
              <w:t xml:space="preserve">Treatment of adult patients with moderate to severe spasticity of the lower limb following </w:t>
            </w:r>
            <w:r w:rsidR="00AE1E83" w:rsidRPr="005B5AD4">
              <w:rPr>
                <w:szCs w:val="20"/>
              </w:rPr>
              <w:t>an acute event</w:t>
            </w:r>
            <w:r w:rsidRPr="005B5AD4">
              <w:rPr>
                <w:szCs w:val="20"/>
              </w:rPr>
              <w:t>.</w:t>
            </w:r>
          </w:p>
        </w:tc>
        <w:tc>
          <w:tcPr>
            <w:tcW w:w="1279" w:type="pct"/>
            <w:vAlign w:val="center"/>
          </w:tcPr>
          <w:p w:rsidR="00484797" w:rsidRPr="005B5AD4" w:rsidRDefault="00484797" w:rsidP="00397BFD">
            <w:pPr>
              <w:pStyle w:val="TableText0"/>
              <w:rPr>
                <w:rFonts w:eastAsia="Times New Roman" w:cs="Arial"/>
                <w:snapToGrid w:val="0"/>
                <w:szCs w:val="20"/>
              </w:rPr>
            </w:pPr>
            <w:r w:rsidRPr="005B5AD4">
              <w:rPr>
                <w:rFonts w:eastAsia="Times New Roman" w:cs="Arial"/>
                <w:snapToGrid w:val="0"/>
                <w:szCs w:val="20"/>
              </w:rPr>
              <w:t>Recommended</w:t>
            </w:r>
          </w:p>
        </w:tc>
      </w:tr>
      <w:tr w:rsidR="00F51514" w:rsidRPr="00146B5E" w:rsidTr="005B5AD4">
        <w:trPr>
          <w:cantSplit/>
        </w:trPr>
        <w:tc>
          <w:tcPr>
            <w:tcW w:w="5000" w:type="pct"/>
            <w:gridSpan w:val="3"/>
            <w:vAlign w:val="center"/>
          </w:tcPr>
          <w:p w:rsidR="00D75222" w:rsidRPr="005B5AD4" w:rsidRDefault="006C23C2" w:rsidP="007934D9">
            <w:pPr>
              <w:pStyle w:val="TableText0"/>
              <w:widowControl w:val="0"/>
              <w:rPr>
                <w:rFonts w:eastAsia="Times New Roman" w:cs="Arial"/>
                <w:b/>
                <w:snapToGrid w:val="0"/>
                <w:szCs w:val="20"/>
              </w:rPr>
            </w:pPr>
            <w:r w:rsidRPr="005B5AD4">
              <w:rPr>
                <w:rFonts w:eastAsia="Times New Roman" w:cs="Arial"/>
                <w:b/>
                <w:snapToGrid w:val="0"/>
                <w:szCs w:val="20"/>
              </w:rPr>
              <w:t>Botox</w:t>
            </w:r>
            <w:r w:rsidRPr="005B5AD4">
              <w:rPr>
                <w:rFonts w:eastAsia="Times New Roman" w:cs="Arial"/>
                <w:b/>
                <w:snapToGrid w:val="0"/>
                <w:szCs w:val="20"/>
                <w:vertAlign w:val="superscript"/>
              </w:rPr>
              <w:t>®</w:t>
            </w:r>
            <w:r w:rsidR="00D75222" w:rsidRPr="005B5AD4">
              <w:rPr>
                <w:rFonts w:eastAsia="Times New Roman" w:cs="Arial"/>
                <w:b/>
                <w:snapToGrid w:val="0"/>
                <w:szCs w:val="20"/>
              </w:rPr>
              <w:t xml:space="preserve"> submissions</w:t>
            </w:r>
          </w:p>
        </w:tc>
      </w:tr>
      <w:tr w:rsidR="00F51514" w:rsidRPr="00146B5E" w:rsidTr="005B5AD4">
        <w:trPr>
          <w:cantSplit/>
        </w:trPr>
        <w:tc>
          <w:tcPr>
            <w:tcW w:w="1026" w:type="pct"/>
            <w:vAlign w:val="center"/>
          </w:tcPr>
          <w:p w:rsidR="00484797" w:rsidRPr="005B5AD4" w:rsidRDefault="003632F5" w:rsidP="00397BFD">
            <w:pPr>
              <w:pStyle w:val="TableText0"/>
              <w:rPr>
                <w:szCs w:val="20"/>
              </w:rPr>
            </w:pPr>
            <w:r w:rsidRPr="005B5AD4">
              <w:rPr>
                <w:szCs w:val="20"/>
              </w:rPr>
              <w:t>November 2005</w:t>
            </w:r>
          </w:p>
        </w:tc>
        <w:tc>
          <w:tcPr>
            <w:tcW w:w="2695" w:type="pct"/>
            <w:vAlign w:val="center"/>
          </w:tcPr>
          <w:p w:rsidR="00484797" w:rsidRPr="005B5AD4" w:rsidRDefault="0091760A" w:rsidP="00397BFD">
            <w:pPr>
              <w:pStyle w:val="TableText0"/>
              <w:rPr>
                <w:rFonts w:eastAsia="Times New Roman" w:cs="Arial"/>
                <w:snapToGrid w:val="0"/>
                <w:szCs w:val="20"/>
              </w:rPr>
            </w:pPr>
            <w:r w:rsidRPr="005B5AD4">
              <w:rPr>
                <w:szCs w:val="20"/>
              </w:rPr>
              <w:t>Treatment of focal spasticity in adults</w:t>
            </w:r>
          </w:p>
        </w:tc>
        <w:tc>
          <w:tcPr>
            <w:tcW w:w="1279" w:type="pct"/>
            <w:vAlign w:val="center"/>
          </w:tcPr>
          <w:p w:rsidR="00484797" w:rsidRPr="005B5AD4" w:rsidRDefault="0091760A" w:rsidP="00397BFD">
            <w:pPr>
              <w:pStyle w:val="TableText0"/>
              <w:rPr>
                <w:rFonts w:eastAsia="Times New Roman" w:cs="Arial"/>
                <w:snapToGrid w:val="0"/>
                <w:szCs w:val="20"/>
              </w:rPr>
            </w:pPr>
            <w:r w:rsidRPr="005B5AD4">
              <w:rPr>
                <w:rFonts w:eastAsia="Times New Roman" w:cs="Arial"/>
                <w:snapToGrid w:val="0"/>
                <w:szCs w:val="20"/>
              </w:rPr>
              <w:t>Rejected</w:t>
            </w:r>
          </w:p>
        </w:tc>
      </w:tr>
      <w:tr w:rsidR="00F51514" w:rsidRPr="00146B5E" w:rsidTr="005B5AD4">
        <w:trPr>
          <w:cantSplit/>
        </w:trPr>
        <w:tc>
          <w:tcPr>
            <w:tcW w:w="1026" w:type="pct"/>
            <w:vAlign w:val="center"/>
          </w:tcPr>
          <w:p w:rsidR="00484797" w:rsidRPr="005B5AD4" w:rsidRDefault="003632F5" w:rsidP="00397BFD">
            <w:pPr>
              <w:pStyle w:val="TableText0"/>
              <w:rPr>
                <w:szCs w:val="20"/>
              </w:rPr>
            </w:pPr>
            <w:r w:rsidRPr="005B5AD4">
              <w:rPr>
                <w:szCs w:val="20"/>
              </w:rPr>
              <w:t>July 2006 (resubmission)</w:t>
            </w:r>
          </w:p>
        </w:tc>
        <w:tc>
          <w:tcPr>
            <w:tcW w:w="2695" w:type="pct"/>
            <w:vAlign w:val="center"/>
          </w:tcPr>
          <w:p w:rsidR="00484797" w:rsidRPr="005B5AD4" w:rsidRDefault="0091760A" w:rsidP="00397BFD">
            <w:pPr>
              <w:pStyle w:val="TableText0"/>
              <w:rPr>
                <w:rFonts w:eastAsia="Times New Roman" w:cs="Arial"/>
                <w:snapToGrid w:val="0"/>
                <w:szCs w:val="20"/>
              </w:rPr>
            </w:pPr>
            <w:r w:rsidRPr="005B5AD4">
              <w:rPr>
                <w:szCs w:val="20"/>
              </w:rPr>
              <w:t>Treatment of focal spasticity in the upper or lower limb of adults who have failed other treatments.</w:t>
            </w:r>
          </w:p>
        </w:tc>
        <w:tc>
          <w:tcPr>
            <w:tcW w:w="1279" w:type="pct"/>
            <w:vAlign w:val="center"/>
          </w:tcPr>
          <w:p w:rsidR="00484797" w:rsidRPr="005B5AD4" w:rsidRDefault="0091760A" w:rsidP="00397BFD">
            <w:pPr>
              <w:pStyle w:val="TableText0"/>
              <w:rPr>
                <w:rFonts w:eastAsia="Times New Roman" w:cs="Arial"/>
                <w:snapToGrid w:val="0"/>
                <w:szCs w:val="20"/>
              </w:rPr>
            </w:pPr>
            <w:r w:rsidRPr="005B5AD4">
              <w:rPr>
                <w:rFonts w:eastAsia="Times New Roman" w:cs="Arial"/>
                <w:snapToGrid w:val="0"/>
                <w:szCs w:val="20"/>
              </w:rPr>
              <w:t>Rejected</w:t>
            </w:r>
          </w:p>
        </w:tc>
      </w:tr>
      <w:tr w:rsidR="00F51514" w:rsidRPr="00146B5E" w:rsidTr="005B5AD4">
        <w:trPr>
          <w:cantSplit/>
        </w:trPr>
        <w:tc>
          <w:tcPr>
            <w:tcW w:w="1026" w:type="pct"/>
            <w:vAlign w:val="center"/>
          </w:tcPr>
          <w:p w:rsidR="0091760A" w:rsidRPr="005B5AD4" w:rsidRDefault="0091760A" w:rsidP="00397BFD">
            <w:pPr>
              <w:pStyle w:val="TableText0"/>
              <w:rPr>
                <w:szCs w:val="20"/>
              </w:rPr>
            </w:pPr>
            <w:r w:rsidRPr="005B5AD4">
              <w:rPr>
                <w:szCs w:val="20"/>
              </w:rPr>
              <w:t>July 2008 (resubmission)</w:t>
            </w:r>
          </w:p>
        </w:tc>
        <w:tc>
          <w:tcPr>
            <w:tcW w:w="2695" w:type="pct"/>
          </w:tcPr>
          <w:p w:rsidR="0091760A" w:rsidRPr="005B5AD4" w:rsidRDefault="0091760A" w:rsidP="00397BFD">
            <w:pPr>
              <w:pStyle w:val="TableText0"/>
              <w:rPr>
                <w:rFonts w:eastAsia="Times New Roman" w:cs="Arial"/>
                <w:snapToGrid w:val="0"/>
                <w:szCs w:val="20"/>
              </w:rPr>
            </w:pPr>
            <w:r w:rsidRPr="005B5AD4">
              <w:rPr>
                <w:szCs w:val="20"/>
              </w:rPr>
              <w:t>Treatment of moderate to severe spasticity of the upper limb in adults following a stroke, as second line therapy when standard management has failed or as an adjunct to physical therapy.</w:t>
            </w:r>
          </w:p>
        </w:tc>
        <w:tc>
          <w:tcPr>
            <w:tcW w:w="1279" w:type="pct"/>
            <w:vAlign w:val="center"/>
          </w:tcPr>
          <w:p w:rsidR="0091760A" w:rsidRPr="005B5AD4" w:rsidRDefault="0091760A" w:rsidP="00397BFD">
            <w:pPr>
              <w:pStyle w:val="TableText0"/>
              <w:rPr>
                <w:rFonts w:eastAsia="Times New Roman" w:cs="Arial"/>
                <w:snapToGrid w:val="0"/>
                <w:szCs w:val="20"/>
              </w:rPr>
            </w:pPr>
            <w:r w:rsidRPr="005B5AD4">
              <w:rPr>
                <w:szCs w:val="20"/>
              </w:rPr>
              <w:t>Recommended; maximum number of treatments is 4 per upper limb and per lifetime.</w:t>
            </w:r>
          </w:p>
        </w:tc>
      </w:tr>
      <w:tr w:rsidR="00F51514" w:rsidRPr="00146B5E" w:rsidTr="005B5AD4">
        <w:trPr>
          <w:cantSplit/>
        </w:trPr>
        <w:tc>
          <w:tcPr>
            <w:tcW w:w="1026" w:type="pct"/>
            <w:vAlign w:val="center"/>
          </w:tcPr>
          <w:p w:rsidR="0091760A" w:rsidRPr="005B5AD4" w:rsidRDefault="0091760A" w:rsidP="00397BFD">
            <w:pPr>
              <w:pStyle w:val="TableText0"/>
              <w:rPr>
                <w:szCs w:val="20"/>
              </w:rPr>
            </w:pPr>
            <w:r w:rsidRPr="005B5AD4">
              <w:rPr>
                <w:szCs w:val="20"/>
              </w:rPr>
              <w:t>July 2008 (resubmission)</w:t>
            </w:r>
          </w:p>
        </w:tc>
        <w:tc>
          <w:tcPr>
            <w:tcW w:w="2695" w:type="pct"/>
            <w:vAlign w:val="center"/>
          </w:tcPr>
          <w:p w:rsidR="0091760A" w:rsidRPr="005B5AD4" w:rsidRDefault="0091760A" w:rsidP="00397BFD">
            <w:pPr>
              <w:pStyle w:val="TableText0"/>
              <w:rPr>
                <w:rFonts w:eastAsia="Times New Roman" w:cs="Arial"/>
                <w:snapToGrid w:val="0"/>
                <w:szCs w:val="20"/>
              </w:rPr>
            </w:pPr>
            <w:r w:rsidRPr="005B5AD4">
              <w:rPr>
                <w:szCs w:val="20"/>
              </w:rPr>
              <w:t>Treatment of moderate to severe spasticity of the lower limb in ambulatory adults following a stroke as second line therapy when standard management has failed or as adjunct to physical therapy.</w:t>
            </w:r>
          </w:p>
        </w:tc>
        <w:tc>
          <w:tcPr>
            <w:tcW w:w="1279" w:type="pct"/>
            <w:vAlign w:val="center"/>
          </w:tcPr>
          <w:p w:rsidR="0091760A" w:rsidRPr="005B5AD4" w:rsidRDefault="0091760A" w:rsidP="00397BFD">
            <w:pPr>
              <w:pStyle w:val="TableText0"/>
              <w:rPr>
                <w:rFonts w:eastAsia="Times New Roman" w:cs="Arial"/>
                <w:snapToGrid w:val="0"/>
                <w:szCs w:val="20"/>
              </w:rPr>
            </w:pPr>
            <w:r w:rsidRPr="005B5AD4">
              <w:rPr>
                <w:rFonts w:eastAsia="Times New Roman" w:cs="Arial"/>
                <w:snapToGrid w:val="0"/>
                <w:szCs w:val="20"/>
              </w:rPr>
              <w:t>Rejected</w:t>
            </w:r>
          </w:p>
        </w:tc>
      </w:tr>
      <w:tr w:rsidR="00EF3E3B" w:rsidRPr="00146B5E" w:rsidTr="005B5AD4">
        <w:trPr>
          <w:cantSplit/>
        </w:trPr>
        <w:tc>
          <w:tcPr>
            <w:tcW w:w="1026" w:type="pct"/>
            <w:vAlign w:val="center"/>
          </w:tcPr>
          <w:p w:rsidR="00EF3E3B" w:rsidRPr="005B5AD4" w:rsidRDefault="00EF3E3B" w:rsidP="00397BFD">
            <w:pPr>
              <w:pStyle w:val="TableText0"/>
              <w:rPr>
                <w:szCs w:val="20"/>
              </w:rPr>
            </w:pPr>
            <w:r w:rsidRPr="005B5AD4">
              <w:rPr>
                <w:szCs w:val="20"/>
              </w:rPr>
              <w:t>November 2008</w:t>
            </w:r>
          </w:p>
        </w:tc>
        <w:tc>
          <w:tcPr>
            <w:tcW w:w="2695" w:type="pct"/>
            <w:vAlign w:val="center"/>
          </w:tcPr>
          <w:p w:rsidR="00EF3E3B" w:rsidRPr="005B5AD4" w:rsidRDefault="00EF3E3B" w:rsidP="00397BFD">
            <w:pPr>
              <w:pStyle w:val="TableText0"/>
              <w:rPr>
                <w:szCs w:val="20"/>
              </w:rPr>
            </w:pPr>
            <w:r w:rsidRPr="005B5AD4">
              <w:rPr>
                <w:szCs w:val="20"/>
              </w:rPr>
              <w:t>Treatment of moderate to severe spasticity of the upper limbs of children (2 years of age or older) with cerebral palsy.</w:t>
            </w:r>
          </w:p>
        </w:tc>
        <w:tc>
          <w:tcPr>
            <w:tcW w:w="1279" w:type="pct"/>
            <w:vAlign w:val="center"/>
          </w:tcPr>
          <w:p w:rsidR="00EF3E3B" w:rsidRPr="005B5AD4" w:rsidRDefault="00EF3E3B" w:rsidP="00397BFD">
            <w:pPr>
              <w:pStyle w:val="TableText0"/>
              <w:rPr>
                <w:rFonts w:eastAsia="Times New Roman" w:cs="Arial"/>
                <w:snapToGrid w:val="0"/>
                <w:szCs w:val="20"/>
              </w:rPr>
            </w:pPr>
            <w:r w:rsidRPr="005B5AD4">
              <w:rPr>
                <w:rFonts w:eastAsia="Times New Roman" w:cs="Arial"/>
                <w:snapToGrid w:val="0"/>
                <w:szCs w:val="20"/>
              </w:rPr>
              <w:t>Recommended</w:t>
            </w:r>
          </w:p>
        </w:tc>
      </w:tr>
      <w:tr w:rsidR="00F51514" w:rsidRPr="00146B5E" w:rsidTr="005B5AD4">
        <w:trPr>
          <w:cantSplit/>
        </w:trPr>
        <w:tc>
          <w:tcPr>
            <w:tcW w:w="1026" w:type="pct"/>
            <w:vAlign w:val="center"/>
          </w:tcPr>
          <w:p w:rsidR="00D67A44" w:rsidRPr="005B5AD4" w:rsidRDefault="0091760A" w:rsidP="00397BFD">
            <w:pPr>
              <w:pStyle w:val="TableText0"/>
              <w:rPr>
                <w:szCs w:val="20"/>
              </w:rPr>
            </w:pPr>
            <w:r w:rsidRPr="005B5AD4">
              <w:rPr>
                <w:szCs w:val="20"/>
              </w:rPr>
              <w:t xml:space="preserve">July 2009 </w:t>
            </w:r>
          </w:p>
          <w:p w:rsidR="0091760A" w:rsidRPr="005B5AD4" w:rsidRDefault="0091760A" w:rsidP="00397BFD">
            <w:pPr>
              <w:pStyle w:val="TableText0"/>
              <w:rPr>
                <w:szCs w:val="20"/>
              </w:rPr>
            </w:pPr>
            <w:r w:rsidRPr="005B5AD4">
              <w:rPr>
                <w:szCs w:val="20"/>
              </w:rPr>
              <w:t>(minor)</w:t>
            </w:r>
          </w:p>
        </w:tc>
        <w:tc>
          <w:tcPr>
            <w:tcW w:w="2695" w:type="pct"/>
            <w:vAlign w:val="center"/>
          </w:tcPr>
          <w:p w:rsidR="0091760A" w:rsidRPr="005B5AD4" w:rsidRDefault="0091760A" w:rsidP="00397BFD">
            <w:pPr>
              <w:pStyle w:val="TableText0"/>
              <w:rPr>
                <w:rFonts w:eastAsia="Times New Roman" w:cs="Arial"/>
                <w:snapToGrid w:val="0"/>
                <w:szCs w:val="20"/>
              </w:rPr>
            </w:pPr>
            <w:r w:rsidRPr="005B5AD4">
              <w:rPr>
                <w:szCs w:val="20"/>
              </w:rPr>
              <w:t>Treatment of moderate to severe spasticity of the upper limb in adults with multiple sclerosis, traumatic brain injury and spinal cord injury as an adjunct to physical therapy.</w:t>
            </w:r>
            <w:r w:rsidR="00A87288" w:rsidRPr="005B5AD4">
              <w:rPr>
                <w:szCs w:val="20"/>
              </w:rPr>
              <w:t xml:space="preserve"> </w:t>
            </w:r>
          </w:p>
        </w:tc>
        <w:tc>
          <w:tcPr>
            <w:tcW w:w="1279" w:type="pct"/>
            <w:vAlign w:val="center"/>
          </w:tcPr>
          <w:p w:rsidR="0091760A" w:rsidRPr="005B5AD4" w:rsidRDefault="0091760A" w:rsidP="00397BFD">
            <w:pPr>
              <w:pStyle w:val="TableText0"/>
              <w:rPr>
                <w:rFonts w:eastAsia="Times New Roman" w:cs="Arial"/>
                <w:snapToGrid w:val="0"/>
                <w:szCs w:val="20"/>
              </w:rPr>
            </w:pPr>
            <w:r w:rsidRPr="005B5AD4">
              <w:rPr>
                <w:rFonts w:eastAsia="Times New Roman" w:cs="Arial"/>
                <w:snapToGrid w:val="0"/>
                <w:szCs w:val="20"/>
              </w:rPr>
              <w:t>Rejected</w:t>
            </w:r>
          </w:p>
        </w:tc>
      </w:tr>
      <w:tr w:rsidR="00F51514" w:rsidRPr="00146B5E" w:rsidTr="005B5AD4">
        <w:trPr>
          <w:cantSplit/>
        </w:trPr>
        <w:tc>
          <w:tcPr>
            <w:tcW w:w="1026" w:type="pct"/>
            <w:vAlign w:val="center"/>
          </w:tcPr>
          <w:p w:rsidR="0091760A" w:rsidRPr="005B5AD4" w:rsidRDefault="0091760A" w:rsidP="00397BFD">
            <w:pPr>
              <w:pStyle w:val="TableText0"/>
              <w:rPr>
                <w:szCs w:val="20"/>
              </w:rPr>
            </w:pPr>
            <w:r w:rsidRPr="005B5AD4">
              <w:rPr>
                <w:szCs w:val="20"/>
              </w:rPr>
              <w:t>November 2018</w:t>
            </w:r>
          </w:p>
        </w:tc>
        <w:tc>
          <w:tcPr>
            <w:tcW w:w="2695" w:type="pct"/>
            <w:vAlign w:val="center"/>
          </w:tcPr>
          <w:p w:rsidR="0091760A" w:rsidRPr="005B5AD4" w:rsidRDefault="0091760A" w:rsidP="00397BFD">
            <w:pPr>
              <w:pStyle w:val="TableText0"/>
              <w:rPr>
                <w:rFonts w:eastAsia="Times New Roman" w:cs="Arial"/>
                <w:snapToGrid w:val="0"/>
                <w:szCs w:val="20"/>
              </w:rPr>
            </w:pPr>
            <w:r w:rsidRPr="005B5AD4">
              <w:rPr>
                <w:szCs w:val="20"/>
              </w:rPr>
              <w:t xml:space="preserve">Treatment of adults with </w:t>
            </w:r>
            <w:r w:rsidR="00D67A44" w:rsidRPr="005B5AD4">
              <w:rPr>
                <w:rFonts w:cs="Calibri"/>
                <w:szCs w:val="20"/>
              </w:rPr>
              <w:t>moderate to severe lower limb focal spasticity</w:t>
            </w:r>
            <w:r w:rsidRPr="005B5AD4">
              <w:rPr>
                <w:szCs w:val="20"/>
              </w:rPr>
              <w:t xml:space="preserve"> following </w:t>
            </w:r>
            <w:r w:rsidR="00AE1E83" w:rsidRPr="005B5AD4">
              <w:rPr>
                <w:szCs w:val="20"/>
              </w:rPr>
              <w:t>an acute event</w:t>
            </w:r>
            <w:r w:rsidR="00690C73" w:rsidRPr="005B5AD4">
              <w:rPr>
                <w:szCs w:val="20"/>
              </w:rPr>
              <w:t>.</w:t>
            </w:r>
          </w:p>
        </w:tc>
        <w:tc>
          <w:tcPr>
            <w:tcW w:w="1279" w:type="pct"/>
            <w:vAlign w:val="center"/>
          </w:tcPr>
          <w:p w:rsidR="0091760A" w:rsidRPr="005B5AD4" w:rsidRDefault="00D67A44" w:rsidP="00397BFD">
            <w:pPr>
              <w:pStyle w:val="TableText0"/>
              <w:rPr>
                <w:rFonts w:eastAsia="Times New Roman" w:cs="Arial"/>
                <w:snapToGrid w:val="0"/>
                <w:szCs w:val="20"/>
              </w:rPr>
            </w:pPr>
            <w:r w:rsidRPr="005B5AD4">
              <w:rPr>
                <w:rFonts w:eastAsia="Times New Roman" w:cs="Arial"/>
                <w:snapToGrid w:val="0"/>
                <w:szCs w:val="20"/>
              </w:rPr>
              <w:t>Deferred</w:t>
            </w:r>
          </w:p>
        </w:tc>
      </w:tr>
      <w:tr w:rsidR="00F51514" w:rsidRPr="00146B5E" w:rsidTr="005B5AD4">
        <w:trPr>
          <w:cantSplit/>
        </w:trPr>
        <w:tc>
          <w:tcPr>
            <w:tcW w:w="1026" w:type="pct"/>
            <w:vAlign w:val="center"/>
          </w:tcPr>
          <w:p w:rsidR="0091760A" w:rsidRPr="005B5AD4" w:rsidRDefault="0091760A" w:rsidP="00397BFD">
            <w:pPr>
              <w:pStyle w:val="TableText0"/>
              <w:rPr>
                <w:szCs w:val="20"/>
              </w:rPr>
            </w:pPr>
            <w:r w:rsidRPr="005B5AD4">
              <w:rPr>
                <w:szCs w:val="20"/>
              </w:rPr>
              <w:t>March 2019</w:t>
            </w:r>
          </w:p>
          <w:p w:rsidR="0091760A" w:rsidRPr="005B5AD4" w:rsidRDefault="0091760A" w:rsidP="00397BFD">
            <w:pPr>
              <w:pStyle w:val="TableText0"/>
              <w:rPr>
                <w:szCs w:val="20"/>
              </w:rPr>
            </w:pPr>
            <w:r w:rsidRPr="005B5AD4">
              <w:rPr>
                <w:szCs w:val="20"/>
              </w:rPr>
              <w:t>(minor resubmission)</w:t>
            </w:r>
          </w:p>
        </w:tc>
        <w:tc>
          <w:tcPr>
            <w:tcW w:w="2695" w:type="pct"/>
            <w:vAlign w:val="center"/>
          </w:tcPr>
          <w:p w:rsidR="0091760A" w:rsidRPr="005B5AD4" w:rsidRDefault="0091760A" w:rsidP="00397BFD">
            <w:pPr>
              <w:pStyle w:val="TableText0"/>
              <w:rPr>
                <w:szCs w:val="20"/>
              </w:rPr>
            </w:pPr>
            <w:r w:rsidRPr="005B5AD4">
              <w:rPr>
                <w:szCs w:val="20"/>
              </w:rPr>
              <w:t>Lower limb spasticity following a</w:t>
            </w:r>
            <w:r w:rsidR="00AE1E83" w:rsidRPr="005B5AD4">
              <w:rPr>
                <w:szCs w:val="20"/>
              </w:rPr>
              <w:t>n acute event</w:t>
            </w:r>
            <w:r w:rsidR="00D67A44" w:rsidRPr="005B5AD4">
              <w:rPr>
                <w:szCs w:val="20"/>
              </w:rPr>
              <w:t>.</w:t>
            </w:r>
            <w:r w:rsidRPr="005B5AD4">
              <w:rPr>
                <w:szCs w:val="20"/>
              </w:rPr>
              <w:t xml:space="preserve"> </w:t>
            </w:r>
          </w:p>
        </w:tc>
        <w:tc>
          <w:tcPr>
            <w:tcW w:w="1279" w:type="pct"/>
            <w:vAlign w:val="center"/>
          </w:tcPr>
          <w:p w:rsidR="0091760A" w:rsidRPr="005B5AD4" w:rsidRDefault="0091760A" w:rsidP="00397BFD">
            <w:pPr>
              <w:pStyle w:val="TableText0"/>
              <w:rPr>
                <w:rFonts w:eastAsia="Times New Roman" w:cs="Arial"/>
                <w:snapToGrid w:val="0"/>
                <w:szCs w:val="20"/>
              </w:rPr>
            </w:pPr>
            <w:r w:rsidRPr="005B5AD4">
              <w:rPr>
                <w:rFonts w:eastAsia="Times New Roman" w:cs="Arial"/>
                <w:snapToGrid w:val="0"/>
                <w:szCs w:val="20"/>
              </w:rPr>
              <w:t>Recommended</w:t>
            </w:r>
          </w:p>
        </w:tc>
      </w:tr>
      <w:tr w:rsidR="00F51514" w:rsidRPr="00146B5E" w:rsidTr="005B5AD4">
        <w:trPr>
          <w:cantSplit/>
        </w:trPr>
        <w:tc>
          <w:tcPr>
            <w:tcW w:w="1026" w:type="pct"/>
            <w:vAlign w:val="center"/>
          </w:tcPr>
          <w:p w:rsidR="00D67A44" w:rsidRPr="005B5AD4" w:rsidRDefault="00D67A44" w:rsidP="00397BFD">
            <w:pPr>
              <w:pStyle w:val="TableText0"/>
              <w:rPr>
                <w:szCs w:val="20"/>
              </w:rPr>
            </w:pPr>
            <w:r w:rsidRPr="005B5AD4">
              <w:rPr>
                <w:szCs w:val="20"/>
              </w:rPr>
              <w:t>November 2019</w:t>
            </w:r>
          </w:p>
          <w:p w:rsidR="00D67A44" w:rsidRPr="005B5AD4" w:rsidRDefault="00D67A44" w:rsidP="00397BFD">
            <w:pPr>
              <w:pStyle w:val="TableText0"/>
              <w:rPr>
                <w:szCs w:val="20"/>
              </w:rPr>
            </w:pPr>
            <w:r w:rsidRPr="005B5AD4">
              <w:rPr>
                <w:szCs w:val="20"/>
              </w:rPr>
              <w:t>(minor)</w:t>
            </w:r>
          </w:p>
        </w:tc>
        <w:tc>
          <w:tcPr>
            <w:tcW w:w="2695" w:type="pct"/>
            <w:vAlign w:val="center"/>
          </w:tcPr>
          <w:p w:rsidR="00D67A44" w:rsidRPr="005B5AD4" w:rsidRDefault="00D67A44" w:rsidP="00397BFD">
            <w:pPr>
              <w:pStyle w:val="TableText0"/>
              <w:rPr>
                <w:szCs w:val="20"/>
              </w:rPr>
            </w:pPr>
            <w:r w:rsidRPr="005B5AD4">
              <w:rPr>
                <w:rFonts w:cs="Calibri"/>
                <w:szCs w:val="20"/>
              </w:rPr>
              <w:t xml:space="preserve">Expansion of the current listing for the treatment of moderate to severe focal spasticity of the upper limb following a stroke to also include spasticity following acute events other than stroke. </w:t>
            </w:r>
          </w:p>
        </w:tc>
        <w:tc>
          <w:tcPr>
            <w:tcW w:w="1279" w:type="pct"/>
            <w:vAlign w:val="center"/>
          </w:tcPr>
          <w:p w:rsidR="00D67A44" w:rsidRPr="005B5AD4" w:rsidRDefault="00D67A44" w:rsidP="00397BFD">
            <w:pPr>
              <w:pStyle w:val="TableText0"/>
              <w:rPr>
                <w:rFonts w:eastAsia="Times New Roman" w:cs="Arial"/>
                <w:snapToGrid w:val="0"/>
                <w:szCs w:val="20"/>
              </w:rPr>
            </w:pPr>
            <w:r w:rsidRPr="005B5AD4">
              <w:rPr>
                <w:rFonts w:eastAsia="Times New Roman" w:cs="Arial"/>
                <w:snapToGrid w:val="0"/>
                <w:szCs w:val="20"/>
              </w:rPr>
              <w:t>Recommended</w:t>
            </w:r>
          </w:p>
        </w:tc>
      </w:tr>
    </w:tbl>
    <w:p w:rsidR="009D74BB" w:rsidRPr="00146B5E" w:rsidRDefault="00F51514" w:rsidP="005B5AD4">
      <w:pPr>
        <w:pStyle w:val="TableFigureFooter"/>
      </w:pPr>
      <w:r w:rsidRPr="00146B5E">
        <w:t>Source:</w:t>
      </w:r>
      <w:r w:rsidR="00A87288" w:rsidRPr="00146B5E">
        <w:t xml:space="preserve"> </w:t>
      </w:r>
      <w:r w:rsidRPr="00146B5E">
        <w:t>PSDs for each item from 2005 onward; items prior to 2005 sourced from Table CIC.1, 6.02.COM November 2018.</w:t>
      </w:r>
    </w:p>
    <w:p w:rsidR="009D74BB" w:rsidRPr="005B5AD4" w:rsidRDefault="009D74BB" w:rsidP="005B5AD4">
      <w:pPr>
        <w:pStyle w:val="3-BodyText"/>
        <w:numPr>
          <w:ilvl w:val="0"/>
          <w:numId w:val="0"/>
        </w:numPr>
        <w:spacing w:after="160"/>
        <w:ind w:left="862" w:hanging="142"/>
        <w:rPr>
          <w:i/>
        </w:rPr>
      </w:pPr>
      <w:r w:rsidRPr="00146B5E">
        <w:rPr>
          <w:i/>
        </w:rPr>
        <w:t>For more detail on PBAC’s view, see section 7 PBAC outcome.</w:t>
      </w:r>
    </w:p>
    <w:p w:rsidR="00617E12" w:rsidRPr="00146B5E" w:rsidRDefault="00B50DB8" w:rsidP="00AE1E83">
      <w:pPr>
        <w:pStyle w:val="2-SectionHeading"/>
      </w:pPr>
      <w:bookmarkStart w:id="8" w:name="_Toc40214619"/>
      <w:r w:rsidRPr="00146B5E">
        <w:lastRenderedPageBreak/>
        <w:t>Requested listing</w:t>
      </w:r>
      <w:bookmarkEnd w:id="8"/>
    </w:p>
    <w:tbl>
      <w:tblPr>
        <w:tblW w:w="5000" w:type="pct"/>
        <w:tblBorders>
          <w:top w:val="single" w:sz="4" w:space="0" w:color="auto"/>
          <w:bottom w:val="single" w:sz="4" w:space="0" w:color="auto"/>
          <w:insideH w:val="single" w:sz="4" w:space="0" w:color="auto"/>
        </w:tblBorders>
        <w:tblCellMar>
          <w:left w:w="28" w:type="dxa"/>
          <w:right w:w="28" w:type="dxa"/>
        </w:tblCellMar>
        <w:tblLook w:val="04A0" w:firstRow="1" w:lastRow="0" w:firstColumn="1" w:lastColumn="0" w:noHBand="0" w:noVBand="1"/>
      </w:tblPr>
      <w:tblGrid>
        <w:gridCol w:w="3180"/>
        <w:gridCol w:w="1101"/>
        <w:gridCol w:w="740"/>
        <w:gridCol w:w="2152"/>
        <w:gridCol w:w="1854"/>
      </w:tblGrid>
      <w:tr w:rsidR="00231BAC" w:rsidRPr="005B5AD4" w:rsidTr="005B5AD4">
        <w:tc>
          <w:tcPr>
            <w:tcW w:w="1761" w:type="pct"/>
          </w:tcPr>
          <w:p w:rsidR="00231BAC" w:rsidRPr="005B5AD4" w:rsidRDefault="00231BAC" w:rsidP="00AE1E83">
            <w:pPr>
              <w:pStyle w:val="Tabletext"/>
              <w:keepNext/>
              <w:rPr>
                <w:b/>
                <w:bCs/>
              </w:rPr>
            </w:pPr>
            <w:r w:rsidRPr="005B5AD4">
              <w:rPr>
                <w:b/>
              </w:rPr>
              <w:t>Name, restriction, manner of administration, form</w:t>
            </w:r>
          </w:p>
        </w:tc>
        <w:tc>
          <w:tcPr>
            <w:tcW w:w="610" w:type="pct"/>
          </w:tcPr>
          <w:p w:rsidR="00231BAC" w:rsidRPr="005B5AD4" w:rsidRDefault="00231BAC" w:rsidP="00AE1E83">
            <w:pPr>
              <w:pStyle w:val="Tabletext"/>
              <w:keepNext/>
              <w:jc w:val="center"/>
              <w:rPr>
                <w:b/>
              </w:rPr>
            </w:pPr>
            <w:r w:rsidRPr="005B5AD4">
              <w:rPr>
                <w:b/>
              </w:rPr>
              <w:t xml:space="preserve">Max </w:t>
            </w:r>
          </w:p>
          <w:p w:rsidR="00231BAC" w:rsidRPr="005B5AD4" w:rsidRDefault="00FE21CA" w:rsidP="00AE1E83">
            <w:pPr>
              <w:pStyle w:val="Tabletext"/>
              <w:keepNext/>
              <w:jc w:val="center"/>
              <w:rPr>
                <w:b/>
                <w:bCs/>
              </w:rPr>
            </w:pPr>
            <w:r w:rsidRPr="005B5AD4">
              <w:rPr>
                <w:b/>
              </w:rPr>
              <w:t>qty</w:t>
            </w:r>
            <w:r w:rsidR="00231BAC" w:rsidRPr="005B5AD4">
              <w:rPr>
                <w:b/>
              </w:rPr>
              <w:t xml:space="preserve"> </w:t>
            </w:r>
          </w:p>
        </w:tc>
        <w:tc>
          <w:tcPr>
            <w:tcW w:w="410" w:type="pct"/>
          </w:tcPr>
          <w:p w:rsidR="00231BAC" w:rsidRPr="005B5AD4" w:rsidRDefault="00231BAC" w:rsidP="00AE1E83">
            <w:pPr>
              <w:pStyle w:val="Tabletext"/>
              <w:keepNext/>
              <w:ind w:left="-36"/>
              <w:rPr>
                <w:b/>
                <w:bCs/>
              </w:rPr>
            </w:pPr>
            <w:r w:rsidRPr="005B5AD4">
              <w:rPr>
                <w:b/>
              </w:rPr>
              <w:t>No. of repeats</w:t>
            </w:r>
          </w:p>
        </w:tc>
        <w:tc>
          <w:tcPr>
            <w:tcW w:w="1192" w:type="pct"/>
          </w:tcPr>
          <w:p w:rsidR="00231BAC" w:rsidRPr="005B5AD4" w:rsidRDefault="00231BAC" w:rsidP="00AE1E83">
            <w:pPr>
              <w:pStyle w:val="Tabletext"/>
              <w:keepNext/>
              <w:ind w:left="300" w:right="-41"/>
              <w:rPr>
                <w:b/>
              </w:rPr>
            </w:pPr>
            <w:r w:rsidRPr="005B5AD4">
              <w:rPr>
                <w:b/>
              </w:rPr>
              <w:t>Dispensed price</w:t>
            </w:r>
          </w:p>
          <w:p w:rsidR="00231BAC" w:rsidRPr="005B5AD4" w:rsidRDefault="00231BAC" w:rsidP="00AE1E83">
            <w:pPr>
              <w:pStyle w:val="Tabletext"/>
              <w:keepNext/>
              <w:ind w:left="300" w:right="-41"/>
              <w:rPr>
                <w:b/>
                <w:bCs/>
              </w:rPr>
            </w:pPr>
            <w:r w:rsidRPr="005B5AD4">
              <w:rPr>
                <w:b/>
              </w:rPr>
              <w:t>for max qty</w:t>
            </w:r>
          </w:p>
        </w:tc>
        <w:tc>
          <w:tcPr>
            <w:tcW w:w="1027" w:type="pct"/>
          </w:tcPr>
          <w:p w:rsidR="00231BAC" w:rsidRPr="005B5AD4" w:rsidRDefault="00231BAC" w:rsidP="00AE1E83">
            <w:pPr>
              <w:pStyle w:val="Tabletext"/>
              <w:keepNext/>
              <w:ind w:left="129"/>
              <w:rPr>
                <w:b/>
                <w:bCs/>
              </w:rPr>
            </w:pPr>
            <w:r w:rsidRPr="005B5AD4">
              <w:rPr>
                <w:b/>
              </w:rPr>
              <w:t>Proprietary name and manufacturer</w:t>
            </w:r>
          </w:p>
        </w:tc>
      </w:tr>
      <w:tr w:rsidR="00231BAC" w:rsidRPr="005B5AD4" w:rsidTr="005B5AD4">
        <w:tc>
          <w:tcPr>
            <w:tcW w:w="1761" w:type="pct"/>
          </w:tcPr>
          <w:p w:rsidR="00231BAC" w:rsidRPr="005B5AD4" w:rsidRDefault="00231BAC" w:rsidP="00C73C19">
            <w:pPr>
              <w:pStyle w:val="Tabletext"/>
              <w:keepNext/>
              <w:rPr>
                <w:b/>
                <w:bCs/>
                <w:iCs/>
              </w:rPr>
            </w:pPr>
            <w:r w:rsidRPr="005B5AD4">
              <w:rPr>
                <w:iCs/>
              </w:rPr>
              <w:t>Clostridium botulinum type A toxin-haemagglutinin complex, 300 unit injection, 1 vial</w:t>
            </w:r>
          </w:p>
        </w:tc>
        <w:tc>
          <w:tcPr>
            <w:tcW w:w="610" w:type="pct"/>
            <w:vAlign w:val="center"/>
          </w:tcPr>
          <w:p w:rsidR="00231BAC" w:rsidRPr="005B5AD4" w:rsidRDefault="00231BAC" w:rsidP="00C73C19">
            <w:pPr>
              <w:pStyle w:val="Tabletext"/>
              <w:keepNext/>
              <w:jc w:val="center"/>
              <w:rPr>
                <w:iCs/>
              </w:rPr>
            </w:pPr>
            <w:r w:rsidRPr="005B5AD4">
              <w:rPr>
                <w:iCs/>
              </w:rPr>
              <w:t>4</w:t>
            </w:r>
          </w:p>
        </w:tc>
        <w:tc>
          <w:tcPr>
            <w:tcW w:w="410" w:type="pct"/>
            <w:vAlign w:val="center"/>
          </w:tcPr>
          <w:p w:rsidR="00231BAC" w:rsidRPr="005B5AD4" w:rsidRDefault="00231BAC" w:rsidP="00231BAC">
            <w:pPr>
              <w:pStyle w:val="Tabletext"/>
              <w:keepNext/>
              <w:ind w:left="-36"/>
              <w:jc w:val="center"/>
              <w:rPr>
                <w:iCs/>
              </w:rPr>
            </w:pPr>
            <w:r w:rsidRPr="005B5AD4">
              <w:rPr>
                <w:iCs/>
              </w:rPr>
              <w:t>-</w:t>
            </w:r>
          </w:p>
        </w:tc>
        <w:tc>
          <w:tcPr>
            <w:tcW w:w="1192" w:type="pct"/>
            <w:vAlign w:val="center"/>
          </w:tcPr>
          <w:p w:rsidR="00231BAC" w:rsidRPr="005B5AD4" w:rsidRDefault="00231BAC" w:rsidP="00C73C19">
            <w:pPr>
              <w:pStyle w:val="Tabletext"/>
              <w:keepNext/>
              <w:jc w:val="center"/>
              <w:rPr>
                <w:iCs/>
              </w:rPr>
            </w:pPr>
            <w:r w:rsidRPr="005B5AD4">
              <w:rPr>
                <w:iCs/>
              </w:rPr>
              <w:t>$1,221.95</w:t>
            </w:r>
          </w:p>
        </w:tc>
        <w:tc>
          <w:tcPr>
            <w:tcW w:w="1027" w:type="pct"/>
            <w:vAlign w:val="center"/>
          </w:tcPr>
          <w:p w:rsidR="00231BAC" w:rsidRPr="005B5AD4" w:rsidRDefault="00231BAC" w:rsidP="00231BAC">
            <w:pPr>
              <w:pStyle w:val="Tabletext"/>
              <w:keepNext/>
              <w:ind w:left="129"/>
              <w:jc w:val="center"/>
              <w:rPr>
                <w:iCs/>
              </w:rPr>
            </w:pPr>
            <w:r w:rsidRPr="005B5AD4">
              <w:rPr>
                <w:iCs/>
              </w:rPr>
              <w:t>Dysport</w:t>
            </w:r>
            <w:r w:rsidRPr="005B5AD4">
              <w:rPr>
                <w:iCs/>
                <w:vertAlign w:val="superscript"/>
              </w:rPr>
              <w:t>®</w:t>
            </w:r>
          </w:p>
          <w:p w:rsidR="00231BAC" w:rsidRPr="005B5AD4" w:rsidRDefault="00231BAC" w:rsidP="00231BAC">
            <w:pPr>
              <w:pStyle w:val="Tabletext"/>
              <w:keepNext/>
              <w:ind w:left="129"/>
              <w:jc w:val="center"/>
              <w:rPr>
                <w:iCs/>
              </w:rPr>
            </w:pPr>
            <w:r w:rsidRPr="005B5AD4">
              <w:rPr>
                <w:iCs/>
              </w:rPr>
              <w:t>Ipsen Pty Ltd</w:t>
            </w:r>
          </w:p>
        </w:tc>
      </w:tr>
      <w:tr w:rsidR="00231BAC" w:rsidRPr="005B5AD4" w:rsidTr="005B5AD4">
        <w:tc>
          <w:tcPr>
            <w:tcW w:w="1761" w:type="pct"/>
          </w:tcPr>
          <w:p w:rsidR="00231BAC" w:rsidRPr="005B5AD4" w:rsidRDefault="00231BAC" w:rsidP="00C73C19">
            <w:pPr>
              <w:pStyle w:val="Tabletext"/>
              <w:keepNext/>
              <w:rPr>
                <w:iCs/>
              </w:rPr>
            </w:pPr>
            <w:r w:rsidRPr="005B5AD4">
              <w:rPr>
                <w:iCs/>
              </w:rPr>
              <w:t>Clostridium botulinum type A toxin-haemagglutinin complex, 500 unit injection, 1 vial</w:t>
            </w:r>
          </w:p>
        </w:tc>
        <w:tc>
          <w:tcPr>
            <w:tcW w:w="610" w:type="pct"/>
            <w:vAlign w:val="center"/>
          </w:tcPr>
          <w:p w:rsidR="00231BAC" w:rsidRPr="005B5AD4" w:rsidRDefault="00231BAC" w:rsidP="00C73C19">
            <w:pPr>
              <w:pStyle w:val="Tabletext"/>
              <w:keepNext/>
              <w:jc w:val="center"/>
              <w:rPr>
                <w:iCs/>
              </w:rPr>
            </w:pPr>
            <w:r w:rsidRPr="005B5AD4">
              <w:rPr>
                <w:iCs/>
              </w:rPr>
              <w:t>2</w:t>
            </w:r>
          </w:p>
        </w:tc>
        <w:tc>
          <w:tcPr>
            <w:tcW w:w="410" w:type="pct"/>
            <w:vAlign w:val="center"/>
          </w:tcPr>
          <w:p w:rsidR="00231BAC" w:rsidRPr="005B5AD4" w:rsidRDefault="00231BAC" w:rsidP="00231BAC">
            <w:pPr>
              <w:pStyle w:val="Tabletext"/>
              <w:keepNext/>
              <w:ind w:left="-36"/>
              <w:jc w:val="center"/>
              <w:rPr>
                <w:iCs/>
              </w:rPr>
            </w:pPr>
            <w:r w:rsidRPr="005B5AD4">
              <w:rPr>
                <w:iCs/>
              </w:rPr>
              <w:t>-</w:t>
            </w:r>
          </w:p>
        </w:tc>
        <w:tc>
          <w:tcPr>
            <w:tcW w:w="1192" w:type="pct"/>
            <w:vAlign w:val="center"/>
          </w:tcPr>
          <w:p w:rsidR="00231BAC" w:rsidRPr="005B5AD4" w:rsidRDefault="00231BAC" w:rsidP="00C73C19">
            <w:pPr>
              <w:pStyle w:val="Tabletext"/>
              <w:keepNext/>
              <w:jc w:val="center"/>
              <w:rPr>
                <w:iCs/>
              </w:rPr>
            </w:pPr>
            <w:r w:rsidRPr="005B5AD4">
              <w:rPr>
                <w:iCs/>
              </w:rPr>
              <w:t>$1,094.89</w:t>
            </w:r>
          </w:p>
        </w:tc>
        <w:tc>
          <w:tcPr>
            <w:tcW w:w="1027" w:type="pct"/>
            <w:vAlign w:val="center"/>
          </w:tcPr>
          <w:p w:rsidR="00231BAC" w:rsidRPr="005B5AD4" w:rsidRDefault="00231BAC" w:rsidP="00231BAC">
            <w:pPr>
              <w:pStyle w:val="Tabletext"/>
              <w:keepNext/>
              <w:ind w:left="129"/>
              <w:jc w:val="center"/>
              <w:rPr>
                <w:iCs/>
              </w:rPr>
            </w:pPr>
            <w:r w:rsidRPr="005B5AD4">
              <w:rPr>
                <w:iCs/>
              </w:rPr>
              <w:t>Dysport</w:t>
            </w:r>
            <w:r w:rsidRPr="005B5AD4">
              <w:rPr>
                <w:iCs/>
                <w:vertAlign w:val="superscript"/>
              </w:rPr>
              <w:t>®</w:t>
            </w:r>
          </w:p>
          <w:p w:rsidR="00231BAC" w:rsidRPr="005B5AD4" w:rsidRDefault="00231BAC" w:rsidP="00231BAC">
            <w:pPr>
              <w:pStyle w:val="Tabletext"/>
              <w:keepNext/>
              <w:ind w:left="129"/>
              <w:jc w:val="center"/>
              <w:rPr>
                <w:iCs/>
              </w:rPr>
            </w:pPr>
            <w:r w:rsidRPr="005B5AD4">
              <w:rPr>
                <w:iCs/>
              </w:rPr>
              <w:t>Ipsen Pty Ltd</w:t>
            </w:r>
          </w:p>
        </w:tc>
      </w:tr>
    </w:tbl>
    <w:p w:rsidR="00B60939" w:rsidRPr="005B5AD4" w:rsidRDefault="00B60939" w:rsidP="004B1CB4">
      <w:pPr>
        <w:rPr>
          <w:rFonts w:ascii="Arial Narrow" w:hAnsi="Arial Narrow"/>
        </w:rPr>
      </w:pPr>
    </w:p>
    <w:tbl>
      <w:tblPr>
        <w:tblW w:w="5000" w:type="pct"/>
        <w:tblCellMar>
          <w:left w:w="28" w:type="dxa"/>
          <w:right w:w="28" w:type="dxa"/>
        </w:tblCellMar>
        <w:tblLook w:val="0000" w:firstRow="0" w:lastRow="0" w:firstColumn="0" w:lastColumn="0" w:noHBand="0" w:noVBand="0"/>
      </w:tblPr>
      <w:tblGrid>
        <w:gridCol w:w="1861"/>
        <w:gridCol w:w="7156"/>
      </w:tblGrid>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Category/Program:</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Section 100 - Botulinum Toxin Program</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Prescriber type:</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fldChar w:fldCharType="begin">
                <w:ffData>
                  <w:name w:val="Check1"/>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Dental</w:t>
            </w:r>
            <w:r w:rsidR="00A87288" w:rsidRPr="005B5AD4">
              <w:t xml:space="preserve"> </w:t>
            </w:r>
            <w:r w:rsidRPr="005B5AD4">
              <w:fldChar w:fldCharType="begin">
                <w:ffData>
                  <w:name w:val="Check5"/>
                  <w:enabled/>
                  <w:calcOnExit w:val="0"/>
                  <w:checkBox>
                    <w:sizeAuto/>
                    <w:default w:val="1"/>
                  </w:checkBox>
                </w:ffData>
              </w:fldChar>
            </w:r>
            <w:r w:rsidRPr="005B5AD4">
              <w:instrText xml:space="preserve"> FORMCHECKBOX </w:instrText>
            </w:r>
            <w:r w:rsidR="00AC0F2C">
              <w:fldChar w:fldCharType="separate"/>
            </w:r>
            <w:r w:rsidRPr="005B5AD4">
              <w:fldChar w:fldCharType="end"/>
            </w:r>
            <w:r w:rsidRPr="005B5AD4">
              <w:t>Medical Practitioners</w:t>
            </w:r>
            <w:r w:rsidR="00A87288" w:rsidRPr="005B5AD4">
              <w:t xml:space="preserve"> </w:t>
            </w:r>
            <w:r w:rsidRPr="005B5AD4">
              <w:fldChar w:fldCharType="begin">
                <w:ffData>
                  <w:name w:val="Check1"/>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 xml:space="preserve">Nurse practitioners </w:t>
            </w:r>
            <w:r w:rsidRPr="005B5AD4">
              <w:fldChar w:fldCharType="begin">
                <w:ffData>
                  <w:name w:val="Check1"/>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 xml:space="preserve">Optometrists </w:t>
            </w:r>
            <w:r w:rsidRPr="005B5AD4">
              <w:fldChar w:fldCharType="begin">
                <w:ffData>
                  <w:name w:val="Check1"/>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Midwives</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Episodicity:</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Episodic</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Severity:</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 xml:space="preserve">Moderate to severe </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Condition:</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Focal spasticity of the upper limb in patients with cerebral palsy</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PBS Indication:</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Moderate to severe spasticity of the upper limb</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pPr>
            <w:r w:rsidRPr="005B5AD4">
              <w:rPr>
                <w:b/>
              </w:rPr>
              <w:t>Treatment phase:</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Initial and continuing</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i/>
              </w:rPr>
            </w:pPr>
            <w:r w:rsidRPr="005B5AD4">
              <w:rPr>
                <w:b/>
              </w:rPr>
              <w:t>Restriction:</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0"/>
              <w:keepNext w:val="0"/>
              <w:widowControl w:val="0"/>
            </w:pPr>
            <w:r w:rsidRPr="005B5AD4">
              <w:fldChar w:fldCharType="begin">
                <w:ffData>
                  <w:name w:val="Check1"/>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Restricted benefit</w:t>
            </w:r>
          </w:p>
          <w:p w:rsidR="00231BAC" w:rsidRPr="005B5AD4" w:rsidRDefault="00231BAC" w:rsidP="00C73C19">
            <w:pPr>
              <w:pStyle w:val="TableText0"/>
              <w:keepNext w:val="0"/>
              <w:widowControl w:val="0"/>
            </w:pPr>
            <w:r w:rsidRPr="005B5AD4">
              <w:fldChar w:fldCharType="begin">
                <w:ffData>
                  <w:name w:val=""/>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Authority Required - In Writing</w:t>
            </w:r>
          </w:p>
          <w:p w:rsidR="00231BAC" w:rsidRPr="005B5AD4" w:rsidRDefault="00231BAC" w:rsidP="00C73C19">
            <w:pPr>
              <w:pStyle w:val="TableText0"/>
              <w:keepNext w:val="0"/>
              <w:widowControl w:val="0"/>
            </w:pPr>
            <w:r w:rsidRPr="005B5AD4">
              <w:fldChar w:fldCharType="begin">
                <w:ffData>
                  <w:name w:val="Check3"/>
                  <w:enabled/>
                  <w:calcOnExit w:val="0"/>
                  <w:checkBox>
                    <w:sizeAuto/>
                    <w:default w:val="0"/>
                  </w:checkBox>
                </w:ffData>
              </w:fldChar>
            </w:r>
            <w:r w:rsidRPr="005B5AD4">
              <w:instrText xml:space="preserve"> FORMCHECKBOX </w:instrText>
            </w:r>
            <w:r w:rsidR="00AC0F2C">
              <w:fldChar w:fldCharType="separate"/>
            </w:r>
            <w:r w:rsidRPr="005B5AD4">
              <w:fldChar w:fldCharType="end"/>
            </w:r>
            <w:r w:rsidRPr="005B5AD4">
              <w:t>Authority Required – Telephone, Electronic</w:t>
            </w:r>
          </w:p>
          <w:p w:rsidR="00231BAC" w:rsidRPr="005B5AD4" w:rsidRDefault="00231BAC" w:rsidP="00C73C19">
            <w:pPr>
              <w:pStyle w:val="Tabletext"/>
              <w:widowControl w:val="0"/>
            </w:pPr>
            <w:r w:rsidRPr="005B5AD4">
              <w:fldChar w:fldCharType="begin">
                <w:ffData>
                  <w:name w:val="Check5"/>
                  <w:enabled/>
                  <w:calcOnExit w:val="0"/>
                  <w:checkBox>
                    <w:sizeAuto/>
                    <w:default w:val="1"/>
                  </w:checkBox>
                </w:ffData>
              </w:fldChar>
            </w:r>
            <w:r w:rsidRPr="005B5AD4">
              <w:instrText xml:space="preserve"> FORMCHECKBOX </w:instrText>
            </w:r>
            <w:r w:rsidR="00AC0F2C">
              <w:fldChar w:fldCharType="separate"/>
            </w:r>
            <w:r w:rsidRPr="005B5AD4">
              <w:fldChar w:fldCharType="end"/>
            </w:r>
            <w:r w:rsidRPr="005B5AD4">
              <w:t>Streamlined</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Treatment criteria:</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Must be treated by a neurologist; OR</w:t>
            </w:r>
          </w:p>
          <w:p w:rsidR="00231BAC" w:rsidRPr="005B5AD4" w:rsidRDefault="00231BAC" w:rsidP="00C73C19">
            <w:pPr>
              <w:pStyle w:val="Tabletext"/>
              <w:widowControl w:val="0"/>
            </w:pPr>
            <w:r w:rsidRPr="005B5AD4">
              <w:t>Must be treated by an orthopaedic surgeon; OR</w:t>
            </w:r>
          </w:p>
          <w:p w:rsidR="00231BAC" w:rsidRPr="005B5AD4" w:rsidRDefault="00231BAC" w:rsidP="00C73C19">
            <w:pPr>
              <w:pStyle w:val="Tabletext"/>
              <w:widowControl w:val="0"/>
            </w:pPr>
            <w:r w:rsidRPr="005B5AD4">
              <w:t>Must be treated by a paediatrician; OR</w:t>
            </w:r>
          </w:p>
          <w:p w:rsidR="00231BAC" w:rsidRPr="005B5AD4" w:rsidRDefault="00231BAC" w:rsidP="00C73C19">
            <w:pPr>
              <w:pStyle w:val="Tabletext"/>
              <w:widowControl w:val="0"/>
            </w:pPr>
            <w:r w:rsidRPr="005B5AD4">
              <w:t>Must be treated by a rehabilitation specialist; OR</w:t>
            </w:r>
          </w:p>
          <w:p w:rsidR="00231BAC" w:rsidRPr="005B5AD4" w:rsidRDefault="00231BAC" w:rsidP="00C73C19">
            <w:pPr>
              <w:pStyle w:val="Tabletext"/>
              <w:widowControl w:val="0"/>
            </w:pPr>
            <w:r w:rsidRPr="005B5AD4">
              <w:t>Must be treated by a plastic surgeon</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Clinical criteria:</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rPr>
                <w:rFonts w:cs="Arial"/>
              </w:rPr>
            </w:pPr>
            <w:r w:rsidRPr="005B5AD4">
              <w:rPr>
                <w:rFonts w:cs="Arial"/>
              </w:rPr>
              <w:t xml:space="preserve">Patient must have cerebral palsy. </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Population criteria:</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 xml:space="preserve">Patient must be aged for 2 to 17 years inclusive OR </w:t>
            </w:r>
          </w:p>
          <w:p w:rsidR="00231BAC" w:rsidRPr="005B5AD4" w:rsidRDefault="00AE1E83" w:rsidP="00AE1E83">
            <w:pPr>
              <w:pStyle w:val="Tabletext"/>
              <w:widowControl w:val="0"/>
            </w:pPr>
            <w:r w:rsidRPr="005B5AD4">
              <w:t>P</w:t>
            </w:r>
            <w:r w:rsidR="00231BAC" w:rsidRPr="005B5AD4">
              <w:t>atient must be aged 18 years or older</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Administrative Advice:</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The units used to express the potency of botulinum toxin preparations currently available for PBS subsidy are not equivalent</w:t>
            </w:r>
          </w:p>
        </w:tc>
      </w:tr>
      <w:tr w:rsidR="00231BAC" w:rsidRPr="005B5AD4" w:rsidTr="005B5AD4">
        <w:trPr>
          <w:cantSplit/>
        </w:trPr>
        <w:tc>
          <w:tcPr>
            <w:tcW w:w="1032" w:type="pct"/>
            <w:tcBorders>
              <w:top w:val="single" w:sz="4" w:space="0" w:color="auto"/>
              <w:left w:val="single" w:sz="4" w:space="0" w:color="auto"/>
              <w:bottom w:val="single" w:sz="4" w:space="0" w:color="auto"/>
              <w:right w:val="single" w:sz="4" w:space="0" w:color="auto"/>
            </w:tcBorders>
            <w:vAlign w:val="center"/>
          </w:tcPr>
          <w:p w:rsidR="00231BAC" w:rsidRPr="005B5AD4" w:rsidRDefault="00231BAC" w:rsidP="00C73C19">
            <w:pPr>
              <w:pStyle w:val="Tabletext"/>
              <w:widowControl w:val="0"/>
              <w:rPr>
                <w:b/>
              </w:rPr>
            </w:pPr>
            <w:r w:rsidRPr="005B5AD4">
              <w:rPr>
                <w:b/>
              </w:rPr>
              <w:t>Cautions:</w:t>
            </w:r>
          </w:p>
        </w:tc>
        <w:tc>
          <w:tcPr>
            <w:tcW w:w="3968" w:type="pct"/>
            <w:tcBorders>
              <w:top w:val="single" w:sz="4" w:space="0" w:color="auto"/>
              <w:left w:val="single" w:sz="4" w:space="0" w:color="auto"/>
              <w:bottom w:val="single" w:sz="4" w:space="0" w:color="auto"/>
              <w:right w:val="single" w:sz="4" w:space="0" w:color="auto"/>
            </w:tcBorders>
          </w:tcPr>
          <w:p w:rsidR="00231BAC" w:rsidRPr="005B5AD4" w:rsidRDefault="00231BAC" w:rsidP="00C73C19">
            <w:pPr>
              <w:pStyle w:val="Tabletext"/>
              <w:widowControl w:val="0"/>
            </w:pPr>
            <w:r w:rsidRPr="005B5AD4">
              <w:t>Contraindications to treatment include known sensitivity to botulinum toxin</w:t>
            </w:r>
          </w:p>
        </w:tc>
      </w:tr>
    </w:tbl>
    <w:p w:rsidR="00231BAC" w:rsidRPr="00146B5E" w:rsidRDefault="00231BAC" w:rsidP="00397BFD">
      <w:pPr>
        <w:pStyle w:val="3-BodyText"/>
        <w:spacing w:before="120"/>
        <w:ind w:left="720"/>
      </w:pPr>
      <w:r w:rsidRPr="00146B5E">
        <w:t xml:space="preserve">The requested price is the same as that for the Dysport® PBS listing for upper limb focal spasticity </w:t>
      </w:r>
      <w:r w:rsidR="002937E0" w:rsidRPr="00146B5E">
        <w:t xml:space="preserve">following an acute event </w:t>
      </w:r>
      <w:r w:rsidRPr="00146B5E">
        <w:t>in adults.</w:t>
      </w:r>
      <w:r w:rsidR="00A87288" w:rsidRPr="00146B5E">
        <w:t xml:space="preserve"> </w:t>
      </w:r>
      <w:r w:rsidR="004745A1" w:rsidRPr="00146B5E">
        <w:rPr>
          <w:iCs/>
        </w:rPr>
        <w:t>The requested listing, which is limited to patients with cerebral palsy, is narrower than the proposed TGA indication, which does not limit use based on clinical criteria.</w:t>
      </w:r>
    </w:p>
    <w:p w:rsidR="004745A1" w:rsidRPr="00146B5E" w:rsidRDefault="004745A1" w:rsidP="00D5144B">
      <w:pPr>
        <w:pStyle w:val="3-BodyText"/>
        <w:ind w:left="720"/>
      </w:pPr>
      <w:r w:rsidRPr="00146B5E">
        <w:rPr>
          <w:iCs/>
        </w:rPr>
        <w:t xml:space="preserve">The </w:t>
      </w:r>
      <w:r w:rsidR="002937E0" w:rsidRPr="00146B5E">
        <w:rPr>
          <w:iCs/>
        </w:rPr>
        <w:t xml:space="preserve">current </w:t>
      </w:r>
      <w:r w:rsidRPr="00146B5E">
        <w:rPr>
          <w:iCs/>
        </w:rPr>
        <w:t xml:space="preserve">PBS listing for </w:t>
      </w:r>
      <w:r w:rsidR="002937E0" w:rsidRPr="00146B5E">
        <w:rPr>
          <w:iCs/>
        </w:rPr>
        <w:t xml:space="preserve">upper limb </w:t>
      </w:r>
      <w:r w:rsidRPr="00146B5E">
        <w:rPr>
          <w:iCs/>
        </w:rPr>
        <w:t>spasticity following an acute event require</w:t>
      </w:r>
      <w:r w:rsidR="002937E0" w:rsidRPr="00146B5E">
        <w:rPr>
          <w:iCs/>
        </w:rPr>
        <w:t xml:space="preserve">s </w:t>
      </w:r>
      <w:r w:rsidRPr="00146B5E">
        <w:rPr>
          <w:iCs/>
        </w:rPr>
        <w:t>that patients respond to treatment, and that there must not be more than 4 treatment periods in the first year of treatment, and no more than 2 treatment periods per upper limb each year thereafter.</w:t>
      </w:r>
      <w:r w:rsidR="00A87288" w:rsidRPr="00146B5E">
        <w:rPr>
          <w:iCs/>
        </w:rPr>
        <w:t xml:space="preserve"> </w:t>
      </w:r>
      <w:r w:rsidRPr="00146B5E">
        <w:rPr>
          <w:iCs/>
        </w:rPr>
        <w:t>Such criteria are not applicable to the requested listing.</w:t>
      </w:r>
    </w:p>
    <w:p w:rsidR="004745A1" w:rsidRPr="00146B5E" w:rsidRDefault="005E73FE" w:rsidP="00D5144B">
      <w:pPr>
        <w:pStyle w:val="3-BodyText"/>
        <w:ind w:left="720"/>
      </w:pPr>
      <w:r w:rsidRPr="00146B5E">
        <w:t>As noted by the submission</w:t>
      </w:r>
      <w:r w:rsidR="004745A1" w:rsidRPr="00146B5E">
        <w:t xml:space="preserve">, the requested restriction is consistent with the </w:t>
      </w:r>
      <w:r w:rsidR="002937E0" w:rsidRPr="00146B5E">
        <w:t xml:space="preserve">current </w:t>
      </w:r>
      <w:r w:rsidR="004745A1" w:rsidRPr="00146B5E">
        <w:t xml:space="preserve">PBS listing for </w:t>
      </w:r>
      <w:r w:rsidR="006C23C2" w:rsidRPr="00146B5E">
        <w:t>Botox®</w:t>
      </w:r>
      <w:r w:rsidR="004745A1" w:rsidRPr="00146B5E">
        <w:t xml:space="preserve"> for upper limb focal spasticity in patients with cerebral palsy.</w:t>
      </w:r>
      <w:r w:rsidR="00A87288" w:rsidRPr="00146B5E">
        <w:t xml:space="preserve"> </w:t>
      </w:r>
      <w:r w:rsidR="004745A1" w:rsidRPr="00146B5E">
        <w:rPr>
          <w:iCs/>
        </w:rPr>
        <w:t xml:space="preserve">While the PBS indication, restriction category (Streamlined) and treatment criteria are identical across Dysport® and </w:t>
      </w:r>
      <w:r w:rsidR="006C23C2" w:rsidRPr="00146B5E">
        <w:rPr>
          <w:iCs/>
        </w:rPr>
        <w:t>Botox®</w:t>
      </w:r>
      <w:r w:rsidR="004745A1" w:rsidRPr="00146B5E">
        <w:rPr>
          <w:iCs/>
        </w:rPr>
        <w:t xml:space="preserve">, the requested Dysport® listing differs slightly from the </w:t>
      </w:r>
      <w:r w:rsidR="006C23C2" w:rsidRPr="00146B5E">
        <w:rPr>
          <w:iCs/>
        </w:rPr>
        <w:t>Botox®</w:t>
      </w:r>
      <w:r w:rsidR="004745A1" w:rsidRPr="00146B5E">
        <w:rPr>
          <w:iCs/>
        </w:rPr>
        <w:t xml:space="preserve"> listing in that the </w:t>
      </w:r>
      <w:r w:rsidR="006C23C2" w:rsidRPr="00146B5E">
        <w:rPr>
          <w:iCs/>
        </w:rPr>
        <w:t>Botox®</w:t>
      </w:r>
      <w:r w:rsidR="004745A1" w:rsidRPr="00146B5E">
        <w:rPr>
          <w:iCs/>
        </w:rPr>
        <w:t xml:space="preserve"> listing uses two separate population criteria for paediatric and adult patients while the requested Dysport® listing uses one, with </w:t>
      </w:r>
      <w:r w:rsidR="004745A1" w:rsidRPr="00146B5E">
        <w:rPr>
          <w:iCs/>
        </w:rPr>
        <w:lastRenderedPageBreak/>
        <w:t>an ‘OR’.</w:t>
      </w:r>
      <w:r w:rsidR="00A87288" w:rsidRPr="00146B5E">
        <w:rPr>
          <w:iCs/>
        </w:rPr>
        <w:t xml:space="preserve"> </w:t>
      </w:r>
      <w:r w:rsidR="00B460EF" w:rsidRPr="00146B5E">
        <w:rPr>
          <w:iCs/>
        </w:rPr>
        <w:t>The PBAC considered that the Dysport</w:t>
      </w:r>
      <w:r w:rsidR="00AD54E5" w:rsidRPr="00146B5E">
        <w:rPr>
          <w:rFonts w:cstheme="minorHAnsi"/>
          <w:iCs/>
        </w:rPr>
        <w:t>®</w:t>
      </w:r>
      <w:r w:rsidR="00B460EF" w:rsidRPr="00146B5E">
        <w:rPr>
          <w:iCs/>
        </w:rPr>
        <w:t xml:space="preserve"> </w:t>
      </w:r>
      <w:r w:rsidR="00AD54E5" w:rsidRPr="00146B5E">
        <w:rPr>
          <w:iCs/>
        </w:rPr>
        <w:t xml:space="preserve">restriction </w:t>
      </w:r>
      <w:r w:rsidR="00B460EF" w:rsidRPr="00146B5E">
        <w:rPr>
          <w:iCs/>
        </w:rPr>
        <w:t xml:space="preserve">should be consistent with the </w:t>
      </w:r>
      <w:r w:rsidR="00AD54E5" w:rsidRPr="00146B5E">
        <w:rPr>
          <w:iCs/>
        </w:rPr>
        <w:t xml:space="preserve">current </w:t>
      </w:r>
      <w:r w:rsidR="00B460EF" w:rsidRPr="00146B5E">
        <w:rPr>
          <w:iCs/>
        </w:rPr>
        <w:t>Botox</w:t>
      </w:r>
      <w:r w:rsidR="00AD54E5" w:rsidRPr="00146B5E">
        <w:rPr>
          <w:rFonts w:cstheme="minorHAnsi"/>
          <w:iCs/>
        </w:rPr>
        <w:t>®</w:t>
      </w:r>
      <w:r w:rsidR="00B460EF" w:rsidRPr="00146B5E">
        <w:rPr>
          <w:iCs/>
        </w:rPr>
        <w:t xml:space="preserve"> </w:t>
      </w:r>
      <w:r w:rsidR="00AD54E5" w:rsidRPr="00146B5E">
        <w:rPr>
          <w:iCs/>
        </w:rPr>
        <w:t>restrictions</w:t>
      </w:r>
      <w:r w:rsidR="00B460EF" w:rsidRPr="00146B5E">
        <w:rPr>
          <w:iCs/>
        </w:rPr>
        <w:t>.</w:t>
      </w:r>
    </w:p>
    <w:p w:rsidR="00D917D0" w:rsidRPr="00146B5E" w:rsidRDefault="00231BAC" w:rsidP="00D5144B">
      <w:pPr>
        <w:pStyle w:val="3-BodyText"/>
        <w:ind w:left="720"/>
      </w:pPr>
      <w:r w:rsidRPr="00146B5E">
        <w:t>The</w:t>
      </w:r>
      <w:r w:rsidR="002937E0" w:rsidRPr="00146B5E">
        <w:t xml:space="preserve"> submission did not propose a grandfather restriction</w:t>
      </w:r>
      <w:r w:rsidRPr="00146B5E">
        <w:t>.</w:t>
      </w:r>
      <w:r w:rsidR="00A87288" w:rsidRPr="00146B5E">
        <w:t xml:space="preserve"> </w:t>
      </w:r>
      <w:r w:rsidRPr="00146B5E">
        <w:rPr>
          <w:iCs/>
        </w:rPr>
        <w:t xml:space="preserve">There was no discussion of grandfathering in the submission and grandfathered patients were not included in the </w:t>
      </w:r>
      <w:r w:rsidR="0030470B" w:rsidRPr="00146B5E">
        <w:rPr>
          <w:iCs/>
        </w:rPr>
        <w:t>financial estimates</w:t>
      </w:r>
      <w:r w:rsidRPr="00146B5E">
        <w:rPr>
          <w:iCs/>
        </w:rPr>
        <w:t>.</w:t>
      </w:r>
    </w:p>
    <w:p w:rsidR="009D74BB" w:rsidRPr="00146B5E" w:rsidRDefault="009D74BB" w:rsidP="009D74BB">
      <w:pPr>
        <w:pStyle w:val="3-BodyText"/>
        <w:numPr>
          <w:ilvl w:val="0"/>
          <w:numId w:val="0"/>
        </w:numPr>
        <w:spacing w:after="160"/>
        <w:ind w:left="720"/>
        <w:rPr>
          <w:i/>
        </w:rPr>
      </w:pPr>
      <w:r w:rsidRPr="00146B5E">
        <w:rPr>
          <w:i/>
        </w:rPr>
        <w:t>For more detail on PBAC’s view, see section 7 PBAC outcome.</w:t>
      </w:r>
    </w:p>
    <w:p w:rsidR="00B50DB8" w:rsidRPr="00146B5E" w:rsidRDefault="00203181" w:rsidP="004E18E9">
      <w:pPr>
        <w:pStyle w:val="2-SectionHeading"/>
      </w:pPr>
      <w:bookmarkStart w:id="9" w:name="_Toc40214620"/>
      <w:r w:rsidRPr="00146B5E">
        <w:t xml:space="preserve">Population and </w:t>
      </w:r>
      <w:r w:rsidR="008E0D3C" w:rsidRPr="00146B5E">
        <w:t>d</w:t>
      </w:r>
      <w:r w:rsidRPr="00146B5E">
        <w:t>isease</w:t>
      </w:r>
      <w:bookmarkEnd w:id="9"/>
    </w:p>
    <w:p w:rsidR="00DC0CCD" w:rsidRPr="00146B5E" w:rsidRDefault="00FE2687" w:rsidP="00D5144B">
      <w:pPr>
        <w:pStyle w:val="3-BodyText"/>
        <w:ind w:left="720"/>
      </w:pPr>
      <w:r w:rsidRPr="00146B5E">
        <w:t>Spasticity is a chronic manifestation of upper motor neuron syndrome due to lesions of the pyramidal tract (an aggregation of upper motor neurons).</w:t>
      </w:r>
      <w:r w:rsidR="00A87288" w:rsidRPr="00146B5E">
        <w:t xml:space="preserve"> </w:t>
      </w:r>
      <w:r w:rsidRPr="00146B5E">
        <w:t>The most common cause of the central nervous system (CNS) lesions leading to paediatric upper limb spasticity is cerebral palsy. The submission cited literature (Delgado 2010; Ronan 2007) stating that the majority of children with cerebral palsy are affected by spasticity, which can be defined as hypertonia in which</w:t>
      </w:r>
      <w:r w:rsidR="00122F33" w:rsidRPr="00146B5E">
        <w:t xml:space="preserve"> one</w:t>
      </w:r>
      <w:r w:rsidRPr="00146B5E">
        <w:t xml:space="preserve"> or both of the following signs are present: 1) resistance to externally imposed movement increases with increasing speed of stretch and varies with the direction of joint movement; 2) resistance to externally imposed movement rises rapidly above a threshold speed of joint angle</w:t>
      </w:r>
      <w:r w:rsidR="00122F33" w:rsidRPr="00146B5E">
        <w:t>.</w:t>
      </w:r>
    </w:p>
    <w:p w:rsidR="00E154E6" w:rsidRPr="00146B5E" w:rsidRDefault="00E154E6" w:rsidP="00D5144B">
      <w:pPr>
        <w:pStyle w:val="3-BodyText"/>
        <w:ind w:left="720"/>
      </w:pPr>
      <w:r w:rsidRPr="00146B5E">
        <w:t>The submission added description of the impact of spasticity, saying that particularly in the upper limbs, the increased muscle tone impairs the reach, grasp, manipulation and release, leading to restriction in everyday life and educational activities.</w:t>
      </w:r>
      <w:r w:rsidR="00A87288" w:rsidRPr="00146B5E">
        <w:t xml:space="preserve"> </w:t>
      </w:r>
      <w:r w:rsidRPr="00146B5E">
        <w:t>The inability to fully use the affected arm(s) for bimanual activities prohibits the development of independent functioning in daily life.</w:t>
      </w:r>
      <w:r w:rsidR="00A87288" w:rsidRPr="00146B5E">
        <w:t xml:space="preserve"> </w:t>
      </w:r>
      <w:r w:rsidRPr="00146B5E">
        <w:t>The submission noted that impaired arm function prevents children from fully engaging in social, educational and leisure roles. Consequently, reduction of the increased muscle tone and spasticity is important not only for the prevention of fixed muscle contractures and deformities but may also be important for the improvement of the motor ability and functional skills of the children.</w:t>
      </w:r>
      <w:r w:rsidR="00A87288" w:rsidRPr="00146B5E">
        <w:t xml:space="preserve"> </w:t>
      </w:r>
      <w:r w:rsidR="008F51F6" w:rsidRPr="00146B5E">
        <w:rPr>
          <w:iCs/>
        </w:rPr>
        <w:t>While the requested PBS listing includes an adult population, the submission did not provide any discussion of goals of treatment in an adult population.</w:t>
      </w:r>
    </w:p>
    <w:p w:rsidR="009D74BB" w:rsidRPr="00146B5E" w:rsidRDefault="009D74BB" w:rsidP="009D74BB">
      <w:pPr>
        <w:pStyle w:val="3-BodyText"/>
        <w:numPr>
          <w:ilvl w:val="0"/>
          <w:numId w:val="0"/>
        </w:numPr>
        <w:spacing w:after="160"/>
        <w:ind w:left="720"/>
        <w:rPr>
          <w:i/>
        </w:rPr>
      </w:pPr>
      <w:r w:rsidRPr="00146B5E">
        <w:rPr>
          <w:i/>
        </w:rPr>
        <w:t>For more detail on PBAC’s view, see section 7 PBAC outcome.</w:t>
      </w:r>
    </w:p>
    <w:p w:rsidR="00B50DB8" w:rsidRPr="00146B5E" w:rsidRDefault="00B50DB8" w:rsidP="004E18E9">
      <w:pPr>
        <w:pStyle w:val="2-SectionHeading"/>
      </w:pPr>
      <w:bookmarkStart w:id="10" w:name="_Toc40214621"/>
      <w:r w:rsidRPr="00146B5E">
        <w:t>Comparator</w:t>
      </w:r>
      <w:bookmarkEnd w:id="10"/>
    </w:p>
    <w:p w:rsidR="00751D10" w:rsidRPr="00146B5E" w:rsidRDefault="009271C2" w:rsidP="00D5144B">
      <w:pPr>
        <w:pStyle w:val="3-BodyText"/>
        <w:ind w:left="720"/>
        <w:rPr>
          <w:snapToGrid/>
        </w:rPr>
      </w:pPr>
      <w:r w:rsidRPr="00146B5E">
        <w:t xml:space="preserve">The submission nominated </w:t>
      </w:r>
      <w:r w:rsidR="006C23C2" w:rsidRPr="00146B5E">
        <w:t>Botox®</w:t>
      </w:r>
      <w:r w:rsidRPr="00146B5E">
        <w:t>, another botulinum toxin type A (BoNT-A), as the main comparator.</w:t>
      </w:r>
      <w:r w:rsidR="00A87288" w:rsidRPr="00146B5E">
        <w:t xml:space="preserve"> </w:t>
      </w:r>
      <w:r w:rsidRPr="00146B5E">
        <w:t xml:space="preserve">The main reasons provided for this nomination were: </w:t>
      </w:r>
      <w:r w:rsidR="006C23C2" w:rsidRPr="00146B5E">
        <w:t>Botox®</w:t>
      </w:r>
      <w:r w:rsidRPr="00146B5E">
        <w:t xml:space="preserve"> is the only BoNT-A that is currently PBS-listed for moderate to severe spasticity of the upper limb in patients with cerebral palsy; </w:t>
      </w:r>
      <w:r w:rsidR="002937E0" w:rsidRPr="00146B5E">
        <w:t xml:space="preserve">and </w:t>
      </w:r>
      <w:r w:rsidRPr="00146B5E">
        <w:t xml:space="preserve">given that </w:t>
      </w:r>
      <w:r w:rsidR="006C23C2" w:rsidRPr="00146B5E">
        <w:t>Botox®</w:t>
      </w:r>
      <w:r w:rsidRPr="00146B5E">
        <w:t xml:space="preserve"> is PBS-listed in the same target population and is in the same therapeutic class as </w:t>
      </w:r>
      <w:r w:rsidR="0091336A" w:rsidRPr="00146B5E">
        <w:t>Dysport®</w:t>
      </w:r>
      <w:r w:rsidRPr="00146B5E">
        <w:t xml:space="preserve">, it is the medicine most likely to be replaced by </w:t>
      </w:r>
      <w:r w:rsidR="0091336A" w:rsidRPr="00146B5E">
        <w:t>Dysport®</w:t>
      </w:r>
      <w:r w:rsidRPr="00146B5E">
        <w:t>.</w:t>
      </w:r>
      <w:r w:rsidR="00A87288" w:rsidRPr="00146B5E">
        <w:t xml:space="preserve"> </w:t>
      </w:r>
      <w:r w:rsidR="006C23C2" w:rsidRPr="00146B5E">
        <w:rPr>
          <w:iCs/>
        </w:rPr>
        <w:t>Botox®</w:t>
      </w:r>
      <w:r w:rsidRPr="00146B5E">
        <w:rPr>
          <w:iCs/>
        </w:rPr>
        <w:t xml:space="preserve"> is the appropriate comparator.</w:t>
      </w:r>
    </w:p>
    <w:p w:rsidR="009D74BB" w:rsidRPr="00146B5E" w:rsidRDefault="009D74BB" w:rsidP="001B1319">
      <w:pPr>
        <w:pStyle w:val="3-BodyText"/>
        <w:numPr>
          <w:ilvl w:val="0"/>
          <w:numId w:val="0"/>
        </w:numPr>
        <w:ind w:left="720"/>
        <w:rPr>
          <w:i/>
        </w:rPr>
      </w:pPr>
      <w:r w:rsidRPr="00146B5E">
        <w:rPr>
          <w:i/>
        </w:rPr>
        <w:t>For more detail on PBAC’s view, see section 7 PBAC outcome.</w:t>
      </w:r>
    </w:p>
    <w:p w:rsidR="00223D5A" w:rsidRPr="00146B5E" w:rsidRDefault="00223D5A" w:rsidP="00223D5A">
      <w:pPr>
        <w:pStyle w:val="2-SectionHeading"/>
        <w:numPr>
          <w:ilvl w:val="0"/>
          <w:numId w:val="1"/>
        </w:numPr>
      </w:pPr>
      <w:bookmarkStart w:id="11" w:name="_Toc40214622"/>
      <w:bookmarkStart w:id="12" w:name="_Toc22897640"/>
      <w:r w:rsidRPr="00146B5E">
        <w:lastRenderedPageBreak/>
        <w:t>Consideration of the evidence</w:t>
      </w:r>
      <w:bookmarkEnd w:id="11"/>
    </w:p>
    <w:p w:rsidR="009D74BB" w:rsidRPr="00146B5E" w:rsidRDefault="009D74BB" w:rsidP="00942884">
      <w:pPr>
        <w:pStyle w:val="4-SubsectionHeading"/>
        <w:rPr>
          <w:snapToGrid w:val="0"/>
        </w:rPr>
      </w:pPr>
      <w:bookmarkStart w:id="13" w:name="_Toc40214623"/>
      <w:r w:rsidRPr="00146B5E">
        <w:rPr>
          <w:snapToGrid w:val="0"/>
        </w:rPr>
        <w:t>Sponsor hearing</w:t>
      </w:r>
    </w:p>
    <w:p w:rsidR="009D74BB" w:rsidRPr="0076612D" w:rsidRDefault="009D74BB" w:rsidP="0076612D">
      <w:pPr>
        <w:pStyle w:val="3-BodyText"/>
        <w:ind w:left="720"/>
        <w:rPr>
          <w:snapToGrid/>
        </w:rPr>
      </w:pPr>
      <w:r w:rsidRPr="0076612D">
        <w:rPr>
          <w:snapToGrid/>
        </w:rPr>
        <w:t>There was no hearing for this item.</w:t>
      </w:r>
    </w:p>
    <w:p w:rsidR="009D74BB" w:rsidRPr="00146B5E" w:rsidRDefault="009D74BB" w:rsidP="00942884">
      <w:pPr>
        <w:pStyle w:val="4-SubsectionHeading"/>
        <w:rPr>
          <w:snapToGrid w:val="0"/>
        </w:rPr>
      </w:pPr>
      <w:r w:rsidRPr="00146B5E">
        <w:rPr>
          <w:snapToGrid w:val="0"/>
        </w:rPr>
        <w:t>Consumer comments</w:t>
      </w:r>
    </w:p>
    <w:p w:rsidR="009D74BB" w:rsidRPr="0076612D" w:rsidRDefault="009D74BB" w:rsidP="0076612D">
      <w:pPr>
        <w:pStyle w:val="3-BodyText"/>
        <w:ind w:left="720"/>
        <w:rPr>
          <w:snapToGrid/>
        </w:rPr>
      </w:pPr>
      <w:r w:rsidRPr="0076612D">
        <w:rPr>
          <w:snapToGrid/>
        </w:rPr>
        <w:t>The PBAC noted that no consumer comments were received for this item.</w:t>
      </w:r>
    </w:p>
    <w:p w:rsidR="00B60939" w:rsidRPr="00146B5E" w:rsidRDefault="00B60939" w:rsidP="002E4F02">
      <w:pPr>
        <w:pStyle w:val="4-SubsectionHeading"/>
      </w:pPr>
      <w:r w:rsidRPr="00146B5E">
        <w:t>Clinical trials</w:t>
      </w:r>
      <w:bookmarkEnd w:id="12"/>
      <w:bookmarkEnd w:id="13"/>
    </w:p>
    <w:p w:rsidR="00486ED3" w:rsidRPr="00146B5E" w:rsidRDefault="000F7895" w:rsidP="00D5144B">
      <w:pPr>
        <w:pStyle w:val="3-BodyText"/>
        <w:ind w:left="720"/>
      </w:pPr>
      <w:r w:rsidRPr="00146B5E">
        <w:rPr>
          <w:snapToGrid/>
        </w:rPr>
        <w:t>The submission was based on</w:t>
      </w:r>
      <w:r w:rsidR="00575491" w:rsidRPr="00146B5E">
        <w:rPr>
          <w:snapToGrid/>
        </w:rPr>
        <w:t xml:space="preserve"> indirect comparisons between</w:t>
      </w:r>
      <w:r w:rsidRPr="00146B5E">
        <w:rPr>
          <w:snapToGrid/>
        </w:rPr>
        <w:t xml:space="preserve"> one </w:t>
      </w:r>
      <w:r w:rsidR="0091336A" w:rsidRPr="00146B5E">
        <w:rPr>
          <w:snapToGrid/>
        </w:rPr>
        <w:t>Dysport®</w:t>
      </w:r>
      <w:r w:rsidRPr="00146B5E">
        <w:rPr>
          <w:snapToGrid/>
        </w:rPr>
        <w:t xml:space="preserve"> trial, Study 153, and five </w:t>
      </w:r>
      <w:r w:rsidR="006C23C2" w:rsidRPr="00146B5E">
        <w:rPr>
          <w:snapToGrid/>
        </w:rPr>
        <w:t>Botox®</w:t>
      </w:r>
      <w:r w:rsidRPr="00146B5E">
        <w:rPr>
          <w:snapToGrid/>
        </w:rPr>
        <w:t xml:space="preserve"> trials (Fehlings 2018; Fehlings 2000; Rameckers 2009/Speth 2005; Lowe 2006; Olesch 2010).</w:t>
      </w:r>
      <w:r w:rsidR="00A87288" w:rsidRPr="00146B5E">
        <w:rPr>
          <w:snapToGrid/>
        </w:rPr>
        <w:t xml:space="preserve"> </w:t>
      </w:r>
      <w:r w:rsidRPr="00146B5E">
        <w:rPr>
          <w:iCs/>
        </w:rPr>
        <w:t xml:space="preserve">While the submission identified seven </w:t>
      </w:r>
      <w:r w:rsidR="006C23C2" w:rsidRPr="00146B5E">
        <w:rPr>
          <w:iCs/>
        </w:rPr>
        <w:t>Botox®</w:t>
      </w:r>
      <w:r w:rsidRPr="00146B5E">
        <w:rPr>
          <w:iCs/>
        </w:rPr>
        <w:t xml:space="preserve"> trials, and included baseline demographic information, a risk of bias assessment, outcome description and safety and effectiveness results for all seven trials</w:t>
      </w:r>
      <w:r w:rsidR="00150037" w:rsidRPr="00146B5E">
        <w:rPr>
          <w:iCs/>
        </w:rPr>
        <w:t>, t</w:t>
      </w:r>
      <w:r w:rsidR="00D5144B" w:rsidRPr="00146B5E">
        <w:rPr>
          <w:iCs/>
        </w:rPr>
        <w:t xml:space="preserve">wo </w:t>
      </w:r>
      <w:r w:rsidR="007F5D53" w:rsidRPr="00146B5E">
        <w:rPr>
          <w:iCs/>
        </w:rPr>
        <w:t xml:space="preserve">trials (Russo 2007; </w:t>
      </w:r>
      <w:r w:rsidR="00D5144B" w:rsidRPr="00146B5E">
        <w:rPr>
          <w:iCs/>
        </w:rPr>
        <w:t xml:space="preserve">and </w:t>
      </w:r>
      <w:r w:rsidR="007F5D53" w:rsidRPr="00146B5E">
        <w:rPr>
          <w:iCs/>
        </w:rPr>
        <w:t xml:space="preserve">Wallen 2007) were </w:t>
      </w:r>
      <w:r w:rsidR="00D5144B" w:rsidRPr="00146B5E">
        <w:rPr>
          <w:iCs/>
        </w:rPr>
        <w:t xml:space="preserve">appropriately excluded </w:t>
      </w:r>
      <w:r w:rsidR="007F5D53" w:rsidRPr="00146B5E">
        <w:rPr>
          <w:iCs/>
        </w:rPr>
        <w:t>due to the dos</w:t>
      </w:r>
      <w:r w:rsidR="00150037" w:rsidRPr="00146B5E">
        <w:rPr>
          <w:iCs/>
        </w:rPr>
        <w:t>es</w:t>
      </w:r>
      <w:r w:rsidR="007F5D53" w:rsidRPr="00146B5E">
        <w:rPr>
          <w:iCs/>
        </w:rPr>
        <w:t xml:space="preserve"> of Botox</w:t>
      </w:r>
      <w:r w:rsidR="00C02B0E" w:rsidRPr="00146B5E">
        <w:rPr>
          <w:rFonts w:ascii="Calibri" w:hAnsi="Calibri" w:cs="Calibri"/>
          <w:iCs/>
        </w:rPr>
        <w:t>®</w:t>
      </w:r>
      <w:r w:rsidR="007F5D53" w:rsidRPr="00146B5E">
        <w:rPr>
          <w:iCs/>
        </w:rPr>
        <w:t xml:space="preserve"> used</w:t>
      </w:r>
      <w:r w:rsidR="00150037" w:rsidRPr="00146B5E">
        <w:rPr>
          <w:iCs/>
        </w:rPr>
        <w:t xml:space="preserve"> from the indirect comparisons</w:t>
      </w:r>
      <w:r w:rsidR="007F5D53" w:rsidRPr="00146B5E">
        <w:rPr>
          <w:iCs/>
        </w:rPr>
        <w:t>.</w:t>
      </w:r>
      <w:r w:rsidR="00A87288" w:rsidRPr="00146B5E">
        <w:rPr>
          <w:iCs/>
        </w:rPr>
        <w:t xml:space="preserve"> </w:t>
      </w:r>
    </w:p>
    <w:p w:rsidR="00862502" w:rsidRPr="00146B5E" w:rsidRDefault="00A73134" w:rsidP="001B1319">
      <w:pPr>
        <w:pStyle w:val="3-BodyText"/>
        <w:ind w:left="720"/>
      </w:pPr>
      <w:r w:rsidRPr="00146B5E">
        <w:rPr>
          <w:snapToGrid/>
        </w:rPr>
        <w:t>Details of the trials</w:t>
      </w:r>
      <w:r w:rsidR="000F7895" w:rsidRPr="00146B5E">
        <w:rPr>
          <w:snapToGrid/>
        </w:rPr>
        <w:t xml:space="preserve"> </w:t>
      </w:r>
      <w:r w:rsidRPr="00146B5E">
        <w:rPr>
          <w:snapToGrid/>
        </w:rPr>
        <w:t>presented in the submission are provided in the table below.</w:t>
      </w:r>
      <w:r w:rsidR="00BC591F" w:rsidRPr="00146B5E">
        <w:rPr>
          <w:snapToGrid/>
        </w:rPr>
        <w:t xml:space="preserve"> </w:t>
      </w:r>
    </w:p>
    <w:p w:rsidR="008E0D3C" w:rsidRPr="00146B5E" w:rsidRDefault="008E0D3C" w:rsidP="002E4F02">
      <w:pPr>
        <w:pStyle w:val="TableFigureHeading"/>
        <w:rPr>
          <w:rStyle w:val="CommentReference"/>
          <w:b/>
          <w:szCs w:val="24"/>
        </w:rPr>
      </w:pPr>
      <w:r w:rsidRPr="00146B5E">
        <w:rPr>
          <w:rStyle w:val="CommentReference"/>
          <w:b/>
          <w:szCs w:val="24"/>
        </w:rPr>
        <w:lastRenderedPageBreak/>
        <w:t xml:space="preserve">Table </w:t>
      </w:r>
      <w:r w:rsidR="00844F8E" w:rsidRPr="00146B5E">
        <w:rPr>
          <w:rStyle w:val="CommentReference"/>
          <w:b/>
          <w:szCs w:val="24"/>
        </w:rPr>
        <w:t>3</w:t>
      </w:r>
      <w:r w:rsidRPr="00146B5E">
        <w:rPr>
          <w:rStyle w:val="CommentReference"/>
          <w:b/>
          <w:szCs w:val="24"/>
        </w:rPr>
        <w:t>:</w:t>
      </w:r>
      <w:r w:rsidR="00BC591F" w:rsidRPr="00146B5E">
        <w:rPr>
          <w:rStyle w:val="CommentReference"/>
          <w:b/>
          <w:szCs w:val="24"/>
        </w:rPr>
        <w:t xml:space="preserve"> </w:t>
      </w:r>
      <w:r w:rsidRPr="00146B5E">
        <w:rPr>
          <w:rStyle w:val="CommentReference"/>
          <w:b/>
          <w:szCs w:val="24"/>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2E5AA0" w:rsidRPr="00146B5E" w:rsidTr="005B5AD4">
        <w:trPr>
          <w:tblHeader/>
        </w:trPr>
        <w:tc>
          <w:tcPr>
            <w:tcW w:w="796" w:type="pct"/>
            <w:vAlign w:val="center"/>
          </w:tcPr>
          <w:p w:rsidR="002E5AA0" w:rsidRPr="00146B5E" w:rsidRDefault="002E5AA0" w:rsidP="00275729">
            <w:pPr>
              <w:pStyle w:val="In-tableHeading"/>
              <w:widowControl w:val="0"/>
              <w:rPr>
                <w:lang w:val="en-AU"/>
              </w:rPr>
            </w:pPr>
            <w:r w:rsidRPr="00146B5E">
              <w:rPr>
                <w:lang w:val="en-AU"/>
              </w:rPr>
              <w:t>Trial ID</w:t>
            </w:r>
          </w:p>
        </w:tc>
        <w:tc>
          <w:tcPr>
            <w:tcW w:w="3027" w:type="pct"/>
            <w:vAlign w:val="center"/>
          </w:tcPr>
          <w:p w:rsidR="002E5AA0" w:rsidRPr="00146B5E" w:rsidRDefault="002E5AA0" w:rsidP="00275729">
            <w:pPr>
              <w:pStyle w:val="In-tableHeading"/>
              <w:widowControl w:val="0"/>
              <w:jc w:val="center"/>
              <w:rPr>
                <w:lang w:val="en-AU"/>
              </w:rPr>
            </w:pPr>
            <w:r w:rsidRPr="00146B5E">
              <w:rPr>
                <w:lang w:val="en-AU"/>
              </w:rPr>
              <w:t>Protocol title/ Publication title</w:t>
            </w:r>
          </w:p>
        </w:tc>
        <w:tc>
          <w:tcPr>
            <w:tcW w:w="1177" w:type="pct"/>
            <w:vAlign w:val="center"/>
          </w:tcPr>
          <w:p w:rsidR="002E5AA0" w:rsidRPr="00146B5E" w:rsidRDefault="002E5AA0" w:rsidP="00275729">
            <w:pPr>
              <w:pStyle w:val="In-tableHeading"/>
              <w:widowControl w:val="0"/>
              <w:jc w:val="center"/>
              <w:rPr>
                <w:lang w:val="en-AU"/>
              </w:rPr>
            </w:pPr>
            <w:r w:rsidRPr="00146B5E">
              <w:rPr>
                <w:lang w:val="en-AU"/>
              </w:rPr>
              <w:t>Publication citation</w:t>
            </w:r>
          </w:p>
        </w:tc>
      </w:tr>
      <w:tr w:rsidR="002E5AA0" w:rsidRPr="00146B5E" w:rsidTr="005B5AD4">
        <w:tc>
          <w:tcPr>
            <w:tcW w:w="5000" w:type="pct"/>
            <w:gridSpan w:val="3"/>
            <w:tcBorders>
              <w:bottom w:val="nil"/>
            </w:tcBorders>
            <w:vAlign w:val="center"/>
          </w:tcPr>
          <w:p w:rsidR="002E5AA0" w:rsidRPr="00146B5E" w:rsidRDefault="0091336A" w:rsidP="00275729">
            <w:pPr>
              <w:pStyle w:val="TableText0"/>
              <w:widowControl w:val="0"/>
              <w:rPr>
                <w:b/>
                <w:bCs w:val="0"/>
              </w:rPr>
            </w:pPr>
            <w:r w:rsidRPr="00146B5E">
              <w:rPr>
                <w:b/>
                <w:bCs w:val="0"/>
              </w:rPr>
              <w:t>Dysport</w:t>
            </w:r>
            <w:r w:rsidRPr="00146B5E">
              <w:rPr>
                <w:b/>
                <w:bCs w:val="0"/>
                <w:vertAlign w:val="superscript"/>
              </w:rPr>
              <w:t>®</w:t>
            </w:r>
          </w:p>
        </w:tc>
      </w:tr>
      <w:tr w:rsidR="002E5AA0" w:rsidRPr="00146B5E" w:rsidTr="005B5AD4">
        <w:tc>
          <w:tcPr>
            <w:tcW w:w="796" w:type="pct"/>
            <w:tcBorders>
              <w:bottom w:val="nil"/>
            </w:tcBorders>
            <w:vAlign w:val="center"/>
          </w:tcPr>
          <w:p w:rsidR="002E5AA0" w:rsidRPr="00146B5E" w:rsidRDefault="002E5AA0" w:rsidP="00275729">
            <w:pPr>
              <w:pStyle w:val="TableText0"/>
              <w:widowControl w:val="0"/>
            </w:pPr>
          </w:p>
        </w:tc>
        <w:tc>
          <w:tcPr>
            <w:tcW w:w="3027" w:type="pct"/>
            <w:tcBorders>
              <w:bottom w:val="nil"/>
            </w:tcBorders>
            <w:vAlign w:val="center"/>
          </w:tcPr>
          <w:p w:rsidR="002E5AA0" w:rsidRPr="00146B5E" w:rsidRDefault="002E5AA0" w:rsidP="00275729">
            <w:pPr>
              <w:pStyle w:val="TableText0"/>
              <w:widowControl w:val="0"/>
              <w:rPr>
                <w:szCs w:val="18"/>
              </w:rPr>
            </w:pPr>
            <w:r w:rsidRPr="00146B5E">
              <w:t>A Phase 3, multicentre, double blind, prospective, randomised, controlled, multiple treatment study assessing efficacy and safety of Dysport</w:t>
            </w:r>
            <w:r w:rsidRPr="00146B5E">
              <w:rPr>
                <w:vertAlign w:val="superscript"/>
              </w:rPr>
              <w:t>®</w:t>
            </w:r>
            <w:r w:rsidRPr="00146B5E">
              <w:t xml:space="preserve"> used in the treatment of upper limb spasticity in children.</w:t>
            </w:r>
          </w:p>
        </w:tc>
        <w:tc>
          <w:tcPr>
            <w:tcW w:w="1177" w:type="pct"/>
            <w:tcBorders>
              <w:bottom w:val="nil"/>
            </w:tcBorders>
            <w:vAlign w:val="center"/>
          </w:tcPr>
          <w:p w:rsidR="002E5AA0" w:rsidRPr="00146B5E" w:rsidRDefault="002E5AA0" w:rsidP="00275729">
            <w:pPr>
              <w:pStyle w:val="TableText0"/>
              <w:widowControl w:val="0"/>
            </w:pPr>
            <w:r w:rsidRPr="00146B5E">
              <w:t>CSR 153 2019</w:t>
            </w:r>
          </w:p>
        </w:tc>
      </w:tr>
      <w:tr w:rsidR="002E5AA0" w:rsidRPr="00146B5E" w:rsidTr="005B5AD4">
        <w:tc>
          <w:tcPr>
            <w:tcW w:w="796" w:type="pct"/>
            <w:tcBorders>
              <w:top w:val="nil"/>
              <w:bottom w:val="nil"/>
            </w:tcBorders>
            <w:vAlign w:val="center"/>
          </w:tcPr>
          <w:p w:rsidR="002E5AA0" w:rsidRPr="00146B5E" w:rsidRDefault="002E5AA0" w:rsidP="00275729">
            <w:pPr>
              <w:pStyle w:val="TableText0"/>
              <w:widowControl w:val="0"/>
            </w:pPr>
            <w:r w:rsidRPr="00146B5E">
              <w:t>Study 153</w:t>
            </w:r>
          </w:p>
        </w:tc>
        <w:tc>
          <w:tcPr>
            <w:tcW w:w="3027" w:type="pct"/>
            <w:tcBorders>
              <w:top w:val="nil"/>
              <w:bottom w:val="nil"/>
            </w:tcBorders>
            <w:vAlign w:val="center"/>
          </w:tcPr>
          <w:p w:rsidR="002E5AA0" w:rsidRPr="00146B5E" w:rsidRDefault="002E5AA0" w:rsidP="00275729">
            <w:pPr>
              <w:pStyle w:val="TableText0"/>
              <w:widowControl w:val="0"/>
              <w:rPr>
                <w:szCs w:val="18"/>
              </w:rPr>
            </w:pPr>
            <w:r w:rsidRPr="00146B5E">
              <w:t>Shierk A, Jiménez-Moreno AC, Roberts H, Ackerman-Laufer S, Backer G, Bard-Pondarre R, Cekmece C, Pyrzanowska W, Vilain C, Delgado MR. Development of a pediatric goal-centered upper limb spasticity home exercise therapy program for use in a Phase-III trial of abobotulinumtoxina (Dysport</w:t>
            </w:r>
            <w:r w:rsidRPr="00146B5E">
              <w:rPr>
                <w:vertAlign w:val="superscript"/>
              </w:rPr>
              <w:t>®</w:t>
            </w:r>
            <w:r w:rsidRPr="00146B5E">
              <w:t>).</w:t>
            </w:r>
          </w:p>
        </w:tc>
        <w:tc>
          <w:tcPr>
            <w:tcW w:w="1177" w:type="pct"/>
            <w:tcBorders>
              <w:top w:val="nil"/>
              <w:bottom w:val="nil"/>
            </w:tcBorders>
            <w:vAlign w:val="center"/>
          </w:tcPr>
          <w:p w:rsidR="002E5AA0" w:rsidRPr="00146B5E" w:rsidRDefault="002E5AA0" w:rsidP="00275729">
            <w:pPr>
              <w:pStyle w:val="TableText0"/>
              <w:widowControl w:val="0"/>
              <w:rPr>
                <w:szCs w:val="18"/>
              </w:rPr>
            </w:pPr>
            <w:r w:rsidRPr="00146B5E">
              <w:rPr>
                <w:i/>
                <w:iCs/>
              </w:rPr>
              <w:t>Phys Occup Ther Pediatr</w:t>
            </w:r>
            <w:r w:rsidRPr="00146B5E">
              <w:t>. 2019; 39(2):124-135.</w:t>
            </w:r>
          </w:p>
        </w:tc>
      </w:tr>
      <w:tr w:rsidR="002E5AA0" w:rsidRPr="00146B5E" w:rsidTr="005B5AD4">
        <w:tc>
          <w:tcPr>
            <w:tcW w:w="796" w:type="pct"/>
            <w:tcBorders>
              <w:top w:val="nil"/>
              <w:bottom w:val="nil"/>
            </w:tcBorders>
            <w:vAlign w:val="center"/>
          </w:tcPr>
          <w:p w:rsidR="002E5AA0" w:rsidRPr="00146B5E" w:rsidRDefault="002E5AA0" w:rsidP="00275729">
            <w:pPr>
              <w:pStyle w:val="TableText0"/>
              <w:widowControl w:val="0"/>
            </w:pPr>
          </w:p>
        </w:tc>
        <w:tc>
          <w:tcPr>
            <w:tcW w:w="3027" w:type="pct"/>
            <w:tcBorders>
              <w:top w:val="nil"/>
              <w:bottom w:val="nil"/>
            </w:tcBorders>
            <w:vAlign w:val="center"/>
          </w:tcPr>
          <w:p w:rsidR="002E5AA0" w:rsidRPr="00146B5E" w:rsidRDefault="002E5AA0" w:rsidP="00275729">
            <w:pPr>
              <w:pStyle w:val="TableText0"/>
              <w:widowControl w:val="0"/>
              <w:rPr>
                <w:szCs w:val="18"/>
              </w:rPr>
            </w:pPr>
            <w:r w:rsidRPr="00146B5E">
              <w:t>Novak I. Commentary on development of a pediatric goal-centered upper limb spasticity home exercise therapy program.</w:t>
            </w:r>
          </w:p>
        </w:tc>
        <w:tc>
          <w:tcPr>
            <w:tcW w:w="1177" w:type="pct"/>
            <w:tcBorders>
              <w:top w:val="nil"/>
              <w:bottom w:val="nil"/>
            </w:tcBorders>
            <w:vAlign w:val="center"/>
          </w:tcPr>
          <w:p w:rsidR="002E5AA0" w:rsidRPr="00146B5E" w:rsidRDefault="002E5AA0" w:rsidP="00275729">
            <w:pPr>
              <w:pStyle w:val="TableText0"/>
              <w:widowControl w:val="0"/>
              <w:rPr>
                <w:i/>
                <w:szCs w:val="18"/>
              </w:rPr>
            </w:pPr>
            <w:r w:rsidRPr="00146B5E">
              <w:rPr>
                <w:i/>
                <w:iCs/>
              </w:rPr>
              <w:t>Phys Occup Ther Pediatr</w:t>
            </w:r>
            <w:r w:rsidRPr="00146B5E">
              <w:t xml:space="preserve">. 2019; 39(2):136-138. </w:t>
            </w:r>
          </w:p>
        </w:tc>
      </w:tr>
      <w:tr w:rsidR="002E5AA0" w:rsidRPr="00146B5E" w:rsidTr="005B5AD4">
        <w:tc>
          <w:tcPr>
            <w:tcW w:w="5000" w:type="pct"/>
            <w:gridSpan w:val="3"/>
            <w:tcBorders>
              <w:bottom w:val="nil"/>
            </w:tcBorders>
            <w:vAlign w:val="center"/>
          </w:tcPr>
          <w:p w:rsidR="002E5AA0" w:rsidRPr="00146B5E" w:rsidRDefault="006C23C2" w:rsidP="00275729">
            <w:pPr>
              <w:pStyle w:val="TableText0"/>
              <w:widowControl w:val="0"/>
              <w:rPr>
                <w:b/>
                <w:bCs w:val="0"/>
              </w:rPr>
            </w:pPr>
            <w:r w:rsidRPr="00146B5E">
              <w:rPr>
                <w:b/>
                <w:bCs w:val="0"/>
              </w:rPr>
              <w:t>Botox</w:t>
            </w:r>
            <w:r w:rsidRPr="00146B5E">
              <w:rPr>
                <w:b/>
                <w:bCs w:val="0"/>
                <w:vertAlign w:val="superscript"/>
              </w:rPr>
              <w:t>®</w:t>
            </w:r>
          </w:p>
        </w:tc>
      </w:tr>
      <w:tr w:rsidR="002E5AA0" w:rsidRPr="00146B5E" w:rsidTr="005B5AD4">
        <w:tc>
          <w:tcPr>
            <w:tcW w:w="796" w:type="pct"/>
            <w:tcBorders>
              <w:bottom w:val="nil"/>
            </w:tcBorders>
            <w:vAlign w:val="center"/>
          </w:tcPr>
          <w:p w:rsidR="002E5AA0" w:rsidRPr="00146B5E" w:rsidRDefault="002E5AA0" w:rsidP="00275729">
            <w:pPr>
              <w:pStyle w:val="TableText0"/>
            </w:pPr>
          </w:p>
        </w:tc>
        <w:tc>
          <w:tcPr>
            <w:tcW w:w="3027" w:type="pct"/>
            <w:tcBorders>
              <w:bottom w:val="nil"/>
            </w:tcBorders>
            <w:vAlign w:val="center"/>
          </w:tcPr>
          <w:p w:rsidR="002E5AA0" w:rsidRPr="00146B5E" w:rsidRDefault="002E5AA0" w:rsidP="00275729">
            <w:pPr>
              <w:pStyle w:val="TableText0"/>
            </w:pPr>
            <w:r w:rsidRPr="00146B5E">
              <w:t>Fehlings DGM.</w:t>
            </w:r>
            <w:r w:rsidR="00A87288" w:rsidRPr="00146B5E">
              <w:t xml:space="preserve"> </w:t>
            </w:r>
            <w:r w:rsidRPr="00146B5E">
              <w:rPr>
                <w:lang w:bidi="en-US"/>
              </w:rPr>
              <w:t>Efficacy and safety of onabotulinumtoxina for the treatment of pediatric upper limb spasticity: primary results.</w:t>
            </w:r>
            <w:r w:rsidRPr="00146B5E">
              <w:t xml:space="preserve"> </w:t>
            </w:r>
          </w:p>
        </w:tc>
        <w:tc>
          <w:tcPr>
            <w:tcW w:w="1177" w:type="pct"/>
            <w:tcBorders>
              <w:bottom w:val="nil"/>
            </w:tcBorders>
            <w:vAlign w:val="center"/>
          </w:tcPr>
          <w:p w:rsidR="002E5AA0" w:rsidRPr="00146B5E" w:rsidRDefault="002E5AA0" w:rsidP="00275729">
            <w:pPr>
              <w:pStyle w:val="TableText0"/>
            </w:pPr>
            <w:r w:rsidRPr="00146B5E">
              <w:rPr>
                <w:i/>
                <w:iCs/>
                <w:lang w:bidi="en-US"/>
              </w:rPr>
              <w:t>Dev Med Child Neurol</w:t>
            </w:r>
            <w:r w:rsidRPr="00146B5E">
              <w:rPr>
                <w:lang w:bidi="en-US"/>
              </w:rPr>
              <w:t xml:space="preserve"> 2018; 60(S3):33-34</w:t>
            </w:r>
            <w:r w:rsidRPr="00146B5E">
              <w:t>.</w:t>
            </w:r>
          </w:p>
        </w:tc>
      </w:tr>
      <w:tr w:rsidR="002E5AA0" w:rsidRPr="00146B5E" w:rsidTr="005B5AD4">
        <w:tc>
          <w:tcPr>
            <w:tcW w:w="796" w:type="pct"/>
            <w:tcBorders>
              <w:top w:val="nil"/>
              <w:bottom w:val="nil"/>
            </w:tcBorders>
            <w:vAlign w:val="center"/>
          </w:tcPr>
          <w:p w:rsidR="002E5AA0" w:rsidRPr="00146B5E" w:rsidRDefault="002E5AA0" w:rsidP="00275729">
            <w:pPr>
              <w:pStyle w:val="TableText0"/>
            </w:pPr>
            <w:r w:rsidRPr="00146B5E">
              <w:t>Fehlings 2018</w:t>
            </w:r>
          </w:p>
        </w:tc>
        <w:tc>
          <w:tcPr>
            <w:tcW w:w="3027" w:type="pct"/>
            <w:tcBorders>
              <w:top w:val="nil"/>
              <w:bottom w:val="nil"/>
            </w:tcBorders>
            <w:vAlign w:val="center"/>
          </w:tcPr>
          <w:p w:rsidR="002E5AA0" w:rsidRPr="00146B5E" w:rsidRDefault="002E5AA0" w:rsidP="00275729">
            <w:pPr>
              <w:pStyle w:val="TableText0"/>
            </w:pPr>
            <w:r w:rsidRPr="00146B5E">
              <w:t>Fehlings DGM.</w:t>
            </w:r>
            <w:r w:rsidR="00A87288" w:rsidRPr="00146B5E">
              <w:t xml:space="preserve"> </w:t>
            </w:r>
            <w:r w:rsidRPr="00146B5E">
              <w:t>Efficacy and safety of onabotulinumtoxina for the treatment of pediatric upper limb spasticity: primary results.</w:t>
            </w:r>
          </w:p>
        </w:tc>
        <w:tc>
          <w:tcPr>
            <w:tcW w:w="1177" w:type="pct"/>
            <w:tcBorders>
              <w:top w:val="nil"/>
              <w:bottom w:val="nil"/>
            </w:tcBorders>
            <w:vAlign w:val="center"/>
          </w:tcPr>
          <w:p w:rsidR="002E5AA0" w:rsidRPr="00146B5E" w:rsidRDefault="002E5AA0" w:rsidP="00275729">
            <w:pPr>
              <w:pStyle w:val="TableText0"/>
            </w:pPr>
            <w:r w:rsidRPr="00146B5E">
              <w:t xml:space="preserve">4th Int Congress INA, </w:t>
            </w:r>
          </w:p>
          <w:p w:rsidR="002E5AA0" w:rsidRPr="00146B5E" w:rsidRDefault="002E5AA0" w:rsidP="00275729">
            <w:pPr>
              <w:pStyle w:val="TableText0"/>
            </w:pPr>
            <w:r w:rsidRPr="00146B5E">
              <w:t>Copenhagen, Denmark 2019; poster P3.20.</w:t>
            </w:r>
          </w:p>
        </w:tc>
      </w:tr>
      <w:tr w:rsidR="002E5AA0" w:rsidRPr="00146B5E" w:rsidTr="005B5AD4">
        <w:tc>
          <w:tcPr>
            <w:tcW w:w="796" w:type="pct"/>
            <w:tcBorders>
              <w:bottom w:val="single" w:sz="4" w:space="0" w:color="auto"/>
            </w:tcBorders>
            <w:vAlign w:val="center"/>
          </w:tcPr>
          <w:p w:rsidR="002E5AA0" w:rsidRPr="00146B5E" w:rsidRDefault="002E5AA0" w:rsidP="00275729">
            <w:pPr>
              <w:pStyle w:val="TableText0"/>
            </w:pPr>
            <w:r w:rsidRPr="00146B5E">
              <w:t>Fehlings 2000</w:t>
            </w:r>
          </w:p>
        </w:tc>
        <w:tc>
          <w:tcPr>
            <w:tcW w:w="3027" w:type="pct"/>
            <w:tcBorders>
              <w:bottom w:val="single" w:sz="4" w:space="0" w:color="auto"/>
            </w:tcBorders>
            <w:vAlign w:val="center"/>
          </w:tcPr>
          <w:p w:rsidR="002E5AA0" w:rsidRPr="00146B5E" w:rsidRDefault="002E5AA0" w:rsidP="00275729">
            <w:pPr>
              <w:pStyle w:val="TableText0"/>
            </w:pPr>
            <w:r w:rsidRPr="00146B5E">
              <w:t>Fehlings D, Rang M, Glazier J et al. An evaluation of botulinum-A toxin injections to improve upper extremity function in children with hemiplegic cerebral palsy.</w:t>
            </w:r>
          </w:p>
        </w:tc>
        <w:tc>
          <w:tcPr>
            <w:tcW w:w="1177" w:type="pct"/>
            <w:tcBorders>
              <w:bottom w:val="single" w:sz="4" w:space="0" w:color="auto"/>
            </w:tcBorders>
            <w:vAlign w:val="center"/>
          </w:tcPr>
          <w:p w:rsidR="002E5AA0" w:rsidRPr="00146B5E" w:rsidRDefault="002E5AA0" w:rsidP="00275729">
            <w:pPr>
              <w:pStyle w:val="TableText0"/>
            </w:pPr>
            <w:r w:rsidRPr="00146B5E">
              <w:rPr>
                <w:i/>
                <w:iCs/>
              </w:rPr>
              <w:t>J Pediatr</w:t>
            </w:r>
            <w:r w:rsidRPr="00146B5E">
              <w:t xml:space="preserve"> 2000; 137(3):331-337.</w:t>
            </w:r>
          </w:p>
        </w:tc>
      </w:tr>
      <w:tr w:rsidR="002E5AA0" w:rsidRPr="00146B5E" w:rsidTr="005B5AD4">
        <w:tc>
          <w:tcPr>
            <w:tcW w:w="796" w:type="pct"/>
            <w:tcBorders>
              <w:top w:val="single" w:sz="4" w:space="0" w:color="auto"/>
              <w:bottom w:val="single" w:sz="4" w:space="0" w:color="auto"/>
            </w:tcBorders>
            <w:vAlign w:val="center"/>
          </w:tcPr>
          <w:p w:rsidR="002E5AA0" w:rsidRPr="00146B5E" w:rsidRDefault="002E5AA0" w:rsidP="00275729">
            <w:pPr>
              <w:pStyle w:val="TableText0"/>
            </w:pPr>
            <w:r w:rsidRPr="00146B5E">
              <w:t>Lowe 2006</w:t>
            </w:r>
          </w:p>
        </w:tc>
        <w:tc>
          <w:tcPr>
            <w:tcW w:w="3027" w:type="pct"/>
            <w:tcBorders>
              <w:top w:val="single" w:sz="4" w:space="0" w:color="auto"/>
              <w:bottom w:val="single" w:sz="4" w:space="0" w:color="auto"/>
            </w:tcBorders>
            <w:vAlign w:val="center"/>
          </w:tcPr>
          <w:p w:rsidR="002E5AA0" w:rsidRPr="00146B5E" w:rsidRDefault="002E5AA0" w:rsidP="00275729">
            <w:pPr>
              <w:pStyle w:val="TableText0"/>
            </w:pPr>
            <w:r w:rsidRPr="00146B5E">
              <w:t>Lowe K, Novak I, Cusick A. Low-dose/high-concentration localized botulinum toxin A improves upper limb movement and function in children with hemiplegic cerebral palsy.</w:t>
            </w:r>
          </w:p>
        </w:tc>
        <w:tc>
          <w:tcPr>
            <w:tcW w:w="1177" w:type="pct"/>
            <w:tcBorders>
              <w:top w:val="single" w:sz="4" w:space="0" w:color="auto"/>
              <w:bottom w:val="single" w:sz="4" w:space="0" w:color="auto"/>
            </w:tcBorders>
            <w:vAlign w:val="center"/>
          </w:tcPr>
          <w:p w:rsidR="002E5AA0" w:rsidRPr="00146B5E" w:rsidRDefault="002E5AA0" w:rsidP="00275729">
            <w:pPr>
              <w:pStyle w:val="TableText0"/>
            </w:pPr>
            <w:r w:rsidRPr="00146B5E">
              <w:rPr>
                <w:i/>
                <w:iCs/>
              </w:rPr>
              <w:t>Dev Med Child Neurol</w:t>
            </w:r>
            <w:r w:rsidRPr="00146B5E">
              <w:t xml:space="preserve"> 2006; 48(3):170-755.</w:t>
            </w:r>
          </w:p>
        </w:tc>
      </w:tr>
      <w:tr w:rsidR="002E5AA0" w:rsidRPr="00146B5E" w:rsidTr="005B5AD4">
        <w:tc>
          <w:tcPr>
            <w:tcW w:w="796" w:type="pct"/>
            <w:tcBorders>
              <w:top w:val="single" w:sz="4" w:space="0" w:color="auto"/>
              <w:bottom w:val="single" w:sz="4" w:space="0" w:color="auto"/>
            </w:tcBorders>
            <w:vAlign w:val="center"/>
          </w:tcPr>
          <w:p w:rsidR="002E5AA0" w:rsidRPr="00146B5E" w:rsidRDefault="002E5AA0" w:rsidP="00275729">
            <w:pPr>
              <w:pStyle w:val="TableText0"/>
            </w:pPr>
            <w:r w:rsidRPr="00146B5E">
              <w:t>Olesch 2010</w:t>
            </w:r>
          </w:p>
        </w:tc>
        <w:tc>
          <w:tcPr>
            <w:tcW w:w="3027" w:type="pct"/>
            <w:tcBorders>
              <w:top w:val="single" w:sz="4" w:space="0" w:color="auto"/>
              <w:bottom w:val="single" w:sz="4" w:space="0" w:color="auto"/>
            </w:tcBorders>
            <w:vAlign w:val="center"/>
          </w:tcPr>
          <w:p w:rsidR="002E5AA0" w:rsidRPr="00146B5E" w:rsidRDefault="002E5AA0" w:rsidP="00275729">
            <w:pPr>
              <w:pStyle w:val="TableText0"/>
            </w:pPr>
            <w:r w:rsidRPr="00146B5E">
              <w:t>Olesch CA, Greaves S, Imms C, Reid SM, Graham HK. Repeat botulinum toxin-A injections in the upper limb of children with hemiplegia: a randomized controlled trial.</w:t>
            </w:r>
          </w:p>
        </w:tc>
        <w:tc>
          <w:tcPr>
            <w:tcW w:w="1177" w:type="pct"/>
            <w:tcBorders>
              <w:top w:val="single" w:sz="4" w:space="0" w:color="auto"/>
              <w:bottom w:val="single" w:sz="4" w:space="0" w:color="auto"/>
            </w:tcBorders>
            <w:vAlign w:val="center"/>
          </w:tcPr>
          <w:p w:rsidR="002E5AA0" w:rsidRPr="00146B5E" w:rsidRDefault="002E5AA0" w:rsidP="00275729">
            <w:pPr>
              <w:pStyle w:val="TableText0"/>
            </w:pPr>
            <w:r w:rsidRPr="00146B5E">
              <w:rPr>
                <w:i/>
                <w:iCs/>
              </w:rPr>
              <w:t>Dev Med Child Neurol</w:t>
            </w:r>
            <w:r w:rsidRPr="00146B5E">
              <w:t xml:space="preserve"> 2010; 52(1):79-86.</w:t>
            </w:r>
          </w:p>
        </w:tc>
      </w:tr>
      <w:tr w:rsidR="007C2FB8" w:rsidRPr="00146B5E" w:rsidTr="005B5AD4">
        <w:tc>
          <w:tcPr>
            <w:tcW w:w="796" w:type="pct"/>
            <w:vMerge w:val="restart"/>
            <w:tcBorders>
              <w:top w:val="single" w:sz="4" w:space="0" w:color="auto"/>
            </w:tcBorders>
            <w:vAlign w:val="center"/>
          </w:tcPr>
          <w:p w:rsidR="007C2FB8" w:rsidRPr="00146B5E" w:rsidRDefault="007C2FB8" w:rsidP="00275729">
            <w:pPr>
              <w:pStyle w:val="TableText0"/>
            </w:pPr>
            <w:r w:rsidRPr="00146B5E">
              <w:t>Rameckers 2009/ Speth 2005</w:t>
            </w:r>
            <w:r w:rsidRPr="00146B5E">
              <w:rPr>
                <w:vertAlign w:val="superscript"/>
              </w:rPr>
              <w:t>a</w:t>
            </w:r>
          </w:p>
        </w:tc>
        <w:tc>
          <w:tcPr>
            <w:tcW w:w="3027" w:type="pct"/>
            <w:tcBorders>
              <w:top w:val="single" w:sz="4" w:space="0" w:color="auto"/>
              <w:bottom w:val="nil"/>
            </w:tcBorders>
            <w:vAlign w:val="center"/>
          </w:tcPr>
          <w:p w:rsidR="007C2FB8" w:rsidRPr="00146B5E" w:rsidRDefault="007C2FB8" w:rsidP="00275729">
            <w:pPr>
              <w:pStyle w:val="TableText0"/>
            </w:pPr>
            <w:r w:rsidRPr="00146B5E">
              <w:t>Rameckers EA, Speth LA, Duysens J, Vles JS, Smits-Engelsman BC. Botulinum toxin-a in children with congenital spastic hemiplegia does not improve upper extremity motor-related function over rehabilitation alone: a randomized controlled trial.</w:t>
            </w:r>
          </w:p>
        </w:tc>
        <w:tc>
          <w:tcPr>
            <w:tcW w:w="1177" w:type="pct"/>
            <w:tcBorders>
              <w:top w:val="single" w:sz="4" w:space="0" w:color="auto"/>
              <w:bottom w:val="nil"/>
            </w:tcBorders>
            <w:vAlign w:val="center"/>
          </w:tcPr>
          <w:p w:rsidR="007C2FB8" w:rsidRPr="00146B5E" w:rsidRDefault="007C2FB8" w:rsidP="00275729">
            <w:pPr>
              <w:pStyle w:val="TableText0"/>
              <w:rPr>
                <w:i/>
                <w:iCs/>
              </w:rPr>
            </w:pPr>
            <w:r w:rsidRPr="00146B5E">
              <w:rPr>
                <w:i/>
                <w:iCs/>
              </w:rPr>
              <w:t>Neurorehabil Neural Repair</w:t>
            </w:r>
            <w:r w:rsidRPr="00146B5E">
              <w:t xml:space="preserve"> 2009; 23(3):218-25.</w:t>
            </w:r>
          </w:p>
        </w:tc>
      </w:tr>
      <w:tr w:rsidR="007C2FB8" w:rsidRPr="00146B5E" w:rsidTr="005B5AD4">
        <w:tc>
          <w:tcPr>
            <w:tcW w:w="796" w:type="pct"/>
            <w:vMerge/>
            <w:tcBorders>
              <w:bottom w:val="single" w:sz="4" w:space="0" w:color="auto"/>
            </w:tcBorders>
            <w:vAlign w:val="center"/>
          </w:tcPr>
          <w:p w:rsidR="007C2FB8" w:rsidRPr="00146B5E" w:rsidRDefault="007C2FB8" w:rsidP="00275729">
            <w:pPr>
              <w:pStyle w:val="TableText0"/>
            </w:pPr>
          </w:p>
        </w:tc>
        <w:tc>
          <w:tcPr>
            <w:tcW w:w="3027" w:type="pct"/>
            <w:tcBorders>
              <w:top w:val="nil"/>
              <w:bottom w:val="single" w:sz="4" w:space="0" w:color="auto"/>
            </w:tcBorders>
            <w:vAlign w:val="center"/>
          </w:tcPr>
          <w:p w:rsidR="007C2FB8" w:rsidRPr="00146B5E" w:rsidRDefault="007C2FB8" w:rsidP="00275729">
            <w:pPr>
              <w:pStyle w:val="TableText0"/>
            </w:pPr>
            <w:r w:rsidRPr="00146B5E">
              <w:t>Speth LA, Leffers P, Janssen-Potten YJ et al. Botulinum toxin A and upper limb functional skills in hemiparetic cerebral palsy: a randomized trial in children receiving intensive therapy.</w:t>
            </w:r>
          </w:p>
        </w:tc>
        <w:tc>
          <w:tcPr>
            <w:tcW w:w="1177" w:type="pct"/>
            <w:tcBorders>
              <w:top w:val="nil"/>
              <w:bottom w:val="single" w:sz="4" w:space="0" w:color="auto"/>
            </w:tcBorders>
            <w:vAlign w:val="center"/>
          </w:tcPr>
          <w:p w:rsidR="007C2FB8" w:rsidRPr="00146B5E" w:rsidRDefault="007C2FB8" w:rsidP="00275729">
            <w:pPr>
              <w:pStyle w:val="TableText0"/>
              <w:rPr>
                <w:i/>
                <w:iCs/>
              </w:rPr>
            </w:pPr>
            <w:r w:rsidRPr="00146B5E">
              <w:rPr>
                <w:i/>
                <w:iCs/>
              </w:rPr>
              <w:t>Dev Med Child Neurol</w:t>
            </w:r>
            <w:r w:rsidRPr="00146B5E">
              <w:t xml:space="preserve"> 2005; 47(7):468-73.</w:t>
            </w:r>
          </w:p>
        </w:tc>
      </w:tr>
    </w:tbl>
    <w:p w:rsidR="008E0D3C" w:rsidRPr="00146B5E" w:rsidRDefault="002E5AA0" w:rsidP="005B5AD4">
      <w:pPr>
        <w:pStyle w:val="TableFigureFooter"/>
      </w:pPr>
      <w:r w:rsidRPr="00146B5E">
        <w:t>Source: Table 2-5, p39-40 of the submission.</w:t>
      </w:r>
    </w:p>
    <w:p w:rsidR="00275729" w:rsidRPr="00146B5E" w:rsidRDefault="000F7895" w:rsidP="005B5AD4">
      <w:pPr>
        <w:pStyle w:val="TableFigureFooter"/>
      </w:pPr>
      <w:r w:rsidRPr="00146B5E">
        <w:rPr>
          <w:vertAlign w:val="superscript"/>
        </w:rPr>
        <w:t>a</w:t>
      </w:r>
      <w:r w:rsidR="00397BFD" w:rsidRPr="00146B5E">
        <w:t xml:space="preserve"> </w:t>
      </w:r>
      <w:r w:rsidRPr="00146B5E">
        <w:t>Rameckers 2009 and Speth 2005 are two publications of the same trial.</w:t>
      </w:r>
      <w:r w:rsidR="00A87288" w:rsidRPr="00146B5E">
        <w:t xml:space="preserve"> </w:t>
      </w:r>
      <w:r w:rsidRPr="00146B5E">
        <w:t>The submission indicated that where outcomes were not available in Rameckers 2009, values from Speth 2005 were used.</w:t>
      </w:r>
    </w:p>
    <w:p w:rsidR="00A25F4E" w:rsidRPr="00146B5E" w:rsidRDefault="00A25F4E" w:rsidP="001B1319">
      <w:pPr>
        <w:pStyle w:val="3-BodyText"/>
        <w:ind w:left="720"/>
      </w:pPr>
      <w:r w:rsidRPr="00146B5E">
        <w:t>The key features of the evidence included in the indirect comparisons are summarised in the table below.</w:t>
      </w:r>
    </w:p>
    <w:p w:rsidR="007F1017" w:rsidRPr="00146B5E" w:rsidRDefault="007F1017" w:rsidP="00EC5836">
      <w:pPr>
        <w:pStyle w:val="TableFigureHeading"/>
        <w:rPr>
          <w:rStyle w:val="CommentReference"/>
          <w:b/>
          <w:szCs w:val="24"/>
        </w:rPr>
      </w:pPr>
      <w:r w:rsidRPr="00146B5E">
        <w:rPr>
          <w:rStyle w:val="CommentReference"/>
          <w:b/>
          <w:szCs w:val="24"/>
        </w:rPr>
        <w:lastRenderedPageBreak/>
        <w:t xml:space="preserve">Table </w:t>
      </w:r>
      <w:r w:rsidR="00844F8E" w:rsidRPr="00146B5E">
        <w:rPr>
          <w:rStyle w:val="CommentReference"/>
          <w:b/>
          <w:szCs w:val="24"/>
        </w:rPr>
        <w:t>4</w:t>
      </w:r>
      <w:r w:rsidRPr="00146B5E">
        <w:rPr>
          <w:rStyle w:val="CommentReference"/>
          <w:b/>
          <w:szCs w:val="24"/>
        </w:rPr>
        <w:t xml:space="preserve">: </w:t>
      </w:r>
      <w:r w:rsidR="00A25F4E" w:rsidRPr="00146B5E">
        <w:rPr>
          <w:rStyle w:val="CommentReference"/>
          <w:b/>
          <w:szCs w:val="24"/>
        </w:rPr>
        <w:t>Key features of trials included in the indirect comparisons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07"/>
        <w:gridCol w:w="546"/>
        <w:gridCol w:w="1426"/>
        <w:gridCol w:w="848"/>
        <w:gridCol w:w="2537"/>
        <w:gridCol w:w="1129"/>
        <w:gridCol w:w="1124"/>
      </w:tblGrid>
      <w:tr w:rsidR="00A25F4E" w:rsidRPr="00146B5E" w:rsidTr="005B5AD4">
        <w:trPr>
          <w:tblHeader/>
        </w:trPr>
        <w:tc>
          <w:tcPr>
            <w:tcW w:w="780" w:type="pct"/>
            <w:shd w:val="clear" w:color="auto" w:fill="auto"/>
            <w:vAlign w:val="center"/>
          </w:tcPr>
          <w:p w:rsidR="00A25F4E" w:rsidRPr="005B5AD4" w:rsidRDefault="00A25F4E" w:rsidP="00BD6161">
            <w:pPr>
              <w:pStyle w:val="In-tableHeading"/>
              <w:rPr>
                <w:szCs w:val="20"/>
                <w:lang w:val="en-AU"/>
              </w:rPr>
            </w:pPr>
            <w:r w:rsidRPr="005B5AD4">
              <w:rPr>
                <w:szCs w:val="20"/>
                <w:lang w:val="en-AU"/>
              </w:rPr>
              <w:t>Trial</w:t>
            </w:r>
          </w:p>
        </w:tc>
        <w:tc>
          <w:tcPr>
            <w:tcW w:w="303" w:type="pct"/>
            <w:shd w:val="clear" w:color="auto" w:fill="auto"/>
            <w:vAlign w:val="center"/>
          </w:tcPr>
          <w:p w:rsidR="00A25F4E" w:rsidRPr="005B5AD4" w:rsidRDefault="00A25F4E" w:rsidP="00BD6161">
            <w:pPr>
              <w:pStyle w:val="In-tableHeading"/>
              <w:jc w:val="center"/>
              <w:rPr>
                <w:szCs w:val="20"/>
                <w:lang w:val="en-AU"/>
              </w:rPr>
            </w:pPr>
            <w:r w:rsidRPr="005B5AD4">
              <w:rPr>
                <w:szCs w:val="20"/>
                <w:lang w:val="en-AU"/>
              </w:rPr>
              <w:t>N</w:t>
            </w:r>
          </w:p>
        </w:tc>
        <w:tc>
          <w:tcPr>
            <w:tcW w:w="791" w:type="pct"/>
            <w:shd w:val="clear" w:color="auto" w:fill="auto"/>
            <w:vAlign w:val="center"/>
          </w:tcPr>
          <w:p w:rsidR="00A25F4E" w:rsidRPr="005B5AD4" w:rsidRDefault="00A25F4E" w:rsidP="00BD6161">
            <w:pPr>
              <w:pStyle w:val="In-tableHeading"/>
              <w:jc w:val="center"/>
              <w:rPr>
                <w:szCs w:val="20"/>
                <w:lang w:val="en-AU"/>
              </w:rPr>
            </w:pPr>
            <w:r w:rsidRPr="005B5AD4">
              <w:rPr>
                <w:szCs w:val="20"/>
                <w:lang w:val="en-AU"/>
              </w:rPr>
              <w:t>Design/duration</w:t>
            </w:r>
          </w:p>
        </w:tc>
        <w:tc>
          <w:tcPr>
            <w:tcW w:w="470" w:type="pct"/>
            <w:shd w:val="clear" w:color="auto" w:fill="auto"/>
            <w:vAlign w:val="center"/>
          </w:tcPr>
          <w:p w:rsidR="00A25F4E" w:rsidRPr="005B5AD4" w:rsidRDefault="00A25F4E" w:rsidP="00BD6161">
            <w:pPr>
              <w:pStyle w:val="In-tableHeading"/>
              <w:jc w:val="center"/>
              <w:rPr>
                <w:szCs w:val="20"/>
                <w:lang w:val="en-AU"/>
              </w:rPr>
            </w:pPr>
            <w:r w:rsidRPr="005B5AD4">
              <w:rPr>
                <w:szCs w:val="20"/>
                <w:lang w:val="en-AU"/>
              </w:rPr>
              <w:t>Risk of bias</w:t>
            </w:r>
          </w:p>
        </w:tc>
        <w:tc>
          <w:tcPr>
            <w:tcW w:w="1407" w:type="pct"/>
            <w:shd w:val="clear" w:color="auto" w:fill="auto"/>
            <w:vAlign w:val="center"/>
          </w:tcPr>
          <w:p w:rsidR="00A25F4E" w:rsidRPr="005B5AD4" w:rsidRDefault="00A25F4E" w:rsidP="00BD6161">
            <w:pPr>
              <w:pStyle w:val="In-tableHeading"/>
              <w:jc w:val="center"/>
              <w:rPr>
                <w:szCs w:val="20"/>
                <w:lang w:val="en-AU"/>
              </w:rPr>
            </w:pPr>
            <w:r w:rsidRPr="005B5AD4">
              <w:rPr>
                <w:szCs w:val="20"/>
                <w:lang w:val="en-AU"/>
              </w:rPr>
              <w:t>Patient population</w:t>
            </w:r>
          </w:p>
        </w:tc>
        <w:tc>
          <w:tcPr>
            <w:tcW w:w="626" w:type="pct"/>
            <w:shd w:val="clear" w:color="auto" w:fill="auto"/>
            <w:vAlign w:val="center"/>
          </w:tcPr>
          <w:p w:rsidR="00A25F4E" w:rsidRPr="005B5AD4" w:rsidRDefault="00A25F4E" w:rsidP="00BD6161">
            <w:pPr>
              <w:pStyle w:val="In-tableHeading"/>
              <w:jc w:val="center"/>
              <w:rPr>
                <w:szCs w:val="20"/>
                <w:lang w:val="en-AU"/>
              </w:rPr>
            </w:pPr>
            <w:r w:rsidRPr="005B5AD4">
              <w:rPr>
                <w:szCs w:val="20"/>
                <w:lang w:val="en-AU"/>
              </w:rPr>
              <w:t>Outcomes</w:t>
            </w:r>
          </w:p>
        </w:tc>
        <w:tc>
          <w:tcPr>
            <w:tcW w:w="623" w:type="pct"/>
            <w:shd w:val="clear" w:color="auto" w:fill="auto"/>
            <w:vAlign w:val="center"/>
          </w:tcPr>
          <w:p w:rsidR="00A25F4E" w:rsidRPr="005B5AD4" w:rsidRDefault="00A25F4E" w:rsidP="00BD6161">
            <w:pPr>
              <w:pStyle w:val="In-tableHeading"/>
              <w:jc w:val="center"/>
              <w:rPr>
                <w:szCs w:val="20"/>
                <w:lang w:val="en-AU"/>
              </w:rPr>
            </w:pPr>
            <w:r w:rsidRPr="005B5AD4">
              <w:rPr>
                <w:szCs w:val="20"/>
                <w:lang w:val="en-AU"/>
              </w:rPr>
              <w:t>Use in cost-minimisation</w:t>
            </w:r>
          </w:p>
        </w:tc>
      </w:tr>
      <w:tr w:rsidR="00A25F4E" w:rsidRPr="00146B5E" w:rsidTr="005B5AD4">
        <w:tc>
          <w:tcPr>
            <w:tcW w:w="5000" w:type="pct"/>
            <w:gridSpan w:val="7"/>
            <w:shd w:val="clear" w:color="auto" w:fill="auto"/>
            <w:vAlign w:val="center"/>
          </w:tcPr>
          <w:p w:rsidR="00A25F4E" w:rsidRPr="005B5AD4" w:rsidRDefault="0091336A" w:rsidP="00BD6161">
            <w:pPr>
              <w:pStyle w:val="In-tableHeading"/>
              <w:rPr>
                <w:szCs w:val="20"/>
                <w:lang w:val="en-AU"/>
              </w:rPr>
            </w:pPr>
            <w:r w:rsidRPr="005B5AD4">
              <w:rPr>
                <w:szCs w:val="20"/>
                <w:lang w:val="en-AU"/>
              </w:rPr>
              <w:t>Dysport</w:t>
            </w:r>
            <w:r w:rsidRPr="005B5AD4">
              <w:rPr>
                <w:szCs w:val="20"/>
                <w:vertAlign w:val="superscript"/>
                <w:lang w:val="en-AU"/>
              </w:rPr>
              <w:t>®</w:t>
            </w:r>
            <w:r w:rsidR="00A25F4E" w:rsidRPr="005B5AD4">
              <w:rPr>
                <w:szCs w:val="20"/>
                <w:lang w:val="en-AU"/>
              </w:rPr>
              <w:t xml:space="preserve"> vs. no intervention (2</w:t>
            </w:r>
            <w:r w:rsidR="00D82CE2" w:rsidRPr="005B5AD4">
              <w:rPr>
                <w:szCs w:val="20"/>
                <w:lang w:val="en-AU"/>
              </w:rPr>
              <w:t xml:space="preserve"> </w:t>
            </w:r>
            <w:r w:rsidR="00A25F4E" w:rsidRPr="005B5AD4">
              <w:rPr>
                <w:szCs w:val="20"/>
                <w:lang w:val="en-AU"/>
              </w:rPr>
              <w:t>U/kg dose)</w:t>
            </w:r>
          </w:p>
        </w:tc>
      </w:tr>
      <w:tr w:rsidR="00A25F4E" w:rsidRPr="00146B5E" w:rsidTr="005B5AD4">
        <w:tc>
          <w:tcPr>
            <w:tcW w:w="780" w:type="pct"/>
            <w:shd w:val="clear" w:color="auto" w:fill="auto"/>
            <w:vAlign w:val="center"/>
          </w:tcPr>
          <w:p w:rsidR="00A25F4E" w:rsidRPr="005B5AD4" w:rsidRDefault="00A25F4E" w:rsidP="00BD6161">
            <w:pPr>
              <w:pStyle w:val="TableText0"/>
              <w:rPr>
                <w:szCs w:val="20"/>
              </w:rPr>
            </w:pPr>
            <w:r w:rsidRPr="005B5AD4">
              <w:rPr>
                <w:szCs w:val="20"/>
              </w:rPr>
              <w:t>Study 153</w:t>
            </w:r>
          </w:p>
        </w:tc>
        <w:tc>
          <w:tcPr>
            <w:tcW w:w="303" w:type="pct"/>
            <w:shd w:val="clear" w:color="auto" w:fill="auto"/>
            <w:vAlign w:val="center"/>
          </w:tcPr>
          <w:p w:rsidR="00A25F4E" w:rsidRPr="005B5AD4" w:rsidRDefault="00A25F4E" w:rsidP="00BD6161">
            <w:pPr>
              <w:pStyle w:val="TableText0"/>
              <w:jc w:val="center"/>
              <w:rPr>
                <w:szCs w:val="20"/>
              </w:rPr>
            </w:pPr>
            <w:r w:rsidRPr="005B5AD4">
              <w:rPr>
                <w:szCs w:val="20"/>
              </w:rPr>
              <w:t>210</w:t>
            </w:r>
          </w:p>
        </w:tc>
        <w:tc>
          <w:tcPr>
            <w:tcW w:w="791" w:type="pct"/>
            <w:shd w:val="clear" w:color="auto" w:fill="auto"/>
            <w:vAlign w:val="center"/>
          </w:tcPr>
          <w:p w:rsidR="00A25F4E" w:rsidRPr="005B5AD4" w:rsidRDefault="00A25F4E" w:rsidP="00BD6161">
            <w:pPr>
              <w:pStyle w:val="TableText0"/>
              <w:rPr>
                <w:szCs w:val="20"/>
              </w:rPr>
            </w:pPr>
            <w:r w:rsidRPr="005B5AD4">
              <w:rPr>
                <w:szCs w:val="20"/>
              </w:rPr>
              <w:t>R, DB, MC; 4 treatment cycles (16 weeks)</w:t>
            </w:r>
          </w:p>
        </w:tc>
        <w:tc>
          <w:tcPr>
            <w:tcW w:w="470" w:type="pct"/>
            <w:shd w:val="clear" w:color="auto" w:fill="auto"/>
            <w:vAlign w:val="center"/>
          </w:tcPr>
          <w:p w:rsidR="00A25F4E" w:rsidRPr="005B5AD4" w:rsidRDefault="00A25F4E" w:rsidP="00BD6161">
            <w:pPr>
              <w:pStyle w:val="TableText0"/>
              <w:jc w:val="center"/>
              <w:rPr>
                <w:szCs w:val="20"/>
              </w:rPr>
            </w:pPr>
            <w:r w:rsidRPr="005B5AD4">
              <w:rPr>
                <w:szCs w:val="20"/>
              </w:rPr>
              <w:t>Low</w:t>
            </w:r>
          </w:p>
        </w:tc>
        <w:tc>
          <w:tcPr>
            <w:tcW w:w="1407" w:type="pct"/>
            <w:shd w:val="clear" w:color="auto" w:fill="auto"/>
            <w:vAlign w:val="center"/>
          </w:tcPr>
          <w:p w:rsidR="00A25F4E" w:rsidRPr="005B5AD4" w:rsidRDefault="00A25F4E" w:rsidP="006767FB">
            <w:pPr>
              <w:pStyle w:val="TableText0"/>
              <w:rPr>
                <w:szCs w:val="20"/>
              </w:rPr>
            </w:pPr>
            <w:r w:rsidRPr="005B5AD4">
              <w:rPr>
                <w:szCs w:val="20"/>
              </w:rPr>
              <w:t>Age 2 to 17 y</w:t>
            </w:r>
            <w:r w:rsidR="00FE21CA" w:rsidRPr="005B5AD4">
              <w:rPr>
                <w:szCs w:val="20"/>
              </w:rPr>
              <w:t>ea</w:t>
            </w:r>
            <w:r w:rsidRPr="005B5AD4">
              <w:rPr>
                <w:szCs w:val="20"/>
              </w:rPr>
              <w:t>rs; weight ≥</w:t>
            </w:r>
            <w:r w:rsidR="006767FB" w:rsidRPr="005B5AD4">
              <w:rPr>
                <w:szCs w:val="20"/>
              </w:rPr>
              <w:t xml:space="preserve"> </w:t>
            </w:r>
            <w:r w:rsidRPr="005B5AD4">
              <w:rPr>
                <w:szCs w:val="20"/>
              </w:rPr>
              <w:t xml:space="preserve">10kg; cerebral palsy and increased muscle tone/spasticity in </w:t>
            </w:r>
            <w:r w:rsidR="006767FB" w:rsidRPr="005B5AD4">
              <w:rPr>
                <w:szCs w:val="20"/>
              </w:rPr>
              <w:t>≥ 1</w:t>
            </w:r>
            <w:r w:rsidRPr="005B5AD4">
              <w:rPr>
                <w:szCs w:val="20"/>
              </w:rPr>
              <w:t xml:space="preserve"> upper limb</w:t>
            </w:r>
          </w:p>
        </w:tc>
        <w:tc>
          <w:tcPr>
            <w:tcW w:w="626" w:type="pct"/>
            <w:shd w:val="clear" w:color="auto" w:fill="auto"/>
            <w:vAlign w:val="center"/>
          </w:tcPr>
          <w:p w:rsidR="00A25F4E" w:rsidRPr="005B5AD4" w:rsidRDefault="00A25F4E" w:rsidP="00BD6161">
            <w:pPr>
              <w:pStyle w:val="TableText0"/>
              <w:rPr>
                <w:szCs w:val="20"/>
              </w:rPr>
            </w:pPr>
            <w:r w:rsidRPr="005B5AD4">
              <w:rPr>
                <w:szCs w:val="20"/>
              </w:rPr>
              <w:t>MAS, PGA, TAS</w:t>
            </w:r>
          </w:p>
        </w:tc>
        <w:tc>
          <w:tcPr>
            <w:tcW w:w="623" w:type="pct"/>
            <w:shd w:val="clear" w:color="auto" w:fill="auto"/>
            <w:vAlign w:val="center"/>
          </w:tcPr>
          <w:p w:rsidR="00A25F4E" w:rsidRPr="005B5AD4" w:rsidRDefault="00A25F4E" w:rsidP="00BD6161">
            <w:pPr>
              <w:pStyle w:val="TableText0"/>
              <w:jc w:val="center"/>
              <w:rPr>
                <w:szCs w:val="20"/>
              </w:rPr>
            </w:pPr>
            <w:r w:rsidRPr="005B5AD4">
              <w:rPr>
                <w:szCs w:val="20"/>
              </w:rPr>
              <w:t>Used</w:t>
            </w:r>
          </w:p>
        </w:tc>
      </w:tr>
      <w:tr w:rsidR="00A25F4E" w:rsidRPr="00146B5E" w:rsidTr="005B5AD4">
        <w:tc>
          <w:tcPr>
            <w:tcW w:w="5000" w:type="pct"/>
            <w:gridSpan w:val="7"/>
            <w:shd w:val="clear" w:color="auto" w:fill="auto"/>
            <w:vAlign w:val="center"/>
          </w:tcPr>
          <w:p w:rsidR="00A25F4E" w:rsidRPr="005B5AD4" w:rsidRDefault="006C23C2" w:rsidP="00BD6161">
            <w:pPr>
              <w:pStyle w:val="In-tableHeading"/>
              <w:rPr>
                <w:szCs w:val="20"/>
                <w:lang w:val="en-AU"/>
              </w:rPr>
            </w:pPr>
            <w:r w:rsidRPr="005B5AD4">
              <w:rPr>
                <w:szCs w:val="20"/>
                <w:lang w:val="en-AU"/>
              </w:rPr>
              <w:t>Botox</w:t>
            </w:r>
            <w:r w:rsidRPr="005B5AD4">
              <w:rPr>
                <w:szCs w:val="20"/>
                <w:vertAlign w:val="superscript"/>
                <w:lang w:val="en-AU"/>
              </w:rPr>
              <w:t>®</w:t>
            </w:r>
            <w:r w:rsidR="00A25F4E" w:rsidRPr="005B5AD4">
              <w:rPr>
                <w:szCs w:val="20"/>
                <w:lang w:val="en-AU"/>
              </w:rPr>
              <w:t xml:space="preserve"> vs. no intervention</w:t>
            </w:r>
          </w:p>
        </w:tc>
      </w:tr>
      <w:tr w:rsidR="00A25F4E" w:rsidRPr="00146B5E" w:rsidTr="005B5AD4">
        <w:tc>
          <w:tcPr>
            <w:tcW w:w="780" w:type="pct"/>
            <w:shd w:val="clear" w:color="auto" w:fill="auto"/>
            <w:vAlign w:val="center"/>
          </w:tcPr>
          <w:p w:rsidR="00A25F4E" w:rsidRPr="005B5AD4" w:rsidRDefault="00A25F4E" w:rsidP="00BD6161">
            <w:pPr>
              <w:pStyle w:val="TableText0"/>
              <w:rPr>
                <w:szCs w:val="20"/>
              </w:rPr>
            </w:pPr>
            <w:r w:rsidRPr="005B5AD4">
              <w:rPr>
                <w:szCs w:val="20"/>
              </w:rPr>
              <w:t>Fehlings 2018</w:t>
            </w:r>
          </w:p>
        </w:tc>
        <w:tc>
          <w:tcPr>
            <w:tcW w:w="303" w:type="pct"/>
            <w:shd w:val="clear" w:color="auto" w:fill="auto"/>
            <w:vAlign w:val="center"/>
          </w:tcPr>
          <w:p w:rsidR="00A25F4E" w:rsidRPr="005B5AD4" w:rsidRDefault="00A25F4E" w:rsidP="00BD6161">
            <w:pPr>
              <w:pStyle w:val="TableText0"/>
              <w:jc w:val="center"/>
              <w:rPr>
                <w:szCs w:val="20"/>
              </w:rPr>
            </w:pPr>
            <w:r w:rsidRPr="005B5AD4">
              <w:rPr>
                <w:szCs w:val="20"/>
              </w:rPr>
              <w:t>235</w:t>
            </w:r>
          </w:p>
        </w:tc>
        <w:tc>
          <w:tcPr>
            <w:tcW w:w="791" w:type="pct"/>
            <w:shd w:val="clear" w:color="auto" w:fill="auto"/>
            <w:vAlign w:val="center"/>
          </w:tcPr>
          <w:p w:rsidR="00A25F4E" w:rsidRPr="005B5AD4" w:rsidRDefault="00A25F4E" w:rsidP="00BD6161">
            <w:pPr>
              <w:pStyle w:val="TableText0"/>
              <w:rPr>
                <w:szCs w:val="20"/>
              </w:rPr>
            </w:pPr>
            <w:r w:rsidRPr="005B5AD4">
              <w:rPr>
                <w:szCs w:val="20"/>
              </w:rPr>
              <w:t>R, DB (12 weeks)</w:t>
            </w:r>
          </w:p>
        </w:tc>
        <w:tc>
          <w:tcPr>
            <w:tcW w:w="470" w:type="pct"/>
            <w:shd w:val="clear" w:color="auto" w:fill="auto"/>
            <w:vAlign w:val="center"/>
          </w:tcPr>
          <w:p w:rsidR="00A25F4E" w:rsidRPr="005B5AD4" w:rsidRDefault="00BB3722" w:rsidP="00BD6161">
            <w:pPr>
              <w:pStyle w:val="TableText0"/>
              <w:jc w:val="center"/>
              <w:rPr>
                <w:szCs w:val="20"/>
              </w:rPr>
            </w:pPr>
            <w:r w:rsidRPr="005B5AD4">
              <w:rPr>
                <w:szCs w:val="20"/>
              </w:rPr>
              <w:t>Low</w:t>
            </w:r>
          </w:p>
        </w:tc>
        <w:tc>
          <w:tcPr>
            <w:tcW w:w="1407" w:type="pct"/>
            <w:shd w:val="clear" w:color="auto" w:fill="auto"/>
            <w:vAlign w:val="center"/>
          </w:tcPr>
          <w:p w:rsidR="00A25F4E" w:rsidRPr="005B5AD4" w:rsidRDefault="00A25F4E" w:rsidP="00BD6161">
            <w:pPr>
              <w:pStyle w:val="TableText0"/>
              <w:rPr>
                <w:szCs w:val="20"/>
              </w:rPr>
            </w:pPr>
            <w:r w:rsidRPr="005B5AD4">
              <w:rPr>
                <w:szCs w:val="20"/>
              </w:rPr>
              <w:t>Age 2 to ≤</w:t>
            </w:r>
            <w:r w:rsidR="006767FB" w:rsidRPr="005B5AD4">
              <w:rPr>
                <w:szCs w:val="20"/>
              </w:rPr>
              <w:t xml:space="preserve"> </w:t>
            </w:r>
            <w:r w:rsidRPr="005B5AD4">
              <w:rPr>
                <w:szCs w:val="20"/>
              </w:rPr>
              <w:t>17 years; cerebral palsy with elbow or wrist spasticity</w:t>
            </w:r>
          </w:p>
        </w:tc>
        <w:tc>
          <w:tcPr>
            <w:tcW w:w="626" w:type="pct"/>
            <w:shd w:val="clear" w:color="auto" w:fill="auto"/>
            <w:vAlign w:val="center"/>
          </w:tcPr>
          <w:p w:rsidR="00A25F4E" w:rsidRPr="005B5AD4" w:rsidRDefault="00A25F4E" w:rsidP="00BD6161">
            <w:pPr>
              <w:pStyle w:val="TableText0"/>
              <w:rPr>
                <w:szCs w:val="20"/>
              </w:rPr>
            </w:pPr>
            <w:r w:rsidRPr="005B5AD4">
              <w:rPr>
                <w:szCs w:val="20"/>
              </w:rPr>
              <w:t>MAS-B, CGI, GAS, MTS</w:t>
            </w:r>
          </w:p>
        </w:tc>
        <w:tc>
          <w:tcPr>
            <w:tcW w:w="623" w:type="pct"/>
            <w:shd w:val="clear" w:color="auto" w:fill="auto"/>
            <w:vAlign w:val="center"/>
          </w:tcPr>
          <w:p w:rsidR="00A25F4E" w:rsidRPr="005B5AD4" w:rsidRDefault="00A25F4E" w:rsidP="00BD6161">
            <w:pPr>
              <w:pStyle w:val="TableText0"/>
              <w:jc w:val="center"/>
              <w:rPr>
                <w:szCs w:val="20"/>
              </w:rPr>
            </w:pPr>
            <w:r w:rsidRPr="005B5AD4">
              <w:rPr>
                <w:szCs w:val="20"/>
              </w:rPr>
              <w:t>Not used</w:t>
            </w:r>
          </w:p>
        </w:tc>
      </w:tr>
      <w:tr w:rsidR="00A25F4E" w:rsidRPr="00146B5E" w:rsidTr="005B5AD4">
        <w:tc>
          <w:tcPr>
            <w:tcW w:w="780" w:type="pct"/>
            <w:shd w:val="clear" w:color="auto" w:fill="auto"/>
            <w:vAlign w:val="center"/>
          </w:tcPr>
          <w:p w:rsidR="00A25F4E" w:rsidRPr="005B5AD4" w:rsidRDefault="00A25F4E" w:rsidP="00BD6161">
            <w:pPr>
              <w:pStyle w:val="TableText0"/>
              <w:rPr>
                <w:szCs w:val="20"/>
              </w:rPr>
            </w:pPr>
            <w:r w:rsidRPr="005B5AD4">
              <w:rPr>
                <w:szCs w:val="20"/>
              </w:rPr>
              <w:t>Fehlings 2000</w:t>
            </w:r>
          </w:p>
        </w:tc>
        <w:tc>
          <w:tcPr>
            <w:tcW w:w="303" w:type="pct"/>
            <w:shd w:val="clear" w:color="auto" w:fill="auto"/>
            <w:vAlign w:val="center"/>
          </w:tcPr>
          <w:p w:rsidR="00A25F4E" w:rsidRPr="005B5AD4" w:rsidRDefault="00A25F4E" w:rsidP="00BD6161">
            <w:pPr>
              <w:pStyle w:val="TableText0"/>
              <w:jc w:val="center"/>
              <w:rPr>
                <w:szCs w:val="20"/>
              </w:rPr>
            </w:pPr>
            <w:r w:rsidRPr="005B5AD4">
              <w:rPr>
                <w:szCs w:val="20"/>
              </w:rPr>
              <w:t>30</w:t>
            </w:r>
          </w:p>
        </w:tc>
        <w:tc>
          <w:tcPr>
            <w:tcW w:w="791" w:type="pct"/>
            <w:shd w:val="clear" w:color="auto" w:fill="auto"/>
            <w:vAlign w:val="center"/>
          </w:tcPr>
          <w:p w:rsidR="00A25F4E" w:rsidRPr="005B5AD4" w:rsidRDefault="00A25F4E" w:rsidP="00BD6161">
            <w:pPr>
              <w:pStyle w:val="TableText0"/>
              <w:rPr>
                <w:szCs w:val="20"/>
              </w:rPr>
            </w:pPr>
            <w:r w:rsidRPr="005B5AD4">
              <w:rPr>
                <w:szCs w:val="20"/>
              </w:rPr>
              <w:t>R, SB (6 months)</w:t>
            </w:r>
          </w:p>
        </w:tc>
        <w:tc>
          <w:tcPr>
            <w:tcW w:w="470" w:type="pct"/>
            <w:shd w:val="clear" w:color="auto" w:fill="auto"/>
            <w:vAlign w:val="center"/>
          </w:tcPr>
          <w:p w:rsidR="00A25F4E" w:rsidRPr="005B5AD4" w:rsidRDefault="00A25F4E" w:rsidP="00BD6161">
            <w:pPr>
              <w:pStyle w:val="TableText0"/>
              <w:jc w:val="center"/>
              <w:rPr>
                <w:szCs w:val="20"/>
              </w:rPr>
            </w:pPr>
            <w:r w:rsidRPr="005B5AD4">
              <w:rPr>
                <w:szCs w:val="20"/>
              </w:rPr>
              <w:t>High</w:t>
            </w:r>
          </w:p>
        </w:tc>
        <w:tc>
          <w:tcPr>
            <w:tcW w:w="1407" w:type="pct"/>
            <w:shd w:val="clear" w:color="auto" w:fill="auto"/>
            <w:vAlign w:val="center"/>
          </w:tcPr>
          <w:p w:rsidR="00A25F4E" w:rsidRPr="005B5AD4" w:rsidRDefault="00A25F4E" w:rsidP="00BD6161">
            <w:pPr>
              <w:pStyle w:val="TableText0"/>
              <w:rPr>
                <w:szCs w:val="20"/>
              </w:rPr>
            </w:pPr>
            <w:r w:rsidRPr="005B5AD4">
              <w:rPr>
                <w:szCs w:val="20"/>
              </w:rPr>
              <w:t>Age 2.5 to 10 years; hand or arm hemiplegic cerebral palsy</w:t>
            </w:r>
          </w:p>
        </w:tc>
        <w:tc>
          <w:tcPr>
            <w:tcW w:w="626" w:type="pct"/>
            <w:shd w:val="clear" w:color="auto" w:fill="auto"/>
            <w:vAlign w:val="center"/>
          </w:tcPr>
          <w:p w:rsidR="00A25F4E" w:rsidRPr="005B5AD4" w:rsidRDefault="00A25F4E" w:rsidP="00BD6161">
            <w:pPr>
              <w:pStyle w:val="TableText0"/>
              <w:rPr>
                <w:szCs w:val="20"/>
              </w:rPr>
            </w:pPr>
            <w:r w:rsidRPr="005B5AD4">
              <w:rPr>
                <w:szCs w:val="20"/>
              </w:rPr>
              <w:t>QUEST, MAS</w:t>
            </w:r>
          </w:p>
        </w:tc>
        <w:tc>
          <w:tcPr>
            <w:tcW w:w="623" w:type="pct"/>
            <w:shd w:val="clear" w:color="auto" w:fill="auto"/>
            <w:vAlign w:val="center"/>
          </w:tcPr>
          <w:p w:rsidR="00A25F4E" w:rsidRPr="005B5AD4" w:rsidRDefault="00A25F4E" w:rsidP="00BD6161">
            <w:pPr>
              <w:pStyle w:val="TableText0"/>
              <w:jc w:val="center"/>
              <w:rPr>
                <w:szCs w:val="20"/>
              </w:rPr>
            </w:pPr>
            <w:r w:rsidRPr="005B5AD4">
              <w:rPr>
                <w:szCs w:val="20"/>
              </w:rPr>
              <w:t>Used</w:t>
            </w:r>
          </w:p>
        </w:tc>
      </w:tr>
      <w:tr w:rsidR="00A25F4E" w:rsidRPr="00146B5E" w:rsidTr="005B5AD4">
        <w:tc>
          <w:tcPr>
            <w:tcW w:w="780" w:type="pct"/>
            <w:shd w:val="clear" w:color="auto" w:fill="auto"/>
            <w:vAlign w:val="center"/>
          </w:tcPr>
          <w:p w:rsidR="00A25F4E" w:rsidRPr="005B5AD4" w:rsidRDefault="00A25F4E" w:rsidP="00BD6161">
            <w:pPr>
              <w:pStyle w:val="TableText0"/>
              <w:rPr>
                <w:szCs w:val="20"/>
              </w:rPr>
            </w:pPr>
            <w:r w:rsidRPr="005B5AD4">
              <w:rPr>
                <w:szCs w:val="20"/>
              </w:rPr>
              <w:t>Rameckers 2009/</w:t>
            </w:r>
            <w:r w:rsidR="006767FB" w:rsidRPr="005B5AD4">
              <w:rPr>
                <w:szCs w:val="20"/>
              </w:rPr>
              <w:t xml:space="preserve"> </w:t>
            </w:r>
            <w:r w:rsidRPr="005B5AD4">
              <w:rPr>
                <w:szCs w:val="20"/>
              </w:rPr>
              <w:t>Speth 2005</w:t>
            </w:r>
            <w:r w:rsidRPr="005B5AD4">
              <w:rPr>
                <w:szCs w:val="20"/>
                <w:vertAlign w:val="superscript"/>
              </w:rPr>
              <w:t>a</w:t>
            </w:r>
          </w:p>
        </w:tc>
        <w:tc>
          <w:tcPr>
            <w:tcW w:w="303" w:type="pct"/>
            <w:shd w:val="clear" w:color="auto" w:fill="auto"/>
            <w:vAlign w:val="center"/>
          </w:tcPr>
          <w:p w:rsidR="00A25F4E" w:rsidRPr="005B5AD4" w:rsidRDefault="00A25F4E" w:rsidP="00BD6161">
            <w:pPr>
              <w:pStyle w:val="TableText0"/>
              <w:jc w:val="center"/>
              <w:rPr>
                <w:szCs w:val="20"/>
              </w:rPr>
            </w:pPr>
            <w:r w:rsidRPr="005B5AD4">
              <w:rPr>
                <w:szCs w:val="20"/>
              </w:rPr>
              <w:t>20</w:t>
            </w:r>
          </w:p>
        </w:tc>
        <w:tc>
          <w:tcPr>
            <w:tcW w:w="791" w:type="pct"/>
            <w:shd w:val="clear" w:color="auto" w:fill="auto"/>
            <w:vAlign w:val="center"/>
          </w:tcPr>
          <w:p w:rsidR="00A25F4E" w:rsidRPr="005B5AD4" w:rsidRDefault="00A25F4E" w:rsidP="00BD6161">
            <w:pPr>
              <w:pStyle w:val="TableText0"/>
              <w:rPr>
                <w:szCs w:val="20"/>
              </w:rPr>
            </w:pPr>
            <w:r w:rsidRPr="005B5AD4">
              <w:rPr>
                <w:szCs w:val="20"/>
              </w:rPr>
              <w:t>R (6 months)</w:t>
            </w:r>
          </w:p>
        </w:tc>
        <w:tc>
          <w:tcPr>
            <w:tcW w:w="470" w:type="pct"/>
            <w:shd w:val="clear" w:color="auto" w:fill="auto"/>
            <w:vAlign w:val="center"/>
          </w:tcPr>
          <w:p w:rsidR="00A25F4E" w:rsidRPr="005B5AD4" w:rsidRDefault="00A25F4E" w:rsidP="00BD6161">
            <w:pPr>
              <w:pStyle w:val="TableText0"/>
              <w:jc w:val="center"/>
              <w:rPr>
                <w:szCs w:val="20"/>
              </w:rPr>
            </w:pPr>
            <w:r w:rsidRPr="005B5AD4">
              <w:rPr>
                <w:szCs w:val="20"/>
              </w:rPr>
              <w:t>High</w:t>
            </w:r>
          </w:p>
        </w:tc>
        <w:tc>
          <w:tcPr>
            <w:tcW w:w="1407" w:type="pct"/>
            <w:shd w:val="clear" w:color="auto" w:fill="auto"/>
            <w:vAlign w:val="center"/>
          </w:tcPr>
          <w:p w:rsidR="00A25F4E" w:rsidRPr="005B5AD4" w:rsidRDefault="00A25F4E" w:rsidP="00BD6161">
            <w:pPr>
              <w:pStyle w:val="TableText0"/>
              <w:rPr>
                <w:szCs w:val="20"/>
              </w:rPr>
            </w:pPr>
            <w:r w:rsidRPr="005B5AD4">
              <w:rPr>
                <w:szCs w:val="20"/>
              </w:rPr>
              <w:t>Age 4 to 16 years; spastic hemiplegia</w:t>
            </w:r>
          </w:p>
        </w:tc>
        <w:tc>
          <w:tcPr>
            <w:tcW w:w="626" w:type="pct"/>
            <w:shd w:val="clear" w:color="auto" w:fill="auto"/>
            <w:vAlign w:val="center"/>
          </w:tcPr>
          <w:p w:rsidR="00A25F4E" w:rsidRPr="005B5AD4" w:rsidRDefault="00A25F4E" w:rsidP="00BD6161">
            <w:pPr>
              <w:pStyle w:val="TableText0"/>
              <w:rPr>
                <w:szCs w:val="20"/>
              </w:rPr>
            </w:pPr>
            <w:r w:rsidRPr="005B5AD4">
              <w:rPr>
                <w:szCs w:val="20"/>
              </w:rPr>
              <w:t>ROM, SRA</w:t>
            </w:r>
          </w:p>
        </w:tc>
        <w:tc>
          <w:tcPr>
            <w:tcW w:w="623" w:type="pct"/>
            <w:shd w:val="clear" w:color="auto" w:fill="auto"/>
            <w:vAlign w:val="center"/>
          </w:tcPr>
          <w:p w:rsidR="00A25F4E" w:rsidRPr="005B5AD4" w:rsidRDefault="00A25F4E" w:rsidP="00BD6161">
            <w:pPr>
              <w:pStyle w:val="TableText0"/>
              <w:jc w:val="center"/>
              <w:rPr>
                <w:szCs w:val="20"/>
              </w:rPr>
            </w:pPr>
            <w:r w:rsidRPr="005B5AD4">
              <w:rPr>
                <w:szCs w:val="20"/>
              </w:rPr>
              <w:t xml:space="preserve">Used </w:t>
            </w:r>
          </w:p>
          <w:p w:rsidR="00A25F4E" w:rsidRPr="005B5AD4" w:rsidRDefault="00A25F4E" w:rsidP="00BD6161">
            <w:pPr>
              <w:pStyle w:val="TableText0"/>
              <w:jc w:val="center"/>
              <w:rPr>
                <w:szCs w:val="20"/>
              </w:rPr>
            </w:pPr>
            <w:r w:rsidRPr="005B5AD4">
              <w:rPr>
                <w:szCs w:val="20"/>
              </w:rPr>
              <w:t>(Speth 2005)</w:t>
            </w:r>
          </w:p>
        </w:tc>
      </w:tr>
      <w:tr w:rsidR="00A25F4E" w:rsidRPr="00146B5E" w:rsidTr="005B5AD4">
        <w:tc>
          <w:tcPr>
            <w:tcW w:w="780" w:type="pct"/>
            <w:shd w:val="clear" w:color="auto" w:fill="auto"/>
            <w:vAlign w:val="center"/>
          </w:tcPr>
          <w:p w:rsidR="00A25F4E" w:rsidRPr="005B5AD4" w:rsidRDefault="00A25F4E" w:rsidP="00BD6161">
            <w:pPr>
              <w:pStyle w:val="TableText0"/>
              <w:rPr>
                <w:szCs w:val="20"/>
              </w:rPr>
            </w:pPr>
            <w:r w:rsidRPr="005B5AD4">
              <w:rPr>
                <w:szCs w:val="20"/>
              </w:rPr>
              <w:t>Lowe 2006</w:t>
            </w:r>
          </w:p>
        </w:tc>
        <w:tc>
          <w:tcPr>
            <w:tcW w:w="303" w:type="pct"/>
            <w:shd w:val="clear" w:color="auto" w:fill="auto"/>
            <w:vAlign w:val="center"/>
          </w:tcPr>
          <w:p w:rsidR="00A25F4E" w:rsidRPr="005B5AD4" w:rsidRDefault="00A25F4E" w:rsidP="00BD6161">
            <w:pPr>
              <w:pStyle w:val="TableText0"/>
              <w:jc w:val="center"/>
              <w:rPr>
                <w:szCs w:val="20"/>
              </w:rPr>
            </w:pPr>
            <w:r w:rsidRPr="005B5AD4">
              <w:rPr>
                <w:szCs w:val="20"/>
              </w:rPr>
              <w:t>42</w:t>
            </w:r>
          </w:p>
        </w:tc>
        <w:tc>
          <w:tcPr>
            <w:tcW w:w="791" w:type="pct"/>
            <w:shd w:val="clear" w:color="auto" w:fill="auto"/>
            <w:vAlign w:val="center"/>
          </w:tcPr>
          <w:p w:rsidR="00A25F4E" w:rsidRPr="005B5AD4" w:rsidRDefault="00A25F4E" w:rsidP="00BD6161">
            <w:pPr>
              <w:pStyle w:val="TableText0"/>
              <w:rPr>
                <w:szCs w:val="20"/>
              </w:rPr>
            </w:pPr>
            <w:r w:rsidRPr="005B5AD4">
              <w:rPr>
                <w:szCs w:val="20"/>
              </w:rPr>
              <w:t xml:space="preserve">R, </w:t>
            </w:r>
            <w:r w:rsidR="000F7895" w:rsidRPr="005B5AD4">
              <w:rPr>
                <w:szCs w:val="20"/>
              </w:rPr>
              <w:t>SB</w:t>
            </w:r>
            <w:r w:rsidRPr="005B5AD4">
              <w:rPr>
                <w:szCs w:val="20"/>
              </w:rPr>
              <w:t xml:space="preserve"> (6 months)</w:t>
            </w:r>
          </w:p>
        </w:tc>
        <w:tc>
          <w:tcPr>
            <w:tcW w:w="470" w:type="pct"/>
            <w:shd w:val="clear" w:color="auto" w:fill="auto"/>
            <w:vAlign w:val="center"/>
          </w:tcPr>
          <w:p w:rsidR="00A25F4E" w:rsidRPr="005B5AD4" w:rsidRDefault="00A25F4E" w:rsidP="00BD6161">
            <w:pPr>
              <w:pStyle w:val="TableText0"/>
              <w:jc w:val="center"/>
              <w:rPr>
                <w:szCs w:val="20"/>
              </w:rPr>
            </w:pPr>
            <w:r w:rsidRPr="005B5AD4">
              <w:rPr>
                <w:szCs w:val="20"/>
              </w:rPr>
              <w:t>High</w:t>
            </w:r>
          </w:p>
        </w:tc>
        <w:tc>
          <w:tcPr>
            <w:tcW w:w="1407" w:type="pct"/>
            <w:shd w:val="clear" w:color="auto" w:fill="auto"/>
            <w:vAlign w:val="center"/>
          </w:tcPr>
          <w:p w:rsidR="00A25F4E" w:rsidRPr="005B5AD4" w:rsidRDefault="00A25F4E" w:rsidP="00BD6161">
            <w:pPr>
              <w:pStyle w:val="TableText0"/>
              <w:rPr>
                <w:szCs w:val="20"/>
              </w:rPr>
            </w:pPr>
            <w:r w:rsidRPr="005B5AD4">
              <w:rPr>
                <w:szCs w:val="20"/>
              </w:rPr>
              <w:t>Age 2 to 8 years; hemiplegic cerebral palsy</w:t>
            </w:r>
          </w:p>
        </w:tc>
        <w:tc>
          <w:tcPr>
            <w:tcW w:w="626" w:type="pct"/>
            <w:shd w:val="clear" w:color="auto" w:fill="auto"/>
            <w:vAlign w:val="center"/>
          </w:tcPr>
          <w:p w:rsidR="00A25F4E" w:rsidRPr="005B5AD4" w:rsidRDefault="00A25F4E" w:rsidP="00BD6161">
            <w:pPr>
              <w:pStyle w:val="TableText0"/>
              <w:rPr>
                <w:szCs w:val="20"/>
              </w:rPr>
            </w:pPr>
            <w:r w:rsidRPr="005B5AD4">
              <w:rPr>
                <w:szCs w:val="20"/>
              </w:rPr>
              <w:t>QUEST, GAS</w:t>
            </w:r>
          </w:p>
        </w:tc>
        <w:tc>
          <w:tcPr>
            <w:tcW w:w="623" w:type="pct"/>
            <w:shd w:val="clear" w:color="auto" w:fill="auto"/>
            <w:vAlign w:val="center"/>
          </w:tcPr>
          <w:p w:rsidR="00A25F4E" w:rsidRPr="005B5AD4" w:rsidRDefault="00A25F4E" w:rsidP="00BD6161">
            <w:pPr>
              <w:pStyle w:val="TableText0"/>
              <w:jc w:val="center"/>
              <w:rPr>
                <w:szCs w:val="20"/>
              </w:rPr>
            </w:pPr>
            <w:r w:rsidRPr="005B5AD4">
              <w:rPr>
                <w:szCs w:val="20"/>
              </w:rPr>
              <w:t>Used</w:t>
            </w:r>
          </w:p>
        </w:tc>
      </w:tr>
      <w:tr w:rsidR="00A25F4E" w:rsidRPr="00146B5E" w:rsidTr="005B5AD4">
        <w:tc>
          <w:tcPr>
            <w:tcW w:w="780" w:type="pct"/>
            <w:shd w:val="clear" w:color="auto" w:fill="auto"/>
            <w:vAlign w:val="center"/>
          </w:tcPr>
          <w:p w:rsidR="00A25F4E" w:rsidRPr="005B5AD4" w:rsidRDefault="00A25F4E" w:rsidP="00BD6161">
            <w:pPr>
              <w:pStyle w:val="TableText0"/>
              <w:rPr>
                <w:szCs w:val="20"/>
              </w:rPr>
            </w:pPr>
            <w:r w:rsidRPr="005B5AD4">
              <w:rPr>
                <w:szCs w:val="20"/>
              </w:rPr>
              <w:t>Olesch 2010</w:t>
            </w:r>
          </w:p>
        </w:tc>
        <w:tc>
          <w:tcPr>
            <w:tcW w:w="303" w:type="pct"/>
            <w:shd w:val="clear" w:color="auto" w:fill="auto"/>
            <w:vAlign w:val="center"/>
          </w:tcPr>
          <w:p w:rsidR="00A25F4E" w:rsidRPr="005B5AD4" w:rsidRDefault="00A25F4E" w:rsidP="00BD6161">
            <w:pPr>
              <w:pStyle w:val="TableText0"/>
              <w:jc w:val="center"/>
              <w:rPr>
                <w:szCs w:val="20"/>
              </w:rPr>
            </w:pPr>
            <w:r w:rsidRPr="005B5AD4">
              <w:rPr>
                <w:szCs w:val="20"/>
              </w:rPr>
              <w:t>24</w:t>
            </w:r>
          </w:p>
        </w:tc>
        <w:tc>
          <w:tcPr>
            <w:tcW w:w="791" w:type="pct"/>
            <w:shd w:val="clear" w:color="auto" w:fill="auto"/>
            <w:vAlign w:val="center"/>
          </w:tcPr>
          <w:p w:rsidR="00A25F4E" w:rsidRPr="005B5AD4" w:rsidRDefault="00A25F4E" w:rsidP="00BD6161">
            <w:pPr>
              <w:pStyle w:val="TableText0"/>
              <w:rPr>
                <w:szCs w:val="20"/>
              </w:rPr>
            </w:pPr>
            <w:r w:rsidRPr="005B5AD4">
              <w:rPr>
                <w:szCs w:val="20"/>
              </w:rPr>
              <w:t>R (16 weeks)</w:t>
            </w:r>
          </w:p>
        </w:tc>
        <w:tc>
          <w:tcPr>
            <w:tcW w:w="470" w:type="pct"/>
            <w:shd w:val="clear" w:color="auto" w:fill="auto"/>
            <w:vAlign w:val="center"/>
          </w:tcPr>
          <w:p w:rsidR="00A25F4E" w:rsidRPr="005B5AD4" w:rsidRDefault="00A25F4E" w:rsidP="00BD6161">
            <w:pPr>
              <w:pStyle w:val="TableText0"/>
              <w:jc w:val="center"/>
              <w:rPr>
                <w:szCs w:val="20"/>
              </w:rPr>
            </w:pPr>
            <w:r w:rsidRPr="005B5AD4">
              <w:rPr>
                <w:szCs w:val="20"/>
              </w:rPr>
              <w:t>High</w:t>
            </w:r>
          </w:p>
        </w:tc>
        <w:tc>
          <w:tcPr>
            <w:tcW w:w="1407" w:type="pct"/>
            <w:shd w:val="clear" w:color="auto" w:fill="auto"/>
            <w:vAlign w:val="center"/>
          </w:tcPr>
          <w:p w:rsidR="00A25F4E" w:rsidRPr="005B5AD4" w:rsidRDefault="00A25F4E" w:rsidP="00BD6161">
            <w:pPr>
              <w:pStyle w:val="TableText0"/>
              <w:rPr>
                <w:szCs w:val="20"/>
              </w:rPr>
            </w:pPr>
            <w:r w:rsidRPr="005B5AD4">
              <w:rPr>
                <w:szCs w:val="20"/>
              </w:rPr>
              <w:t>Age 1.5 to 5 years; cerebral palsy affecting upper limb activity</w:t>
            </w:r>
          </w:p>
        </w:tc>
        <w:tc>
          <w:tcPr>
            <w:tcW w:w="626" w:type="pct"/>
            <w:shd w:val="clear" w:color="auto" w:fill="auto"/>
            <w:vAlign w:val="center"/>
          </w:tcPr>
          <w:p w:rsidR="00A25F4E" w:rsidRPr="005B5AD4" w:rsidRDefault="00A25F4E" w:rsidP="00BD6161">
            <w:pPr>
              <w:pStyle w:val="TableText0"/>
              <w:rPr>
                <w:szCs w:val="20"/>
              </w:rPr>
            </w:pPr>
            <w:r w:rsidRPr="005B5AD4">
              <w:rPr>
                <w:szCs w:val="20"/>
              </w:rPr>
              <w:t>COPM, GAS</w:t>
            </w:r>
          </w:p>
        </w:tc>
        <w:tc>
          <w:tcPr>
            <w:tcW w:w="623" w:type="pct"/>
            <w:shd w:val="clear" w:color="auto" w:fill="auto"/>
            <w:vAlign w:val="center"/>
          </w:tcPr>
          <w:p w:rsidR="00A25F4E" w:rsidRPr="005B5AD4" w:rsidRDefault="00A25F4E" w:rsidP="00BD6161">
            <w:pPr>
              <w:pStyle w:val="TableText0"/>
              <w:jc w:val="center"/>
              <w:rPr>
                <w:szCs w:val="20"/>
              </w:rPr>
            </w:pPr>
            <w:r w:rsidRPr="005B5AD4">
              <w:rPr>
                <w:szCs w:val="20"/>
              </w:rPr>
              <w:t>Not used</w:t>
            </w:r>
          </w:p>
        </w:tc>
      </w:tr>
    </w:tbl>
    <w:p w:rsidR="00A25F4E" w:rsidRPr="00146B5E" w:rsidRDefault="00A25F4E" w:rsidP="00397BFD">
      <w:pPr>
        <w:pStyle w:val="TableFigureFooter"/>
      </w:pPr>
      <w:r w:rsidRPr="00146B5E">
        <w:t>Source: Section 2.3.1, p42; Table 2-6, p43-44; Table 2-37, p84-85; Table 2-38, p86-89 of the submission.</w:t>
      </w:r>
    </w:p>
    <w:p w:rsidR="00A25F4E" w:rsidRPr="00146B5E" w:rsidRDefault="00A25F4E" w:rsidP="00397BFD">
      <w:pPr>
        <w:pStyle w:val="TableFigureFooter"/>
      </w:pPr>
      <w:r w:rsidRPr="00146B5E">
        <w:t>COPM=Canadian Occupational Performance Measure; DB=double blind; GAS=goal attainment scale; MAS=modified Ashworth Scale; MC=multi-centre; MTS=modified Tardieu Scale; PGA=Physician’s Global Assessment; QUEST=Quality of Upper Extremity Skills Test; R=randomised; ROM=range of motion; SB=single-blind; SRA=stretch restricted angle; TS=Tardieu Scale</w:t>
      </w:r>
    </w:p>
    <w:p w:rsidR="002E5AA0" w:rsidRPr="00146B5E" w:rsidRDefault="00A25F4E" w:rsidP="008F42F9">
      <w:pPr>
        <w:pStyle w:val="TableFigureFooter"/>
        <w:ind w:left="142" w:hanging="142"/>
        <w:rPr>
          <w:szCs w:val="18"/>
        </w:rPr>
      </w:pPr>
      <w:r w:rsidRPr="00146B5E">
        <w:rPr>
          <w:vertAlign w:val="superscript"/>
        </w:rPr>
        <w:t>a</w:t>
      </w:r>
      <w:r w:rsidR="00397BFD" w:rsidRPr="00146B5E">
        <w:t xml:space="preserve">  </w:t>
      </w:r>
      <w:r w:rsidRPr="00146B5E">
        <w:t>Rameckers 2009 and Speth 2005 are two publications of the same trial.</w:t>
      </w:r>
      <w:r w:rsidR="00A87288" w:rsidRPr="00146B5E">
        <w:t xml:space="preserve"> </w:t>
      </w:r>
      <w:r w:rsidRPr="00146B5E">
        <w:t>The submission indicated that where outcomes were not available in Rameckers 2009, values from Speth 2005 were used.</w:t>
      </w:r>
    </w:p>
    <w:p w:rsidR="00486ED3" w:rsidRPr="00146B5E" w:rsidRDefault="00575491" w:rsidP="00150037">
      <w:pPr>
        <w:pStyle w:val="3-BodyText"/>
        <w:ind w:left="720"/>
      </w:pPr>
      <w:r w:rsidRPr="00146B5E">
        <w:t xml:space="preserve">Study 153 was a randomised, double-blind comparison of three </w:t>
      </w:r>
      <w:r w:rsidR="0091336A" w:rsidRPr="00146B5E">
        <w:t>Dysport®</w:t>
      </w:r>
      <w:r w:rsidRPr="00146B5E">
        <w:t xml:space="preserve"> doses, 2</w:t>
      </w:r>
      <w:r w:rsidR="00D82CE2">
        <w:t xml:space="preserve"> </w:t>
      </w:r>
      <w:r w:rsidRPr="00146B5E">
        <w:t>U/kg, 8</w:t>
      </w:r>
      <w:r w:rsidR="00D82CE2">
        <w:t xml:space="preserve"> </w:t>
      </w:r>
      <w:r w:rsidRPr="00146B5E">
        <w:t>U/kg and 16</w:t>
      </w:r>
      <w:r w:rsidR="00D82CE2">
        <w:t xml:space="preserve"> </w:t>
      </w:r>
      <w:r w:rsidRPr="00146B5E">
        <w:t>U/kg</w:t>
      </w:r>
      <w:r w:rsidR="00146B5E">
        <w:t xml:space="preserve">. </w:t>
      </w:r>
      <w:r w:rsidRPr="00146B5E">
        <w:t xml:space="preserve">The trial had a low risk of bias, in contrast to the </w:t>
      </w:r>
      <w:r w:rsidR="006C23C2" w:rsidRPr="00146B5E">
        <w:t>Botox®</w:t>
      </w:r>
      <w:r w:rsidRPr="00146B5E">
        <w:t xml:space="preserve"> trials, of which only one was double-blind (Fehlings 2018)</w:t>
      </w:r>
      <w:r w:rsidR="006678BB" w:rsidRPr="00146B5E">
        <w:t>, and in most the patients or parents were aware of treatment</w:t>
      </w:r>
      <w:r w:rsidRPr="00146B5E">
        <w:t>.</w:t>
      </w:r>
      <w:r w:rsidR="00A87288" w:rsidRPr="00146B5E">
        <w:t xml:space="preserve"> </w:t>
      </w:r>
      <w:r w:rsidR="006678BB" w:rsidRPr="00146B5E">
        <w:t>All trials included occupational therapy as adjunct therapy.</w:t>
      </w:r>
      <w:r w:rsidR="00A87288" w:rsidRPr="00146B5E">
        <w:t xml:space="preserve"> </w:t>
      </w:r>
    </w:p>
    <w:p w:rsidR="00B1566D" w:rsidRPr="00146B5E" w:rsidRDefault="006678BB" w:rsidP="00150037">
      <w:pPr>
        <w:pStyle w:val="3-BodyText"/>
        <w:ind w:left="720"/>
      </w:pPr>
      <w:r w:rsidRPr="00146B5E">
        <w:t xml:space="preserve">Since Study 153 did not have a </w:t>
      </w:r>
      <w:r w:rsidR="00EC4ADA" w:rsidRPr="00146B5E">
        <w:t>‘</w:t>
      </w:r>
      <w:r w:rsidRPr="00146B5E">
        <w:t>no intervention</w:t>
      </w:r>
      <w:r w:rsidR="00EC4ADA" w:rsidRPr="00146B5E">
        <w:t>’</w:t>
      </w:r>
      <w:r w:rsidRPr="00146B5E">
        <w:t xml:space="preserve"> arm the submission used the 2</w:t>
      </w:r>
      <w:r w:rsidR="00D82CE2">
        <w:t xml:space="preserve"> </w:t>
      </w:r>
      <w:r w:rsidRPr="00146B5E">
        <w:t>U/kg arm as the no intervention arm</w:t>
      </w:r>
      <w:r w:rsidR="00EC4ADA" w:rsidRPr="00146B5E">
        <w:t>,</w:t>
      </w:r>
      <w:r w:rsidRPr="00146B5E">
        <w:t xml:space="preserve"> as it was considered to be the equivalent of no intervention.</w:t>
      </w:r>
      <w:r w:rsidR="00A87288" w:rsidRPr="00146B5E">
        <w:t xml:space="preserve"> </w:t>
      </w:r>
      <w:r w:rsidRPr="00146B5E">
        <w:t xml:space="preserve">The submission, however, also claimed that many of the indirect comparisons </w:t>
      </w:r>
      <w:r w:rsidR="005E73FE" w:rsidRPr="00146B5E">
        <w:t>would bias against</w:t>
      </w:r>
      <w:r w:rsidRPr="00146B5E">
        <w:t xml:space="preserve"> </w:t>
      </w:r>
      <w:r w:rsidR="0091336A" w:rsidRPr="00146B5E">
        <w:t>Dysport®</w:t>
      </w:r>
      <w:r w:rsidR="00EC4ADA" w:rsidRPr="00146B5E">
        <w:t xml:space="preserve"> as the treatment effect for ‘no intervention’ in Study 153 was larger than in the </w:t>
      </w:r>
      <w:r w:rsidR="006C23C2" w:rsidRPr="00146B5E">
        <w:t>Botox®</w:t>
      </w:r>
      <w:r w:rsidR="00EC4ADA" w:rsidRPr="00146B5E">
        <w:t xml:space="preserve"> trials where no intervention or placebo treatment was used.</w:t>
      </w:r>
      <w:r w:rsidR="00A87288" w:rsidRPr="00146B5E">
        <w:t xml:space="preserve"> </w:t>
      </w:r>
      <w:r w:rsidR="00B1566D" w:rsidRPr="00146B5E">
        <w:rPr>
          <w:iCs/>
        </w:rPr>
        <w:t>It would be difficult to quantify a difference in treatment effect between the 2</w:t>
      </w:r>
      <w:r w:rsidR="00D82CE2">
        <w:rPr>
          <w:iCs/>
        </w:rPr>
        <w:t xml:space="preserve"> </w:t>
      </w:r>
      <w:r w:rsidR="00B1566D" w:rsidRPr="00146B5E">
        <w:rPr>
          <w:iCs/>
        </w:rPr>
        <w:t xml:space="preserve">U/kg </w:t>
      </w:r>
      <w:r w:rsidR="0091336A" w:rsidRPr="00146B5E">
        <w:rPr>
          <w:iCs/>
        </w:rPr>
        <w:t>Dysport®</w:t>
      </w:r>
      <w:r w:rsidR="00B1566D" w:rsidRPr="00146B5E">
        <w:rPr>
          <w:iCs/>
        </w:rPr>
        <w:t xml:space="preserve"> group and a no intervention group given differences across the trials.</w:t>
      </w:r>
      <w:r w:rsidR="00A87288" w:rsidRPr="00146B5E">
        <w:rPr>
          <w:iCs/>
        </w:rPr>
        <w:t xml:space="preserve"> </w:t>
      </w:r>
      <w:r w:rsidR="00B1566D" w:rsidRPr="00146B5E">
        <w:rPr>
          <w:iCs/>
        </w:rPr>
        <w:t xml:space="preserve">The potential impact of any </w:t>
      </w:r>
      <w:r w:rsidR="005E73FE" w:rsidRPr="00146B5E">
        <w:rPr>
          <w:iCs/>
        </w:rPr>
        <w:t>bias</w:t>
      </w:r>
      <w:r w:rsidR="00B1566D" w:rsidRPr="00146B5E">
        <w:rPr>
          <w:iCs/>
        </w:rPr>
        <w:t xml:space="preserve"> was also difficult to measure since patients in both arms of the trials also generally received occupational therapy.</w:t>
      </w:r>
      <w:r w:rsidR="00A87288" w:rsidRPr="00146B5E">
        <w:rPr>
          <w:iCs/>
        </w:rPr>
        <w:t xml:space="preserve"> </w:t>
      </w:r>
      <w:r w:rsidR="00B1566D" w:rsidRPr="00146B5E">
        <w:rPr>
          <w:iCs/>
        </w:rPr>
        <w:t xml:space="preserve">It would be reasonable to conclude that any </w:t>
      </w:r>
      <w:r w:rsidR="005E73FE" w:rsidRPr="00146B5E">
        <w:rPr>
          <w:iCs/>
        </w:rPr>
        <w:t>bias</w:t>
      </w:r>
      <w:r w:rsidR="00B1566D" w:rsidRPr="00146B5E">
        <w:rPr>
          <w:iCs/>
        </w:rPr>
        <w:t xml:space="preserve"> against </w:t>
      </w:r>
      <w:r w:rsidR="0091336A" w:rsidRPr="00146B5E">
        <w:rPr>
          <w:iCs/>
        </w:rPr>
        <w:t>Dysport®</w:t>
      </w:r>
      <w:r w:rsidR="00B1566D" w:rsidRPr="00146B5E">
        <w:rPr>
          <w:iCs/>
        </w:rPr>
        <w:t xml:space="preserve"> would be minimal.</w:t>
      </w:r>
    </w:p>
    <w:p w:rsidR="00620C25" w:rsidRPr="00146B5E" w:rsidRDefault="000D3BBA" w:rsidP="00150037">
      <w:pPr>
        <w:pStyle w:val="3-BodyText"/>
        <w:ind w:left="720"/>
      </w:pPr>
      <w:r w:rsidRPr="00146B5E">
        <w:t xml:space="preserve">The submission noted </w:t>
      </w:r>
      <w:r w:rsidR="006767FB" w:rsidRPr="00146B5E">
        <w:t xml:space="preserve">an independent report, </w:t>
      </w:r>
      <w:r w:rsidRPr="00146B5E">
        <w:t xml:space="preserve">the ICON report, which included a systematic literature review, feasibility assessment and statistical analysis </w:t>
      </w:r>
      <w:r w:rsidR="006767FB" w:rsidRPr="00146B5E">
        <w:t xml:space="preserve">that </w:t>
      </w:r>
      <w:r w:rsidRPr="00146B5E">
        <w:t>had been conducted in support of the indirect comparisons presented in the submission.</w:t>
      </w:r>
      <w:r w:rsidR="00A87288" w:rsidRPr="00146B5E">
        <w:t xml:space="preserve"> </w:t>
      </w:r>
      <w:r w:rsidRPr="00146B5E">
        <w:rPr>
          <w:iCs/>
        </w:rPr>
        <w:t>Much of the material in the submission is the same as that presented in the ICON report</w:t>
      </w:r>
      <w:r w:rsidR="00146B5E">
        <w:rPr>
          <w:iCs/>
        </w:rPr>
        <w:t xml:space="preserve">. </w:t>
      </w:r>
    </w:p>
    <w:p w:rsidR="00B60939" w:rsidRPr="00146B5E" w:rsidRDefault="00B60939" w:rsidP="00EC5836">
      <w:pPr>
        <w:pStyle w:val="4-SubsectionHeading"/>
      </w:pPr>
      <w:bookmarkStart w:id="14" w:name="_Toc22897641"/>
      <w:bookmarkStart w:id="15" w:name="_Toc40214624"/>
      <w:r w:rsidRPr="00146B5E">
        <w:lastRenderedPageBreak/>
        <w:t>Comparative effectiveness</w:t>
      </w:r>
      <w:bookmarkEnd w:id="14"/>
      <w:bookmarkEnd w:id="15"/>
    </w:p>
    <w:p w:rsidR="006E0D11" w:rsidRPr="00146B5E" w:rsidRDefault="00E60141" w:rsidP="001B1319">
      <w:pPr>
        <w:pStyle w:val="3-BodyText"/>
        <w:ind w:left="720"/>
      </w:pPr>
      <w:r w:rsidRPr="00146B5E">
        <w:t>The submission provided detailed within-trial results for each trial included in the indirect comparisons</w:t>
      </w:r>
      <w:r w:rsidR="00CE323C" w:rsidRPr="00146B5E">
        <w:t>;</w:t>
      </w:r>
      <w:r w:rsidRPr="00146B5E">
        <w:rPr>
          <w:i/>
          <w:iCs/>
        </w:rPr>
        <w:t xml:space="preserve"> </w:t>
      </w:r>
      <w:r w:rsidRPr="00146B5E">
        <w:rPr>
          <w:iCs/>
        </w:rPr>
        <w:t>however</w:t>
      </w:r>
      <w:r w:rsidR="00CE323C" w:rsidRPr="00146B5E">
        <w:rPr>
          <w:iCs/>
        </w:rPr>
        <w:t>,</w:t>
      </w:r>
      <w:r w:rsidRPr="00146B5E">
        <w:rPr>
          <w:iCs/>
        </w:rPr>
        <w:t xml:space="preserve"> the sub</w:t>
      </w:r>
      <w:r w:rsidR="006E0D11" w:rsidRPr="00146B5E">
        <w:rPr>
          <w:iCs/>
        </w:rPr>
        <w:t>m</w:t>
      </w:r>
      <w:r w:rsidRPr="00146B5E">
        <w:rPr>
          <w:iCs/>
        </w:rPr>
        <w:t>ission’s presentation of results for the indirect comparisons was limited.</w:t>
      </w:r>
      <w:r w:rsidR="00A87288" w:rsidRPr="00146B5E">
        <w:rPr>
          <w:iCs/>
        </w:rPr>
        <w:t xml:space="preserve"> </w:t>
      </w:r>
      <w:r w:rsidRPr="00146B5E">
        <w:rPr>
          <w:iCs/>
        </w:rPr>
        <w:t>The submission provided forest plots and brief discussion</w:t>
      </w:r>
      <w:r w:rsidR="00CE323C" w:rsidRPr="00146B5E">
        <w:rPr>
          <w:iCs/>
        </w:rPr>
        <w:t>s</w:t>
      </w:r>
      <w:r w:rsidRPr="00146B5E">
        <w:rPr>
          <w:iCs/>
        </w:rPr>
        <w:t xml:space="preserve"> in the text, but there was no information provided as to</w:t>
      </w:r>
      <w:r w:rsidR="006E0D11" w:rsidRPr="00146B5E">
        <w:rPr>
          <w:iCs/>
        </w:rPr>
        <w:t xml:space="preserve"> the number of patients in each arm of the comparisons, or </w:t>
      </w:r>
      <w:r w:rsidR="00930B16" w:rsidRPr="00146B5E">
        <w:rPr>
          <w:iCs/>
        </w:rPr>
        <w:t>the values used</w:t>
      </w:r>
      <w:r w:rsidR="00FE0CAA" w:rsidRPr="00146B5E">
        <w:rPr>
          <w:iCs/>
        </w:rPr>
        <w:t xml:space="preserve"> </w:t>
      </w:r>
      <w:r w:rsidR="00930B16" w:rsidRPr="00146B5E">
        <w:rPr>
          <w:iCs/>
        </w:rPr>
        <w:t>for each outcome</w:t>
      </w:r>
      <w:r w:rsidR="00337FC9" w:rsidRPr="00146B5E">
        <w:rPr>
          <w:iCs/>
        </w:rPr>
        <w:t xml:space="preserve"> from each arm of the included trials</w:t>
      </w:r>
      <w:r w:rsidR="006E0D11" w:rsidRPr="00146B5E">
        <w:rPr>
          <w:iCs/>
        </w:rPr>
        <w:t>.</w:t>
      </w:r>
      <w:r w:rsidR="00A87288" w:rsidRPr="00146B5E">
        <w:rPr>
          <w:iCs/>
        </w:rPr>
        <w:t xml:space="preserve"> </w:t>
      </w:r>
    </w:p>
    <w:p w:rsidR="00DD63B6" w:rsidRPr="00146B5E" w:rsidRDefault="006E0D11" w:rsidP="001B1319">
      <w:pPr>
        <w:pStyle w:val="3-BodyText"/>
        <w:ind w:left="720"/>
      </w:pPr>
      <w:r w:rsidRPr="00146B5E">
        <w:t>As the submission’s clinical claim was based solely on the indirect comparisons,</w:t>
      </w:r>
      <w:r w:rsidR="001D1BBA" w:rsidRPr="00146B5E">
        <w:t xml:space="preserve"> those are the focus of consideration of the evidence.</w:t>
      </w:r>
      <w:r w:rsidR="00A87288" w:rsidRPr="00146B5E">
        <w:t xml:space="preserve"> </w:t>
      </w:r>
      <w:r w:rsidR="00894E54" w:rsidRPr="00146B5E">
        <w:t>The submission acknowledged that the evidence presented was based on children, and there is no clinical data available to support the adult population, which is part of the requested restriction.</w:t>
      </w:r>
      <w:r w:rsidR="00A87288" w:rsidRPr="00146B5E">
        <w:t xml:space="preserve"> </w:t>
      </w:r>
      <w:r w:rsidR="006F3146" w:rsidRPr="00146B5E">
        <w:t xml:space="preserve">The </w:t>
      </w:r>
      <w:r w:rsidR="008A607F">
        <w:rPr>
          <w:iCs/>
        </w:rPr>
        <w:t>Pre-Sub-Committee Response</w:t>
      </w:r>
      <w:r w:rsidR="008A607F" w:rsidRPr="00146B5E">
        <w:rPr>
          <w:iCs/>
        </w:rPr>
        <w:t xml:space="preserve"> </w:t>
      </w:r>
      <w:r w:rsidR="008A607F">
        <w:rPr>
          <w:iCs/>
        </w:rPr>
        <w:t>(</w:t>
      </w:r>
      <w:r w:rsidR="006F3146" w:rsidRPr="00146B5E">
        <w:t>PSCR</w:t>
      </w:r>
      <w:r w:rsidR="008A607F">
        <w:t>)</w:t>
      </w:r>
      <w:r w:rsidR="006F3146" w:rsidRPr="00146B5E">
        <w:t xml:space="preserve"> stated that the initial PBAC recommendation for Botox</w:t>
      </w:r>
      <w:r w:rsidR="006F3146" w:rsidRPr="00146B5E">
        <w:rPr>
          <w:bCs/>
          <w:iCs/>
        </w:rPr>
        <w:t>® in 2008 was based on studies which included patients under the age of 18 only (Lowe</w:t>
      </w:r>
      <w:r w:rsidR="00DD63B6" w:rsidRPr="00146B5E">
        <w:rPr>
          <w:bCs/>
          <w:iCs/>
        </w:rPr>
        <w:t>, 2006; Wallen, 2007; and Fehlings, 2000</w:t>
      </w:r>
      <w:r w:rsidR="00F776D0" w:rsidRPr="00146B5E">
        <w:rPr>
          <w:bCs/>
          <w:iCs/>
        </w:rPr>
        <w:t>) and that the PBAC stated “</w:t>
      </w:r>
      <w:r w:rsidR="00DD63B6" w:rsidRPr="00146B5E">
        <w:rPr>
          <w:bCs/>
          <w:iCs/>
        </w:rPr>
        <w:t>Patients who commenced PBS-subsidised treatment for this condition before their eighteenth birthday should be permitted to continue treatment into adulthood”, which was a pragmatic decision that recognised that cerebral palsy patients do not cease suffering from spasticity at 18 years of age. In addition, the PSCR noted that the removal of the requirement that adult cerebral palsy patients must have commenced treatment with botulinum as a paediatric patient was also for pragmatic reasons, following correspondence from the RMSANZ. The PSCR requested that the same level of pragmatism be applied to this submission. The ESC considered that, provided fixed contractures had not developed, there would be no clinical reason to expect a lack of effectiveness in adults and noted that, given the nature of the therapy, treatment was unlikely to continue if no effect was observed.</w:t>
      </w:r>
    </w:p>
    <w:p w:rsidR="00EA0B4F" w:rsidRPr="00146B5E" w:rsidRDefault="001D1BBA" w:rsidP="001B1319">
      <w:pPr>
        <w:pStyle w:val="3-BodyText"/>
        <w:ind w:left="720"/>
      </w:pPr>
      <w:r w:rsidRPr="00146B5E">
        <w:rPr>
          <w:iCs/>
        </w:rPr>
        <w:t>Given the presentation of the indirect comparisons by the submission was limited, tables were constructed during the evaluation that included patient numbers and results for each trial arm.</w:t>
      </w:r>
      <w:r w:rsidR="00A87288" w:rsidRPr="00146B5E">
        <w:t xml:space="preserve"> </w:t>
      </w:r>
      <w:r w:rsidR="00CE323C" w:rsidRPr="00146B5E">
        <w:t>Table 5</w:t>
      </w:r>
      <w:r w:rsidRPr="00146B5E">
        <w:t xml:space="preserve"> provides </w:t>
      </w:r>
      <w:r w:rsidR="00EA0B4F" w:rsidRPr="00146B5E">
        <w:t>an outline of the indirect comparisons presented by the submission, detailing the outcomes, included trials and assessment points.</w:t>
      </w:r>
    </w:p>
    <w:p w:rsidR="00EA0B4F" w:rsidRPr="00146B5E" w:rsidRDefault="00EA0B4F" w:rsidP="00397BFD">
      <w:pPr>
        <w:pStyle w:val="TableFigureHeading"/>
      </w:pPr>
      <w:r w:rsidRPr="00146B5E">
        <w:rPr>
          <w:rStyle w:val="CommentReference"/>
          <w:b/>
          <w:szCs w:val="24"/>
        </w:rPr>
        <w:lastRenderedPageBreak/>
        <w:t xml:space="preserve">Table </w:t>
      </w:r>
      <w:r w:rsidR="00844F8E" w:rsidRPr="00146B5E">
        <w:rPr>
          <w:rStyle w:val="CommentReference"/>
          <w:b/>
          <w:szCs w:val="24"/>
        </w:rPr>
        <w:t>5</w:t>
      </w:r>
      <w:r w:rsidRPr="00146B5E">
        <w:rPr>
          <w:rStyle w:val="CommentReference"/>
          <w:b/>
          <w:szCs w:val="24"/>
        </w:rPr>
        <w:t xml:space="preserve">: </w:t>
      </w:r>
      <w:r w:rsidRPr="00146B5E">
        <w:t>Indirect comparisons presented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96"/>
        <w:gridCol w:w="2287"/>
        <w:gridCol w:w="3634"/>
      </w:tblGrid>
      <w:tr w:rsidR="00EA0B4F" w:rsidRPr="00146B5E" w:rsidTr="005B5AD4">
        <w:trPr>
          <w:tblHeader/>
        </w:trPr>
        <w:tc>
          <w:tcPr>
            <w:tcW w:w="1717" w:type="pct"/>
            <w:vAlign w:val="center"/>
          </w:tcPr>
          <w:p w:rsidR="00EA0B4F" w:rsidRPr="00146B5E" w:rsidRDefault="00EA0B4F" w:rsidP="00186772">
            <w:pPr>
              <w:pStyle w:val="In-tableHeading"/>
              <w:widowControl w:val="0"/>
              <w:tabs>
                <w:tab w:val="left" w:pos="106"/>
              </w:tabs>
              <w:rPr>
                <w:lang w:val="en-AU"/>
              </w:rPr>
            </w:pPr>
            <w:r w:rsidRPr="00146B5E">
              <w:rPr>
                <w:lang w:val="en-AU"/>
              </w:rPr>
              <w:t>Outcome</w:t>
            </w:r>
          </w:p>
        </w:tc>
        <w:tc>
          <w:tcPr>
            <w:tcW w:w="1268" w:type="pct"/>
            <w:vAlign w:val="center"/>
          </w:tcPr>
          <w:p w:rsidR="00EA0B4F" w:rsidRPr="00146B5E" w:rsidRDefault="0091336A" w:rsidP="00186772">
            <w:pPr>
              <w:pStyle w:val="In-tableHeading"/>
              <w:widowControl w:val="0"/>
              <w:jc w:val="center"/>
              <w:rPr>
                <w:lang w:val="en-AU"/>
              </w:rPr>
            </w:pPr>
            <w:r w:rsidRPr="00146B5E">
              <w:rPr>
                <w:lang w:val="en-AU"/>
              </w:rPr>
              <w:t>Dysport</w:t>
            </w:r>
            <w:r w:rsidRPr="00146B5E">
              <w:rPr>
                <w:vertAlign w:val="superscript"/>
                <w:lang w:val="en-AU"/>
              </w:rPr>
              <w:t>®</w:t>
            </w:r>
          </w:p>
        </w:tc>
        <w:tc>
          <w:tcPr>
            <w:tcW w:w="2015" w:type="pct"/>
            <w:vAlign w:val="center"/>
          </w:tcPr>
          <w:p w:rsidR="00EA0B4F" w:rsidRPr="00146B5E" w:rsidRDefault="006C23C2" w:rsidP="00186772">
            <w:pPr>
              <w:pStyle w:val="In-tableHeading"/>
              <w:widowControl w:val="0"/>
              <w:jc w:val="center"/>
              <w:rPr>
                <w:lang w:val="en-AU"/>
              </w:rPr>
            </w:pPr>
            <w:r w:rsidRPr="00146B5E">
              <w:rPr>
                <w:lang w:val="en-AU"/>
              </w:rPr>
              <w:t>Botox</w:t>
            </w:r>
            <w:r w:rsidRPr="00146B5E">
              <w:rPr>
                <w:vertAlign w:val="superscript"/>
                <w:lang w:val="en-AU"/>
              </w:rPr>
              <w:t>®</w:t>
            </w:r>
          </w:p>
        </w:tc>
      </w:tr>
      <w:tr w:rsidR="00EA0B4F" w:rsidRPr="00146B5E" w:rsidTr="005B5AD4">
        <w:tc>
          <w:tcPr>
            <w:tcW w:w="5000" w:type="pct"/>
            <w:gridSpan w:val="3"/>
            <w:vAlign w:val="center"/>
          </w:tcPr>
          <w:p w:rsidR="00EA0B4F" w:rsidRPr="00146B5E" w:rsidRDefault="00EA0B4F" w:rsidP="00186772">
            <w:pPr>
              <w:pStyle w:val="TableText0"/>
              <w:widowControl w:val="0"/>
              <w:tabs>
                <w:tab w:val="left" w:pos="106"/>
              </w:tabs>
              <w:rPr>
                <w:b/>
                <w:bCs w:val="0"/>
              </w:rPr>
            </w:pPr>
            <w:r w:rsidRPr="00146B5E">
              <w:rPr>
                <w:b/>
                <w:bCs w:val="0"/>
              </w:rPr>
              <w:t>Effectiveness</w:t>
            </w:r>
          </w:p>
        </w:tc>
      </w:tr>
      <w:tr w:rsidR="00EA0B4F" w:rsidRPr="00146B5E" w:rsidTr="005B5AD4">
        <w:tc>
          <w:tcPr>
            <w:tcW w:w="1717" w:type="pct"/>
            <w:vAlign w:val="center"/>
          </w:tcPr>
          <w:p w:rsidR="00EA0B4F" w:rsidRPr="00146B5E" w:rsidRDefault="00EA0B4F" w:rsidP="00186772">
            <w:pPr>
              <w:pStyle w:val="TableText0"/>
              <w:widowControl w:val="0"/>
              <w:tabs>
                <w:tab w:val="left" w:pos="106"/>
              </w:tabs>
            </w:pPr>
            <w:r w:rsidRPr="00146B5E">
              <w:t>MAS PTMG at 6 weeks and at 16 weeks</w:t>
            </w:r>
          </w:p>
        </w:tc>
        <w:tc>
          <w:tcPr>
            <w:tcW w:w="1268" w:type="pct"/>
            <w:vAlign w:val="center"/>
          </w:tcPr>
          <w:p w:rsidR="00EA0B4F" w:rsidRPr="00146B5E" w:rsidRDefault="00EA0B4F" w:rsidP="00186772">
            <w:pPr>
              <w:pStyle w:val="TableText0"/>
              <w:widowControl w:val="0"/>
            </w:pPr>
            <w:r w:rsidRPr="00146B5E">
              <w:t xml:space="preserve">Study 153; week 6, week 16; </w:t>
            </w:r>
            <w:r w:rsidR="00D82CE2">
              <w:br/>
            </w:r>
            <w:r w:rsidRPr="00146B5E">
              <w:t>2</w:t>
            </w:r>
            <w:r w:rsidR="00D82CE2">
              <w:t xml:space="preserve"> </w:t>
            </w:r>
            <w:r w:rsidRPr="00146B5E">
              <w:t>U/kg, 8</w:t>
            </w:r>
            <w:r w:rsidR="00D82CE2">
              <w:t xml:space="preserve"> </w:t>
            </w:r>
            <w:r w:rsidRPr="00146B5E">
              <w:t>U/kg, 16</w:t>
            </w:r>
            <w:r w:rsidR="00D82CE2">
              <w:t xml:space="preserve"> </w:t>
            </w:r>
            <w:r w:rsidRPr="00146B5E">
              <w:t>U/kg</w:t>
            </w:r>
          </w:p>
        </w:tc>
        <w:tc>
          <w:tcPr>
            <w:tcW w:w="2015" w:type="pct"/>
            <w:vAlign w:val="center"/>
          </w:tcPr>
          <w:p w:rsidR="00EA0B4F" w:rsidRPr="00146B5E" w:rsidRDefault="00EA0B4F" w:rsidP="00D82CE2">
            <w:pPr>
              <w:pStyle w:val="TableText0"/>
              <w:widowControl w:val="0"/>
            </w:pPr>
            <w:r w:rsidRPr="00146B5E">
              <w:t>Fehlings 2018; week 6, week 12; 3</w:t>
            </w:r>
            <w:r w:rsidR="00D82CE2">
              <w:t xml:space="preserve"> </w:t>
            </w:r>
            <w:r w:rsidRPr="00146B5E">
              <w:t>U/kg, 6</w:t>
            </w:r>
            <w:r w:rsidR="00D82CE2">
              <w:t xml:space="preserve"> </w:t>
            </w:r>
            <w:r w:rsidRPr="00146B5E">
              <w:t>U/kg</w:t>
            </w:r>
          </w:p>
        </w:tc>
      </w:tr>
      <w:tr w:rsidR="00EA0B4F" w:rsidRPr="00146B5E" w:rsidTr="005B5AD4">
        <w:tc>
          <w:tcPr>
            <w:tcW w:w="1717" w:type="pct"/>
            <w:vAlign w:val="center"/>
          </w:tcPr>
          <w:p w:rsidR="00EA0B4F" w:rsidRPr="00146B5E" w:rsidRDefault="00EA0B4F" w:rsidP="00186772">
            <w:pPr>
              <w:pStyle w:val="TableText0"/>
              <w:widowControl w:val="0"/>
              <w:tabs>
                <w:tab w:val="left" w:pos="106"/>
              </w:tabs>
            </w:pPr>
            <w:r w:rsidRPr="00146B5E">
              <w:t>MAS/AS elbow or wrist at 6 weeks and at 16 weeks</w:t>
            </w:r>
          </w:p>
        </w:tc>
        <w:tc>
          <w:tcPr>
            <w:tcW w:w="1268" w:type="pct"/>
            <w:vAlign w:val="center"/>
          </w:tcPr>
          <w:p w:rsidR="00EA0B4F" w:rsidRPr="00146B5E" w:rsidRDefault="00EA0B4F" w:rsidP="00186772">
            <w:pPr>
              <w:pStyle w:val="TableText0"/>
              <w:widowControl w:val="0"/>
            </w:pPr>
            <w:r w:rsidRPr="00146B5E">
              <w:t xml:space="preserve">Study 153; week 6, week 16; </w:t>
            </w:r>
            <w:r w:rsidR="00D82CE2">
              <w:br/>
            </w:r>
            <w:r w:rsidRPr="00146B5E">
              <w:t>2</w:t>
            </w:r>
            <w:r w:rsidR="00D82CE2">
              <w:t xml:space="preserve"> </w:t>
            </w:r>
            <w:r w:rsidRPr="00146B5E">
              <w:t>U/kg, 8</w:t>
            </w:r>
            <w:r w:rsidR="00D82CE2">
              <w:t xml:space="preserve"> </w:t>
            </w:r>
            <w:r w:rsidRPr="00146B5E">
              <w:t>U/kg, 16</w:t>
            </w:r>
            <w:r w:rsidR="00D82CE2">
              <w:t xml:space="preserve"> </w:t>
            </w:r>
            <w:r w:rsidRPr="00146B5E">
              <w:t>U/kg</w:t>
            </w:r>
          </w:p>
        </w:tc>
        <w:tc>
          <w:tcPr>
            <w:tcW w:w="2015" w:type="pct"/>
            <w:vAlign w:val="center"/>
          </w:tcPr>
          <w:p w:rsidR="00EA0B4F" w:rsidRPr="00146B5E" w:rsidRDefault="00EA0B4F" w:rsidP="00186772">
            <w:pPr>
              <w:pStyle w:val="TableText0"/>
              <w:widowControl w:val="0"/>
            </w:pPr>
            <w:r w:rsidRPr="00146B5E">
              <w:t>Fehlings 2000, week 4, week 12; 2-6.6</w:t>
            </w:r>
            <w:r w:rsidR="00D82CE2">
              <w:t xml:space="preserve"> </w:t>
            </w:r>
            <w:r w:rsidRPr="00146B5E">
              <w:t xml:space="preserve">U/kg; </w:t>
            </w:r>
          </w:p>
          <w:p w:rsidR="00EA0B4F" w:rsidRPr="00146B5E" w:rsidRDefault="00EA0B4F" w:rsidP="00186772">
            <w:pPr>
              <w:pStyle w:val="TableText0"/>
              <w:widowControl w:val="0"/>
            </w:pPr>
            <w:r w:rsidRPr="00146B5E">
              <w:t>Speth 2005, week 6, week 12; &lt;</w:t>
            </w:r>
            <w:r w:rsidR="00D82CE2">
              <w:t xml:space="preserve"> </w:t>
            </w:r>
            <w:r w:rsidRPr="00146B5E">
              <w:t>1-5.8</w:t>
            </w:r>
            <w:r w:rsidR="00D82CE2">
              <w:t xml:space="preserve"> </w:t>
            </w:r>
            <w:r w:rsidRPr="00146B5E">
              <w:t xml:space="preserve">U/kg; </w:t>
            </w:r>
          </w:p>
          <w:p w:rsidR="00EA0B4F" w:rsidRPr="00146B5E" w:rsidRDefault="00EA0B4F" w:rsidP="00186772">
            <w:pPr>
              <w:pStyle w:val="TableText0"/>
              <w:widowControl w:val="0"/>
            </w:pPr>
            <w:r w:rsidRPr="00146B5E">
              <w:t>Lowe 2006, week 4, week 12; &lt;</w:t>
            </w:r>
            <w:r w:rsidR="00D82CE2">
              <w:t xml:space="preserve"> </w:t>
            </w:r>
            <w:r w:rsidRPr="00146B5E">
              <w:t>8</w:t>
            </w:r>
            <w:r w:rsidR="00D82CE2">
              <w:t xml:space="preserve"> </w:t>
            </w:r>
            <w:r w:rsidRPr="00146B5E">
              <w:t>U/kg</w:t>
            </w:r>
          </w:p>
        </w:tc>
      </w:tr>
      <w:tr w:rsidR="00EA0B4F" w:rsidRPr="00146B5E" w:rsidTr="005B5AD4">
        <w:tc>
          <w:tcPr>
            <w:tcW w:w="1717" w:type="pct"/>
            <w:vAlign w:val="center"/>
          </w:tcPr>
          <w:p w:rsidR="00EA0B4F" w:rsidRPr="00146B5E" w:rsidRDefault="00EA0B4F" w:rsidP="00186772">
            <w:pPr>
              <w:pStyle w:val="TableText0"/>
              <w:widowControl w:val="0"/>
              <w:tabs>
                <w:tab w:val="left" w:pos="106"/>
              </w:tabs>
            </w:pPr>
            <w:r w:rsidRPr="00146B5E">
              <w:t>MAS/AS finger at 6 weeks and at 16 weeks</w:t>
            </w:r>
          </w:p>
        </w:tc>
        <w:tc>
          <w:tcPr>
            <w:tcW w:w="1268" w:type="pct"/>
            <w:vAlign w:val="center"/>
          </w:tcPr>
          <w:p w:rsidR="00EA0B4F" w:rsidRPr="00146B5E" w:rsidRDefault="00EA0B4F" w:rsidP="00186772">
            <w:pPr>
              <w:pStyle w:val="TableText0"/>
              <w:widowControl w:val="0"/>
            </w:pPr>
            <w:r w:rsidRPr="00146B5E">
              <w:t xml:space="preserve">Study 153; week 6, week 16; </w:t>
            </w:r>
            <w:r w:rsidR="00D82CE2">
              <w:br/>
            </w:r>
            <w:r w:rsidRPr="00146B5E">
              <w:t>2</w:t>
            </w:r>
            <w:r w:rsidR="00D82CE2">
              <w:t xml:space="preserve"> </w:t>
            </w:r>
            <w:r w:rsidRPr="00146B5E">
              <w:t>U/kg, 8</w:t>
            </w:r>
            <w:r w:rsidR="00D82CE2">
              <w:t xml:space="preserve"> </w:t>
            </w:r>
            <w:r w:rsidRPr="00146B5E">
              <w:t>U/kg, 16</w:t>
            </w:r>
            <w:r w:rsidR="00D82CE2">
              <w:t xml:space="preserve"> </w:t>
            </w:r>
            <w:r w:rsidRPr="00146B5E">
              <w:t>U/kg</w:t>
            </w:r>
          </w:p>
        </w:tc>
        <w:tc>
          <w:tcPr>
            <w:tcW w:w="2015" w:type="pct"/>
            <w:vAlign w:val="center"/>
          </w:tcPr>
          <w:p w:rsidR="00EA0B4F" w:rsidRPr="00146B5E" w:rsidRDefault="00EA0B4F" w:rsidP="00186772">
            <w:pPr>
              <w:pStyle w:val="TableText0"/>
              <w:widowControl w:val="0"/>
            </w:pPr>
            <w:r w:rsidRPr="00146B5E">
              <w:t>Lowe 2006; week 4, week 12; &lt;</w:t>
            </w:r>
            <w:r w:rsidR="00D82CE2">
              <w:t xml:space="preserve"> </w:t>
            </w:r>
            <w:r w:rsidRPr="00146B5E">
              <w:t>8</w:t>
            </w:r>
            <w:r w:rsidR="00D82CE2">
              <w:t xml:space="preserve"> </w:t>
            </w:r>
            <w:r w:rsidRPr="00146B5E">
              <w:t>U/kg</w:t>
            </w:r>
          </w:p>
        </w:tc>
      </w:tr>
      <w:tr w:rsidR="00EA0B4F" w:rsidRPr="00146B5E" w:rsidTr="005B5AD4">
        <w:tc>
          <w:tcPr>
            <w:tcW w:w="1717" w:type="pct"/>
            <w:vAlign w:val="center"/>
          </w:tcPr>
          <w:p w:rsidR="00EA0B4F" w:rsidRPr="00146B5E" w:rsidRDefault="00EA0B4F" w:rsidP="00186772">
            <w:pPr>
              <w:pStyle w:val="TableText0"/>
              <w:widowControl w:val="0"/>
              <w:tabs>
                <w:tab w:val="left" w:pos="106"/>
              </w:tabs>
            </w:pPr>
            <w:r w:rsidRPr="00146B5E">
              <w:t>GAS score at 6 weeks and at 16 weeks</w:t>
            </w:r>
          </w:p>
        </w:tc>
        <w:tc>
          <w:tcPr>
            <w:tcW w:w="1268" w:type="pct"/>
            <w:vAlign w:val="center"/>
          </w:tcPr>
          <w:p w:rsidR="00EA0B4F" w:rsidRPr="00146B5E" w:rsidRDefault="00EA0B4F" w:rsidP="00186772">
            <w:pPr>
              <w:pStyle w:val="TableText0"/>
              <w:widowControl w:val="0"/>
            </w:pPr>
            <w:r w:rsidRPr="00146B5E">
              <w:t>Study 153; week 6, week 16; 2</w:t>
            </w:r>
            <w:r w:rsidR="00D82CE2">
              <w:t xml:space="preserve"> </w:t>
            </w:r>
            <w:r w:rsidRPr="00146B5E">
              <w:t>U/kg, 8</w:t>
            </w:r>
            <w:r w:rsidR="00D82CE2">
              <w:t xml:space="preserve"> </w:t>
            </w:r>
            <w:r w:rsidRPr="00146B5E">
              <w:t>U/kg, 16</w:t>
            </w:r>
            <w:r w:rsidR="00D82CE2">
              <w:t xml:space="preserve"> </w:t>
            </w:r>
            <w:r w:rsidRPr="00146B5E">
              <w:t>U/kg</w:t>
            </w:r>
          </w:p>
        </w:tc>
        <w:tc>
          <w:tcPr>
            <w:tcW w:w="2015" w:type="pct"/>
            <w:vAlign w:val="center"/>
          </w:tcPr>
          <w:p w:rsidR="00EA0B4F" w:rsidRPr="00146B5E" w:rsidRDefault="00EA0B4F" w:rsidP="00186772">
            <w:pPr>
              <w:pStyle w:val="TableText0"/>
              <w:widowControl w:val="0"/>
            </w:pPr>
            <w:r w:rsidRPr="00146B5E">
              <w:t>Lowe 2006, week 4, week 12; &lt;</w:t>
            </w:r>
            <w:r w:rsidR="00D82CE2">
              <w:t xml:space="preserve"> </w:t>
            </w:r>
            <w:r w:rsidRPr="00146B5E">
              <w:t>8</w:t>
            </w:r>
            <w:r w:rsidR="00D82CE2">
              <w:t xml:space="preserve"> </w:t>
            </w:r>
            <w:r w:rsidRPr="00146B5E">
              <w:t xml:space="preserve">U/kg; </w:t>
            </w:r>
          </w:p>
          <w:p w:rsidR="00EA0B4F" w:rsidRPr="00146B5E" w:rsidRDefault="00EA0B4F" w:rsidP="00186772">
            <w:pPr>
              <w:pStyle w:val="TableText0"/>
              <w:widowControl w:val="0"/>
            </w:pPr>
            <w:r w:rsidRPr="00146B5E">
              <w:t>Olesch 2010, 16 weeks; 3</w:t>
            </w:r>
            <w:r w:rsidR="00D82CE2">
              <w:t xml:space="preserve"> </w:t>
            </w:r>
            <w:r w:rsidRPr="00146B5E">
              <w:t>U/kg-6</w:t>
            </w:r>
            <w:r w:rsidR="00D82CE2">
              <w:t xml:space="preserve"> </w:t>
            </w:r>
            <w:r w:rsidRPr="00146B5E">
              <w:t>U/kg</w:t>
            </w:r>
          </w:p>
        </w:tc>
      </w:tr>
      <w:tr w:rsidR="00EA0B4F" w:rsidRPr="00146B5E" w:rsidTr="005B5AD4">
        <w:tc>
          <w:tcPr>
            <w:tcW w:w="5000" w:type="pct"/>
            <w:gridSpan w:val="3"/>
            <w:vAlign w:val="center"/>
          </w:tcPr>
          <w:p w:rsidR="00EA0B4F" w:rsidRPr="00146B5E" w:rsidRDefault="00EA0B4F" w:rsidP="00186772">
            <w:pPr>
              <w:pStyle w:val="TableText0"/>
              <w:widowControl w:val="0"/>
              <w:tabs>
                <w:tab w:val="left" w:pos="106"/>
              </w:tabs>
              <w:rPr>
                <w:b/>
                <w:bCs w:val="0"/>
              </w:rPr>
            </w:pPr>
            <w:r w:rsidRPr="00146B5E">
              <w:rPr>
                <w:b/>
                <w:bCs w:val="0"/>
              </w:rPr>
              <w:t>Safety</w:t>
            </w:r>
          </w:p>
        </w:tc>
      </w:tr>
      <w:tr w:rsidR="00EA0B4F" w:rsidRPr="00146B5E" w:rsidTr="005B5AD4">
        <w:tc>
          <w:tcPr>
            <w:tcW w:w="1717" w:type="pct"/>
            <w:vAlign w:val="center"/>
          </w:tcPr>
          <w:p w:rsidR="00EA0B4F" w:rsidRPr="00146B5E" w:rsidRDefault="00EA0B4F" w:rsidP="00186772">
            <w:pPr>
              <w:pStyle w:val="TableText0"/>
              <w:widowControl w:val="0"/>
              <w:tabs>
                <w:tab w:val="left" w:pos="106"/>
              </w:tabs>
            </w:pPr>
            <w:r w:rsidRPr="00146B5E">
              <w:t>Overall AEs</w:t>
            </w:r>
          </w:p>
        </w:tc>
        <w:tc>
          <w:tcPr>
            <w:tcW w:w="1268" w:type="pct"/>
            <w:vAlign w:val="center"/>
          </w:tcPr>
          <w:p w:rsidR="00EA0B4F" w:rsidRPr="00146B5E" w:rsidRDefault="00EA0B4F" w:rsidP="00186772">
            <w:pPr>
              <w:pStyle w:val="TableText0"/>
              <w:widowControl w:val="0"/>
            </w:pPr>
            <w:r w:rsidRPr="00146B5E">
              <w:t xml:space="preserve">Study 153; week 16; </w:t>
            </w:r>
            <w:r w:rsidR="00D82CE2">
              <w:br/>
            </w:r>
            <w:r w:rsidRPr="00146B5E">
              <w:t>2</w:t>
            </w:r>
            <w:r w:rsidR="00D82CE2">
              <w:t xml:space="preserve"> </w:t>
            </w:r>
            <w:r w:rsidRPr="00146B5E">
              <w:t>U/kg, 8</w:t>
            </w:r>
            <w:r w:rsidR="00D82CE2">
              <w:t xml:space="preserve"> </w:t>
            </w:r>
            <w:r w:rsidRPr="00146B5E">
              <w:t>U/kg, 16</w:t>
            </w:r>
            <w:r w:rsidR="00D82CE2">
              <w:t xml:space="preserve"> </w:t>
            </w:r>
            <w:r w:rsidRPr="00146B5E">
              <w:t>U/kg</w:t>
            </w:r>
          </w:p>
        </w:tc>
        <w:tc>
          <w:tcPr>
            <w:tcW w:w="2015" w:type="pct"/>
            <w:vAlign w:val="center"/>
          </w:tcPr>
          <w:p w:rsidR="00EA0B4F" w:rsidRPr="00146B5E" w:rsidRDefault="00EA0B4F" w:rsidP="00186772">
            <w:pPr>
              <w:pStyle w:val="TableText0"/>
              <w:widowControl w:val="0"/>
            </w:pPr>
            <w:r w:rsidRPr="00146B5E">
              <w:t>Olesch 2010, 52 weeks; 3</w:t>
            </w:r>
            <w:r w:rsidR="00D82CE2">
              <w:t xml:space="preserve"> </w:t>
            </w:r>
            <w:r w:rsidRPr="00146B5E">
              <w:t>U/kg-6</w:t>
            </w:r>
            <w:r w:rsidR="00D82CE2">
              <w:t xml:space="preserve"> </w:t>
            </w:r>
            <w:r w:rsidRPr="00146B5E">
              <w:t xml:space="preserve">U/kg; </w:t>
            </w:r>
          </w:p>
          <w:p w:rsidR="00EA0B4F" w:rsidRPr="00146B5E" w:rsidRDefault="00EA0B4F" w:rsidP="00186772">
            <w:pPr>
              <w:pStyle w:val="TableText0"/>
              <w:widowControl w:val="0"/>
            </w:pPr>
            <w:r w:rsidRPr="00146B5E">
              <w:t>Fehlings 2018, week 12; 3</w:t>
            </w:r>
            <w:r w:rsidR="00D82CE2">
              <w:t xml:space="preserve"> </w:t>
            </w:r>
            <w:r w:rsidRPr="00146B5E">
              <w:t>U/kg, 6</w:t>
            </w:r>
            <w:r w:rsidR="00D82CE2">
              <w:t xml:space="preserve"> </w:t>
            </w:r>
            <w:r w:rsidRPr="00146B5E">
              <w:t>U/kg</w:t>
            </w:r>
          </w:p>
        </w:tc>
      </w:tr>
      <w:tr w:rsidR="00EA0B4F" w:rsidRPr="00146B5E" w:rsidTr="005B5AD4">
        <w:tc>
          <w:tcPr>
            <w:tcW w:w="1717" w:type="pct"/>
            <w:vAlign w:val="center"/>
          </w:tcPr>
          <w:p w:rsidR="00EA0B4F" w:rsidRPr="00146B5E" w:rsidRDefault="00EA0B4F" w:rsidP="00186772">
            <w:pPr>
              <w:pStyle w:val="TableText0"/>
              <w:widowControl w:val="0"/>
              <w:tabs>
                <w:tab w:val="left" w:pos="106"/>
              </w:tabs>
            </w:pPr>
            <w:r w:rsidRPr="00146B5E">
              <w:t>Serious AEs, treatment-related AEs,</w:t>
            </w:r>
            <w:r w:rsidR="00CE323C" w:rsidRPr="00146B5E">
              <w:t xml:space="preserve"> </w:t>
            </w:r>
            <w:r w:rsidRPr="00146B5E">
              <w:t>discontinuation due to AEs</w:t>
            </w:r>
          </w:p>
        </w:tc>
        <w:tc>
          <w:tcPr>
            <w:tcW w:w="1268" w:type="pct"/>
            <w:vAlign w:val="center"/>
          </w:tcPr>
          <w:p w:rsidR="00EA0B4F" w:rsidRPr="00146B5E" w:rsidRDefault="00EA0B4F" w:rsidP="00186772">
            <w:pPr>
              <w:pStyle w:val="TableText0"/>
              <w:widowControl w:val="0"/>
            </w:pPr>
            <w:r w:rsidRPr="00146B5E">
              <w:t xml:space="preserve">Study 153; week 16; </w:t>
            </w:r>
            <w:r w:rsidR="00D82CE2">
              <w:br/>
            </w:r>
            <w:r w:rsidRPr="00146B5E">
              <w:t>2</w:t>
            </w:r>
            <w:r w:rsidR="00D82CE2">
              <w:t xml:space="preserve"> </w:t>
            </w:r>
            <w:r w:rsidRPr="00146B5E">
              <w:t>U/kg, 8</w:t>
            </w:r>
            <w:r w:rsidR="00D82CE2">
              <w:t xml:space="preserve"> </w:t>
            </w:r>
            <w:r w:rsidRPr="00146B5E">
              <w:t>U/kg, 16</w:t>
            </w:r>
            <w:r w:rsidR="00D82CE2">
              <w:t xml:space="preserve"> </w:t>
            </w:r>
            <w:r w:rsidRPr="00146B5E">
              <w:t>U/kg</w:t>
            </w:r>
          </w:p>
        </w:tc>
        <w:tc>
          <w:tcPr>
            <w:tcW w:w="2015" w:type="pct"/>
            <w:vAlign w:val="center"/>
          </w:tcPr>
          <w:p w:rsidR="00EA0B4F" w:rsidRPr="00146B5E" w:rsidRDefault="00EA0B4F" w:rsidP="00186772">
            <w:pPr>
              <w:pStyle w:val="TableText0"/>
              <w:widowControl w:val="0"/>
            </w:pPr>
            <w:r w:rsidRPr="00146B5E">
              <w:t>Fehlings 2018; week 12; 3</w:t>
            </w:r>
            <w:r w:rsidR="00D82CE2">
              <w:t xml:space="preserve"> </w:t>
            </w:r>
            <w:r w:rsidRPr="00146B5E">
              <w:t>U/kg, 6</w:t>
            </w:r>
            <w:r w:rsidR="00D82CE2">
              <w:t xml:space="preserve"> </w:t>
            </w:r>
            <w:r w:rsidRPr="00146B5E">
              <w:t>U/kg</w:t>
            </w:r>
          </w:p>
        </w:tc>
      </w:tr>
    </w:tbl>
    <w:p w:rsidR="00EA0B4F" w:rsidRPr="00146B5E" w:rsidRDefault="00EA0B4F" w:rsidP="005B5AD4">
      <w:pPr>
        <w:pStyle w:val="TableFigureFooter"/>
      </w:pPr>
      <w:r w:rsidRPr="00146B5E">
        <w:t>Source: Table 2-77, p132; Table 2-78, p132 of the submission.</w:t>
      </w:r>
    </w:p>
    <w:p w:rsidR="00EA0B4F" w:rsidRPr="00146B5E" w:rsidRDefault="00EA0B4F" w:rsidP="005B5AD4">
      <w:pPr>
        <w:pStyle w:val="TableFigureFooter"/>
      </w:pPr>
      <w:r w:rsidRPr="00146B5E">
        <w:rPr>
          <w:rFonts w:eastAsia="Calibri"/>
        </w:rPr>
        <w:t>AEs=adverse events; AS=Ashworth Scale; GAS=Goal Attainment Scale; MAS=Modified Ashworth Scale; PTMG=primary target muscle group</w:t>
      </w:r>
    </w:p>
    <w:p w:rsidR="006E0D11" w:rsidRPr="00146B5E" w:rsidRDefault="00B0788E" w:rsidP="00150037">
      <w:pPr>
        <w:pStyle w:val="3-BodyText"/>
        <w:ind w:left="720"/>
      </w:pPr>
      <w:r w:rsidRPr="00146B5E">
        <w:t>The Modified Ashworth Scale (MAS), the Ashworth Scale (AS) and the Goal Attainment Scale (GAS) are scales that have been used in numerous PBAC submission</w:t>
      </w:r>
      <w:r w:rsidR="005A1922" w:rsidRPr="00146B5E">
        <w:t>s</w:t>
      </w:r>
      <w:r w:rsidRPr="00146B5E">
        <w:t xml:space="preserve"> for</w:t>
      </w:r>
      <w:r w:rsidR="005A1922" w:rsidRPr="00146B5E">
        <w:t xml:space="preserve"> lower and upper limb spasticity.</w:t>
      </w:r>
      <w:r w:rsidR="00A87288" w:rsidRPr="00146B5E">
        <w:t xml:space="preserve"> </w:t>
      </w:r>
      <w:r w:rsidR="005A1922" w:rsidRPr="00146B5E">
        <w:rPr>
          <w:iCs/>
        </w:rPr>
        <w:t>The submission presented results</w:t>
      </w:r>
      <w:r w:rsidR="00D735F5" w:rsidRPr="00146B5E">
        <w:rPr>
          <w:iCs/>
        </w:rPr>
        <w:t xml:space="preserve"> </w:t>
      </w:r>
      <w:r w:rsidR="005A1922" w:rsidRPr="00146B5E">
        <w:rPr>
          <w:iCs/>
        </w:rPr>
        <w:t xml:space="preserve">for comparisons </w:t>
      </w:r>
      <w:r w:rsidR="00D735F5" w:rsidRPr="00146B5E">
        <w:rPr>
          <w:iCs/>
        </w:rPr>
        <w:t>a</w:t>
      </w:r>
      <w:r w:rsidR="005A1922" w:rsidRPr="00146B5E">
        <w:rPr>
          <w:iCs/>
        </w:rPr>
        <w:t>t both 6 and 16 weeks, but the primary outcome of Study 153 was at 6 weeks.</w:t>
      </w:r>
      <w:r w:rsidR="00A87288" w:rsidRPr="00146B5E">
        <w:rPr>
          <w:iCs/>
        </w:rPr>
        <w:t xml:space="preserve"> </w:t>
      </w:r>
      <w:r w:rsidR="00D735F5" w:rsidRPr="00146B5E">
        <w:rPr>
          <w:iCs/>
        </w:rPr>
        <w:t xml:space="preserve">There is some discordance of result </w:t>
      </w:r>
      <w:r w:rsidR="00FE21CA" w:rsidRPr="00146B5E">
        <w:rPr>
          <w:iCs/>
        </w:rPr>
        <w:t>time points</w:t>
      </w:r>
      <w:r w:rsidR="00D735F5" w:rsidRPr="00146B5E">
        <w:rPr>
          <w:iCs/>
        </w:rPr>
        <w:t xml:space="preserve">, with results for the </w:t>
      </w:r>
      <w:r w:rsidR="006C23C2" w:rsidRPr="00146B5E">
        <w:rPr>
          <w:iCs/>
        </w:rPr>
        <w:t>Botox®</w:t>
      </w:r>
      <w:r w:rsidR="00D735F5" w:rsidRPr="00146B5E">
        <w:rPr>
          <w:iCs/>
        </w:rPr>
        <w:t xml:space="preserve"> trials being at 4 and 12 weeks.</w:t>
      </w:r>
      <w:r w:rsidR="0084674D" w:rsidRPr="00146B5E">
        <w:t xml:space="preserve"> The submission maintained that results at 12 weeks for </w:t>
      </w:r>
      <w:r w:rsidR="006C23C2" w:rsidRPr="00146B5E">
        <w:t>Botox®</w:t>
      </w:r>
      <w:r w:rsidR="0084674D" w:rsidRPr="00146B5E">
        <w:t xml:space="preserve"> and 16 weeks for </w:t>
      </w:r>
      <w:r w:rsidR="0091336A" w:rsidRPr="00146B5E">
        <w:t>Dysport®</w:t>
      </w:r>
      <w:r w:rsidR="0084674D" w:rsidRPr="00146B5E">
        <w:t xml:space="preserve"> may favour </w:t>
      </w:r>
      <w:r w:rsidR="006C23C2" w:rsidRPr="00146B5E">
        <w:t>Botox®</w:t>
      </w:r>
      <w:r w:rsidR="0084674D" w:rsidRPr="00146B5E">
        <w:t xml:space="preserve">, </w:t>
      </w:r>
      <w:r w:rsidR="0028368A" w:rsidRPr="00146B5E">
        <w:t>although to support this claim the submission cited</w:t>
      </w:r>
      <w:r w:rsidR="00BB3722" w:rsidRPr="00146B5E">
        <w:t xml:space="preserve"> only</w:t>
      </w:r>
      <w:r w:rsidR="0028368A" w:rsidRPr="00146B5E">
        <w:t xml:space="preserve"> a paper with mice as the subjects</w:t>
      </w:r>
      <w:r w:rsidR="00BB3722" w:rsidRPr="00146B5E">
        <w:t xml:space="preserve"> (de Paiva 1999)</w:t>
      </w:r>
      <w:r w:rsidR="0028368A" w:rsidRPr="00146B5E">
        <w:t>,</w:t>
      </w:r>
      <w:r w:rsidR="00BB3722" w:rsidRPr="00146B5E">
        <w:t xml:space="preserve"> which noted </w:t>
      </w:r>
      <w:r w:rsidR="00BB3722" w:rsidRPr="00146B5E">
        <w:rPr>
          <w:iCs/>
        </w:rPr>
        <w:t>‘….obvious difficulties in precisely comparing time courses in human and mice’,</w:t>
      </w:r>
      <w:r w:rsidR="0028368A" w:rsidRPr="00146B5E">
        <w:t xml:space="preserve"> </w:t>
      </w:r>
      <w:r w:rsidR="0028368A" w:rsidRPr="00146B5E">
        <w:rPr>
          <w:iCs/>
        </w:rPr>
        <w:t xml:space="preserve">as well as a retrospective review of </w:t>
      </w:r>
      <w:r w:rsidR="0091336A" w:rsidRPr="00146B5E">
        <w:rPr>
          <w:iCs/>
        </w:rPr>
        <w:t>Dysport®</w:t>
      </w:r>
      <w:r w:rsidR="0028368A" w:rsidRPr="00146B5E">
        <w:rPr>
          <w:iCs/>
        </w:rPr>
        <w:t>.</w:t>
      </w:r>
      <w:r w:rsidR="00A87288" w:rsidRPr="00146B5E">
        <w:t xml:space="preserve"> </w:t>
      </w:r>
    </w:p>
    <w:p w:rsidR="0028368A" w:rsidRPr="00146B5E" w:rsidRDefault="0028368A" w:rsidP="005B5AD4">
      <w:pPr>
        <w:pStyle w:val="3-BodyText"/>
      </w:pPr>
      <w:r w:rsidRPr="00146B5E">
        <w:rPr>
          <w:iCs/>
        </w:rPr>
        <w:t>The submission did not provide any discussion of</w:t>
      </w:r>
      <w:r w:rsidR="001F48AF" w:rsidRPr="00146B5E">
        <w:rPr>
          <w:iCs/>
        </w:rPr>
        <w:t xml:space="preserve"> a non-inferiority margin</w:t>
      </w:r>
      <w:r w:rsidR="00ED1777" w:rsidRPr="00146B5E">
        <w:rPr>
          <w:iCs/>
        </w:rPr>
        <w:t xml:space="preserve"> </w:t>
      </w:r>
      <w:r w:rsidR="001F48AF" w:rsidRPr="00146B5E">
        <w:rPr>
          <w:iCs/>
        </w:rPr>
        <w:t>in regard of the analyses presented.</w:t>
      </w:r>
      <w:r w:rsidR="00A87288" w:rsidRPr="00146B5E">
        <w:t xml:space="preserve"> </w:t>
      </w:r>
      <w:r w:rsidR="00243AF6" w:rsidRPr="00146B5E">
        <w:t xml:space="preserve">The submission provided results for the </w:t>
      </w:r>
      <w:r w:rsidR="0091336A" w:rsidRPr="00146B5E">
        <w:t>Dysport®</w:t>
      </w:r>
      <w:r w:rsidR="00F7509B" w:rsidRPr="00146B5E">
        <w:t xml:space="preserve"> </w:t>
      </w:r>
      <w:r w:rsidR="00243AF6" w:rsidRPr="00146B5E">
        <w:t>8</w:t>
      </w:r>
      <w:r w:rsidR="00D82CE2">
        <w:t xml:space="preserve"> </w:t>
      </w:r>
      <w:r w:rsidR="00243AF6" w:rsidRPr="00146B5E">
        <w:t>U/kg group and the 16</w:t>
      </w:r>
      <w:r w:rsidR="00D82CE2">
        <w:t xml:space="preserve"> </w:t>
      </w:r>
      <w:r w:rsidR="00243AF6" w:rsidRPr="00146B5E">
        <w:t xml:space="preserve">U/kg group versus </w:t>
      </w:r>
      <w:r w:rsidR="006C23C2" w:rsidRPr="00146B5E">
        <w:t>Botox®</w:t>
      </w:r>
      <w:r w:rsidR="00F7509B" w:rsidRPr="00146B5E">
        <w:t>, as well as a pooled 8</w:t>
      </w:r>
      <w:r w:rsidR="00D82CE2">
        <w:t xml:space="preserve"> </w:t>
      </w:r>
      <w:r w:rsidR="00F7509B" w:rsidRPr="00146B5E">
        <w:t>U/kg and 16</w:t>
      </w:r>
      <w:r w:rsidR="00D82CE2">
        <w:t xml:space="preserve"> </w:t>
      </w:r>
      <w:r w:rsidR="00F7509B" w:rsidRPr="00146B5E">
        <w:t>U/kg group.</w:t>
      </w:r>
      <w:r w:rsidR="00A87288" w:rsidRPr="00146B5E">
        <w:t xml:space="preserve"> </w:t>
      </w:r>
      <w:r w:rsidR="00F7509B" w:rsidRPr="00146B5E">
        <w:t>The submission referred to the individual 8</w:t>
      </w:r>
      <w:r w:rsidR="00D82CE2">
        <w:t xml:space="preserve"> </w:t>
      </w:r>
      <w:r w:rsidR="00F7509B" w:rsidRPr="00146B5E">
        <w:t>U/kg and 16</w:t>
      </w:r>
      <w:r w:rsidR="00D82CE2">
        <w:t xml:space="preserve"> </w:t>
      </w:r>
      <w:r w:rsidR="00F7509B" w:rsidRPr="00146B5E">
        <w:t>U/kg comparisons as ‘base case’ comparisons.</w:t>
      </w:r>
      <w:r w:rsidR="00A87288" w:rsidRPr="00146B5E">
        <w:t xml:space="preserve"> </w:t>
      </w:r>
      <w:r w:rsidR="001F48AF" w:rsidRPr="00146B5E">
        <w:t>The table below provides the results for the indirect comparison of the MAS primary target muscle group (PTMG), the primary outcome in Study 153, at week 6 and week 16.</w:t>
      </w:r>
    </w:p>
    <w:p w:rsidR="001F48AF" w:rsidRPr="00146B5E" w:rsidRDefault="001F48AF" w:rsidP="008F42F9">
      <w:pPr>
        <w:pStyle w:val="TableFigureHeading"/>
      </w:pPr>
      <w:r w:rsidRPr="00146B5E">
        <w:rPr>
          <w:rStyle w:val="CommentReference"/>
          <w:b/>
          <w:bCs w:val="0"/>
          <w:szCs w:val="24"/>
        </w:rPr>
        <w:lastRenderedPageBreak/>
        <w:t xml:space="preserve">Table </w:t>
      </w:r>
      <w:r w:rsidR="00844F8E" w:rsidRPr="00146B5E">
        <w:rPr>
          <w:rStyle w:val="CommentReference"/>
          <w:b/>
          <w:bCs w:val="0"/>
          <w:szCs w:val="24"/>
        </w:rPr>
        <w:t>6</w:t>
      </w:r>
      <w:r w:rsidRPr="00146B5E">
        <w:rPr>
          <w:rStyle w:val="CommentReference"/>
          <w:b/>
          <w:bCs w:val="0"/>
          <w:szCs w:val="24"/>
        </w:rPr>
        <w:t>:</w:t>
      </w:r>
      <w:r w:rsidRPr="00146B5E">
        <w:rPr>
          <w:rStyle w:val="CommentReference"/>
          <w:bCs w:val="0"/>
          <w:szCs w:val="24"/>
        </w:rPr>
        <w:t xml:space="preserve"> </w:t>
      </w:r>
      <w:r w:rsidRPr="00146B5E">
        <w:t xml:space="preserve">Results of the indirect comparison of </w:t>
      </w:r>
      <w:r w:rsidR="0091336A" w:rsidRPr="00146B5E">
        <w:t>Dysport</w:t>
      </w:r>
      <w:r w:rsidR="0091336A" w:rsidRPr="00146B5E">
        <w:rPr>
          <w:vertAlign w:val="superscript"/>
        </w:rPr>
        <w:t>®</w:t>
      </w:r>
      <w:r w:rsidRPr="00146B5E">
        <w:t xml:space="preserve"> and </w:t>
      </w:r>
      <w:r w:rsidR="006C23C2" w:rsidRPr="00146B5E">
        <w:t>Botox®</w:t>
      </w:r>
      <w:r w:rsidRPr="00146B5E">
        <w:t xml:space="preserve"> for MAS PTMG at week 6 and week 16</w:t>
      </w:r>
    </w:p>
    <w:tbl>
      <w:tblPr>
        <w:tblStyle w:val="TableGrid"/>
        <w:tblW w:w="5000" w:type="pct"/>
        <w:jc w:val="center"/>
        <w:tblLook w:val="04A0" w:firstRow="1" w:lastRow="0" w:firstColumn="1" w:lastColumn="0" w:noHBand="0" w:noVBand="1"/>
        <w:tblCaption w:val="Table 6"/>
      </w:tblPr>
      <w:tblGrid>
        <w:gridCol w:w="1855"/>
        <w:gridCol w:w="1434"/>
        <w:gridCol w:w="2002"/>
        <w:gridCol w:w="52"/>
        <w:gridCol w:w="1239"/>
        <w:gridCol w:w="2435"/>
      </w:tblGrid>
      <w:tr w:rsidR="00243AF6" w:rsidRPr="00146B5E" w:rsidTr="00AC0F2C">
        <w:trPr>
          <w:tblHeader/>
          <w:jc w:val="center"/>
        </w:trPr>
        <w:tc>
          <w:tcPr>
            <w:tcW w:w="1029" w:type="pct"/>
            <w:shd w:val="clear" w:color="auto" w:fill="auto"/>
            <w:vAlign w:val="center"/>
          </w:tcPr>
          <w:p w:rsidR="00243AF6" w:rsidRPr="001B1319" w:rsidRDefault="00243AF6" w:rsidP="008F42F9">
            <w:pPr>
              <w:pStyle w:val="In-tableHeading"/>
              <w:rPr>
                <w:szCs w:val="20"/>
                <w:lang w:val="en-AU"/>
              </w:rPr>
            </w:pPr>
          </w:p>
        </w:tc>
        <w:tc>
          <w:tcPr>
            <w:tcW w:w="2621" w:type="pct"/>
            <w:gridSpan w:val="4"/>
            <w:shd w:val="clear" w:color="auto" w:fill="auto"/>
            <w:vAlign w:val="center"/>
          </w:tcPr>
          <w:p w:rsidR="00243AF6" w:rsidRPr="001B1319" w:rsidRDefault="00243AF6" w:rsidP="008F42F9">
            <w:pPr>
              <w:pStyle w:val="In-tableHeading"/>
              <w:jc w:val="center"/>
              <w:rPr>
                <w:bCs/>
                <w:szCs w:val="20"/>
                <w:lang w:val="en-AU"/>
              </w:rPr>
            </w:pPr>
            <w:r w:rsidRPr="001B1319">
              <w:rPr>
                <w:bCs/>
                <w:szCs w:val="20"/>
                <w:lang w:val="en-AU"/>
              </w:rPr>
              <w:t>Change from baseline in MAS PTMG (LSM</w:t>
            </w:r>
            <w:r w:rsidRPr="001B1319">
              <w:rPr>
                <w:bCs/>
                <w:szCs w:val="20"/>
                <w:vertAlign w:val="superscript"/>
                <w:lang w:val="en-AU"/>
              </w:rPr>
              <w:t>a</w:t>
            </w:r>
            <w:r w:rsidRPr="001B1319">
              <w:rPr>
                <w:bCs/>
                <w:szCs w:val="20"/>
                <w:lang w:val="en-AU"/>
              </w:rPr>
              <w:t>)</w:t>
            </w:r>
          </w:p>
        </w:tc>
        <w:tc>
          <w:tcPr>
            <w:tcW w:w="1350" w:type="pct"/>
            <w:vMerge w:val="restart"/>
            <w:shd w:val="clear" w:color="auto" w:fill="auto"/>
            <w:vAlign w:val="center"/>
          </w:tcPr>
          <w:p w:rsidR="00243AF6" w:rsidRPr="001B1319" w:rsidRDefault="00243AF6" w:rsidP="008F42F9">
            <w:pPr>
              <w:pStyle w:val="In-tableHeading"/>
              <w:jc w:val="center"/>
              <w:rPr>
                <w:bCs/>
                <w:szCs w:val="20"/>
                <w:lang w:val="en-AU"/>
              </w:rPr>
            </w:pPr>
            <w:r w:rsidRPr="001B1319">
              <w:rPr>
                <w:bCs/>
                <w:szCs w:val="20"/>
                <w:lang w:val="en-AU"/>
              </w:rPr>
              <w:t>Difference in change from baseline (95% CI)</w:t>
            </w:r>
          </w:p>
        </w:tc>
      </w:tr>
      <w:tr w:rsidR="00243AF6" w:rsidRPr="00146B5E" w:rsidTr="00AC0F2C">
        <w:trPr>
          <w:tblHeader/>
          <w:jc w:val="center"/>
        </w:trPr>
        <w:tc>
          <w:tcPr>
            <w:tcW w:w="1029" w:type="pct"/>
            <w:shd w:val="clear" w:color="auto" w:fill="auto"/>
            <w:vAlign w:val="center"/>
          </w:tcPr>
          <w:p w:rsidR="00243AF6" w:rsidRPr="001B1319" w:rsidRDefault="00243AF6" w:rsidP="008F42F9">
            <w:pPr>
              <w:pStyle w:val="In-tableHeading"/>
              <w:rPr>
                <w:szCs w:val="20"/>
                <w:lang w:val="en-AU"/>
              </w:rPr>
            </w:pPr>
            <w:r w:rsidRPr="001B1319">
              <w:rPr>
                <w:szCs w:val="20"/>
                <w:lang w:val="en-AU"/>
              </w:rPr>
              <w:t>Week 6</w:t>
            </w:r>
          </w:p>
        </w:tc>
        <w:tc>
          <w:tcPr>
            <w:tcW w:w="795" w:type="pct"/>
            <w:shd w:val="clear" w:color="auto" w:fill="auto"/>
            <w:vAlign w:val="center"/>
          </w:tcPr>
          <w:p w:rsidR="00243AF6" w:rsidRPr="001B1319" w:rsidRDefault="0091336A" w:rsidP="008F42F9">
            <w:pPr>
              <w:pStyle w:val="In-tableHeading"/>
              <w:jc w:val="center"/>
              <w:rPr>
                <w:szCs w:val="20"/>
                <w:lang w:val="en-AU"/>
              </w:rPr>
            </w:pPr>
            <w:r w:rsidRPr="001B1319">
              <w:rPr>
                <w:szCs w:val="20"/>
                <w:lang w:val="en-AU"/>
              </w:rPr>
              <w:t>Dysport</w:t>
            </w:r>
            <w:r w:rsidRPr="001B1319">
              <w:rPr>
                <w:szCs w:val="20"/>
                <w:vertAlign w:val="superscript"/>
                <w:lang w:val="en-AU"/>
              </w:rPr>
              <w:t>®</w:t>
            </w:r>
          </w:p>
        </w:tc>
        <w:tc>
          <w:tcPr>
            <w:tcW w:w="1139" w:type="pct"/>
            <w:gridSpan w:val="2"/>
            <w:shd w:val="clear" w:color="auto" w:fill="auto"/>
            <w:vAlign w:val="center"/>
          </w:tcPr>
          <w:p w:rsidR="00243AF6" w:rsidRPr="001B1319" w:rsidRDefault="00243AF6" w:rsidP="008F42F9">
            <w:pPr>
              <w:pStyle w:val="In-tableHeading"/>
              <w:jc w:val="center"/>
              <w:rPr>
                <w:szCs w:val="20"/>
                <w:lang w:val="en-AU"/>
              </w:rPr>
            </w:pPr>
            <w:r w:rsidRPr="001B1319">
              <w:rPr>
                <w:szCs w:val="20"/>
                <w:lang w:val="en-AU"/>
              </w:rPr>
              <w:t>Common reference</w:t>
            </w:r>
          </w:p>
          <w:p w:rsidR="00243AF6" w:rsidRPr="001B1319" w:rsidRDefault="00243AF6" w:rsidP="008F42F9">
            <w:pPr>
              <w:pStyle w:val="In-tableHeading"/>
              <w:jc w:val="center"/>
              <w:rPr>
                <w:szCs w:val="20"/>
                <w:lang w:val="en-AU"/>
              </w:rPr>
            </w:pPr>
            <w:r w:rsidRPr="001B1319">
              <w:rPr>
                <w:szCs w:val="20"/>
                <w:lang w:val="en-AU"/>
              </w:rPr>
              <w:t>no intervention</w:t>
            </w:r>
            <w:r w:rsidRPr="001B1319">
              <w:rPr>
                <w:szCs w:val="20"/>
                <w:vertAlign w:val="superscript"/>
                <w:lang w:val="en-AU"/>
              </w:rPr>
              <w:t>b</w:t>
            </w:r>
          </w:p>
        </w:tc>
        <w:tc>
          <w:tcPr>
            <w:tcW w:w="687" w:type="pct"/>
            <w:shd w:val="clear" w:color="auto" w:fill="auto"/>
            <w:vAlign w:val="center"/>
          </w:tcPr>
          <w:p w:rsidR="00243AF6" w:rsidRPr="001B1319" w:rsidRDefault="006C23C2" w:rsidP="008F42F9">
            <w:pPr>
              <w:pStyle w:val="In-tableHeading"/>
              <w:jc w:val="center"/>
              <w:rPr>
                <w:szCs w:val="20"/>
                <w:lang w:val="en-AU"/>
              </w:rPr>
            </w:pPr>
            <w:r w:rsidRPr="001B1319">
              <w:rPr>
                <w:szCs w:val="20"/>
                <w:lang w:val="en-AU"/>
              </w:rPr>
              <w:t>Botox</w:t>
            </w:r>
            <w:r w:rsidRPr="001B1319">
              <w:rPr>
                <w:szCs w:val="20"/>
                <w:vertAlign w:val="superscript"/>
                <w:lang w:val="en-AU"/>
              </w:rPr>
              <w:t>®</w:t>
            </w:r>
          </w:p>
        </w:tc>
        <w:tc>
          <w:tcPr>
            <w:tcW w:w="1350" w:type="pct"/>
            <w:vMerge/>
            <w:shd w:val="clear" w:color="auto" w:fill="auto"/>
            <w:vAlign w:val="center"/>
          </w:tcPr>
          <w:p w:rsidR="00243AF6" w:rsidRPr="001B1319" w:rsidRDefault="00243AF6" w:rsidP="008F42F9">
            <w:pPr>
              <w:pStyle w:val="In-tableHeading"/>
              <w:rPr>
                <w:szCs w:val="20"/>
                <w:lang w:val="en-AU"/>
              </w:rPr>
            </w:pPr>
          </w:p>
        </w:tc>
      </w:tr>
      <w:tr w:rsidR="00243AF6" w:rsidRPr="00146B5E" w:rsidTr="008F42F9">
        <w:trPr>
          <w:jc w:val="center"/>
        </w:trPr>
        <w:tc>
          <w:tcPr>
            <w:tcW w:w="1029" w:type="pct"/>
            <w:shd w:val="clear" w:color="auto" w:fill="auto"/>
            <w:vAlign w:val="center"/>
          </w:tcPr>
          <w:p w:rsidR="00243AF6" w:rsidRPr="001B1319" w:rsidRDefault="00243AF6" w:rsidP="00186772">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 xml:space="preserve">N=69 </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-2.0</w:t>
            </w:r>
          </w:p>
        </w:tc>
        <w:tc>
          <w:tcPr>
            <w:tcW w:w="1139" w:type="pct"/>
            <w:gridSpan w:val="2"/>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N=69</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-1.6</w:t>
            </w:r>
          </w:p>
        </w:tc>
        <w:tc>
          <w:tcPr>
            <w:tcW w:w="687" w:type="pct"/>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-0.40 (-0.75, -0.05)</w:t>
            </w:r>
          </w:p>
        </w:tc>
      </w:tr>
      <w:tr w:rsidR="00243AF6" w:rsidRPr="00146B5E" w:rsidTr="008F42F9">
        <w:trPr>
          <w:jc w:val="center"/>
        </w:trPr>
        <w:tc>
          <w:tcPr>
            <w:tcW w:w="1029" w:type="pct"/>
            <w:tcBorders>
              <w:bottom w:val="single" w:sz="4" w:space="0" w:color="auto"/>
            </w:tcBorders>
            <w:shd w:val="clear" w:color="auto" w:fill="auto"/>
            <w:vAlign w:val="center"/>
          </w:tcPr>
          <w:p w:rsidR="00243AF6" w:rsidRPr="001B1319" w:rsidRDefault="00243AF6" w:rsidP="00186772">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tcBorders>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N=70</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-2.3</w:t>
            </w:r>
          </w:p>
        </w:tc>
        <w:tc>
          <w:tcPr>
            <w:tcW w:w="1139" w:type="pct"/>
            <w:gridSpan w:val="2"/>
            <w:tcBorders>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N=69</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-1.6</w:t>
            </w:r>
          </w:p>
        </w:tc>
        <w:tc>
          <w:tcPr>
            <w:tcW w:w="687" w:type="pct"/>
            <w:tcBorders>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350" w:type="pct"/>
            <w:tcBorders>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-0.70 (-1.03, -0.37)</w:t>
            </w:r>
          </w:p>
        </w:tc>
      </w:tr>
      <w:tr w:rsidR="00243AF6" w:rsidRPr="00146B5E" w:rsidTr="008F42F9">
        <w:trPr>
          <w:jc w:val="center"/>
        </w:trPr>
        <w:tc>
          <w:tcPr>
            <w:tcW w:w="3650" w:type="pct"/>
            <w:gridSpan w:val="5"/>
            <w:tcBorders>
              <w:bottom w:val="single" w:sz="4" w:space="0" w:color="auto"/>
            </w:tcBorders>
            <w:shd w:val="clear" w:color="auto" w:fill="auto"/>
            <w:vAlign w:val="center"/>
          </w:tcPr>
          <w:p w:rsidR="00243AF6" w:rsidRPr="001B1319" w:rsidRDefault="00243AF6" w:rsidP="00186772">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=32.3%; p=0.22)</w:t>
            </w:r>
          </w:p>
        </w:tc>
        <w:tc>
          <w:tcPr>
            <w:tcW w:w="1350" w:type="pct"/>
            <w:tcBorders>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-0.56 (-0.80, -0.32)</w:t>
            </w:r>
          </w:p>
        </w:tc>
      </w:tr>
      <w:tr w:rsidR="00243AF6" w:rsidRPr="00146B5E" w:rsidTr="008F42F9">
        <w:trPr>
          <w:jc w:val="center"/>
        </w:trPr>
        <w:tc>
          <w:tcPr>
            <w:tcW w:w="1029" w:type="pct"/>
            <w:tcBorders>
              <w:top w:val="single" w:sz="4" w:space="0" w:color="auto"/>
              <w:bottom w:val="single" w:sz="4" w:space="0" w:color="auto"/>
            </w:tcBorders>
            <w:shd w:val="clear" w:color="auto" w:fill="auto"/>
            <w:vAlign w:val="center"/>
          </w:tcPr>
          <w:p w:rsidR="00243AF6" w:rsidRPr="001B1319" w:rsidRDefault="00243AF6" w:rsidP="00186772">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Fehlings 2018 </w:t>
            </w:r>
          </w:p>
        </w:tc>
        <w:tc>
          <w:tcPr>
            <w:tcW w:w="795" w:type="pct"/>
            <w:tcBorders>
              <w:top w:val="single" w:sz="4" w:space="0" w:color="auto"/>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39" w:type="pct"/>
            <w:gridSpan w:val="2"/>
            <w:tcBorders>
              <w:top w:val="single" w:sz="4" w:space="0" w:color="auto"/>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N=79</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-1.1</w:t>
            </w:r>
          </w:p>
        </w:tc>
        <w:tc>
          <w:tcPr>
            <w:tcW w:w="687" w:type="pct"/>
            <w:tcBorders>
              <w:top w:val="single" w:sz="4" w:space="0" w:color="auto"/>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N=77</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-1.9</w:t>
            </w:r>
          </w:p>
        </w:tc>
        <w:tc>
          <w:tcPr>
            <w:tcW w:w="1350" w:type="pct"/>
            <w:tcBorders>
              <w:top w:val="single" w:sz="4" w:space="0" w:color="auto"/>
              <w:bottom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-0.60 (-0.90, 0.30)</w:t>
            </w:r>
          </w:p>
        </w:tc>
      </w:tr>
      <w:tr w:rsidR="00243AF6" w:rsidRPr="00146B5E" w:rsidTr="008F42F9">
        <w:trPr>
          <w:jc w:val="center"/>
        </w:trPr>
        <w:tc>
          <w:tcPr>
            <w:tcW w:w="1029" w:type="pct"/>
            <w:tcBorders>
              <w:top w:val="single" w:sz="4" w:space="0" w:color="auto"/>
            </w:tcBorders>
            <w:shd w:val="clear" w:color="auto" w:fill="auto"/>
            <w:vAlign w:val="center"/>
          </w:tcPr>
          <w:p w:rsidR="00243AF6" w:rsidRPr="001B1319" w:rsidRDefault="00243AF6" w:rsidP="00186772">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3</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Fehlings 2018 </w:t>
            </w:r>
          </w:p>
        </w:tc>
        <w:tc>
          <w:tcPr>
            <w:tcW w:w="795" w:type="pct"/>
            <w:tcBorders>
              <w:top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39" w:type="pct"/>
            <w:gridSpan w:val="2"/>
            <w:tcBorders>
              <w:top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N=79</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-1.1</w:t>
            </w:r>
          </w:p>
        </w:tc>
        <w:tc>
          <w:tcPr>
            <w:tcW w:w="687" w:type="pct"/>
            <w:tcBorders>
              <w:top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N=78</w:t>
            </w:r>
          </w:p>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-1.9</w:t>
            </w:r>
          </w:p>
        </w:tc>
        <w:tc>
          <w:tcPr>
            <w:tcW w:w="1350" w:type="pct"/>
            <w:tcBorders>
              <w:top w:val="sing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-0.72 (-0.98, -0.46)</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6C23C2" w:rsidRPr="001B1319">
              <w:rPr>
                <w:rFonts w:ascii="Arial Narrow" w:hAnsi="Arial Narrow"/>
                <w:color w:val="auto"/>
                <w:sz w:val="20"/>
                <w:szCs w:val="20"/>
              </w:rPr>
              <w:t>Botox</w:t>
            </w:r>
            <w:r w:rsidR="006C23C2"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(I</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p=0.55)</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-0.67 (-0.87, -0.47)</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(95% CI)</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0.11 (-0.20, 0.42)</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0.27 (-0.13, 0.67)</w:t>
            </w:r>
          </w:p>
        </w:tc>
      </w:tr>
      <w:tr w:rsidR="00243AF6" w:rsidRPr="00146B5E" w:rsidTr="008F42F9">
        <w:trPr>
          <w:jc w:val="center"/>
        </w:trPr>
        <w:tc>
          <w:tcPr>
            <w:tcW w:w="3650" w:type="pct"/>
            <w:gridSpan w:val="5"/>
            <w:tcBorders>
              <w:bottom w:val="double" w:sz="4" w:space="0" w:color="auto"/>
            </w:tcBorders>
            <w:shd w:val="clear" w:color="auto" w:fill="auto"/>
            <w:vAlign w:val="center"/>
          </w:tcPr>
          <w:p w:rsidR="00243AF6" w:rsidRPr="001B1319" w:rsidRDefault="00243AF6" w:rsidP="00186772">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(95% CI)</w:t>
            </w:r>
          </w:p>
        </w:tc>
        <w:tc>
          <w:tcPr>
            <w:tcW w:w="1350" w:type="pct"/>
            <w:tcBorders>
              <w:bottom w:val="doub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-0.03 (-0.42, 0.36)</w:t>
            </w:r>
          </w:p>
        </w:tc>
      </w:tr>
      <w:tr w:rsidR="00243AF6" w:rsidRPr="00146B5E" w:rsidTr="008F42F9">
        <w:trPr>
          <w:jc w:val="center"/>
        </w:trPr>
        <w:tc>
          <w:tcPr>
            <w:tcW w:w="1029" w:type="pct"/>
            <w:tcBorders>
              <w:top w:val="double" w:sz="4" w:space="0" w:color="auto"/>
            </w:tcBorders>
            <w:shd w:val="clear" w:color="auto" w:fill="auto"/>
            <w:vAlign w:val="center"/>
          </w:tcPr>
          <w:p w:rsidR="00243AF6" w:rsidRPr="001B1319" w:rsidRDefault="00243AF6" w:rsidP="00186772">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Week 16</w:t>
            </w:r>
          </w:p>
        </w:tc>
        <w:tc>
          <w:tcPr>
            <w:tcW w:w="795" w:type="pct"/>
            <w:tcBorders>
              <w:top w:val="double" w:sz="4" w:space="0" w:color="auto"/>
            </w:tcBorders>
            <w:shd w:val="clear" w:color="auto" w:fill="auto"/>
            <w:vAlign w:val="center"/>
          </w:tcPr>
          <w:p w:rsidR="00243AF6" w:rsidRPr="001B1319" w:rsidRDefault="0091336A"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r w:rsidRPr="001B1319">
              <w:rPr>
                <w:rFonts w:ascii="Arial Narrow" w:hAnsi="Arial Narrow"/>
                <w:b/>
                <w:color w:val="auto"/>
                <w:sz w:val="20"/>
                <w:szCs w:val="20"/>
                <w:vertAlign w:val="superscript"/>
              </w:rPr>
              <w:t>®</w:t>
            </w:r>
          </w:p>
        </w:tc>
        <w:tc>
          <w:tcPr>
            <w:tcW w:w="1110" w:type="pct"/>
            <w:tcBorders>
              <w:top w:val="doub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b</w:t>
            </w:r>
          </w:p>
        </w:tc>
        <w:tc>
          <w:tcPr>
            <w:tcW w:w="716" w:type="pct"/>
            <w:gridSpan w:val="2"/>
            <w:tcBorders>
              <w:top w:val="double" w:sz="4" w:space="0" w:color="auto"/>
            </w:tcBorders>
            <w:shd w:val="clear" w:color="auto" w:fill="auto"/>
            <w:vAlign w:val="center"/>
          </w:tcPr>
          <w:p w:rsidR="00243AF6" w:rsidRPr="001B1319" w:rsidRDefault="006C23C2"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tc>
        <w:tc>
          <w:tcPr>
            <w:tcW w:w="1350" w:type="pct"/>
            <w:tcBorders>
              <w:top w:val="double" w:sz="4" w:space="0" w:color="auto"/>
            </w:tcBorders>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bCs/>
                <w:color w:val="auto"/>
                <w:sz w:val="20"/>
                <w:szCs w:val="20"/>
              </w:rPr>
              <w:t>Difference in change from baseline (95% CI)</w:t>
            </w:r>
          </w:p>
        </w:tc>
      </w:tr>
      <w:tr w:rsidR="00243AF6" w:rsidRPr="00146B5E" w:rsidTr="008F42F9">
        <w:trPr>
          <w:jc w:val="center"/>
        </w:trPr>
        <w:tc>
          <w:tcPr>
            <w:tcW w:w="1029" w:type="pct"/>
            <w:shd w:val="clear" w:color="auto" w:fill="auto"/>
            <w:vAlign w:val="center"/>
          </w:tcPr>
          <w:p w:rsidR="00243AF6" w:rsidRPr="001B1319" w:rsidRDefault="00243AF6" w:rsidP="00186772">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N=68</w:t>
            </w:r>
          </w:p>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-1.2</w:t>
            </w:r>
          </w:p>
        </w:tc>
        <w:tc>
          <w:tcPr>
            <w:tcW w:w="111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N=68</w:t>
            </w:r>
          </w:p>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-0.9</w:t>
            </w:r>
          </w:p>
        </w:tc>
        <w:tc>
          <w:tcPr>
            <w:tcW w:w="716" w:type="pct"/>
            <w:gridSpan w:val="2"/>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-0.40 (-0.75, -0.05)</w:t>
            </w:r>
          </w:p>
        </w:tc>
      </w:tr>
      <w:tr w:rsidR="00243AF6" w:rsidRPr="00146B5E" w:rsidTr="008F42F9">
        <w:trPr>
          <w:jc w:val="center"/>
        </w:trPr>
        <w:tc>
          <w:tcPr>
            <w:tcW w:w="1029" w:type="pct"/>
            <w:shd w:val="clear" w:color="auto" w:fill="auto"/>
            <w:vAlign w:val="center"/>
          </w:tcPr>
          <w:p w:rsidR="00243AF6" w:rsidRPr="001B1319" w:rsidRDefault="00243AF6" w:rsidP="00186772">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N=68</w:t>
            </w:r>
          </w:p>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-1.5</w:t>
            </w:r>
          </w:p>
        </w:tc>
        <w:tc>
          <w:tcPr>
            <w:tcW w:w="111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N=68</w:t>
            </w:r>
          </w:p>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-0.9</w:t>
            </w:r>
          </w:p>
        </w:tc>
        <w:tc>
          <w:tcPr>
            <w:tcW w:w="716" w:type="pct"/>
            <w:gridSpan w:val="2"/>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-0.60 (-0.97, -0.23)</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p=0.44)</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-0.49 (-0.75, -0.24)</w:t>
            </w:r>
          </w:p>
        </w:tc>
      </w:tr>
      <w:tr w:rsidR="00243AF6" w:rsidRPr="00146B5E" w:rsidTr="008F42F9">
        <w:trPr>
          <w:jc w:val="center"/>
        </w:trPr>
        <w:tc>
          <w:tcPr>
            <w:tcW w:w="1029" w:type="pct"/>
            <w:shd w:val="clear" w:color="auto" w:fill="auto"/>
            <w:vAlign w:val="center"/>
          </w:tcPr>
          <w:p w:rsidR="00243AF6" w:rsidRPr="001B1319" w:rsidRDefault="00243AF6" w:rsidP="00186772">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Fehlings 2018 </w:t>
            </w:r>
          </w:p>
        </w:tc>
        <w:tc>
          <w:tcPr>
            <w:tcW w:w="795"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11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NR</w:t>
            </w:r>
          </w:p>
        </w:tc>
        <w:tc>
          <w:tcPr>
            <w:tcW w:w="716" w:type="pct"/>
            <w:gridSpan w:val="2"/>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NR</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-0.40 (-0.73, -0.07)</w:t>
            </w:r>
          </w:p>
        </w:tc>
      </w:tr>
      <w:tr w:rsidR="00243AF6" w:rsidRPr="00146B5E" w:rsidTr="008F42F9">
        <w:trPr>
          <w:jc w:val="center"/>
        </w:trPr>
        <w:tc>
          <w:tcPr>
            <w:tcW w:w="1029" w:type="pct"/>
            <w:shd w:val="clear" w:color="auto" w:fill="auto"/>
            <w:vAlign w:val="center"/>
          </w:tcPr>
          <w:p w:rsidR="00243AF6" w:rsidRPr="001B1319" w:rsidRDefault="00243AF6" w:rsidP="00186772">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3</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Fehlings 2018 </w:t>
            </w:r>
          </w:p>
        </w:tc>
        <w:tc>
          <w:tcPr>
            <w:tcW w:w="795"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11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NR</w:t>
            </w:r>
          </w:p>
        </w:tc>
        <w:tc>
          <w:tcPr>
            <w:tcW w:w="716" w:type="pct"/>
            <w:gridSpan w:val="2"/>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NR</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-0.48 (-0.76, -0.20)</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
                <w:color w:val="auto"/>
                <w:sz w:val="20"/>
                <w:szCs w:val="20"/>
              </w:rPr>
            </w:pPr>
            <w:r w:rsidRPr="001B1319">
              <w:rPr>
                <w:rFonts w:ascii="Arial Narrow" w:hAnsi="Arial Narrow"/>
                <w:color w:val="auto"/>
                <w:sz w:val="20"/>
                <w:szCs w:val="20"/>
              </w:rPr>
              <w:t xml:space="preserve">pooled </w:t>
            </w:r>
            <w:r w:rsidR="006C23C2" w:rsidRPr="001B1319">
              <w:rPr>
                <w:rFonts w:ascii="Arial Narrow" w:hAnsi="Arial Narrow"/>
                <w:color w:val="auto"/>
                <w:sz w:val="20"/>
                <w:szCs w:val="20"/>
              </w:rPr>
              <w:t>Botox®</w:t>
            </w:r>
            <w:r w:rsidRPr="001B1319">
              <w:rPr>
                <w:rFonts w:ascii="Arial Narrow" w:hAnsi="Arial Narrow"/>
                <w:color w:val="auto"/>
                <w:sz w:val="20"/>
                <w:szCs w:val="20"/>
              </w:rPr>
              <w:t xml:space="preserve"> fixed effects (I</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p=0.72)</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-0.45 (-0.66, -0.23)</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 xml:space="preserve">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-0.05 (-0.38, 0.29)</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0.05 (-0.37, 0.46)</w:t>
            </w:r>
          </w:p>
        </w:tc>
      </w:tr>
      <w:tr w:rsidR="00243AF6" w:rsidRPr="00146B5E" w:rsidTr="008F42F9">
        <w:trPr>
          <w:jc w:val="center"/>
        </w:trPr>
        <w:tc>
          <w:tcPr>
            <w:tcW w:w="3650" w:type="pct"/>
            <w:gridSpan w:val="5"/>
            <w:shd w:val="clear" w:color="auto" w:fill="auto"/>
            <w:vAlign w:val="center"/>
          </w:tcPr>
          <w:p w:rsidR="00243AF6" w:rsidRPr="001B1319" w:rsidRDefault="00243AF6" w:rsidP="00186772">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43AF6" w:rsidRPr="001B1319" w:rsidRDefault="00243AF6" w:rsidP="00186772">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-0.15 (-0.58, 0.28)</w:t>
            </w:r>
          </w:p>
        </w:tc>
      </w:tr>
    </w:tbl>
    <w:p w:rsidR="00243AF6" w:rsidRPr="00146B5E" w:rsidRDefault="00243AF6" w:rsidP="00243AF6">
      <w:pPr>
        <w:pStyle w:val="TableFooter"/>
      </w:pPr>
      <w:r w:rsidRPr="00146B5E">
        <w:t>Source: Table 2-39, p90; Section 2.5.1.2.1, p103-104; Figure 2-19, p139-140 of the submission.</w:t>
      </w:r>
    </w:p>
    <w:p w:rsidR="00243AF6" w:rsidRPr="00146B5E" w:rsidRDefault="00243AF6" w:rsidP="00243AF6">
      <w:pPr>
        <w:pStyle w:val="TableFooter"/>
        <w:rPr>
          <w:rFonts w:eastAsia="Calibri"/>
          <w:szCs w:val="18"/>
        </w:rPr>
      </w:pPr>
      <w:r w:rsidRPr="00146B5E">
        <w:rPr>
          <w:rFonts w:eastAsia="Calibri"/>
          <w:szCs w:val="18"/>
        </w:rPr>
        <w:t xml:space="preserve">CI=confidence interval; LSM=least square mean; MAS=Modified Ashworth Scale; </w:t>
      </w:r>
      <w:r w:rsidR="00334631" w:rsidRPr="00146B5E">
        <w:rPr>
          <w:rFonts w:eastAsia="Calibri"/>
          <w:szCs w:val="18"/>
        </w:rPr>
        <w:t xml:space="preserve">NR=not reported; </w:t>
      </w:r>
      <w:r w:rsidRPr="00146B5E">
        <w:rPr>
          <w:rFonts w:eastAsia="Calibri"/>
          <w:szCs w:val="18"/>
        </w:rPr>
        <w:t xml:space="preserve">PTMG=primary target muscle group; </w:t>
      </w:r>
      <w:r w:rsidRPr="00146B5E">
        <w:rPr>
          <w:rFonts w:eastAsia="Calibri"/>
          <w:b/>
          <w:bCs/>
          <w:szCs w:val="18"/>
        </w:rPr>
        <w:t>bold</w:t>
      </w:r>
      <w:r w:rsidRPr="00146B5E">
        <w:rPr>
          <w:rFonts w:eastAsia="Calibri"/>
          <w:szCs w:val="18"/>
        </w:rPr>
        <w:t>=statistically significant</w:t>
      </w:r>
    </w:p>
    <w:p w:rsidR="00243AF6" w:rsidRPr="00146B5E" w:rsidRDefault="00243AF6" w:rsidP="00243AF6">
      <w:pPr>
        <w:pStyle w:val="TableFooter"/>
        <w:tabs>
          <w:tab w:val="left" w:pos="142"/>
        </w:tabs>
        <w:ind w:left="142" w:hanging="142"/>
        <w:rPr>
          <w:rFonts w:eastAsia="Calibri"/>
          <w:iCs/>
          <w:szCs w:val="18"/>
        </w:rPr>
      </w:pPr>
      <w:r w:rsidRPr="00146B5E">
        <w:rPr>
          <w:rFonts w:eastAsia="Calibri"/>
          <w:i/>
          <w:iCs/>
          <w:szCs w:val="18"/>
          <w:vertAlign w:val="superscript"/>
        </w:rPr>
        <w:t>a</w:t>
      </w:r>
      <w:r w:rsidRPr="00146B5E">
        <w:rPr>
          <w:rFonts w:eastAsia="Calibri"/>
          <w:i/>
          <w:iCs/>
          <w:szCs w:val="18"/>
        </w:rPr>
        <w:tab/>
      </w:r>
      <w:r w:rsidRPr="00146B5E">
        <w:rPr>
          <w:rFonts w:eastAsia="Calibri"/>
          <w:iCs/>
          <w:szCs w:val="18"/>
        </w:rPr>
        <w:t xml:space="preserve">Both the submission and the Study 153 CSR provided only least square mean change from baseline values, there were no standard deviations or standard </w:t>
      </w:r>
      <w:r w:rsidRPr="00146B5E">
        <w:rPr>
          <w:rFonts w:eastAsia="Calibri"/>
          <w:i/>
          <w:iCs/>
          <w:szCs w:val="18"/>
          <w:vertAlign w:val="superscript"/>
        </w:rPr>
        <w:t>errors</w:t>
      </w:r>
      <w:r w:rsidRPr="00146B5E">
        <w:rPr>
          <w:rFonts w:eastAsia="Calibri"/>
          <w:iCs/>
          <w:szCs w:val="18"/>
        </w:rPr>
        <w:t xml:space="preserve"> provided.</w:t>
      </w:r>
    </w:p>
    <w:p w:rsidR="001F48AF" w:rsidRPr="00146B5E" w:rsidRDefault="00243AF6" w:rsidP="00BB3722">
      <w:pPr>
        <w:pStyle w:val="TableFooter"/>
        <w:tabs>
          <w:tab w:val="left" w:pos="142"/>
        </w:tabs>
        <w:spacing w:after="160"/>
        <w:ind w:left="142" w:hanging="142"/>
      </w:pPr>
      <w:r w:rsidRPr="00146B5E">
        <w:rPr>
          <w:rFonts w:eastAsia="Calibri"/>
          <w:szCs w:val="18"/>
          <w:vertAlign w:val="superscript"/>
        </w:rPr>
        <w:t>b</w:t>
      </w:r>
      <w:r w:rsidRPr="00146B5E">
        <w:rPr>
          <w:rFonts w:eastAsia="Calibri"/>
          <w:szCs w:val="18"/>
        </w:rPr>
        <w:tab/>
        <w:t>In Study 153 the 2</w:t>
      </w:r>
      <w:r w:rsidR="00D82CE2">
        <w:rPr>
          <w:rFonts w:eastAsia="Calibri"/>
          <w:szCs w:val="18"/>
        </w:rPr>
        <w:t xml:space="preserve"> </w:t>
      </w:r>
      <w:r w:rsidRPr="00146B5E">
        <w:rPr>
          <w:rFonts w:eastAsia="Calibri"/>
          <w:szCs w:val="18"/>
        </w:rPr>
        <w:t xml:space="preserve">U/kg </w:t>
      </w:r>
      <w:r w:rsidR="0091336A" w:rsidRPr="00146B5E">
        <w:rPr>
          <w:rFonts w:eastAsia="Calibri"/>
          <w:szCs w:val="18"/>
        </w:rPr>
        <w:t>Dysport</w:t>
      </w:r>
      <w:r w:rsidR="0091336A" w:rsidRPr="00146B5E">
        <w:rPr>
          <w:rFonts w:eastAsia="Calibri"/>
          <w:szCs w:val="18"/>
          <w:vertAlign w:val="superscript"/>
        </w:rPr>
        <w:t>®</w:t>
      </w:r>
      <w:r w:rsidRPr="00146B5E">
        <w:rPr>
          <w:rFonts w:eastAsia="Calibri"/>
          <w:szCs w:val="18"/>
        </w:rPr>
        <w:t xml:space="preserve"> arm of the trial was used as the ‘no intervention’ arm.</w:t>
      </w:r>
    </w:p>
    <w:p w:rsidR="001F48AF" w:rsidRPr="00146B5E" w:rsidRDefault="00243AF6" w:rsidP="00150037">
      <w:pPr>
        <w:pStyle w:val="3-BodyText"/>
        <w:ind w:left="720"/>
      </w:pPr>
      <w:r w:rsidRPr="00146B5E">
        <w:t xml:space="preserve">The within-trial comparisons showed statistically significant advantages for both </w:t>
      </w:r>
      <w:r w:rsidR="0091336A" w:rsidRPr="00146B5E">
        <w:t>Dysport®</w:t>
      </w:r>
      <w:r w:rsidRPr="00146B5E">
        <w:t xml:space="preserve"> and </w:t>
      </w:r>
      <w:r w:rsidR="006C23C2" w:rsidRPr="00146B5E">
        <w:t>Botox®</w:t>
      </w:r>
      <w:r w:rsidRPr="00146B5E">
        <w:t xml:space="preserve"> compared to no intervention, and the pooled </w:t>
      </w:r>
      <w:r w:rsidR="0091336A" w:rsidRPr="00146B5E">
        <w:t>Dysport®</w:t>
      </w:r>
      <w:r w:rsidRPr="00146B5E">
        <w:t xml:space="preserve"> and </w:t>
      </w:r>
      <w:r w:rsidR="006C23C2" w:rsidRPr="00146B5E">
        <w:t>Botox®</w:t>
      </w:r>
      <w:r w:rsidRPr="00146B5E">
        <w:t xml:space="preserve"> comparisons also showed statistically significant advantages for the active agents.</w:t>
      </w:r>
      <w:r w:rsidR="00A87288" w:rsidRPr="00146B5E">
        <w:t xml:space="preserve"> </w:t>
      </w:r>
      <w:r w:rsidRPr="00146B5E">
        <w:t xml:space="preserve">The indirect comparisons showed no statistically significant difference between pooled </w:t>
      </w:r>
      <w:r w:rsidR="0091336A" w:rsidRPr="00146B5E">
        <w:t>Dysport®</w:t>
      </w:r>
      <w:r w:rsidRPr="00146B5E">
        <w:t xml:space="preserve"> and pooled </w:t>
      </w:r>
      <w:r w:rsidR="006C23C2" w:rsidRPr="00146B5E">
        <w:t>Botox®</w:t>
      </w:r>
      <w:r w:rsidR="00B470FF" w:rsidRPr="00146B5E">
        <w:t>, at both 6 and 16 weeks.</w:t>
      </w:r>
      <w:r w:rsidRPr="00146B5E">
        <w:t xml:space="preserve"> There were also no statistically significant differences between </w:t>
      </w:r>
      <w:r w:rsidR="0091336A" w:rsidRPr="00146B5E">
        <w:t>Dysport®</w:t>
      </w:r>
      <w:r w:rsidRPr="00146B5E">
        <w:t xml:space="preserve"> 8</w:t>
      </w:r>
      <w:r w:rsidR="00D82CE2">
        <w:t xml:space="preserve"> </w:t>
      </w:r>
      <w:r w:rsidRPr="00146B5E">
        <w:t xml:space="preserve">U/kg and </w:t>
      </w:r>
      <w:r w:rsidR="006C23C2" w:rsidRPr="00146B5E">
        <w:t>Botox®</w:t>
      </w:r>
      <w:r w:rsidRPr="00146B5E">
        <w:t xml:space="preserve">, nor were there differences between </w:t>
      </w:r>
      <w:r w:rsidR="0091336A" w:rsidRPr="00146B5E">
        <w:t>Dysport®</w:t>
      </w:r>
      <w:r w:rsidRPr="00146B5E">
        <w:t xml:space="preserve"> 16</w:t>
      </w:r>
      <w:r w:rsidR="00D82CE2">
        <w:t xml:space="preserve"> </w:t>
      </w:r>
      <w:r w:rsidRPr="00146B5E">
        <w:t xml:space="preserve">U/kg and </w:t>
      </w:r>
      <w:r w:rsidR="006C23C2" w:rsidRPr="00146B5E">
        <w:t>Botox®</w:t>
      </w:r>
      <w:r w:rsidRPr="00146B5E">
        <w:t>.</w:t>
      </w:r>
    </w:p>
    <w:p w:rsidR="001F48AF" w:rsidRPr="00146B5E" w:rsidRDefault="00243AF6" w:rsidP="00150037">
      <w:pPr>
        <w:pStyle w:val="3-BodyText"/>
        <w:ind w:left="720"/>
      </w:pPr>
      <w:r w:rsidRPr="00146B5E">
        <w:rPr>
          <w:iCs/>
        </w:rPr>
        <w:t xml:space="preserve">The results provided by the submission may not accurately reflect differences between </w:t>
      </w:r>
      <w:r w:rsidR="0091336A" w:rsidRPr="00146B5E">
        <w:rPr>
          <w:iCs/>
        </w:rPr>
        <w:t>Dysport®</w:t>
      </w:r>
      <w:r w:rsidRPr="00146B5E">
        <w:rPr>
          <w:iCs/>
        </w:rPr>
        <w:t xml:space="preserve"> and </w:t>
      </w:r>
      <w:r w:rsidR="006C23C2" w:rsidRPr="00146B5E">
        <w:rPr>
          <w:iCs/>
        </w:rPr>
        <w:t>Botox®</w:t>
      </w:r>
      <w:r w:rsidRPr="00146B5E">
        <w:rPr>
          <w:iCs/>
        </w:rPr>
        <w:t xml:space="preserve"> for the primary target muscle group MAS score.</w:t>
      </w:r>
      <w:r w:rsidR="00A87288" w:rsidRPr="00146B5E">
        <w:rPr>
          <w:iCs/>
        </w:rPr>
        <w:t xml:space="preserve"> </w:t>
      </w:r>
      <w:r w:rsidRPr="00146B5E">
        <w:rPr>
          <w:iCs/>
        </w:rPr>
        <w:t xml:space="preserve">While the submission identified the two dose groups in the Fehlings (2018) </w:t>
      </w:r>
      <w:r w:rsidR="006C23C2" w:rsidRPr="00146B5E">
        <w:rPr>
          <w:iCs/>
        </w:rPr>
        <w:t>Botox®</w:t>
      </w:r>
      <w:r w:rsidRPr="00146B5E">
        <w:rPr>
          <w:iCs/>
        </w:rPr>
        <w:t xml:space="preserve"> trial, there was only one set of results available in the poster and abstract, and these results were identified</w:t>
      </w:r>
      <w:r w:rsidR="00B470FF" w:rsidRPr="00146B5E">
        <w:rPr>
          <w:iCs/>
        </w:rPr>
        <w:t xml:space="preserve"> as being for both dose groups.</w:t>
      </w:r>
      <w:r w:rsidRPr="00146B5E">
        <w:rPr>
          <w:iCs/>
        </w:rPr>
        <w:t xml:space="preserve"> It was not clear what data the submission used to arrive at its pooled results for </w:t>
      </w:r>
      <w:r w:rsidR="006C23C2" w:rsidRPr="00146B5E">
        <w:rPr>
          <w:iCs/>
        </w:rPr>
        <w:t>Botox®</w:t>
      </w:r>
      <w:r w:rsidR="00B470FF" w:rsidRPr="00146B5E">
        <w:rPr>
          <w:iCs/>
        </w:rPr>
        <w:t>.</w:t>
      </w:r>
      <w:r w:rsidRPr="00146B5E">
        <w:rPr>
          <w:iCs/>
        </w:rPr>
        <w:t xml:space="preserve"> For results at 12 weeks the submission stated that MAS was significantly improved by </w:t>
      </w:r>
      <w:r w:rsidR="006C23C2" w:rsidRPr="00146B5E">
        <w:rPr>
          <w:iCs/>
        </w:rPr>
        <w:t>Botox®</w:t>
      </w:r>
      <w:r w:rsidRPr="00146B5E">
        <w:rPr>
          <w:iCs/>
        </w:rPr>
        <w:t xml:space="preserve"> at all assessments </w:t>
      </w:r>
      <w:r w:rsidRPr="00146B5E">
        <w:rPr>
          <w:iCs/>
        </w:rPr>
        <w:lastRenderedPageBreak/>
        <w:t xml:space="preserve">throughout the 12 week study, and provided </w:t>
      </w:r>
      <w:r w:rsidR="007360F5" w:rsidRPr="00146B5E">
        <w:rPr>
          <w:iCs/>
        </w:rPr>
        <w:t>graphs</w:t>
      </w:r>
      <w:r w:rsidRPr="00146B5E">
        <w:rPr>
          <w:iCs/>
        </w:rPr>
        <w:t xml:space="preserve"> from the trial’s poster, but no values for change from baseline</w:t>
      </w:r>
      <w:r w:rsidR="00C02B0E" w:rsidRPr="00146B5E">
        <w:rPr>
          <w:iCs/>
        </w:rPr>
        <w:t xml:space="preserve"> to be used in the indirect comparisons</w:t>
      </w:r>
      <w:r w:rsidRPr="00146B5E">
        <w:rPr>
          <w:iCs/>
        </w:rPr>
        <w:t xml:space="preserve"> were provided.</w:t>
      </w:r>
      <w:r w:rsidR="00A87288" w:rsidRPr="00146B5E">
        <w:rPr>
          <w:iCs/>
        </w:rPr>
        <w:t xml:space="preserve"> </w:t>
      </w:r>
      <w:r w:rsidRPr="00146B5E">
        <w:rPr>
          <w:iCs/>
        </w:rPr>
        <w:t xml:space="preserve">In addition, the primary outcome in Fehlings (2018) was assessed at 4 and 6 weeks and it has been assumed that </w:t>
      </w:r>
      <w:r w:rsidR="00150037" w:rsidRPr="00146B5E">
        <w:rPr>
          <w:iCs/>
        </w:rPr>
        <w:t xml:space="preserve">this </w:t>
      </w:r>
      <w:r w:rsidRPr="00146B5E">
        <w:rPr>
          <w:iCs/>
        </w:rPr>
        <w:t xml:space="preserve">data </w:t>
      </w:r>
      <w:r w:rsidR="00150037" w:rsidRPr="00146B5E">
        <w:rPr>
          <w:iCs/>
        </w:rPr>
        <w:t xml:space="preserve">were </w:t>
      </w:r>
      <w:r w:rsidRPr="00146B5E">
        <w:rPr>
          <w:iCs/>
        </w:rPr>
        <w:t>used by the submission for the 6 week comparison.</w:t>
      </w:r>
      <w:r w:rsidR="00A87288" w:rsidRPr="00146B5E">
        <w:rPr>
          <w:iCs/>
        </w:rPr>
        <w:t xml:space="preserve"> </w:t>
      </w:r>
      <w:r w:rsidRPr="00146B5E">
        <w:rPr>
          <w:iCs/>
        </w:rPr>
        <w:t>The 16 week comparison appeared to use 12 week data from Fehlings (2018).</w:t>
      </w:r>
      <w:r w:rsidR="00A87288" w:rsidRPr="00146B5E">
        <w:rPr>
          <w:iCs/>
        </w:rPr>
        <w:t xml:space="preserve"> </w:t>
      </w:r>
      <w:r w:rsidRPr="00146B5E">
        <w:rPr>
          <w:iCs/>
        </w:rPr>
        <w:t>Finally, the no intervention group in Study 153 was the 2</w:t>
      </w:r>
      <w:r w:rsidR="00D82CE2">
        <w:rPr>
          <w:iCs/>
        </w:rPr>
        <w:t xml:space="preserve"> </w:t>
      </w:r>
      <w:r w:rsidRPr="00146B5E">
        <w:rPr>
          <w:iCs/>
        </w:rPr>
        <w:t xml:space="preserve">U/kg </w:t>
      </w:r>
      <w:r w:rsidR="0091336A" w:rsidRPr="00146B5E">
        <w:rPr>
          <w:iCs/>
        </w:rPr>
        <w:t>Dysport®</w:t>
      </w:r>
      <w:r w:rsidRPr="00146B5E">
        <w:rPr>
          <w:iCs/>
        </w:rPr>
        <w:t xml:space="preserve"> group from that trial, which was likely to have some impact on the results.</w:t>
      </w:r>
    </w:p>
    <w:p w:rsidR="00243AF6" w:rsidRPr="00146B5E" w:rsidRDefault="00243AF6" w:rsidP="00150037">
      <w:pPr>
        <w:pStyle w:val="3-BodyText"/>
        <w:ind w:left="720"/>
      </w:pPr>
      <w:r w:rsidRPr="00146B5E">
        <w:t>Below are the forest plots provided by the submission for the indirect comparisons.</w:t>
      </w:r>
    </w:p>
    <w:p w:rsidR="00243AF6" w:rsidRPr="00146B5E" w:rsidRDefault="00243AF6" w:rsidP="008F42F9">
      <w:pPr>
        <w:pStyle w:val="TableFigureHeading"/>
      </w:pPr>
      <w:r w:rsidRPr="00146B5E">
        <w:t xml:space="preserve">Figure </w:t>
      </w:r>
      <w:r w:rsidR="00423269" w:rsidRPr="00146B5E">
        <w:t>1</w:t>
      </w:r>
      <w:r w:rsidRPr="00146B5E">
        <w:t>:</w:t>
      </w:r>
      <w:r w:rsidR="00A87288" w:rsidRPr="00146B5E">
        <w:t xml:space="preserve"> </w:t>
      </w:r>
      <w:r w:rsidRPr="00146B5E">
        <w:t xml:space="preserve">Indirect comparison of pooled </w:t>
      </w:r>
      <w:r w:rsidR="0091336A" w:rsidRPr="00146B5E">
        <w:t>Dysport</w:t>
      </w:r>
      <w:r w:rsidR="0091336A" w:rsidRPr="00146B5E">
        <w:rPr>
          <w:vertAlign w:val="superscript"/>
        </w:rPr>
        <w:t>®</w:t>
      </w:r>
      <w:r w:rsidRPr="00146B5E">
        <w:t xml:space="preserve"> and pooled </w:t>
      </w:r>
      <w:r w:rsidR="006C23C2" w:rsidRPr="00146B5E">
        <w:t>Botox</w:t>
      </w:r>
      <w:r w:rsidR="006C23C2" w:rsidRPr="00146B5E">
        <w:rPr>
          <w:vertAlign w:val="superscript"/>
        </w:rPr>
        <w:t>®</w:t>
      </w:r>
      <w:r w:rsidRPr="00146B5E">
        <w:t xml:space="preserve"> at 6 weeks for MAS PTMG</w:t>
      </w:r>
    </w:p>
    <w:p w:rsidR="00243AF6" w:rsidRPr="00146B5E" w:rsidRDefault="00F7509B" w:rsidP="00201971">
      <w:pPr>
        <w:pStyle w:val="3-BodyText"/>
        <w:keepNext/>
        <w:numPr>
          <w:ilvl w:val="0"/>
          <w:numId w:val="0"/>
        </w:numPr>
      </w:pPr>
      <w:r w:rsidRPr="00146B5E">
        <w:rPr>
          <w:noProof/>
        </w:rPr>
        <w:drawing>
          <wp:inline distT="0" distB="0" distL="0" distR="0" wp14:anchorId="7F852FDA" wp14:editId="3389ADC4">
            <wp:extent cx="5358848" cy="2619375"/>
            <wp:effectExtent l="0" t="0" r="0" b="0"/>
            <wp:docPr id="1" name="Picture 1"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75070" cy="2627304"/>
                    </a:xfrm>
                    <a:prstGeom prst="rect">
                      <a:avLst/>
                    </a:prstGeom>
                  </pic:spPr>
                </pic:pic>
              </a:graphicData>
            </a:graphic>
          </wp:inline>
        </w:drawing>
      </w:r>
    </w:p>
    <w:p w:rsidR="00F7509B" w:rsidRPr="00146B5E" w:rsidRDefault="00F7509B" w:rsidP="008F42F9">
      <w:pPr>
        <w:pStyle w:val="TableFooter"/>
      </w:pPr>
      <w:r w:rsidRPr="00146B5E">
        <w:t>Source:</w:t>
      </w:r>
      <w:r w:rsidR="00A87288" w:rsidRPr="00146B5E">
        <w:t xml:space="preserve"> </w:t>
      </w:r>
      <w:r w:rsidRPr="00146B5E">
        <w:t>Figure 2-19 (A), p139 of the submission.</w:t>
      </w:r>
    </w:p>
    <w:p w:rsidR="00F7509B" w:rsidRPr="00146B5E" w:rsidRDefault="00F7509B" w:rsidP="008F42F9">
      <w:pPr>
        <w:pStyle w:val="TableFooter"/>
        <w:spacing w:after="160"/>
      </w:pPr>
      <w:r w:rsidRPr="00146B5E">
        <w:rPr>
          <w:rFonts w:eastAsia="Calibri"/>
        </w:rPr>
        <w:t>MAS=Modified Ashworth Scale; PTMG=primary target muscle group</w:t>
      </w:r>
    </w:p>
    <w:p w:rsidR="00F7509B" w:rsidRPr="00146B5E" w:rsidRDefault="00F7509B" w:rsidP="008F42F9">
      <w:pPr>
        <w:pStyle w:val="TableFigureHeading"/>
        <w:keepLines/>
      </w:pPr>
      <w:r w:rsidRPr="00146B5E">
        <w:lastRenderedPageBreak/>
        <w:t xml:space="preserve">Figure </w:t>
      </w:r>
      <w:r w:rsidR="00423269" w:rsidRPr="00146B5E">
        <w:t>2</w:t>
      </w:r>
      <w:r w:rsidRPr="00146B5E">
        <w:t>:</w:t>
      </w:r>
      <w:r w:rsidR="00A87288" w:rsidRPr="00146B5E">
        <w:t xml:space="preserve"> </w:t>
      </w:r>
      <w:r w:rsidRPr="00146B5E">
        <w:t xml:space="preserve">Indirect comparison of pooled </w:t>
      </w:r>
      <w:r w:rsidR="0091336A" w:rsidRPr="00146B5E">
        <w:t>Dysport®</w:t>
      </w:r>
      <w:r w:rsidRPr="00146B5E">
        <w:t xml:space="preserve"> and pooled </w:t>
      </w:r>
      <w:r w:rsidR="006C23C2" w:rsidRPr="00146B5E">
        <w:t>Botox®</w:t>
      </w:r>
      <w:r w:rsidRPr="00146B5E">
        <w:t xml:space="preserve"> at 16 weeks for MAS PTMG </w:t>
      </w:r>
    </w:p>
    <w:p w:rsidR="00243AF6" w:rsidRPr="00146B5E" w:rsidRDefault="00F7509B" w:rsidP="008F42F9">
      <w:pPr>
        <w:pStyle w:val="3-BodyText"/>
        <w:keepNext/>
        <w:keepLines/>
        <w:numPr>
          <w:ilvl w:val="0"/>
          <w:numId w:val="0"/>
        </w:numPr>
      </w:pPr>
      <w:r w:rsidRPr="00146B5E">
        <w:rPr>
          <w:noProof/>
        </w:rPr>
        <w:drawing>
          <wp:inline distT="0" distB="0" distL="0" distR="0" wp14:anchorId="6E4D8298" wp14:editId="2E97FFD9">
            <wp:extent cx="5381625" cy="2552335"/>
            <wp:effectExtent l="0" t="0" r="0" b="635"/>
            <wp:docPr id="4" name="Picture 4"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98320" cy="2560253"/>
                    </a:xfrm>
                    <a:prstGeom prst="rect">
                      <a:avLst/>
                    </a:prstGeom>
                  </pic:spPr>
                </pic:pic>
              </a:graphicData>
            </a:graphic>
          </wp:inline>
        </w:drawing>
      </w:r>
    </w:p>
    <w:p w:rsidR="00F7509B" w:rsidRPr="00146B5E" w:rsidRDefault="00F7509B" w:rsidP="008F42F9">
      <w:pPr>
        <w:pStyle w:val="TableFigureFooter"/>
        <w:keepNext/>
        <w:keepLines/>
      </w:pPr>
      <w:r w:rsidRPr="00146B5E">
        <w:t>Source:</w:t>
      </w:r>
      <w:r w:rsidR="00A87288" w:rsidRPr="00146B5E">
        <w:t xml:space="preserve"> </w:t>
      </w:r>
      <w:r w:rsidRPr="00146B5E">
        <w:t>Figure 2-19 (B), p140 of the submission.</w:t>
      </w:r>
    </w:p>
    <w:p w:rsidR="00243AF6" w:rsidRPr="00146B5E" w:rsidRDefault="00F7509B" w:rsidP="008F42F9">
      <w:pPr>
        <w:pStyle w:val="TableFigureFooter"/>
        <w:keepNext/>
        <w:keepLines/>
      </w:pPr>
      <w:r w:rsidRPr="00146B5E">
        <w:rPr>
          <w:rFonts w:eastAsia="Calibri"/>
        </w:rPr>
        <w:t>MAS=Modified Ashworth Scale; PTMG=primary target muscle group</w:t>
      </w:r>
    </w:p>
    <w:p w:rsidR="00243AF6" w:rsidRPr="00146B5E" w:rsidRDefault="00F7509B" w:rsidP="001B1319">
      <w:pPr>
        <w:pStyle w:val="3-BodyText"/>
        <w:ind w:left="720"/>
      </w:pPr>
      <w:r w:rsidRPr="00146B5E">
        <w:t xml:space="preserve">The table below provides the indirect comparisons for the MAS/AS elbow outcome, </w:t>
      </w:r>
      <w:r w:rsidRPr="00146B5E">
        <w:rPr>
          <w:iCs/>
        </w:rPr>
        <w:t>with individual trial results added during the evaluation</w:t>
      </w:r>
      <w:r w:rsidRPr="00146B5E">
        <w:t>.</w:t>
      </w:r>
      <w:r w:rsidR="00A87288" w:rsidRPr="00146B5E">
        <w:t xml:space="preserve"> </w:t>
      </w:r>
      <w:r w:rsidRPr="00146B5E">
        <w:t xml:space="preserve">These comparisons used </w:t>
      </w:r>
      <w:r w:rsidR="006C23C2" w:rsidRPr="00146B5E">
        <w:t>Botox®</w:t>
      </w:r>
      <w:r w:rsidRPr="00146B5E">
        <w:t xml:space="preserve"> data from Fehlings (2000), Rameckers 2009/Speth 2005 and Lowe (2006).</w:t>
      </w:r>
    </w:p>
    <w:p w:rsidR="00F7509B" w:rsidRPr="00146B5E" w:rsidRDefault="00F7509B" w:rsidP="008F42F9">
      <w:pPr>
        <w:pStyle w:val="TableFigureHeading"/>
      </w:pPr>
      <w:r w:rsidRPr="00146B5E">
        <w:lastRenderedPageBreak/>
        <w:t xml:space="preserve">Table </w:t>
      </w:r>
      <w:r w:rsidR="00844F8E" w:rsidRPr="00146B5E">
        <w:t>7</w:t>
      </w:r>
      <w:r w:rsidRPr="00146B5E">
        <w:t xml:space="preserve">: Results of the indirect comparison of </w:t>
      </w:r>
      <w:r w:rsidR="0091336A" w:rsidRPr="00146B5E">
        <w:t>Dysport</w:t>
      </w:r>
      <w:r w:rsidR="0091336A" w:rsidRPr="00146B5E">
        <w:rPr>
          <w:vertAlign w:val="superscript"/>
        </w:rPr>
        <w:t>®</w:t>
      </w:r>
      <w:r w:rsidRPr="00146B5E">
        <w:t xml:space="preserve"> and </w:t>
      </w:r>
      <w:r w:rsidR="006C23C2" w:rsidRPr="00146B5E">
        <w:t>Botox</w:t>
      </w:r>
      <w:r w:rsidR="006C23C2" w:rsidRPr="00146B5E">
        <w:rPr>
          <w:vertAlign w:val="superscript"/>
        </w:rPr>
        <w:t>®</w:t>
      </w:r>
      <w:r w:rsidRPr="00146B5E">
        <w:t xml:space="preserve"> for MAS/AS elbow at week 6 and week 16</w:t>
      </w:r>
    </w:p>
    <w:tbl>
      <w:tblPr>
        <w:tblStyle w:val="TableGrid"/>
        <w:tblW w:w="5000" w:type="pct"/>
        <w:jc w:val="center"/>
        <w:tblLook w:val="04A0" w:firstRow="1" w:lastRow="0" w:firstColumn="1" w:lastColumn="0" w:noHBand="0" w:noVBand="1"/>
        <w:tblCaption w:val="Table 7"/>
      </w:tblPr>
      <w:tblGrid>
        <w:gridCol w:w="2000"/>
        <w:gridCol w:w="1432"/>
        <w:gridCol w:w="1861"/>
        <w:gridCol w:w="52"/>
        <w:gridCol w:w="1239"/>
        <w:gridCol w:w="2433"/>
      </w:tblGrid>
      <w:tr w:rsidR="00F7509B" w:rsidRPr="00146B5E" w:rsidTr="00AC0F2C">
        <w:trPr>
          <w:tblHeade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p>
        </w:tc>
        <w:tc>
          <w:tcPr>
            <w:tcW w:w="2541" w:type="pct"/>
            <w:gridSpan w:val="4"/>
            <w:shd w:val="clear" w:color="auto" w:fill="auto"/>
            <w:vAlign w:val="center"/>
          </w:tcPr>
          <w:p w:rsidR="00F7509B" w:rsidRPr="001B1319" w:rsidRDefault="00F7509B"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Change from baseline in MAS/AS elbow (LSM</w:t>
            </w:r>
            <w:r w:rsidRPr="001B1319">
              <w:rPr>
                <w:rFonts w:ascii="Arial Narrow" w:hAnsi="Arial Narrow"/>
                <w:b/>
                <w:bCs/>
                <w:color w:val="auto"/>
                <w:sz w:val="20"/>
                <w:szCs w:val="20"/>
                <w:vertAlign w:val="superscript"/>
              </w:rPr>
              <w:t>a</w:t>
            </w:r>
            <w:r w:rsidRPr="001B1319">
              <w:rPr>
                <w:rFonts w:ascii="Arial Narrow" w:hAnsi="Arial Narrow"/>
                <w:b/>
                <w:bCs/>
                <w:color w:val="auto"/>
                <w:sz w:val="20"/>
                <w:szCs w:val="20"/>
              </w:rPr>
              <w:t>)</w:t>
            </w:r>
          </w:p>
        </w:tc>
        <w:tc>
          <w:tcPr>
            <w:tcW w:w="1350" w:type="pct"/>
            <w:vMerge w:val="restart"/>
            <w:shd w:val="clear" w:color="auto" w:fill="auto"/>
            <w:vAlign w:val="center"/>
          </w:tcPr>
          <w:p w:rsidR="00F7509B" w:rsidRPr="001B1319" w:rsidRDefault="00F7509B"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Difference in change from baseline (95% CI)</w:t>
            </w:r>
          </w:p>
        </w:tc>
      </w:tr>
      <w:tr w:rsidR="00F7509B" w:rsidRPr="00146B5E" w:rsidTr="00AC0F2C">
        <w:trPr>
          <w:tblHeade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Week 6</w:t>
            </w:r>
          </w:p>
        </w:tc>
        <w:tc>
          <w:tcPr>
            <w:tcW w:w="794" w:type="pct"/>
            <w:shd w:val="clear" w:color="auto" w:fill="auto"/>
            <w:vAlign w:val="center"/>
          </w:tcPr>
          <w:p w:rsidR="00F7509B"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r w:rsidRPr="001B1319">
              <w:rPr>
                <w:rFonts w:ascii="Arial Narrow" w:hAnsi="Arial Narrow"/>
                <w:b/>
                <w:color w:val="auto"/>
                <w:sz w:val="20"/>
                <w:szCs w:val="20"/>
                <w:vertAlign w:val="superscript"/>
              </w:rPr>
              <w:t>®</w:t>
            </w:r>
          </w:p>
        </w:tc>
        <w:tc>
          <w:tcPr>
            <w:tcW w:w="1061"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b</w:t>
            </w:r>
          </w:p>
        </w:tc>
        <w:tc>
          <w:tcPr>
            <w:tcW w:w="687" w:type="pct"/>
            <w:shd w:val="clear" w:color="auto" w:fill="auto"/>
            <w:vAlign w:val="center"/>
          </w:tcPr>
          <w:p w:rsidR="00F7509B"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tc>
        <w:tc>
          <w:tcPr>
            <w:tcW w:w="1350" w:type="pct"/>
            <w:vMerge/>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p>
        </w:tc>
      </w:tr>
      <w:tr w:rsidR="00F7509B" w:rsidRPr="00146B5E" w:rsidTr="008F42F9">
        <w:trP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 xml:space="preserve">N=63 </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-1.7</w:t>
            </w:r>
          </w:p>
        </w:tc>
        <w:tc>
          <w:tcPr>
            <w:tcW w:w="1061"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N=63</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-1.1</w:t>
            </w:r>
          </w:p>
        </w:tc>
        <w:tc>
          <w:tcPr>
            <w:tcW w:w="687"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-0.70 (-1.08, -0.32)</w:t>
            </w:r>
          </w:p>
        </w:tc>
      </w:tr>
      <w:tr w:rsidR="00F7509B" w:rsidRPr="00146B5E" w:rsidTr="008F42F9">
        <w:trPr>
          <w:jc w:val="center"/>
        </w:trPr>
        <w:tc>
          <w:tcPr>
            <w:tcW w:w="1109" w:type="pct"/>
            <w:tcBorders>
              <w:bottom w:val="single" w:sz="4" w:space="0" w:color="auto"/>
            </w:tcBorders>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tcBorders>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N=62</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-1.9</w:t>
            </w:r>
          </w:p>
        </w:tc>
        <w:tc>
          <w:tcPr>
            <w:tcW w:w="1061" w:type="pct"/>
            <w:gridSpan w:val="2"/>
            <w:tcBorders>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N=63</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-1.1</w:t>
            </w:r>
          </w:p>
        </w:tc>
        <w:tc>
          <w:tcPr>
            <w:tcW w:w="687" w:type="pct"/>
            <w:tcBorders>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350" w:type="pct"/>
            <w:tcBorders>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-0.90 (-1.30, -0.50)</w:t>
            </w:r>
          </w:p>
        </w:tc>
      </w:tr>
      <w:tr w:rsidR="00F7509B" w:rsidRPr="00146B5E" w:rsidTr="008F42F9">
        <w:trPr>
          <w:jc w:val="center"/>
        </w:trPr>
        <w:tc>
          <w:tcPr>
            <w:tcW w:w="3650" w:type="pct"/>
            <w:gridSpan w:val="5"/>
            <w:tcBorders>
              <w:bottom w:val="single" w:sz="4" w:space="0" w:color="auto"/>
            </w:tcBorders>
            <w:shd w:val="clear" w:color="auto" w:fill="auto"/>
            <w:vAlign w:val="center"/>
          </w:tcPr>
          <w:p w:rsidR="00F7509B" w:rsidRPr="001B1319" w:rsidRDefault="00F7509B"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p=0.48)</w:t>
            </w:r>
          </w:p>
        </w:tc>
        <w:tc>
          <w:tcPr>
            <w:tcW w:w="1350" w:type="pct"/>
            <w:tcBorders>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-0.80 (-1.07, -0.52)</w:t>
            </w:r>
          </w:p>
        </w:tc>
      </w:tr>
      <w:tr w:rsidR="00F7509B" w:rsidRPr="00146B5E" w:rsidTr="008F42F9">
        <w:trPr>
          <w:jc w:val="center"/>
        </w:trPr>
        <w:tc>
          <w:tcPr>
            <w:tcW w:w="1109" w:type="pct"/>
            <w:tcBorders>
              <w:top w:val="single" w:sz="4" w:space="0" w:color="auto"/>
              <w:bottom w:val="single" w:sz="4" w:space="0" w:color="auto"/>
            </w:tcBorders>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 xml:space="preserve">Fehlings 2000 </w:t>
            </w:r>
          </w:p>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(4 weeks)</w:t>
            </w:r>
          </w:p>
        </w:tc>
        <w:tc>
          <w:tcPr>
            <w:tcW w:w="794" w:type="pct"/>
            <w:tcBorders>
              <w:top w:val="single" w:sz="4" w:space="0" w:color="auto"/>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061" w:type="pct"/>
            <w:gridSpan w:val="2"/>
            <w:tcBorders>
              <w:top w:val="single" w:sz="4" w:space="0" w:color="auto"/>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N=15</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-0.20 (±0.62)</w:t>
            </w:r>
          </w:p>
        </w:tc>
        <w:tc>
          <w:tcPr>
            <w:tcW w:w="687" w:type="pct"/>
            <w:tcBorders>
              <w:top w:val="single" w:sz="4" w:space="0" w:color="auto"/>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N=14</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-0.29 (±0.47)</w:t>
            </w:r>
          </w:p>
        </w:tc>
        <w:tc>
          <w:tcPr>
            <w:tcW w:w="1350" w:type="pct"/>
            <w:tcBorders>
              <w:top w:val="single" w:sz="4" w:space="0" w:color="auto"/>
              <w:bottom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-0.09 (-0.49, 0.31)</w:t>
            </w:r>
          </w:p>
        </w:tc>
      </w:tr>
      <w:tr w:rsidR="00F7509B" w:rsidRPr="00146B5E" w:rsidTr="008F42F9">
        <w:trPr>
          <w:jc w:val="center"/>
        </w:trPr>
        <w:tc>
          <w:tcPr>
            <w:tcW w:w="1109"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 xml:space="preserve">Rameckers 2009/ Speth 2005 (6 weeks) </w:t>
            </w:r>
          </w:p>
        </w:tc>
        <w:tc>
          <w:tcPr>
            <w:tcW w:w="794"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061" w:type="pct"/>
            <w:gridSpan w:val="2"/>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N=10</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-0.4</w:t>
            </w:r>
          </w:p>
        </w:tc>
        <w:tc>
          <w:tcPr>
            <w:tcW w:w="687"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N=10</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-0.2</w:t>
            </w:r>
          </w:p>
        </w:tc>
        <w:tc>
          <w:tcPr>
            <w:tcW w:w="1350"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0.24 (-0.54, 1.02)</w:t>
            </w:r>
          </w:p>
        </w:tc>
      </w:tr>
      <w:tr w:rsidR="00F7509B" w:rsidRPr="00146B5E" w:rsidTr="008F42F9">
        <w:trPr>
          <w:jc w:val="center"/>
        </w:trPr>
        <w:tc>
          <w:tcPr>
            <w:tcW w:w="1109"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Lowe 2006</w:t>
            </w:r>
          </w:p>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(4 weeks)</w:t>
            </w:r>
          </w:p>
        </w:tc>
        <w:tc>
          <w:tcPr>
            <w:tcW w:w="794"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061" w:type="pct"/>
            <w:gridSpan w:val="2"/>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NR</w:t>
            </w:r>
          </w:p>
        </w:tc>
        <w:tc>
          <w:tcPr>
            <w:tcW w:w="687"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NR</w:t>
            </w:r>
          </w:p>
        </w:tc>
        <w:tc>
          <w:tcPr>
            <w:tcW w:w="1350" w:type="pct"/>
            <w:tcBorders>
              <w:top w:val="sing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-0.80 (-0.86, -0.74)</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6C23C2" w:rsidRPr="001B1319">
              <w:rPr>
                <w:rFonts w:ascii="Arial Narrow" w:hAnsi="Arial Narrow"/>
                <w:color w:val="auto"/>
                <w:sz w:val="20"/>
                <w:szCs w:val="20"/>
              </w:rPr>
              <w:t>Botox</w:t>
            </w:r>
            <w:r w:rsidR="006C23C2"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(I</w:t>
            </w:r>
            <w:r w:rsidRPr="001B1319">
              <w:rPr>
                <w:rFonts w:ascii="Arial Narrow" w:hAnsi="Arial Narrow"/>
                <w:color w:val="auto"/>
                <w:sz w:val="20"/>
                <w:szCs w:val="20"/>
                <w:vertAlign w:val="superscript"/>
              </w:rPr>
              <w:t>2</w:t>
            </w:r>
            <w:r w:rsidRPr="001B1319">
              <w:rPr>
                <w:rFonts w:ascii="Arial Narrow" w:hAnsi="Arial Narrow"/>
                <w:color w:val="auto"/>
                <w:sz w:val="20"/>
                <w:szCs w:val="20"/>
              </w:rPr>
              <w:t>=89.2%; p=0.0001)</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-0.29 (-0.94, 0.38)</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-0.51 (-1.22, 0.20)</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-0.41 (-1.17, 0.35)</w:t>
            </w:r>
          </w:p>
        </w:tc>
      </w:tr>
      <w:tr w:rsidR="00F7509B" w:rsidRPr="00146B5E" w:rsidTr="008F42F9">
        <w:trPr>
          <w:jc w:val="center"/>
        </w:trPr>
        <w:tc>
          <w:tcPr>
            <w:tcW w:w="3650" w:type="pct"/>
            <w:gridSpan w:val="5"/>
            <w:tcBorders>
              <w:bottom w:val="double" w:sz="4" w:space="0" w:color="auto"/>
            </w:tcBorders>
            <w:shd w:val="clear" w:color="auto" w:fill="auto"/>
            <w:vAlign w:val="center"/>
          </w:tcPr>
          <w:p w:rsidR="00F7509B" w:rsidRPr="001B1319" w:rsidRDefault="00F7509B"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tcBorders>
              <w:bottom w:val="doub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-0.61 (-1.38, 0.16)</w:t>
            </w:r>
          </w:p>
        </w:tc>
      </w:tr>
      <w:tr w:rsidR="00F7509B" w:rsidRPr="00146B5E" w:rsidTr="008F42F9">
        <w:trPr>
          <w:jc w:val="center"/>
        </w:trPr>
        <w:tc>
          <w:tcPr>
            <w:tcW w:w="1109" w:type="pct"/>
            <w:tcBorders>
              <w:top w:val="double" w:sz="4" w:space="0" w:color="auto"/>
            </w:tcBorders>
            <w:shd w:val="clear" w:color="auto" w:fill="auto"/>
            <w:vAlign w:val="center"/>
          </w:tcPr>
          <w:p w:rsidR="00F7509B" w:rsidRPr="001B1319" w:rsidRDefault="00F7509B" w:rsidP="007C2FB8">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Week 16</w:t>
            </w:r>
          </w:p>
        </w:tc>
        <w:tc>
          <w:tcPr>
            <w:tcW w:w="794" w:type="pct"/>
            <w:tcBorders>
              <w:top w:val="double" w:sz="4" w:space="0" w:color="auto"/>
            </w:tcBorders>
            <w:shd w:val="clear" w:color="auto" w:fill="auto"/>
            <w:vAlign w:val="center"/>
          </w:tcPr>
          <w:p w:rsidR="00F7509B"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r w:rsidRPr="001B1319">
              <w:rPr>
                <w:rFonts w:ascii="Arial Narrow" w:hAnsi="Arial Narrow"/>
                <w:b/>
                <w:color w:val="auto"/>
                <w:sz w:val="20"/>
                <w:szCs w:val="20"/>
                <w:vertAlign w:val="superscript"/>
              </w:rPr>
              <w:t>®</w:t>
            </w:r>
          </w:p>
        </w:tc>
        <w:tc>
          <w:tcPr>
            <w:tcW w:w="1032" w:type="pct"/>
            <w:tcBorders>
              <w:top w:val="doub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b</w:t>
            </w:r>
          </w:p>
        </w:tc>
        <w:tc>
          <w:tcPr>
            <w:tcW w:w="716" w:type="pct"/>
            <w:gridSpan w:val="2"/>
            <w:tcBorders>
              <w:top w:val="double" w:sz="4" w:space="0" w:color="auto"/>
            </w:tcBorders>
            <w:shd w:val="clear" w:color="auto" w:fill="auto"/>
            <w:vAlign w:val="center"/>
          </w:tcPr>
          <w:p w:rsidR="00F7509B"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tc>
        <w:tc>
          <w:tcPr>
            <w:tcW w:w="1350" w:type="pct"/>
            <w:tcBorders>
              <w:top w:val="double" w:sz="4" w:space="0" w:color="auto"/>
            </w:tcBorders>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bCs/>
                <w:color w:val="auto"/>
                <w:sz w:val="20"/>
                <w:szCs w:val="20"/>
              </w:rPr>
              <w:t>Difference in change from baseline (95% CI)</w:t>
            </w:r>
          </w:p>
        </w:tc>
      </w:tr>
      <w:tr w:rsidR="00F7509B" w:rsidRPr="00146B5E" w:rsidTr="008F42F9">
        <w:trP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 xml:space="preserve">N=62 </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-0.9</w:t>
            </w:r>
          </w:p>
        </w:tc>
        <w:tc>
          <w:tcPr>
            <w:tcW w:w="1032"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N=62</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-0.6</w:t>
            </w:r>
          </w:p>
        </w:tc>
        <w:tc>
          <w:tcPr>
            <w:tcW w:w="716"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-0.60 (-0.99, -0.21)</w:t>
            </w:r>
          </w:p>
        </w:tc>
      </w:tr>
      <w:tr w:rsidR="00F7509B" w:rsidRPr="00146B5E" w:rsidTr="008F42F9">
        <w:trP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N=60</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-1.1</w:t>
            </w:r>
          </w:p>
        </w:tc>
        <w:tc>
          <w:tcPr>
            <w:tcW w:w="1032"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N=62</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-0.6</w:t>
            </w:r>
          </w:p>
        </w:tc>
        <w:tc>
          <w:tcPr>
            <w:tcW w:w="716"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-0.70 (-1.13, -0.27)</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vertAlign w:val="superscript"/>
              </w:rPr>
              <w:t xml:space="preserve"> </w:t>
            </w:r>
            <w:r w:rsidRPr="001B1319">
              <w:rPr>
                <w:rFonts w:ascii="Arial Narrow" w:hAnsi="Arial Narrow"/>
                <w:color w:val="auto"/>
                <w:sz w:val="20"/>
                <w:szCs w:val="20"/>
              </w:rPr>
              <w:t>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p=0.74)</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-0.64 (-0.93, -0.36)</w:t>
            </w:r>
          </w:p>
        </w:tc>
      </w:tr>
      <w:tr w:rsidR="00F7509B" w:rsidRPr="00146B5E" w:rsidTr="008F42F9">
        <w:trP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 xml:space="preserve">Fehlings 2000 </w:t>
            </w:r>
          </w:p>
          <w:p w:rsidR="00F7509B" w:rsidRPr="001B1319" w:rsidRDefault="00F7509B"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(12 weeks)</w:t>
            </w:r>
          </w:p>
        </w:tc>
        <w:tc>
          <w:tcPr>
            <w:tcW w:w="794"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032"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N=15</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-0.37 (±0.44)</w:t>
            </w:r>
          </w:p>
        </w:tc>
        <w:tc>
          <w:tcPr>
            <w:tcW w:w="716"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N=14</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-0.23 (±0.48)</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0.14 (-0.20, 0.48)</w:t>
            </w:r>
          </w:p>
        </w:tc>
      </w:tr>
      <w:tr w:rsidR="00F7509B" w:rsidRPr="00146B5E" w:rsidTr="008F42F9">
        <w:trP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 xml:space="preserve">Rameckers 2009/ Speth 2005 (12 weeks) </w:t>
            </w:r>
          </w:p>
        </w:tc>
        <w:tc>
          <w:tcPr>
            <w:tcW w:w="794"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032"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N=10</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-0.2</w:t>
            </w:r>
          </w:p>
        </w:tc>
        <w:tc>
          <w:tcPr>
            <w:tcW w:w="716"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N=10</w:t>
            </w:r>
          </w:p>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-0.4</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-0.24 (-1.00, 0.52)</w:t>
            </w:r>
          </w:p>
        </w:tc>
      </w:tr>
      <w:tr w:rsidR="00F7509B" w:rsidRPr="00146B5E" w:rsidTr="008F42F9">
        <w:trPr>
          <w:jc w:val="center"/>
        </w:trPr>
        <w:tc>
          <w:tcPr>
            <w:tcW w:w="1109" w:type="pct"/>
            <w:shd w:val="clear" w:color="auto" w:fill="auto"/>
            <w:vAlign w:val="center"/>
          </w:tcPr>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 xml:space="preserve">Lowe 2006 </w:t>
            </w:r>
          </w:p>
          <w:p w:rsidR="00F7509B" w:rsidRPr="001B1319" w:rsidRDefault="00F7509B"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(12 weeks)</w:t>
            </w:r>
          </w:p>
        </w:tc>
        <w:tc>
          <w:tcPr>
            <w:tcW w:w="794"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032" w:type="pct"/>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NR</w:t>
            </w:r>
          </w:p>
        </w:tc>
        <w:tc>
          <w:tcPr>
            <w:tcW w:w="716" w:type="pct"/>
            <w:gridSpan w:val="2"/>
            <w:shd w:val="clear" w:color="auto" w:fill="auto"/>
            <w:vAlign w:val="center"/>
          </w:tcPr>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F7509B" w:rsidRPr="001B1319" w:rsidRDefault="00F7509B"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NR</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-0.60 (-0.66, -0.54)</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
                <w:color w:val="auto"/>
                <w:sz w:val="20"/>
                <w:szCs w:val="20"/>
              </w:rPr>
            </w:pPr>
            <w:r w:rsidRPr="001B1319">
              <w:rPr>
                <w:rFonts w:ascii="Arial Narrow" w:hAnsi="Arial Narrow"/>
                <w:color w:val="auto"/>
                <w:sz w:val="20"/>
                <w:szCs w:val="20"/>
              </w:rPr>
              <w:t xml:space="preserve">pooled </w:t>
            </w:r>
            <w:r w:rsidR="006C23C2" w:rsidRPr="001B1319">
              <w:rPr>
                <w:rFonts w:ascii="Arial Narrow" w:hAnsi="Arial Narrow"/>
                <w:color w:val="auto"/>
                <w:sz w:val="20"/>
                <w:szCs w:val="20"/>
              </w:rPr>
              <w:t>Botox</w:t>
            </w:r>
            <w:r w:rsidR="006C23C2"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(I</w:t>
            </w:r>
            <w:r w:rsidRPr="001B1319">
              <w:rPr>
                <w:rFonts w:ascii="Arial Narrow" w:hAnsi="Arial Narrow"/>
                <w:color w:val="auto"/>
                <w:sz w:val="20"/>
                <w:szCs w:val="20"/>
                <w:vertAlign w:val="superscript"/>
              </w:rPr>
              <w:t>2</w:t>
            </w:r>
            <w:r w:rsidRPr="001B1319">
              <w:rPr>
                <w:rFonts w:ascii="Arial Narrow" w:hAnsi="Arial Narrow"/>
                <w:color w:val="auto"/>
                <w:sz w:val="20"/>
                <w:szCs w:val="20"/>
              </w:rPr>
              <w:t>=89.4%; p=0.0001)</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-0.25 (-0.83, 0.33)</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-0.39 (-1.04, 0.25)</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-0.35 (-1.05, 0.35)</w:t>
            </w:r>
          </w:p>
        </w:tc>
      </w:tr>
      <w:tr w:rsidR="00F7509B" w:rsidRPr="00146B5E" w:rsidTr="008F42F9">
        <w:trPr>
          <w:jc w:val="center"/>
        </w:trPr>
        <w:tc>
          <w:tcPr>
            <w:tcW w:w="3650" w:type="pct"/>
            <w:gridSpan w:val="5"/>
            <w:shd w:val="clear" w:color="auto" w:fill="auto"/>
            <w:vAlign w:val="center"/>
          </w:tcPr>
          <w:p w:rsidR="00F7509B" w:rsidRPr="001B1319" w:rsidRDefault="00F7509B"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F7509B" w:rsidRPr="001B1319" w:rsidRDefault="00F7509B"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-0.45 (-1.17, 0.27)</w:t>
            </w:r>
          </w:p>
        </w:tc>
      </w:tr>
    </w:tbl>
    <w:p w:rsidR="00F7509B" w:rsidRPr="00146B5E" w:rsidRDefault="00F7509B" w:rsidP="008F42F9">
      <w:pPr>
        <w:pStyle w:val="TableFigureFooter"/>
      </w:pPr>
      <w:r w:rsidRPr="00146B5E">
        <w:t>Source: Table 2-40, p92; Table 2-53, p106; Table 2-56, p108; Figure 2-20, p141 of the submission; Table 35, p85 of Study 153 CSR; Table 3, p335 of Fehlings (2000).</w:t>
      </w:r>
    </w:p>
    <w:p w:rsidR="00F7509B" w:rsidRPr="00146B5E" w:rsidRDefault="00F7509B" w:rsidP="008F42F9">
      <w:pPr>
        <w:pStyle w:val="TableFigureFooter"/>
        <w:rPr>
          <w:rFonts w:eastAsia="Calibri"/>
          <w:szCs w:val="18"/>
        </w:rPr>
      </w:pPr>
      <w:r w:rsidRPr="00146B5E">
        <w:rPr>
          <w:rFonts w:eastAsia="Calibri"/>
          <w:szCs w:val="18"/>
        </w:rPr>
        <w:t xml:space="preserve">AS=Ashworth Scale; CI=confidence interval; LSM=least square mean; MAS=Modified Ashworth Scale; NR=not reported; </w:t>
      </w:r>
      <w:r w:rsidRPr="00146B5E">
        <w:rPr>
          <w:rFonts w:eastAsia="Calibri"/>
          <w:b/>
          <w:bCs/>
          <w:szCs w:val="18"/>
        </w:rPr>
        <w:t>bold</w:t>
      </w:r>
      <w:r w:rsidRPr="00146B5E">
        <w:rPr>
          <w:rFonts w:eastAsia="Calibri"/>
          <w:szCs w:val="18"/>
        </w:rPr>
        <w:t>=statistically significant</w:t>
      </w:r>
    </w:p>
    <w:p w:rsidR="00F7509B" w:rsidRPr="00146B5E" w:rsidRDefault="00F7509B" w:rsidP="008F42F9">
      <w:pPr>
        <w:pStyle w:val="TableFigureFooter"/>
        <w:ind w:left="142" w:hanging="142"/>
        <w:rPr>
          <w:rFonts w:eastAsia="Calibri"/>
          <w:iCs/>
          <w:szCs w:val="18"/>
        </w:rPr>
      </w:pPr>
      <w:r w:rsidRPr="00146B5E">
        <w:rPr>
          <w:rFonts w:eastAsia="Calibri"/>
          <w:i/>
          <w:iCs/>
          <w:szCs w:val="18"/>
          <w:vertAlign w:val="superscript"/>
        </w:rPr>
        <w:t>a</w:t>
      </w:r>
      <w:r w:rsidRPr="00146B5E">
        <w:rPr>
          <w:rFonts w:eastAsia="Calibri"/>
          <w:i/>
          <w:iCs/>
          <w:szCs w:val="18"/>
        </w:rPr>
        <w:tab/>
      </w:r>
      <w:r w:rsidRPr="00146B5E">
        <w:rPr>
          <w:rFonts w:eastAsia="Calibri"/>
          <w:iCs/>
          <w:szCs w:val="18"/>
        </w:rPr>
        <w:t>Both the submission and the Study 153 CSR provided only least square mean change from baseline values, there were no standard deviations or standard errors provided.</w:t>
      </w:r>
      <w:r w:rsidR="00A87288" w:rsidRPr="00146B5E">
        <w:rPr>
          <w:rFonts w:eastAsia="Calibri"/>
          <w:iCs/>
          <w:szCs w:val="18"/>
        </w:rPr>
        <w:t xml:space="preserve"> </w:t>
      </w:r>
      <w:r w:rsidRPr="00146B5E">
        <w:rPr>
          <w:rFonts w:eastAsia="Calibri"/>
          <w:iCs/>
          <w:szCs w:val="18"/>
        </w:rPr>
        <w:t xml:space="preserve">For the </w:t>
      </w:r>
      <w:r w:rsidR="006C23C2" w:rsidRPr="00146B5E">
        <w:rPr>
          <w:rFonts w:eastAsia="Calibri"/>
          <w:iCs/>
          <w:szCs w:val="18"/>
        </w:rPr>
        <w:t>Botox®</w:t>
      </w:r>
      <w:r w:rsidRPr="00146B5E">
        <w:rPr>
          <w:rFonts w:eastAsia="Calibri"/>
          <w:iCs/>
          <w:szCs w:val="18"/>
        </w:rPr>
        <w:t xml:space="preserve"> trials, standard deviations were available for Fehlings (2000).</w:t>
      </w:r>
    </w:p>
    <w:p w:rsidR="00F7509B" w:rsidRPr="00146B5E" w:rsidRDefault="00F7509B" w:rsidP="008F42F9">
      <w:pPr>
        <w:pStyle w:val="TableFigureFooter"/>
        <w:ind w:left="142" w:hanging="142"/>
      </w:pPr>
      <w:r w:rsidRPr="00146B5E">
        <w:rPr>
          <w:rFonts w:eastAsia="Calibri"/>
          <w:szCs w:val="18"/>
          <w:vertAlign w:val="superscript"/>
        </w:rPr>
        <w:t>b</w:t>
      </w:r>
      <w:r w:rsidRPr="00146B5E">
        <w:rPr>
          <w:rFonts w:eastAsia="Calibri"/>
          <w:szCs w:val="18"/>
        </w:rPr>
        <w:tab/>
        <w:t>In Study 153 the 2</w:t>
      </w:r>
      <w:r w:rsidR="00D82CE2">
        <w:rPr>
          <w:rFonts w:eastAsia="Calibri"/>
          <w:szCs w:val="18"/>
        </w:rPr>
        <w:t xml:space="preserve"> </w:t>
      </w:r>
      <w:r w:rsidRPr="00146B5E">
        <w:rPr>
          <w:rFonts w:eastAsia="Calibri"/>
          <w:szCs w:val="18"/>
        </w:rPr>
        <w:t xml:space="preserve">U/kg </w:t>
      </w:r>
      <w:r w:rsidR="0091336A" w:rsidRPr="00146B5E">
        <w:rPr>
          <w:rFonts w:eastAsia="Calibri"/>
          <w:szCs w:val="18"/>
        </w:rPr>
        <w:t>Dysport</w:t>
      </w:r>
      <w:r w:rsidR="0091336A" w:rsidRPr="00146B5E">
        <w:rPr>
          <w:rFonts w:eastAsia="Calibri"/>
          <w:szCs w:val="18"/>
          <w:vertAlign w:val="superscript"/>
        </w:rPr>
        <w:t>®</w:t>
      </w:r>
      <w:r w:rsidRPr="00146B5E">
        <w:rPr>
          <w:rFonts w:eastAsia="Calibri"/>
          <w:szCs w:val="18"/>
          <w:vertAlign w:val="superscript"/>
        </w:rPr>
        <w:t xml:space="preserve"> </w:t>
      </w:r>
      <w:r w:rsidRPr="00146B5E">
        <w:rPr>
          <w:rFonts w:eastAsia="Calibri"/>
          <w:szCs w:val="18"/>
        </w:rPr>
        <w:t>arm of the trial was used as the ‘no intervention’ arm.</w:t>
      </w:r>
      <w:r w:rsidR="00A87288" w:rsidRPr="00146B5E">
        <w:rPr>
          <w:rFonts w:eastAsia="Calibri"/>
          <w:szCs w:val="18"/>
        </w:rPr>
        <w:t xml:space="preserve"> </w:t>
      </w:r>
      <w:r w:rsidRPr="00146B5E">
        <w:rPr>
          <w:rFonts w:eastAsia="Calibri"/>
          <w:szCs w:val="18"/>
        </w:rPr>
        <w:t>Table 2-40 (p92) of the submission only reported baseline N values, the number assessed was sourced from the Study 153 CSR.</w:t>
      </w:r>
      <w:r w:rsidRPr="00146B5E">
        <w:t xml:space="preserve"> </w:t>
      </w:r>
    </w:p>
    <w:p w:rsidR="00F7509B" w:rsidRPr="00146B5E" w:rsidRDefault="00F7509B" w:rsidP="00150037">
      <w:pPr>
        <w:pStyle w:val="3-BodyText"/>
        <w:ind w:left="720"/>
      </w:pPr>
      <w:r w:rsidRPr="00146B5E">
        <w:t>The within-</w:t>
      </w:r>
      <w:r w:rsidR="00EC6FEE" w:rsidRPr="00146B5E">
        <w:t xml:space="preserve">trial </w:t>
      </w:r>
      <w:r w:rsidRPr="00146B5E">
        <w:t xml:space="preserve">results for the MAS/AS elbow outcome showed statistically significant advantages for </w:t>
      </w:r>
      <w:r w:rsidR="0091336A" w:rsidRPr="00146B5E">
        <w:t>Dysport®</w:t>
      </w:r>
      <w:r w:rsidRPr="00146B5E">
        <w:t xml:space="preserve"> compared to no intervention (2</w:t>
      </w:r>
      <w:r w:rsidR="00D82CE2">
        <w:t xml:space="preserve"> </w:t>
      </w:r>
      <w:r w:rsidRPr="00146B5E">
        <w:t>U/kg) at both week 6 and week 16</w:t>
      </w:r>
      <w:r w:rsidR="00EC6FEE" w:rsidRPr="00146B5E">
        <w:t>.</w:t>
      </w:r>
      <w:r w:rsidR="00A87288" w:rsidRPr="00146B5E">
        <w:t xml:space="preserve"> </w:t>
      </w:r>
      <w:r w:rsidR="00EC6FEE" w:rsidRPr="00146B5E">
        <w:t>F</w:t>
      </w:r>
      <w:r w:rsidRPr="00146B5E">
        <w:t xml:space="preserve">or the </w:t>
      </w:r>
      <w:r w:rsidR="006C23C2" w:rsidRPr="00146B5E">
        <w:t>Botox®</w:t>
      </w:r>
      <w:r w:rsidRPr="00146B5E">
        <w:t xml:space="preserve"> trials the Lowe (2006) trial showed significant advantages for </w:t>
      </w:r>
      <w:r w:rsidR="006C23C2" w:rsidRPr="00146B5E">
        <w:t>Botox®</w:t>
      </w:r>
      <w:r w:rsidRPr="00146B5E">
        <w:t xml:space="preserve"> compared to the no intervention group, while no differences were observed for the other </w:t>
      </w:r>
      <w:r w:rsidR="006C23C2" w:rsidRPr="00146B5E">
        <w:t>Botox®</w:t>
      </w:r>
      <w:r w:rsidRPr="00146B5E">
        <w:t xml:space="preserve"> trials.</w:t>
      </w:r>
      <w:r w:rsidR="00A87288" w:rsidRPr="00146B5E">
        <w:t xml:space="preserve"> </w:t>
      </w:r>
      <w:r w:rsidRPr="00146B5E">
        <w:rPr>
          <w:iCs/>
        </w:rPr>
        <w:t>These results were not presented or discussed by the submission, but were sourced from the forest plots.</w:t>
      </w:r>
      <w:r w:rsidR="00A87288" w:rsidRPr="00146B5E">
        <w:t xml:space="preserve"> </w:t>
      </w:r>
      <w:r w:rsidRPr="00146B5E">
        <w:t xml:space="preserve">The indirect comparisons showed no statistically significant differences for </w:t>
      </w:r>
      <w:r w:rsidR="0091336A" w:rsidRPr="00146B5E">
        <w:t>Dysport®</w:t>
      </w:r>
      <w:r w:rsidRPr="00146B5E">
        <w:t xml:space="preserve"> compared to </w:t>
      </w:r>
      <w:r w:rsidR="006C23C2" w:rsidRPr="00146B5E">
        <w:t>Botox®</w:t>
      </w:r>
      <w:r w:rsidRPr="00146B5E">
        <w:t xml:space="preserve"> at week 6 and </w:t>
      </w:r>
      <w:r w:rsidRPr="00146B5E">
        <w:lastRenderedPageBreak/>
        <w:t xml:space="preserve">week 16, for the pooled comparisons and the </w:t>
      </w:r>
      <w:r w:rsidR="0091336A" w:rsidRPr="00146B5E">
        <w:t>Dysport®</w:t>
      </w:r>
      <w:r w:rsidRPr="00146B5E">
        <w:t xml:space="preserve"> 8</w:t>
      </w:r>
      <w:r w:rsidR="00D82CE2">
        <w:t xml:space="preserve"> </w:t>
      </w:r>
      <w:r w:rsidRPr="00146B5E">
        <w:t>U/kg and 16</w:t>
      </w:r>
      <w:r w:rsidR="00D82CE2">
        <w:t xml:space="preserve"> </w:t>
      </w:r>
      <w:r w:rsidRPr="00146B5E">
        <w:t>U/kg comparisons.</w:t>
      </w:r>
    </w:p>
    <w:p w:rsidR="00243AF6" w:rsidRPr="00146B5E" w:rsidRDefault="00940794" w:rsidP="00150037">
      <w:pPr>
        <w:pStyle w:val="3-BodyText"/>
        <w:spacing w:after="0"/>
        <w:ind w:left="720"/>
      </w:pPr>
      <w:r w:rsidRPr="00146B5E">
        <w:rPr>
          <w:iCs/>
        </w:rPr>
        <w:t>There are a number of concerns with the analyses provided by the submission</w:t>
      </w:r>
      <w:r w:rsidR="00150037" w:rsidRPr="00146B5E">
        <w:rPr>
          <w:iCs/>
        </w:rPr>
        <w:t>, including</w:t>
      </w:r>
      <w:r w:rsidRPr="00146B5E">
        <w:rPr>
          <w:iCs/>
        </w:rPr>
        <w:t>:</w:t>
      </w:r>
    </w:p>
    <w:p w:rsidR="00234A80" w:rsidRPr="00146B5E" w:rsidRDefault="00234A80" w:rsidP="00DD27F1">
      <w:pPr>
        <w:pStyle w:val="ListParagraph"/>
        <w:numPr>
          <w:ilvl w:val="0"/>
          <w:numId w:val="24"/>
        </w:numPr>
        <w:spacing w:after="0"/>
        <w:ind w:left="993" w:hanging="284"/>
        <w:rPr>
          <w:iCs/>
        </w:rPr>
      </w:pPr>
      <w:r w:rsidRPr="00146B5E">
        <w:rPr>
          <w:iCs/>
        </w:rPr>
        <w:t xml:space="preserve">the submission did not provide any </w:t>
      </w:r>
      <w:r w:rsidR="00EC6FEE" w:rsidRPr="00146B5E">
        <w:rPr>
          <w:iCs/>
        </w:rPr>
        <w:t>patient numbers</w:t>
      </w:r>
      <w:r w:rsidRPr="00146B5E">
        <w:rPr>
          <w:iCs/>
        </w:rPr>
        <w:t xml:space="preserve"> or within trial results</w:t>
      </w:r>
      <w:r w:rsidR="004559E3" w:rsidRPr="00146B5E">
        <w:rPr>
          <w:iCs/>
        </w:rPr>
        <w:t>; t</w:t>
      </w:r>
      <w:r w:rsidRPr="00146B5E">
        <w:rPr>
          <w:iCs/>
        </w:rPr>
        <w:t>he</w:t>
      </w:r>
      <w:r w:rsidR="004559E3" w:rsidRPr="00146B5E">
        <w:rPr>
          <w:iCs/>
        </w:rPr>
        <w:t xml:space="preserve"> evaluators derived these from the submission and </w:t>
      </w:r>
      <w:r w:rsidR="00C37E1B" w:rsidRPr="00146B5E">
        <w:rPr>
          <w:iCs/>
        </w:rPr>
        <w:t>the publication</w:t>
      </w:r>
      <w:r w:rsidR="00EC6FEE" w:rsidRPr="00146B5E">
        <w:rPr>
          <w:iCs/>
        </w:rPr>
        <w:t>s</w:t>
      </w:r>
      <w:r w:rsidR="004559E3" w:rsidRPr="00146B5E">
        <w:rPr>
          <w:iCs/>
        </w:rPr>
        <w:t>. The</w:t>
      </w:r>
      <w:r w:rsidRPr="00146B5E">
        <w:rPr>
          <w:iCs/>
        </w:rPr>
        <w:t xml:space="preserve"> number of patients included in the analyses w</w:t>
      </w:r>
      <w:r w:rsidR="004559E3" w:rsidRPr="00146B5E">
        <w:rPr>
          <w:iCs/>
        </w:rPr>
        <w:t>ere</w:t>
      </w:r>
      <w:r w:rsidRPr="00146B5E">
        <w:rPr>
          <w:iCs/>
        </w:rPr>
        <w:t xml:space="preserve"> relatively small, particularly </w:t>
      </w:r>
      <w:r w:rsidR="00150037" w:rsidRPr="00146B5E">
        <w:rPr>
          <w:iCs/>
        </w:rPr>
        <w:t>in</w:t>
      </w:r>
      <w:r w:rsidRPr="00146B5E">
        <w:rPr>
          <w:iCs/>
        </w:rPr>
        <w:t xml:space="preserve"> the </w:t>
      </w:r>
      <w:r w:rsidR="006C23C2" w:rsidRPr="00146B5E">
        <w:rPr>
          <w:iCs/>
        </w:rPr>
        <w:t>Botox®</w:t>
      </w:r>
      <w:r w:rsidRPr="00146B5E">
        <w:rPr>
          <w:iCs/>
        </w:rPr>
        <w:t xml:space="preserve"> trials (total patient numbers for each trial ranging between 20 and 42)</w:t>
      </w:r>
      <w:r w:rsidR="00DD63B6" w:rsidRPr="00146B5E">
        <w:rPr>
          <w:iCs/>
        </w:rPr>
        <w:t xml:space="preserve">. The PSCR noted that the </w:t>
      </w:r>
      <w:r w:rsidR="004559E3" w:rsidRPr="00146B5E">
        <w:rPr>
          <w:iCs/>
        </w:rPr>
        <w:t>Botox®</w:t>
      </w:r>
      <w:r w:rsidR="00DD63B6" w:rsidRPr="00146B5E">
        <w:rPr>
          <w:iCs/>
        </w:rPr>
        <w:t xml:space="preserve"> trials </w:t>
      </w:r>
      <w:r w:rsidR="004559E3" w:rsidRPr="00146B5E">
        <w:rPr>
          <w:iCs/>
        </w:rPr>
        <w:t xml:space="preserve">provided were the same as those provided in </w:t>
      </w:r>
      <w:r w:rsidR="00DD63B6" w:rsidRPr="00146B5E">
        <w:rPr>
          <w:iCs/>
        </w:rPr>
        <w:t xml:space="preserve">the </w:t>
      </w:r>
      <w:r w:rsidR="00B470FF" w:rsidRPr="00146B5E">
        <w:rPr>
          <w:iCs/>
        </w:rPr>
        <w:t>original</w:t>
      </w:r>
      <w:r w:rsidR="00DD63B6" w:rsidRPr="00146B5E">
        <w:rPr>
          <w:iCs/>
        </w:rPr>
        <w:t xml:space="preserve"> Botox</w:t>
      </w:r>
      <w:r w:rsidR="004559E3" w:rsidRPr="00146B5E">
        <w:rPr>
          <w:iCs/>
        </w:rPr>
        <w:t>®</w:t>
      </w:r>
      <w:r w:rsidR="00DD63B6" w:rsidRPr="00146B5E">
        <w:rPr>
          <w:iCs/>
        </w:rPr>
        <w:t xml:space="preserve"> submission, with additional trials </w:t>
      </w:r>
      <w:r w:rsidR="00B470FF" w:rsidRPr="00146B5E">
        <w:rPr>
          <w:iCs/>
        </w:rPr>
        <w:t>sourced</w:t>
      </w:r>
      <w:r w:rsidR="00DD63B6" w:rsidRPr="00146B5E">
        <w:rPr>
          <w:iCs/>
        </w:rPr>
        <w:t xml:space="preserve"> as supplementary evidence</w:t>
      </w:r>
      <w:r w:rsidR="002917D2" w:rsidRPr="00146B5E">
        <w:rPr>
          <w:iCs/>
        </w:rPr>
        <w:t>;</w:t>
      </w:r>
    </w:p>
    <w:p w:rsidR="00234A80" w:rsidRPr="00146B5E" w:rsidRDefault="00150037" w:rsidP="00DD27F1">
      <w:pPr>
        <w:pStyle w:val="ListParagraph"/>
        <w:numPr>
          <w:ilvl w:val="0"/>
          <w:numId w:val="24"/>
        </w:numPr>
        <w:spacing w:after="0"/>
        <w:ind w:left="993" w:hanging="284"/>
        <w:rPr>
          <w:iCs/>
        </w:rPr>
      </w:pPr>
      <w:r w:rsidRPr="00146B5E">
        <w:rPr>
          <w:iCs/>
        </w:rPr>
        <w:t>th</w:t>
      </w:r>
      <w:r w:rsidR="00234A80" w:rsidRPr="00146B5E">
        <w:rPr>
          <w:iCs/>
        </w:rPr>
        <w:t>e week 6 analysis used 4 week data from Fehlings (2000) and Lowe (2006).</w:t>
      </w:r>
      <w:r w:rsidR="004B4B06" w:rsidRPr="00146B5E">
        <w:rPr>
          <w:iCs/>
        </w:rPr>
        <w:t xml:space="preserve"> The PSCR noted that the Product Information for Botox® states that clinical signs usually manifest within two to three days, clinical improvement generally occurs within the first two weeks and repeat doses should not be given more frequently than every three months. The PSCR also noted that for adult patients with focal spasticity, peak effect following treatment with either Dysport® or Botox® is observed at 4 weeks, which marginally biased against Dysport®;</w:t>
      </w:r>
    </w:p>
    <w:p w:rsidR="00234A80" w:rsidRPr="00146B5E" w:rsidRDefault="002917D2" w:rsidP="00DD27F1">
      <w:pPr>
        <w:pStyle w:val="ListParagraph"/>
        <w:numPr>
          <w:ilvl w:val="0"/>
          <w:numId w:val="24"/>
        </w:numPr>
        <w:spacing w:after="0"/>
        <w:ind w:left="993" w:hanging="284"/>
        <w:rPr>
          <w:iCs/>
        </w:rPr>
      </w:pPr>
      <w:r w:rsidRPr="00146B5E">
        <w:rPr>
          <w:iCs/>
        </w:rPr>
        <w:t>t</w:t>
      </w:r>
      <w:r w:rsidR="00234A80" w:rsidRPr="00146B5E">
        <w:rPr>
          <w:iCs/>
        </w:rPr>
        <w:t xml:space="preserve">here was considerable heterogeneity in the pooled </w:t>
      </w:r>
      <w:r w:rsidR="006C23C2" w:rsidRPr="00146B5E">
        <w:rPr>
          <w:iCs/>
        </w:rPr>
        <w:t>Botox®</w:t>
      </w:r>
      <w:r w:rsidR="00234A80" w:rsidRPr="00146B5E">
        <w:rPr>
          <w:iCs/>
        </w:rPr>
        <w:t xml:space="preserve"> analysis </w:t>
      </w:r>
      <w:r w:rsidR="00B470FF" w:rsidRPr="00146B5E">
        <w:rPr>
          <w:iCs/>
        </w:rPr>
        <w:t>at week</w:t>
      </w:r>
      <w:r w:rsidR="00234A80" w:rsidRPr="00146B5E">
        <w:rPr>
          <w:iCs/>
        </w:rPr>
        <w:t xml:space="preserve"> 6 and week 16, with I</w:t>
      </w:r>
      <w:r w:rsidR="00234A80" w:rsidRPr="00146B5E">
        <w:rPr>
          <w:iCs/>
          <w:vertAlign w:val="superscript"/>
        </w:rPr>
        <w:t>2</w:t>
      </w:r>
      <w:r w:rsidR="00234A80" w:rsidRPr="00146B5E">
        <w:rPr>
          <w:iCs/>
        </w:rPr>
        <w:t>=89.2% and I</w:t>
      </w:r>
      <w:r w:rsidR="00234A80" w:rsidRPr="00146B5E">
        <w:rPr>
          <w:iCs/>
          <w:vertAlign w:val="superscript"/>
        </w:rPr>
        <w:t>2</w:t>
      </w:r>
      <w:r w:rsidR="00234A80" w:rsidRPr="00146B5E">
        <w:rPr>
          <w:iCs/>
        </w:rPr>
        <w:t>=89.4%, respectively</w:t>
      </w:r>
      <w:r w:rsidR="004B4B06" w:rsidRPr="00146B5E">
        <w:rPr>
          <w:iCs/>
        </w:rPr>
        <w:t>. The PSCR stated that Lowe (2006) demonstrated significantly more favourable outcomes, with narrow confidence intervals, compared to the other two studies (Fehlings, 2000 and Rameckers 2009/Speth 2005) which resulted in heterogeneity across the studies</w:t>
      </w:r>
      <w:r w:rsidR="005E73FE" w:rsidRPr="00146B5E">
        <w:rPr>
          <w:iCs/>
        </w:rPr>
        <w:t>. S</w:t>
      </w:r>
      <w:r w:rsidR="004B4B06" w:rsidRPr="00146B5E">
        <w:rPr>
          <w:iCs/>
        </w:rPr>
        <w:t>ensitivity analyses excluding Lowe (2006) were provided</w:t>
      </w:r>
      <w:r w:rsidR="004559E3" w:rsidRPr="00146B5E">
        <w:rPr>
          <w:iCs/>
        </w:rPr>
        <w:t xml:space="preserve"> (see Table 8)</w:t>
      </w:r>
      <w:r w:rsidRPr="00146B5E">
        <w:rPr>
          <w:iCs/>
        </w:rPr>
        <w:t>;</w:t>
      </w:r>
    </w:p>
    <w:p w:rsidR="00234A80" w:rsidRPr="00146B5E" w:rsidRDefault="002917D2" w:rsidP="00DD27F1">
      <w:pPr>
        <w:pStyle w:val="ListParagraph"/>
        <w:numPr>
          <w:ilvl w:val="0"/>
          <w:numId w:val="24"/>
        </w:numPr>
        <w:spacing w:after="0"/>
        <w:ind w:left="993" w:hanging="284"/>
        <w:rPr>
          <w:iCs/>
        </w:rPr>
      </w:pPr>
      <w:r w:rsidRPr="00146B5E">
        <w:rPr>
          <w:iCs/>
        </w:rPr>
        <w:t>t</w:t>
      </w:r>
      <w:r w:rsidR="00234A80" w:rsidRPr="00146B5E">
        <w:rPr>
          <w:iCs/>
        </w:rPr>
        <w:t xml:space="preserve">here was a lack of information for the </w:t>
      </w:r>
      <w:r w:rsidR="006C23C2" w:rsidRPr="00146B5E">
        <w:rPr>
          <w:iCs/>
        </w:rPr>
        <w:t>Botox®</w:t>
      </w:r>
      <w:r w:rsidR="00234A80" w:rsidRPr="00146B5E">
        <w:rPr>
          <w:iCs/>
        </w:rPr>
        <w:t xml:space="preserve"> trials around the number of </w:t>
      </w:r>
      <w:r w:rsidR="006C23C2" w:rsidRPr="00146B5E">
        <w:rPr>
          <w:iCs/>
        </w:rPr>
        <w:t>Botox®</w:t>
      </w:r>
      <w:r w:rsidR="00234A80" w:rsidRPr="00146B5E">
        <w:rPr>
          <w:iCs/>
        </w:rPr>
        <w:t xml:space="preserve"> injections received.</w:t>
      </w:r>
      <w:r w:rsidR="00A87288" w:rsidRPr="00146B5E">
        <w:rPr>
          <w:iCs/>
        </w:rPr>
        <w:t xml:space="preserve"> </w:t>
      </w:r>
      <w:r w:rsidR="00234A80" w:rsidRPr="00146B5E">
        <w:rPr>
          <w:iCs/>
        </w:rPr>
        <w:t xml:space="preserve">While patients in the Lowe (2006) trial received a single </w:t>
      </w:r>
      <w:r w:rsidR="006C23C2" w:rsidRPr="00146B5E">
        <w:rPr>
          <w:iCs/>
        </w:rPr>
        <w:t>Botox®</w:t>
      </w:r>
      <w:r w:rsidR="00234A80" w:rsidRPr="00146B5E">
        <w:rPr>
          <w:iCs/>
        </w:rPr>
        <w:t xml:space="preserve"> injection, there was no information available for Fehlings (2000) and Rameckers 2009/Speth 2005</w:t>
      </w:r>
      <w:r w:rsidR="005E73FE" w:rsidRPr="00146B5E">
        <w:rPr>
          <w:iCs/>
        </w:rPr>
        <w:t>. The PSCR confirmed that patients in both Fehlings (2000) and Rameckers 2009/Speth 2005 received one treatment cycle; and</w:t>
      </w:r>
      <w:r w:rsidR="00A87288" w:rsidRPr="00146B5E">
        <w:rPr>
          <w:iCs/>
        </w:rPr>
        <w:t xml:space="preserve"> </w:t>
      </w:r>
    </w:p>
    <w:p w:rsidR="00234A80" w:rsidRPr="00146B5E" w:rsidRDefault="002917D2" w:rsidP="001B1319">
      <w:pPr>
        <w:pStyle w:val="ListParagraph"/>
        <w:numPr>
          <w:ilvl w:val="0"/>
          <w:numId w:val="24"/>
        </w:numPr>
        <w:ind w:left="993" w:hanging="284"/>
      </w:pPr>
      <w:r w:rsidRPr="00146B5E">
        <w:rPr>
          <w:iCs/>
        </w:rPr>
        <w:t>a</w:t>
      </w:r>
      <w:r w:rsidR="00234A80" w:rsidRPr="00146B5E">
        <w:rPr>
          <w:iCs/>
        </w:rPr>
        <w:t>s was noted for the MAS PTMG comparisons, for Study 153 the ‘no intervention’ group was the 2</w:t>
      </w:r>
      <w:r w:rsidR="00D82CE2">
        <w:rPr>
          <w:iCs/>
        </w:rPr>
        <w:t xml:space="preserve"> </w:t>
      </w:r>
      <w:r w:rsidR="00234A80" w:rsidRPr="00146B5E">
        <w:rPr>
          <w:iCs/>
        </w:rPr>
        <w:t>U/kg group, which was likely to impact outcomes</w:t>
      </w:r>
      <w:r w:rsidR="005E73FE" w:rsidRPr="00146B5E">
        <w:rPr>
          <w:iCs/>
        </w:rPr>
        <w:t>.</w:t>
      </w:r>
    </w:p>
    <w:p w:rsidR="00EA0B4F" w:rsidRPr="00146B5E" w:rsidRDefault="004559E3" w:rsidP="001B1319">
      <w:pPr>
        <w:pStyle w:val="3-BodyText"/>
        <w:ind w:left="720"/>
      </w:pPr>
      <w:r w:rsidRPr="00146B5E">
        <w:rPr>
          <w:iCs/>
        </w:rPr>
        <w:t>The</w:t>
      </w:r>
      <w:r w:rsidR="00234A80" w:rsidRPr="00146B5E">
        <w:rPr>
          <w:iCs/>
        </w:rPr>
        <w:t xml:space="preserve"> results </w:t>
      </w:r>
      <w:r w:rsidRPr="00146B5E">
        <w:rPr>
          <w:iCs/>
        </w:rPr>
        <w:t>of the</w:t>
      </w:r>
      <w:r w:rsidR="00234A80" w:rsidRPr="00146B5E">
        <w:rPr>
          <w:iCs/>
        </w:rPr>
        <w:t xml:space="preserve"> sensitivity analysis excluding the Lowe (2006) trial</w:t>
      </w:r>
      <w:r w:rsidRPr="00146B5E">
        <w:rPr>
          <w:iCs/>
        </w:rPr>
        <w:t>, which, as noted in the PSCR, could have been an outlier, demonstrated that</w:t>
      </w:r>
      <w:r w:rsidR="00234A80" w:rsidRPr="00146B5E">
        <w:rPr>
          <w:iCs/>
        </w:rPr>
        <w:t xml:space="preserve"> there was a statistically significant advantage for </w:t>
      </w:r>
      <w:r w:rsidR="0091336A" w:rsidRPr="00146B5E">
        <w:rPr>
          <w:iCs/>
        </w:rPr>
        <w:t>Dysport®</w:t>
      </w:r>
      <w:r w:rsidR="00234A80" w:rsidRPr="00146B5E">
        <w:rPr>
          <w:iCs/>
        </w:rPr>
        <w:t xml:space="preserve"> compared to </w:t>
      </w:r>
      <w:r w:rsidR="006C23C2" w:rsidRPr="00146B5E">
        <w:rPr>
          <w:iCs/>
        </w:rPr>
        <w:t>Botox®</w:t>
      </w:r>
      <w:r w:rsidR="00234A80" w:rsidRPr="00146B5E">
        <w:rPr>
          <w:iCs/>
        </w:rPr>
        <w:t xml:space="preserve"> for both the 8</w:t>
      </w:r>
      <w:r w:rsidR="00D82CE2">
        <w:rPr>
          <w:iCs/>
        </w:rPr>
        <w:t xml:space="preserve"> </w:t>
      </w:r>
      <w:r w:rsidR="00234A80" w:rsidRPr="00146B5E">
        <w:rPr>
          <w:iCs/>
        </w:rPr>
        <w:t>U/kg and 16</w:t>
      </w:r>
      <w:r w:rsidR="00D82CE2">
        <w:rPr>
          <w:iCs/>
        </w:rPr>
        <w:t xml:space="preserve"> </w:t>
      </w:r>
      <w:r w:rsidR="00234A80" w:rsidRPr="00146B5E">
        <w:rPr>
          <w:iCs/>
        </w:rPr>
        <w:t>U/kg doses at week 6 and week 16.</w:t>
      </w:r>
    </w:p>
    <w:p w:rsidR="00054885" w:rsidRPr="00146B5E" w:rsidRDefault="00054885" w:rsidP="00275729">
      <w:pPr>
        <w:pStyle w:val="TableFigureHeading"/>
      </w:pPr>
      <w:r w:rsidRPr="00146B5E">
        <w:t>Table 8: Results excluding Lowe (2006) for MAS/AS elbow</w:t>
      </w:r>
    </w:p>
    <w:tbl>
      <w:tblPr>
        <w:tblStyle w:val="TableGrid"/>
        <w:tblW w:w="5000" w:type="pct"/>
        <w:tblCellMar>
          <w:left w:w="28" w:type="dxa"/>
          <w:right w:w="28" w:type="dxa"/>
        </w:tblCellMar>
        <w:tblLook w:val="04A0" w:firstRow="1" w:lastRow="0" w:firstColumn="1" w:lastColumn="0" w:noHBand="0" w:noVBand="1"/>
        <w:tblCaption w:val="Table 8"/>
      </w:tblPr>
      <w:tblGrid>
        <w:gridCol w:w="2250"/>
        <w:gridCol w:w="1691"/>
        <w:gridCol w:w="1692"/>
        <w:gridCol w:w="1692"/>
        <w:gridCol w:w="1692"/>
      </w:tblGrid>
      <w:tr w:rsidR="00234A80" w:rsidRPr="00146B5E" w:rsidTr="00AC0F2C">
        <w:trPr>
          <w:tblHeader/>
        </w:trPr>
        <w:tc>
          <w:tcPr>
            <w:tcW w:w="1248" w:type="pct"/>
            <w:vMerge w:val="restart"/>
            <w:vAlign w:val="center"/>
          </w:tcPr>
          <w:p w:rsidR="00234A80" w:rsidRPr="00146B5E" w:rsidRDefault="00234A80" w:rsidP="00275729">
            <w:pPr>
              <w:keepNext/>
              <w:tabs>
                <w:tab w:val="left" w:pos="175"/>
              </w:tabs>
              <w:rPr>
                <w:rFonts w:ascii="Arial Narrow" w:hAnsi="Arial Narrow"/>
                <w:b/>
                <w:bCs/>
                <w:sz w:val="20"/>
                <w:szCs w:val="20"/>
              </w:rPr>
            </w:pPr>
            <w:r w:rsidRPr="00146B5E">
              <w:rPr>
                <w:rFonts w:ascii="Arial Narrow" w:hAnsi="Arial Narrow"/>
                <w:b/>
                <w:bCs/>
                <w:sz w:val="20"/>
                <w:szCs w:val="20"/>
              </w:rPr>
              <w:t>MAS/AS elbow</w:t>
            </w:r>
          </w:p>
        </w:tc>
        <w:tc>
          <w:tcPr>
            <w:tcW w:w="1876" w:type="pct"/>
            <w:gridSpan w:val="2"/>
          </w:tcPr>
          <w:p w:rsidR="00234A80" w:rsidRPr="00146B5E" w:rsidRDefault="00234A80" w:rsidP="00275729">
            <w:pPr>
              <w:keepNext/>
              <w:jc w:val="center"/>
              <w:rPr>
                <w:rFonts w:ascii="Arial Narrow" w:hAnsi="Arial Narrow"/>
                <w:b/>
                <w:bCs/>
                <w:sz w:val="20"/>
                <w:szCs w:val="20"/>
              </w:rPr>
            </w:pPr>
            <w:r w:rsidRPr="00146B5E">
              <w:rPr>
                <w:rFonts w:ascii="Arial Narrow" w:hAnsi="Arial Narrow"/>
                <w:b/>
                <w:bCs/>
                <w:sz w:val="20"/>
                <w:szCs w:val="20"/>
              </w:rPr>
              <w:t xml:space="preserve">Week 6 </w:t>
            </w:r>
          </w:p>
          <w:p w:rsidR="00234A80" w:rsidRPr="00146B5E" w:rsidRDefault="00234A80" w:rsidP="00275729">
            <w:pPr>
              <w:keepNext/>
              <w:jc w:val="center"/>
              <w:rPr>
                <w:rFonts w:ascii="Arial Narrow" w:hAnsi="Arial Narrow"/>
                <w:b/>
                <w:bCs/>
                <w:sz w:val="20"/>
                <w:szCs w:val="20"/>
              </w:rPr>
            </w:pPr>
            <w:r w:rsidRPr="00146B5E">
              <w:rPr>
                <w:rFonts w:ascii="Arial Narrow" w:hAnsi="Arial Narrow"/>
                <w:b/>
                <w:bCs/>
                <w:sz w:val="20"/>
                <w:szCs w:val="20"/>
              </w:rPr>
              <w:t>Difference-change from baseline (95% CI)</w:t>
            </w:r>
          </w:p>
        </w:tc>
        <w:tc>
          <w:tcPr>
            <w:tcW w:w="1876" w:type="pct"/>
            <w:gridSpan w:val="2"/>
          </w:tcPr>
          <w:p w:rsidR="00234A80" w:rsidRPr="00146B5E" w:rsidRDefault="00234A80" w:rsidP="00275729">
            <w:pPr>
              <w:keepNext/>
              <w:jc w:val="center"/>
              <w:rPr>
                <w:rFonts w:ascii="Arial Narrow" w:hAnsi="Arial Narrow"/>
                <w:b/>
                <w:bCs/>
                <w:sz w:val="20"/>
                <w:szCs w:val="20"/>
              </w:rPr>
            </w:pPr>
            <w:r w:rsidRPr="00146B5E">
              <w:rPr>
                <w:rFonts w:ascii="Arial Narrow" w:hAnsi="Arial Narrow"/>
                <w:b/>
                <w:bCs/>
                <w:sz w:val="20"/>
                <w:szCs w:val="20"/>
              </w:rPr>
              <w:t xml:space="preserve">Week 16 </w:t>
            </w:r>
          </w:p>
          <w:p w:rsidR="00234A80" w:rsidRPr="00146B5E" w:rsidRDefault="00234A80" w:rsidP="00275729">
            <w:pPr>
              <w:keepNext/>
              <w:jc w:val="center"/>
              <w:rPr>
                <w:rFonts w:ascii="Arial Narrow" w:hAnsi="Arial Narrow"/>
                <w:b/>
                <w:bCs/>
                <w:sz w:val="20"/>
                <w:szCs w:val="20"/>
              </w:rPr>
            </w:pPr>
            <w:r w:rsidRPr="00146B5E">
              <w:rPr>
                <w:rFonts w:ascii="Arial Narrow" w:hAnsi="Arial Narrow"/>
                <w:b/>
                <w:bCs/>
                <w:sz w:val="20"/>
                <w:szCs w:val="20"/>
              </w:rPr>
              <w:t>Difference-change from baseline (95% CI)</w:t>
            </w:r>
          </w:p>
        </w:tc>
      </w:tr>
      <w:tr w:rsidR="00234A80" w:rsidRPr="00146B5E" w:rsidTr="00AC0F2C">
        <w:trPr>
          <w:tblHeader/>
        </w:trPr>
        <w:tc>
          <w:tcPr>
            <w:tcW w:w="1248" w:type="pct"/>
            <w:vMerge/>
          </w:tcPr>
          <w:p w:rsidR="00234A80" w:rsidRPr="00146B5E" w:rsidRDefault="00234A80" w:rsidP="00275729">
            <w:pPr>
              <w:keepNext/>
              <w:tabs>
                <w:tab w:val="left" w:pos="175"/>
              </w:tabs>
              <w:rPr>
                <w:rFonts w:ascii="Arial Narrow" w:hAnsi="Arial Narrow"/>
                <w:sz w:val="20"/>
                <w:szCs w:val="20"/>
              </w:rPr>
            </w:pPr>
          </w:p>
        </w:tc>
        <w:tc>
          <w:tcPr>
            <w:tcW w:w="938" w:type="pct"/>
          </w:tcPr>
          <w:p w:rsidR="00234A80" w:rsidRPr="00146B5E" w:rsidRDefault="0091336A" w:rsidP="00275729">
            <w:pPr>
              <w:keepNext/>
              <w:jc w:val="center"/>
              <w:rPr>
                <w:rFonts w:ascii="Arial Narrow" w:hAnsi="Arial Narrow"/>
                <w:b/>
                <w:bCs/>
                <w:sz w:val="20"/>
                <w:szCs w:val="20"/>
              </w:rPr>
            </w:pPr>
            <w:r w:rsidRPr="00146B5E">
              <w:rPr>
                <w:rFonts w:ascii="Arial Narrow" w:hAnsi="Arial Narrow"/>
                <w:b/>
                <w:bCs/>
                <w:sz w:val="20"/>
                <w:szCs w:val="20"/>
              </w:rPr>
              <w:t>Dysport</w:t>
            </w:r>
            <w:r w:rsidRPr="00146B5E">
              <w:rPr>
                <w:rFonts w:ascii="Arial Narrow" w:hAnsi="Arial Narrow"/>
                <w:b/>
                <w:bCs/>
                <w:sz w:val="20"/>
                <w:szCs w:val="20"/>
                <w:vertAlign w:val="superscript"/>
              </w:rPr>
              <w:t>®</w:t>
            </w:r>
            <w:r w:rsidR="00234A80" w:rsidRPr="00146B5E">
              <w:rPr>
                <w:rFonts w:ascii="Arial Narrow" w:hAnsi="Arial Narrow"/>
                <w:b/>
                <w:bCs/>
                <w:sz w:val="20"/>
                <w:szCs w:val="20"/>
              </w:rPr>
              <w:t xml:space="preserve"> 8</w:t>
            </w:r>
            <w:r w:rsidR="00D82CE2">
              <w:rPr>
                <w:rFonts w:ascii="Arial Narrow" w:hAnsi="Arial Narrow"/>
                <w:b/>
                <w:bCs/>
                <w:sz w:val="20"/>
                <w:szCs w:val="20"/>
              </w:rPr>
              <w:t xml:space="preserve"> </w:t>
            </w:r>
            <w:r w:rsidR="00234A80" w:rsidRPr="00146B5E">
              <w:rPr>
                <w:rFonts w:ascii="Arial Narrow" w:hAnsi="Arial Narrow"/>
                <w:b/>
                <w:bCs/>
                <w:sz w:val="20"/>
                <w:szCs w:val="20"/>
              </w:rPr>
              <w:t>U/kg</w:t>
            </w:r>
          </w:p>
        </w:tc>
        <w:tc>
          <w:tcPr>
            <w:tcW w:w="938" w:type="pct"/>
          </w:tcPr>
          <w:p w:rsidR="00234A80" w:rsidRPr="00146B5E" w:rsidRDefault="0091336A" w:rsidP="00275729">
            <w:pPr>
              <w:keepNext/>
              <w:jc w:val="center"/>
              <w:rPr>
                <w:rFonts w:ascii="Arial Narrow" w:hAnsi="Arial Narrow"/>
                <w:b/>
                <w:bCs/>
                <w:sz w:val="20"/>
                <w:szCs w:val="20"/>
              </w:rPr>
            </w:pPr>
            <w:r w:rsidRPr="00146B5E">
              <w:rPr>
                <w:rFonts w:ascii="Arial Narrow" w:hAnsi="Arial Narrow"/>
                <w:b/>
                <w:bCs/>
                <w:sz w:val="20"/>
                <w:szCs w:val="20"/>
              </w:rPr>
              <w:t>Dysport</w:t>
            </w:r>
            <w:r w:rsidRPr="00146B5E">
              <w:rPr>
                <w:rFonts w:ascii="Arial Narrow" w:hAnsi="Arial Narrow"/>
                <w:b/>
                <w:bCs/>
                <w:sz w:val="20"/>
                <w:szCs w:val="20"/>
                <w:vertAlign w:val="superscript"/>
              </w:rPr>
              <w:t>®</w:t>
            </w:r>
            <w:r w:rsidR="00234A80" w:rsidRPr="00146B5E">
              <w:rPr>
                <w:rFonts w:ascii="Arial Narrow" w:hAnsi="Arial Narrow"/>
                <w:b/>
                <w:bCs/>
                <w:sz w:val="20"/>
                <w:szCs w:val="20"/>
              </w:rPr>
              <w:t xml:space="preserve"> 16</w:t>
            </w:r>
            <w:r w:rsidR="00D82CE2">
              <w:rPr>
                <w:rFonts w:ascii="Arial Narrow" w:hAnsi="Arial Narrow"/>
                <w:b/>
                <w:bCs/>
                <w:sz w:val="20"/>
                <w:szCs w:val="20"/>
              </w:rPr>
              <w:t xml:space="preserve"> </w:t>
            </w:r>
            <w:r w:rsidR="00234A80" w:rsidRPr="00146B5E">
              <w:rPr>
                <w:rFonts w:ascii="Arial Narrow" w:hAnsi="Arial Narrow"/>
                <w:b/>
                <w:bCs/>
                <w:sz w:val="20"/>
                <w:szCs w:val="20"/>
              </w:rPr>
              <w:t>U/kg</w:t>
            </w:r>
          </w:p>
        </w:tc>
        <w:tc>
          <w:tcPr>
            <w:tcW w:w="938" w:type="pct"/>
          </w:tcPr>
          <w:p w:rsidR="00234A80" w:rsidRPr="00146B5E" w:rsidRDefault="0091336A" w:rsidP="00275729">
            <w:pPr>
              <w:keepNext/>
              <w:jc w:val="center"/>
              <w:rPr>
                <w:rFonts w:ascii="Arial Narrow" w:hAnsi="Arial Narrow"/>
                <w:b/>
                <w:bCs/>
                <w:sz w:val="20"/>
                <w:szCs w:val="20"/>
              </w:rPr>
            </w:pPr>
            <w:r w:rsidRPr="00146B5E">
              <w:rPr>
                <w:rFonts w:ascii="Arial Narrow" w:hAnsi="Arial Narrow"/>
                <w:b/>
                <w:bCs/>
                <w:sz w:val="20"/>
                <w:szCs w:val="20"/>
              </w:rPr>
              <w:t>Dysport</w:t>
            </w:r>
            <w:r w:rsidRPr="00146B5E">
              <w:rPr>
                <w:rFonts w:ascii="Arial Narrow" w:hAnsi="Arial Narrow"/>
                <w:b/>
                <w:bCs/>
                <w:sz w:val="20"/>
                <w:szCs w:val="20"/>
                <w:vertAlign w:val="superscript"/>
              </w:rPr>
              <w:t>®</w:t>
            </w:r>
            <w:r w:rsidR="00234A80" w:rsidRPr="00146B5E">
              <w:rPr>
                <w:rFonts w:ascii="Arial Narrow" w:hAnsi="Arial Narrow"/>
                <w:b/>
                <w:bCs/>
                <w:sz w:val="20"/>
                <w:szCs w:val="20"/>
                <w:vertAlign w:val="superscript"/>
              </w:rPr>
              <w:t xml:space="preserve"> </w:t>
            </w:r>
            <w:r w:rsidR="00234A80" w:rsidRPr="00146B5E">
              <w:rPr>
                <w:rFonts w:ascii="Arial Narrow" w:hAnsi="Arial Narrow"/>
                <w:b/>
                <w:bCs/>
                <w:sz w:val="20"/>
                <w:szCs w:val="20"/>
              </w:rPr>
              <w:t>8</w:t>
            </w:r>
            <w:r w:rsidR="00D82CE2">
              <w:rPr>
                <w:rFonts w:ascii="Arial Narrow" w:hAnsi="Arial Narrow"/>
                <w:b/>
                <w:bCs/>
                <w:sz w:val="20"/>
                <w:szCs w:val="20"/>
              </w:rPr>
              <w:t xml:space="preserve"> </w:t>
            </w:r>
            <w:r w:rsidR="00234A80" w:rsidRPr="00146B5E">
              <w:rPr>
                <w:rFonts w:ascii="Arial Narrow" w:hAnsi="Arial Narrow"/>
                <w:b/>
                <w:bCs/>
                <w:sz w:val="20"/>
                <w:szCs w:val="20"/>
              </w:rPr>
              <w:t>U/kg</w:t>
            </w:r>
          </w:p>
        </w:tc>
        <w:tc>
          <w:tcPr>
            <w:tcW w:w="938" w:type="pct"/>
          </w:tcPr>
          <w:p w:rsidR="00234A80" w:rsidRPr="00146B5E" w:rsidRDefault="0091336A" w:rsidP="00275729">
            <w:pPr>
              <w:keepNext/>
              <w:jc w:val="center"/>
              <w:rPr>
                <w:rFonts w:ascii="Arial Narrow" w:hAnsi="Arial Narrow"/>
                <w:b/>
                <w:bCs/>
                <w:sz w:val="20"/>
                <w:szCs w:val="20"/>
              </w:rPr>
            </w:pPr>
            <w:r w:rsidRPr="00146B5E">
              <w:rPr>
                <w:rFonts w:ascii="Arial Narrow" w:hAnsi="Arial Narrow"/>
                <w:b/>
                <w:bCs/>
                <w:sz w:val="20"/>
                <w:szCs w:val="20"/>
              </w:rPr>
              <w:t>Dysport</w:t>
            </w:r>
            <w:r w:rsidRPr="00146B5E">
              <w:rPr>
                <w:rFonts w:ascii="Arial Narrow" w:hAnsi="Arial Narrow"/>
                <w:b/>
                <w:bCs/>
                <w:sz w:val="20"/>
                <w:szCs w:val="20"/>
                <w:vertAlign w:val="superscript"/>
              </w:rPr>
              <w:t>®</w:t>
            </w:r>
            <w:r w:rsidR="00234A80" w:rsidRPr="00146B5E">
              <w:rPr>
                <w:rFonts w:ascii="Arial Narrow" w:hAnsi="Arial Narrow"/>
                <w:b/>
                <w:bCs/>
                <w:sz w:val="20"/>
                <w:szCs w:val="20"/>
              </w:rPr>
              <w:t xml:space="preserve"> 16</w:t>
            </w:r>
            <w:r w:rsidR="00D82CE2">
              <w:rPr>
                <w:rFonts w:ascii="Arial Narrow" w:hAnsi="Arial Narrow"/>
                <w:b/>
                <w:bCs/>
                <w:sz w:val="20"/>
                <w:szCs w:val="20"/>
              </w:rPr>
              <w:t xml:space="preserve"> </w:t>
            </w:r>
            <w:r w:rsidR="00234A80" w:rsidRPr="00146B5E">
              <w:rPr>
                <w:rFonts w:ascii="Arial Narrow" w:hAnsi="Arial Narrow"/>
                <w:b/>
                <w:bCs/>
                <w:sz w:val="20"/>
                <w:szCs w:val="20"/>
              </w:rPr>
              <w:t>U/kg</w:t>
            </w:r>
          </w:p>
        </w:tc>
      </w:tr>
      <w:tr w:rsidR="00234A80" w:rsidRPr="00146B5E" w:rsidTr="001B1319">
        <w:trPr>
          <w:trHeight w:val="153"/>
        </w:trPr>
        <w:tc>
          <w:tcPr>
            <w:tcW w:w="1248" w:type="pct"/>
          </w:tcPr>
          <w:p w:rsidR="00234A80" w:rsidRPr="00146B5E" w:rsidRDefault="00234A80" w:rsidP="00275729">
            <w:pPr>
              <w:keepNext/>
              <w:tabs>
                <w:tab w:val="left" w:pos="175"/>
              </w:tabs>
              <w:rPr>
                <w:rFonts w:ascii="Arial Narrow" w:hAnsi="Arial Narrow"/>
                <w:sz w:val="20"/>
                <w:szCs w:val="20"/>
              </w:rPr>
            </w:pPr>
            <w:r w:rsidRPr="00146B5E">
              <w:rPr>
                <w:rFonts w:ascii="Arial Narrow" w:hAnsi="Arial Narrow"/>
                <w:sz w:val="20"/>
                <w:szCs w:val="20"/>
              </w:rPr>
              <w:t>Excluding Lowe 2006</w:t>
            </w:r>
          </w:p>
        </w:tc>
        <w:tc>
          <w:tcPr>
            <w:tcW w:w="938" w:type="pct"/>
          </w:tcPr>
          <w:p w:rsidR="00234A80" w:rsidRPr="00146B5E" w:rsidRDefault="00234A80" w:rsidP="00275729">
            <w:pPr>
              <w:pStyle w:val="TableCentre"/>
              <w:keepNext/>
              <w:rPr>
                <w:rFonts w:ascii="Arial Narrow" w:hAnsi="Arial Narrow"/>
                <w:b/>
                <w:bCs/>
                <w:color w:val="000000" w:themeColor="text1" w:themeShade="80"/>
                <w:sz w:val="20"/>
                <w:szCs w:val="20"/>
              </w:rPr>
            </w:pPr>
            <w:r w:rsidRPr="00146B5E">
              <w:rPr>
                <w:rFonts w:ascii="Arial Narrow" w:hAnsi="Arial Narrow"/>
                <w:b/>
                <w:bCs/>
                <w:color w:val="000000" w:themeColor="text1" w:themeShade="80"/>
                <w:sz w:val="20"/>
                <w:szCs w:val="20"/>
              </w:rPr>
              <w:t>-0.68 (-1.20, -0.16)</w:t>
            </w:r>
          </w:p>
        </w:tc>
        <w:tc>
          <w:tcPr>
            <w:tcW w:w="938" w:type="pct"/>
          </w:tcPr>
          <w:p w:rsidR="00234A80" w:rsidRPr="00146B5E" w:rsidRDefault="00234A80" w:rsidP="00275729">
            <w:pPr>
              <w:pStyle w:val="TableCentre"/>
              <w:keepNext/>
              <w:rPr>
                <w:rFonts w:ascii="Arial Narrow" w:hAnsi="Arial Narrow"/>
                <w:b/>
                <w:bCs/>
                <w:color w:val="000000" w:themeColor="text1" w:themeShade="80"/>
                <w:sz w:val="20"/>
                <w:szCs w:val="20"/>
              </w:rPr>
            </w:pPr>
            <w:r w:rsidRPr="00146B5E">
              <w:rPr>
                <w:rFonts w:ascii="Arial Narrow" w:hAnsi="Arial Narrow"/>
                <w:b/>
                <w:bCs/>
                <w:color w:val="000000" w:themeColor="text1" w:themeShade="80"/>
                <w:sz w:val="20"/>
                <w:szCs w:val="20"/>
              </w:rPr>
              <w:t>-0.88 (-1.42, -0.34)</w:t>
            </w:r>
          </w:p>
        </w:tc>
        <w:tc>
          <w:tcPr>
            <w:tcW w:w="938" w:type="pct"/>
          </w:tcPr>
          <w:p w:rsidR="00234A80" w:rsidRPr="00146B5E" w:rsidRDefault="00234A80" w:rsidP="00275729">
            <w:pPr>
              <w:pStyle w:val="TableCentre"/>
              <w:keepNext/>
              <w:rPr>
                <w:rFonts w:ascii="Arial Narrow" w:hAnsi="Arial Narrow"/>
                <w:b/>
                <w:bCs/>
                <w:color w:val="000000" w:themeColor="text1" w:themeShade="80"/>
                <w:sz w:val="20"/>
                <w:szCs w:val="20"/>
              </w:rPr>
            </w:pPr>
            <w:r w:rsidRPr="00146B5E">
              <w:rPr>
                <w:rFonts w:ascii="Arial Narrow" w:hAnsi="Arial Narrow"/>
                <w:b/>
                <w:bCs/>
                <w:color w:val="000000" w:themeColor="text1" w:themeShade="80"/>
                <w:sz w:val="20"/>
                <w:szCs w:val="20"/>
              </w:rPr>
              <w:t>-0.68 (-1.17, -0.18)</w:t>
            </w:r>
          </w:p>
        </w:tc>
        <w:tc>
          <w:tcPr>
            <w:tcW w:w="938" w:type="pct"/>
          </w:tcPr>
          <w:p w:rsidR="00234A80" w:rsidRPr="00146B5E" w:rsidRDefault="00234A80" w:rsidP="00275729">
            <w:pPr>
              <w:pStyle w:val="TableCentre"/>
              <w:keepNext/>
              <w:rPr>
                <w:rFonts w:ascii="Arial Narrow" w:hAnsi="Arial Narrow"/>
                <w:b/>
                <w:bCs/>
                <w:color w:val="000000" w:themeColor="text1" w:themeShade="80"/>
                <w:sz w:val="20"/>
                <w:szCs w:val="20"/>
              </w:rPr>
            </w:pPr>
            <w:r w:rsidRPr="00146B5E">
              <w:rPr>
                <w:rFonts w:ascii="Arial Narrow" w:hAnsi="Arial Narrow"/>
                <w:b/>
                <w:bCs/>
                <w:color w:val="000000" w:themeColor="text1" w:themeShade="80"/>
                <w:sz w:val="20"/>
                <w:szCs w:val="20"/>
              </w:rPr>
              <w:t>-0.78 (-1.31, -0.25)</w:t>
            </w:r>
          </w:p>
        </w:tc>
      </w:tr>
    </w:tbl>
    <w:p w:rsidR="00201971" w:rsidRPr="00146B5E" w:rsidRDefault="00894E54" w:rsidP="008F42F9">
      <w:pPr>
        <w:pStyle w:val="TableFigureFooter"/>
      </w:pPr>
      <w:r w:rsidRPr="00146B5E">
        <w:t>Table 2-79, p148 of the submission.</w:t>
      </w:r>
    </w:p>
    <w:p w:rsidR="00894E54" w:rsidRPr="00146B5E" w:rsidRDefault="00894E54" w:rsidP="008F42F9">
      <w:pPr>
        <w:pStyle w:val="TableFigureFooter"/>
      </w:pPr>
      <w:r w:rsidRPr="00146B5E">
        <w:t xml:space="preserve">CI=confidence interval; </w:t>
      </w:r>
      <w:r w:rsidRPr="00146B5E">
        <w:rPr>
          <w:b/>
          <w:bCs/>
        </w:rPr>
        <w:t>bold</w:t>
      </w:r>
      <w:r w:rsidRPr="00146B5E">
        <w:t>=statistically significant</w:t>
      </w:r>
    </w:p>
    <w:p w:rsidR="00234A80" w:rsidRPr="00146B5E" w:rsidRDefault="00234A80" w:rsidP="002917D2">
      <w:pPr>
        <w:pStyle w:val="3-BodyText"/>
        <w:ind w:left="720"/>
      </w:pPr>
      <w:r w:rsidRPr="00146B5E">
        <w:lastRenderedPageBreak/>
        <w:t xml:space="preserve">For the MAS/AS wrist outcome, the results followed the same pattern as that observed for MAS/AS elbow. The indirect comparisons showed no statistically significant difference between </w:t>
      </w:r>
      <w:r w:rsidR="0091336A" w:rsidRPr="00146B5E">
        <w:t>Dysport®</w:t>
      </w:r>
      <w:r w:rsidRPr="00146B5E">
        <w:t xml:space="preserve"> and </w:t>
      </w:r>
      <w:r w:rsidR="006C23C2" w:rsidRPr="00146B5E">
        <w:t>Botox®</w:t>
      </w:r>
      <w:r w:rsidRPr="00146B5E">
        <w:t xml:space="preserve"> for the pooled comparisons and the 8</w:t>
      </w:r>
      <w:r w:rsidR="00D82CE2">
        <w:t xml:space="preserve"> </w:t>
      </w:r>
      <w:r w:rsidRPr="00146B5E">
        <w:t>U/kg and 16</w:t>
      </w:r>
      <w:r w:rsidR="00D82CE2">
        <w:t xml:space="preserve"> </w:t>
      </w:r>
      <w:r w:rsidRPr="00146B5E">
        <w:t>U/kg comparisons at both 6 weeks and 6 weeks.</w:t>
      </w:r>
      <w:r w:rsidR="00A87288" w:rsidRPr="00146B5E">
        <w:t xml:space="preserve"> </w:t>
      </w:r>
      <w:r w:rsidRPr="00146B5E">
        <w:t xml:space="preserve">There was a statistically significant advantage observed for </w:t>
      </w:r>
      <w:r w:rsidR="006C23C2" w:rsidRPr="00146B5E">
        <w:t>Botox®</w:t>
      </w:r>
      <w:r w:rsidRPr="00146B5E">
        <w:t xml:space="preserve"> in the Lowe (2006) trial</w:t>
      </w:r>
      <w:r w:rsidR="00146B5E">
        <w:t xml:space="preserve">. </w:t>
      </w:r>
      <w:r w:rsidR="00225026" w:rsidRPr="00146B5E">
        <w:rPr>
          <w:iCs/>
        </w:rPr>
        <w:t>As for the MAS/AS elbow outcome, there were a number of concerns with the comparisons:</w:t>
      </w:r>
    </w:p>
    <w:p w:rsidR="00225026" w:rsidRPr="00146B5E" w:rsidRDefault="00225026" w:rsidP="002917D2">
      <w:pPr>
        <w:pStyle w:val="ListParagraph"/>
        <w:numPr>
          <w:ilvl w:val="0"/>
          <w:numId w:val="25"/>
        </w:numPr>
        <w:ind w:left="993" w:hanging="284"/>
        <w:rPr>
          <w:iCs/>
        </w:rPr>
      </w:pPr>
      <w:r w:rsidRPr="00146B5E">
        <w:rPr>
          <w:iCs/>
        </w:rPr>
        <w:t xml:space="preserve">The number of patients remained small for the </w:t>
      </w:r>
      <w:r w:rsidR="006C23C2" w:rsidRPr="00146B5E">
        <w:rPr>
          <w:iCs/>
        </w:rPr>
        <w:t>Botox®</w:t>
      </w:r>
      <w:r w:rsidRPr="00146B5E">
        <w:rPr>
          <w:iCs/>
        </w:rPr>
        <w:t xml:space="preserve"> trials, and the patient numbers for Study 153 for </w:t>
      </w:r>
      <w:r w:rsidR="0091336A" w:rsidRPr="00146B5E">
        <w:rPr>
          <w:iCs/>
        </w:rPr>
        <w:t>Dysport®</w:t>
      </w:r>
      <w:r w:rsidRPr="00146B5E">
        <w:rPr>
          <w:iCs/>
        </w:rPr>
        <w:t xml:space="preserve"> had dropped from 60+ per arm for the MAS/AS elbow comparison to 50+ per arm.</w:t>
      </w:r>
    </w:p>
    <w:p w:rsidR="00225026" w:rsidRPr="00146B5E" w:rsidRDefault="00054885" w:rsidP="002917D2">
      <w:pPr>
        <w:pStyle w:val="ListParagraph"/>
        <w:numPr>
          <w:ilvl w:val="0"/>
          <w:numId w:val="25"/>
        </w:numPr>
        <w:ind w:left="993" w:hanging="284"/>
        <w:rPr>
          <w:iCs/>
        </w:rPr>
      </w:pPr>
      <w:r w:rsidRPr="00146B5E">
        <w:rPr>
          <w:iCs/>
        </w:rPr>
        <w:t>T</w:t>
      </w:r>
      <w:r w:rsidR="00225026" w:rsidRPr="00146B5E">
        <w:rPr>
          <w:iCs/>
        </w:rPr>
        <w:t xml:space="preserve">he week 6 analysis used </w:t>
      </w:r>
      <w:r w:rsidR="005D5763" w:rsidRPr="00146B5E">
        <w:rPr>
          <w:iCs/>
        </w:rPr>
        <w:t xml:space="preserve">week </w:t>
      </w:r>
      <w:r w:rsidR="00225026" w:rsidRPr="00146B5E">
        <w:rPr>
          <w:iCs/>
        </w:rPr>
        <w:t xml:space="preserve">4 data from Fehlings (2000) and Lowe (2006); it could not be determined what values were used for the Lowe (2006) trial; there was considerable heterogeneity in the pooled </w:t>
      </w:r>
      <w:r w:rsidR="006C23C2" w:rsidRPr="00146B5E">
        <w:rPr>
          <w:iCs/>
        </w:rPr>
        <w:t>Botox®</w:t>
      </w:r>
      <w:r w:rsidR="00225026" w:rsidRPr="00146B5E">
        <w:rPr>
          <w:iCs/>
        </w:rPr>
        <w:t xml:space="preserve"> analyses at week 6 and week 16, with I</w:t>
      </w:r>
      <w:r w:rsidR="00225026" w:rsidRPr="00146B5E">
        <w:rPr>
          <w:iCs/>
          <w:vertAlign w:val="superscript"/>
        </w:rPr>
        <w:t>2</w:t>
      </w:r>
      <w:r w:rsidR="00225026" w:rsidRPr="00146B5E">
        <w:rPr>
          <w:iCs/>
        </w:rPr>
        <w:t xml:space="preserve">=95% at both time points; there was a lack of information for the </w:t>
      </w:r>
      <w:r w:rsidR="006C23C2" w:rsidRPr="00146B5E">
        <w:rPr>
          <w:iCs/>
        </w:rPr>
        <w:t>Botox®</w:t>
      </w:r>
      <w:r w:rsidR="00225026" w:rsidRPr="00146B5E">
        <w:rPr>
          <w:iCs/>
        </w:rPr>
        <w:t xml:space="preserve"> trials around the number of </w:t>
      </w:r>
      <w:r w:rsidR="006C23C2" w:rsidRPr="00146B5E">
        <w:rPr>
          <w:iCs/>
        </w:rPr>
        <w:t>Botox®</w:t>
      </w:r>
      <w:r w:rsidR="00225026" w:rsidRPr="00146B5E">
        <w:rPr>
          <w:iCs/>
        </w:rPr>
        <w:t xml:space="preserve"> injections received; and for Study 153 the ‘no intervention’ group was the 2</w:t>
      </w:r>
      <w:r w:rsidR="00D82CE2">
        <w:rPr>
          <w:iCs/>
        </w:rPr>
        <w:t xml:space="preserve"> </w:t>
      </w:r>
      <w:r w:rsidR="00225026" w:rsidRPr="00146B5E">
        <w:rPr>
          <w:iCs/>
        </w:rPr>
        <w:t xml:space="preserve">U/kg group, which was likely to impact outcomes. </w:t>
      </w:r>
    </w:p>
    <w:p w:rsidR="00234A80" w:rsidRPr="00146B5E" w:rsidRDefault="00225026" w:rsidP="002917D2">
      <w:pPr>
        <w:pStyle w:val="3-BodyText"/>
        <w:ind w:left="720"/>
      </w:pPr>
      <w:r w:rsidRPr="00146B5E">
        <w:t xml:space="preserve">Results for the indirect comparison of the MAS/AS finger showed no statistically significant difference between pooled </w:t>
      </w:r>
      <w:r w:rsidR="0091336A" w:rsidRPr="00146B5E">
        <w:t>Dysport®</w:t>
      </w:r>
      <w:r w:rsidRPr="00146B5E">
        <w:t xml:space="preserve"> and </w:t>
      </w:r>
      <w:r w:rsidR="006C23C2" w:rsidRPr="00146B5E">
        <w:t>Botox®</w:t>
      </w:r>
      <w:r w:rsidRPr="00146B5E">
        <w:t xml:space="preserve">, and there were also no statistically significant differences between </w:t>
      </w:r>
      <w:r w:rsidR="0091336A" w:rsidRPr="00146B5E">
        <w:t>Dysport®</w:t>
      </w:r>
      <w:r w:rsidRPr="00146B5E">
        <w:t xml:space="preserve"> 8</w:t>
      </w:r>
      <w:r w:rsidR="00D82CE2">
        <w:t xml:space="preserve"> </w:t>
      </w:r>
      <w:r w:rsidRPr="00146B5E">
        <w:t>U/kg and 16</w:t>
      </w:r>
      <w:r w:rsidR="00D82CE2">
        <w:t xml:space="preserve"> </w:t>
      </w:r>
      <w:r w:rsidRPr="00146B5E">
        <w:t xml:space="preserve">U/kg compared to </w:t>
      </w:r>
      <w:r w:rsidR="006C23C2" w:rsidRPr="00146B5E">
        <w:t>Botox®</w:t>
      </w:r>
      <w:r w:rsidRPr="00146B5E">
        <w:t>.</w:t>
      </w:r>
      <w:r w:rsidR="00A87288" w:rsidRPr="00146B5E">
        <w:t xml:space="preserve"> </w:t>
      </w:r>
      <w:r w:rsidRPr="00146B5E">
        <w:rPr>
          <w:iCs/>
        </w:rPr>
        <w:t xml:space="preserve">As for the MAS/AS comparisons for elbow and wrist, the results are limited by the small number of patients providing data, with between 19 and 23 patients in each arm of Study 153, and 21 patients in each arm of the Lowe (2006) </w:t>
      </w:r>
      <w:r w:rsidR="006C23C2" w:rsidRPr="00146B5E">
        <w:rPr>
          <w:iCs/>
        </w:rPr>
        <w:t>Botox®</w:t>
      </w:r>
      <w:r w:rsidRPr="00146B5E">
        <w:rPr>
          <w:iCs/>
        </w:rPr>
        <w:t xml:space="preserve"> trial.</w:t>
      </w:r>
      <w:r w:rsidR="00A87288" w:rsidRPr="00146B5E">
        <w:rPr>
          <w:iCs/>
        </w:rPr>
        <w:t xml:space="preserve"> </w:t>
      </w:r>
      <w:r w:rsidRPr="00146B5E">
        <w:rPr>
          <w:iCs/>
        </w:rPr>
        <w:t>Also, as for the elbow and wrist comparisons, the data used for Lowe (2006) comparison could not be sourced.</w:t>
      </w:r>
    </w:p>
    <w:p w:rsidR="00225026" w:rsidRPr="00146B5E" w:rsidRDefault="00225026" w:rsidP="001B1319">
      <w:pPr>
        <w:pStyle w:val="3-BodyText"/>
        <w:ind w:left="720"/>
      </w:pPr>
      <w:r w:rsidRPr="00146B5E">
        <w:t xml:space="preserve">The indirect comparisons of </w:t>
      </w:r>
      <w:r w:rsidR="0091336A" w:rsidRPr="00146B5E">
        <w:t>Dysport®</w:t>
      </w:r>
      <w:r w:rsidRPr="00146B5E">
        <w:t xml:space="preserve"> and </w:t>
      </w:r>
      <w:r w:rsidR="006C23C2" w:rsidRPr="00146B5E">
        <w:t>Botox®</w:t>
      </w:r>
      <w:r w:rsidRPr="00146B5E">
        <w:t xml:space="preserve"> using the GAS score are based on Study 153 and Lowe (2006) at the 6 week </w:t>
      </w:r>
      <w:r w:rsidR="00FE21CA" w:rsidRPr="00146B5E">
        <w:t>time point</w:t>
      </w:r>
      <w:r w:rsidRPr="00146B5E">
        <w:t>, with data from Olesch (2010) added to the Lowe (2006) data for the comparison at 16 weeks.</w:t>
      </w:r>
      <w:r w:rsidR="00A87288" w:rsidRPr="00146B5E">
        <w:t xml:space="preserve"> </w:t>
      </w:r>
      <w:r w:rsidRPr="00146B5E">
        <w:t xml:space="preserve">The table below provides the results of the comparisons, </w:t>
      </w:r>
      <w:r w:rsidRPr="00146B5E">
        <w:rPr>
          <w:iCs/>
        </w:rPr>
        <w:t>with patient numbers and individual trial results added during the evaluation.</w:t>
      </w:r>
    </w:p>
    <w:p w:rsidR="00225026" w:rsidRPr="00146B5E" w:rsidRDefault="00225026" w:rsidP="008F42F9">
      <w:pPr>
        <w:pStyle w:val="TableFigureHeading"/>
      </w:pPr>
      <w:r w:rsidRPr="00146B5E">
        <w:lastRenderedPageBreak/>
        <w:t xml:space="preserve">Table </w:t>
      </w:r>
      <w:r w:rsidR="0014726A" w:rsidRPr="00146B5E">
        <w:t>9</w:t>
      </w:r>
      <w:r w:rsidRPr="00146B5E">
        <w:t xml:space="preserve">: Results of the indirect comparison of </w:t>
      </w:r>
      <w:r w:rsidR="0091336A" w:rsidRPr="00146B5E">
        <w:t>Dysport</w:t>
      </w:r>
      <w:r w:rsidR="0091336A" w:rsidRPr="00146B5E">
        <w:rPr>
          <w:vertAlign w:val="superscript"/>
        </w:rPr>
        <w:t>®</w:t>
      </w:r>
      <w:r w:rsidRPr="00146B5E">
        <w:t xml:space="preserve"> and </w:t>
      </w:r>
      <w:r w:rsidR="006C23C2" w:rsidRPr="00146B5E">
        <w:t>Botox</w:t>
      </w:r>
      <w:r w:rsidR="006C23C2" w:rsidRPr="00146B5E">
        <w:rPr>
          <w:vertAlign w:val="superscript"/>
        </w:rPr>
        <w:t>®</w:t>
      </w:r>
      <w:r w:rsidRPr="00146B5E">
        <w:t xml:space="preserve"> for GAS score at week 6 and week 16</w:t>
      </w:r>
    </w:p>
    <w:tbl>
      <w:tblPr>
        <w:tblStyle w:val="TableGrid"/>
        <w:tblW w:w="5000" w:type="pct"/>
        <w:jc w:val="center"/>
        <w:tblLook w:val="04A0" w:firstRow="1" w:lastRow="0" w:firstColumn="1" w:lastColumn="0" w:noHBand="0" w:noVBand="1"/>
        <w:tblCaption w:val="Table 9"/>
      </w:tblPr>
      <w:tblGrid>
        <w:gridCol w:w="1855"/>
        <w:gridCol w:w="1434"/>
        <w:gridCol w:w="2002"/>
        <w:gridCol w:w="52"/>
        <w:gridCol w:w="1239"/>
        <w:gridCol w:w="2435"/>
      </w:tblGrid>
      <w:tr w:rsidR="00225026" w:rsidRPr="00146B5E" w:rsidTr="00AC0F2C">
        <w:trPr>
          <w:tblHeade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color w:val="auto"/>
                <w:sz w:val="20"/>
                <w:szCs w:val="20"/>
              </w:rPr>
            </w:pPr>
          </w:p>
        </w:tc>
        <w:tc>
          <w:tcPr>
            <w:tcW w:w="2621" w:type="pct"/>
            <w:gridSpan w:val="4"/>
            <w:shd w:val="clear" w:color="auto" w:fill="auto"/>
            <w:vAlign w:val="center"/>
          </w:tcPr>
          <w:p w:rsidR="00225026" w:rsidRPr="001B1319" w:rsidRDefault="00225026"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Change from baseline in GAS (LSM (SD))</w:t>
            </w:r>
          </w:p>
        </w:tc>
        <w:tc>
          <w:tcPr>
            <w:tcW w:w="1350" w:type="pct"/>
            <w:vMerge w:val="restart"/>
            <w:shd w:val="clear" w:color="auto" w:fill="auto"/>
            <w:vAlign w:val="center"/>
          </w:tcPr>
          <w:p w:rsidR="00225026" w:rsidRPr="001B1319" w:rsidRDefault="00225026"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Difference in change from baseline (95% CI)</w:t>
            </w:r>
          </w:p>
        </w:tc>
      </w:tr>
      <w:tr w:rsidR="00225026" w:rsidRPr="00146B5E" w:rsidTr="00AC0F2C">
        <w:trPr>
          <w:tblHeade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Week 6</w:t>
            </w:r>
          </w:p>
        </w:tc>
        <w:tc>
          <w:tcPr>
            <w:tcW w:w="795" w:type="pct"/>
            <w:shd w:val="clear" w:color="auto" w:fill="auto"/>
            <w:vAlign w:val="center"/>
          </w:tcPr>
          <w:p w:rsidR="00225026"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r w:rsidRPr="001B1319">
              <w:rPr>
                <w:rFonts w:ascii="Arial Narrow" w:hAnsi="Arial Narrow"/>
                <w:b/>
                <w:color w:val="auto"/>
                <w:sz w:val="20"/>
                <w:szCs w:val="20"/>
                <w:vertAlign w:val="superscript"/>
              </w:rPr>
              <w:t>®</w:t>
            </w:r>
          </w:p>
        </w:tc>
        <w:tc>
          <w:tcPr>
            <w:tcW w:w="1139" w:type="pct"/>
            <w:gridSpan w:val="2"/>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a</w:t>
            </w:r>
          </w:p>
        </w:tc>
        <w:tc>
          <w:tcPr>
            <w:tcW w:w="687" w:type="pct"/>
            <w:shd w:val="clear" w:color="auto" w:fill="auto"/>
            <w:vAlign w:val="center"/>
          </w:tcPr>
          <w:p w:rsidR="00225026"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tc>
        <w:tc>
          <w:tcPr>
            <w:tcW w:w="1350" w:type="pct"/>
            <w:vMerge/>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p>
        </w:tc>
      </w:tr>
      <w:tr w:rsidR="00225026" w:rsidRPr="00146B5E" w:rsidTr="001B1319">
        <w:trP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 xml:space="preserve">N=66 </w:t>
            </w:r>
          </w:p>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52.6 (1.2)</w:t>
            </w:r>
          </w:p>
        </w:tc>
        <w:tc>
          <w:tcPr>
            <w:tcW w:w="1139" w:type="pct"/>
            <w:gridSpan w:val="2"/>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N=68</w:t>
            </w:r>
          </w:p>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52.1 (9.9)</w:t>
            </w:r>
          </w:p>
        </w:tc>
        <w:tc>
          <w:tcPr>
            <w:tcW w:w="687"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0.50 (-2.83, 3.83)</w:t>
            </w:r>
          </w:p>
        </w:tc>
      </w:tr>
      <w:tr w:rsidR="00225026" w:rsidRPr="00146B5E" w:rsidTr="001B1319">
        <w:trPr>
          <w:jc w:val="center"/>
        </w:trPr>
        <w:tc>
          <w:tcPr>
            <w:tcW w:w="1029" w:type="pct"/>
            <w:tcBorders>
              <w:bottom w:val="single" w:sz="4" w:space="0" w:color="auto"/>
            </w:tcBorders>
            <w:shd w:val="clear" w:color="auto" w:fill="auto"/>
            <w:vAlign w:val="center"/>
          </w:tcPr>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tcBorders>
              <w:bottom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N=70</w:t>
            </w:r>
          </w:p>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52.6 (1.2)</w:t>
            </w:r>
          </w:p>
        </w:tc>
        <w:tc>
          <w:tcPr>
            <w:tcW w:w="1139" w:type="pct"/>
            <w:gridSpan w:val="2"/>
            <w:tcBorders>
              <w:bottom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N=68</w:t>
            </w:r>
          </w:p>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52.1 (9.9)</w:t>
            </w:r>
          </w:p>
        </w:tc>
        <w:tc>
          <w:tcPr>
            <w:tcW w:w="687" w:type="pct"/>
            <w:tcBorders>
              <w:bottom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350" w:type="pct"/>
            <w:tcBorders>
              <w:bottom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Cs/>
                <w:color w:val="auto"/>
                <w:sz w:val="20"/>
                <w:szCs w:val="20"/>
              </w:rPr>
              <w:t>0.50 (-2.83, 3.83)</w:t>
            </w:r>
          </w:p>
        </w:tc>
      </w:tr>
      <w:tr w:rsidR="00225026" w:rsidRPr="00146B5E" w:rsidTr="001B1319">
        <w:trPr>
          <w:jc w:val="center"/>
        </w:trPr>
        <w:tc>
          <w:tcPr>
            <w:tcW w:w="3650" w:type="pct"/>
            <w:gridSpan w:val="5"/>
            <w:tcBorders>
              <w:bottom w:val="single" w:sz="4" w:space="0" w:color="auto"/>
            </w:tcBorders>
            <w:shd w:val="clear" w:color="auto" w:fill="auto"/>
            <w:vAlign w:val="center"/>
          </w:tcPr>
          <w:p w:rsidR="00225026" w:rsidRPr="001B1319" w:rsidRDefault="00225026"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p=1</w:t>
            </w:r>
            <w:r w:rsidRPr="001B1319">
              <w:rPr>
                <w:rFonts w:ascii="Arial Narrow" w:hAnsi="Arial Narrow"/>
                <w:color w:val="auto"/>
                <w:sz w:val="20"/>
                <w:szCs w:val="20"/>
                <w:vertAlign w:val="superscript"/>
              </w:rPr>
              <w:t>b</w:t>
            </w:r>
            <w:r w:rsidRPr="001B1319">
              <w:rPr>
                <w:rFonts w:ascii="Arial Narrow" w:hAnsi="Arial Narrow"/>
                <w:color w:val="auto"/>
                <w:sz w:val="20"/>
                <w:szCs w:val="20"/>
              </w:rPr>
              <w:t>)</w:t>
            </w:r>
          </w:p>
        </w:tc>
        <w:tc>
          <w:tcPr>
            <w:tcW w:w="1350" w:type="pct"/>
            <w:tcBorders>
              <w:bottom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0.50 (-1.85, 2.85)</w:t>
            </w:r>
          </w:p>
        </w:tc>
      </w:tr>
      <w:tr w:rsidR="00225026" w:rsidRPr="00146B5E" w:rsidTr="001B1319">
        <w:trPr>
          <w:jc w:val="center"/>
        </w:trPr>
        <w:tc>
          <w:tcPr>
            <w:tcW w:w="1029" w:type="pct"/>
            <w:tcBorders>
              <w:top w:val="single" w:sz="4" w:space="0" w:color="auto"/>
            </w:tcBorders>
            <w:shd w:val="clear" w:color="auto" w:fill="auto"/>
            <w:vAlign w:val="center"/>
          </w:tcPr>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Lowe 2006</w:t>
            </w:r>
          </w:p>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(4 weeks)</w:t>
            </w:r>
          </w:p>
        </w:tc>
        <w:tc>
          <w:tcPr>
            <w:tcW w:w="795" w:type="pct"/>
            <w:tcBorders>
              <w:top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39" w:type="pct"/>
            <w:gridSpan w:val="2"/>
            <w:tcBorders>
              <w:top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225026" w:rsidRPr="001B1319" w:rsidRDefault="00225026" w:rsidP="007C2FB8">
            <w:pPr>
              <w:pStyle w:val="V50Instructions"/>
              <w:keepNext/>
              <w:spacing w:before="0" w:after="0"/>
              <w:jc w:val="center"/>
              <w:rPr>
                <w:rFonts w:ascii="Arial Narrow" w:hAnsi="Arial Narrow"/>
                <w:iCs/>
                <w:color w:val="auto"/>
                <w:sz w:val="20"/>
                <w:szCs w:val="20"/>
              </w:rPr>
            </w:pPr>
            <w:r w:rsidRPr="001B1319">
              <w:rPr>
                <w:rFonts w:ascii="Arial Narrow" w:hAnsi="Arial Narrow"/>
                <w:iCs/>
                <w:color w:val="auto"/>
                <w:sz w:val="20"/>
                <w:szCs w:val="20"/>
              </w:rPr>
              <w:t>40.5 (2.6)</w:t>
            </w:r>
            <w:r w:rsidRPr="001B1319">
              <w:rPr>
                <w:rFonts w:ascii="Arial Narrow" w:hAnsi="Arial Narrow"/>
                <w:iCs/>
                <w:color w:val="auto"/>
                <w:sz w:val="20"/>
                <w:szCs w:val="20"/>
                <w:vertAlign w:val="superscript"/>
              </w:rPr>
              <w:t>c</w:t>
            </w:r>
          </w:p>
        </w:tc>
        <w:tc>
          <w:tcPr>
            <w:tcW w:w="687" w:type="pct"/>
            <w:tcBorders>
              <w:top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225026" w:rsidRPr="001B1319" w:rsidRDefault="00225026" w:rsidP="007C2FB8">
            <w:pPr>
              <w:pStyle w:val="V50Instructions"/>
              <w:keepNext/>
              <w:spacing w:before="0" w:after="0"/>
              <w:jc w:val="center"/>
              <w:rPr>
                <w:rFonts w:ascii="Arial Narrow" w:hAnsi="Arial Narrow"/>
                <w:iCs/>
                <w:color w:val="auto"/>
                <w:sz w:val="20"/>
                <w:szCs w:val="20"/>
              </w:rPr>
            </w:pPr>
            <w:r w:rsidRPr="001B1319">
              <w:rPr>
                <w:rFonts w:ascii="Arial Narrow" w:hAnsi="Arial Narrow"/>
                <w:iCs/>
                <w:color w:val="auto"/>
                <w:sz w:val="20"/>
                <w:szCs w:val="20"/>
              </w:rPr>
              <w:t>57.8 (3.0)</w:t>
            </w:r>
            <w:r w:rsidRPr="001B1319">
              <w:rPr>
                <w:rFonts w:ascii="Arial Narrow" w:hAnsi="Arial Narrow"/>
                <w:iCs/>
                <w:color w:val="auto"/>
                <w:sz w:val="20"/>
                <w:szCs w:val="20"/>
                <w:vertAlign w:val="superscript"/>
              </w:rPr>
              <w:t>c</w:t>
            </w:r>
          </w:p>
        </w:tc>
        <w:tc>
          <w:tcPr>
            <w:tcW w:w="1350" w:type="pct"/>
            <w:tcBorders>
              <w:top w:val="sing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
                <w:bCs/>
                <w:color w:val="auto"/>
                <w:sz w:val="20"/>
                <w:szCs w:val="20"/>
              </w:rPr>
              <w:t>20.30 (18.60, 22.0)</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-10.00 (-22.70, -16.00)</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-19.80 (-23.53, -16.07)</w:t>
            </w:r>
          </w:p>
        </w:tc>
      </w:tr>
      <w:tr w:rsidR="00225026" w:rsidRPr="00146B5E" w:rsidTr="001B1319">
        <w:trPr>
          <w:jc w:val="center"/>
        </w:trPr>
        <w:tc>
          <w:tcPr>
            <w:tcW w:w="3650" w:type="pct"/>
            <w:gridSpan w:val="5"/>
            <w:tcBorders>
              <w:bottom w:val="double" w:sz="4" w:space="0" w:color="auto"/>
            </w:tcBorders>
            <w:shd w:val="clear" w:color="auto" w:fill="auto"/>
            <w:vAlign w:val="center"/>
          </w:tcPr>
          <w:p w:rsidR="00225026" w:rsidRPr="001B1319" w:rsidRDefault="00225026"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tcBorders>
              <w:bottom w:val="doub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-19.80 (-23.53, -16.07)</w:t>
            </w:r>
          </w:p>
        </w:tc>
      </w:tr>
      <w:tr w:rsidR="00225026" w:rsidRPr="00146B5E" w:rsidTr="001B1319">
        <w:trPr>
          <w:jc w:val="center"/>
        </w:trPr>
        <w:tc>
          <w:tcPr>
            <w:tcW w:w="1029" w:type="pct"/>
            <w:tcBorders>
              <w:top w:val="double" w:sz="4" w:space="0" w:color="auto"/>
            </w:tcBorders>
            <w:shd w:val="clear" w:color="auto" w:fill="auto"/>
            <w:vAlign w:val="center"/>
          </w:tcPr>
          <w:p w:rsidR="00225026" w:rsidRPr="001B1319" w:rsidRDefault="00225026" w:rsidP="007C2FB8">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Week 16</w:t>
            </w:r>
          </w:p>
        </w:tc>
        <w:tc>
          <w:tcPr>
            <w:tcW w:w="795" w:type="pct"/>
            <w:tcBorders>
              <w:top w:val="double" w:sz="4" w:space="0" w:color="auto"/>
            </w:tcBorders>
            <w:shd w:val="clear" w:color="auto" w:fill="auto"/>
            <w:vAlign w:val="center"/>
          </w:tcPr>
          <w:p w:rsidR="00225026"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r w:rsidRPr="001B1319">
              <w:rPr>
                <w:rFonts w:ascii="Arial Narrow" w:hAnsi="Arial Narrow"/>
                <w:b/>
                <w:color w:val="auto"/>
                <w:sz w:val="20"/>
                <w:szCs w:val="20"/>
                <w:vertAlign w:val="superscript"/>
              </w:rPr>
              <w:t>®</w:t>
            </w:r>
          </w:p>
        </w:tc>
        <w:tc>
          <w:tcPr>
            <w:tcW w:w="1110" w:type="pct"/>
            <w:tcBorders>
              <w:top w:val="doub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a</w:t>
            </w:r>
          </w:p>
        </w:tc>
        <w:tc>
          <w:tcPr>
            <w:tcW w:w="716" w:type="pct"/>
            <w:gridSpan w:val="2"/>
            <w:tcBorders>
              <w:top w:val="double" w:sz="4" w:space="0" w:color="auto"/>
            </w:tcBorders>
            <w:shd w:val="clear" w:color="auto" w:fill="auto"/>
            <w:vAlign w:val="center"/>
          </w:tcPr>
          <w:p w:rsidR="00225026"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tc>
        <w:tc>
          <w:tcPr>
            <w:tcW w:w="1350" w:type="pct"/>
            <w:tcBorders>
              <w:top w:val="double" w:sz="4" w:space="0" w:color="auto"/>
            </w:tcBorders>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bCs/>
                <w:color w:val="auto"/>
                <w:sz w:val="20"/>
                <w:szCs w:val="20"/>
              </w:rPr>
              <w:t>Difference in change from baseline (95% CI)</w:t>
            </w:r>
          </w:p>
        </w:tc>
      </w:tr>
      <w:tr w:rsidR="00225026" w:rsidRPr="00146B5E" w:rsidTr="001B1319">
        <w:trP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N=23</w:t>
            </w:r>
          </w:p>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54.2 (1.3)</w:t>
            </w:r>
          </w:p>
        </w:tc>
        <w:tc>
          <w:tcPr>
            <w:tcW w:w="111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N=66</w:t>
            </w:r>
          </w:p>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55.1 (1.3)</w:t>
            </w:r>
          </w:p>
        </w:tc>
        <w:tc>
          <w:tcPr>
            <w:tcW w:w="716" w:type="pct"/>
            <w:gridSpan w:val="2"/>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-0.90 (-4.50, 2.70)</w:t>
            </w:r>
          </w:p>
        </w:tc>
      </w:tr>
      <w:tr w:rsidR="00225026" w:rsidRPr="00146B5E" w:rsidTr="001B1319">
        <w:trP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5"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N=19</w:t>
            </w:r>
          </w:p>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55.7 (1.3)</w:t>
            </w:r>
          </w:p>
        </w:tc>
        <w:tc>
          <w:tcPr>
            <w:tcW w:w="111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N=66</w:t>
            </w:r>
          </w:p>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55.1 (1.3)</w:t>
            </w:r>
          </w:p>
        </w:tc>
        <w:tc>
          <w:tcPr>
            <w:tcW w:w="716" w:type="pct"/>
            <w:gridSpan w:val="2"/>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0.60 (-3.00, 4.20)</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b/>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p=0.56)</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-0.15 (-2.70, 2.40)</w:t>
            </w:r>
          </w:p>
        </w:tc>
      </w:tr>
      <w:tr w:rsidR="00225026" w:rsidRPr="00146B5E" w:rsidTr="001B1319">
        <w:trP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 xml:space="preserve">Lowe 2006 </w:t>
            </w:r>
          </w:p>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(12 weeks)</w:t>
            </w:r>
          </w:p>
        </w:tc>
        <w:tc>
          <w:tcPr>
            <w:tcW w:w="795"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1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225026" w:rsidRPr="001B1319" w:rsidRDefault="00225026" w:rsidP="007C2FB8">
            <w:pPr>
              <w:pStyle w:val="V50Instructions"/>
              <w:keepNext/>
              <w:spacing w:before="0" w:after="0"/>
              <w:jc w:val="center"/>
              <w:rPr>
                <w:rFonts w:ascii="Arial Narrow" w:hAnsi="Arial Narrow"/>
                <w:iCs/>
                <w:color w:val="auto"/>
                <w:sz w:val="20"/>
                <w:szCs w:val="20"/>
              </w:rPr>
            </w:pPr>
            <w:r w:rsidRPr="001B1319">
              <w:rPr>
                <w:rFonts w:ascii="Arial Narrow" w:hAnsi="Arial Narrow"/>
                <w:iCs/>
                <w:color w:val="auto"/>
                <w:sz w:val="20"/>
                <w:szCs w:val="20"/>
              </w:rPr>
              <w:t>46.8 (2.7)</w:t>
            </w:r>
            <w:r w:rsidRPr="001B1319">
              <w:rPr>
                <w:rFonts w:ascii="Arial Narrow" w:hAnsi="Arial Narrow"/>
                <w:iCs/>
                <w:color w:val="auto"/>
                <w:sz w:val="20"/>
                <w:szCs w:val="20"/>
                <w:vertAlign w:val="superscript"/>
              </w:rPr>
              <w:t>c</w:t>
            </w:r>
          </w:p>
        </w:tc>
        <w:tc>
          <w:tcPr>
            <w:tcW w:w="716" w:type="pct"/>
            <w:gridSpan w:val="2"/>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N=21</w:t>
            </w:r>
          </w:p>
          <w:p w:rsidR="00225026" w:rsidRPr="001B1319" w:rsidRDefault="00225026" w:rsidP="007C2FB8">
            <w:pPr>
              <w:pStyle w:val="V50Instructions"/>
              <w:keepNext/>
              <w:spacing w:before="0" w:after="0"/>
              <w:jc w:val="center"/>
              <w:rPr>
                <w:rFonts w:ascii="Arial Narrow" w:hAnsi="Arial Narrow"/>
                <w:iCs/>
                <w:color w:val="auto"/>
                <w:sz w:val="20"/>
                <w:szCs w:val="20"/>
              </w:rPr>
            </w:pPr>
            <w:r w:rsidRPr="001B1319">
              <w:rPr>
                <w:rFonts w:ascii="Arial Narrow" w:hAnsi="Arial Narrow"/>
                <w:iCs/>
                <w:color w:val="auto"/>
                <w:sz w:val="20"/>
                <w:szCs w:val="20"/>
              </w:rPr>
              <w:t>61.0 (3.8)</w:t>
            </w:r>
            <w:r w:rsidRPr="001B1319">
              <w:rPr>
                <w:rFonts w:ascii="Arial Narrow" w:hAnsi="Arial Narrow"/>
                <w:iCs/>
                <w:color w:val="auto"/>
                <w:sz w:val="20"/>
                <w:szCs w:val="20"/>
                <w:vertAlign w:val="superscript"/>
              </w:rPr>
              <w:t>c</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17.20 (15.21, 19.19)</w:t>
            </w:r>
          </w:p>
        </w:tc>
      </w:tr>
      <w:tr w:rsidR="00225026" w:rsidRPr="00146B5E" w:rsidTr="001B1319">
        <w:trPr>
          <w:jc w:val="center"/>
        </w:trPr>
        <w:tc>
          <w:tcPr>
            <w:tcW w:w="1029" w:type="pct"/>
            <w:shd w:val="clear" w:color="auto" w:fill="auto"/>
            <w:vAlign w:val="center"/>
          </w:tcPr>
          <w:p w:rsidR="00225026" w:rsidRPr="001B1319" w:rsidRDefault="00225026"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Olesch (2010)</w:t>
            </w:r>
          </w:p>
        </w:tc>
        <w:tc>
          <w:tcPr>
            <w:tcW w:w="795"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1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N=11</w:t>
            </w:r>
          </w:p>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48.1 (10.1)</w:t>
            </w:r>
          </w:p>
        </w:tc>
        <w:tc>
          <w:tcPr>
            <w:tcW w:w="716" w:type="pct"/>
            <w:gridSpan w:val="2"/>
            <w:shd w:val="clear" w:color="auto" w:fill="auto"/>
            <w:vAlign w:val="center"/>
          </w:tcPr>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N=11</w:t>
            </w:r>
          </w:p>
          <w:p w:rsidR="00225026" w:rsidRPr="001B1319" w:rsidRDefault="00225026"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54.1 (9.8)</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6.00 (-2.32, 14.32)</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6C23C2" w:rsidRPr="001B1319">
              <w:rPr>
                <w:rFonts w:ascii="Arial Narrow" w:hAnsi="Arial Narrow"/>
                <w:color w:val="auto"/>
                <w:sz w:val="20"/>
                <w:szCs w:val="20"/>
              </w:rPr>
              <w:t>Botox</w:t>
            </w:r>
            <w:r w:rsidR="006C23C2" w:rsidRPr="001B1319">
              <w:rPr>
                <w:rFonts w:ascii="Arial Narrow" w:hAnsi="Arial Narrow"/>
                <w:color w:val="auto"/>
                <w:sz w:val="20"/>
                <w:szCs w:val="20"/>
                <w:vertAlign w:val="superscript"/>
              </w:rPr>
              <w:t>®</w:t>
            </w:r>
            <w:r w:rsidRPr="001B1319">
              <w:rPr>
                <w:rFonts w:ascii="Arial Narrow" w:hAnsi="Arial Narrow"/>
                <w:color w:val="auto"/>
                <w:sz w:val="20"/>
                <w:szCs w:val="20"/>
                <w:vertAlign w:val="superscript"/>
              </w:rPr>
              <w:t xml:space="preserve"> </w:t>
            </w:r>
            <w:r w:rsidRPr="001B1319">
              <w:rPr>
                <w:rFonts w:ascii="Arial Narrow" w:hAnsi="Arial Narrow"/>
                <w:color w:val="auto"/>
                <w:sz w:val="20"/>
                <w:szCs w:val="20"/>
              </w:rPr>
              <w:t>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=84.8%; p=0.01)</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12.36 (1.48, 23.23)</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-12.51 (-23.68, -1.34)</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-18.10 (-29.56, -6.64)</w:t>
            </w:r>
          </w:p>
        </w:tc>
      </w:tr>
      <w:tr w:rsidR="00225026" w:rsidRPr="00146B5E" w:rsidTr="001B1319">
        <w:trPr>
          <w:jc w:val="center"/>
        </w:trPr>
        <w:tc>
          <w:tcPr>
            <w:tcW w:w="3650" w:type="pct"/>
            <w:gridSpan w:val="5"/>
            <w:shd w:val="clear" w:color="auto" w:fill="auto"/>
            <w:vAlign w:val="center"/>
          </w:tcPr>
          <w:p w:rsidR="00225026" w:rsidRPr="001B1319" w:rsidRDefault="00225026"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(95% CI)</w:t>
            </w:r>
          </w:p>
        </w:tc>
        <w:tc>
          <w:tcPr>
            <w:tcW w:w="1350" w:type="pct"/>
            <w:shd w:val="clear" w:color="auto" w:fill="auto"/>
            <w:vAlign w:val="center"/>
          </w:tcPr>
          <w:p w:rsidR="00225026" w:rsidRPr="001B1319" w:rsidRDefault="00225026"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-16.60 (-28.06, -5.04)</w:t>
            </w:r>
          </w:p>
        </w:tc>
      </w:tr>
    </w:tbl>
    <w:p w:rsidR="00225026" w:rsidRPr="00146B5E" w:rsidRDefault="00225026" w:rsidP="008F42F9">
      <w:pPr>
        <w:pStyle w:val="TableFigureFooter"/>
      </w:pPr>
      <w:r w:rsidRPr="00146B5E">
        <w:t>Source: Table 2-57, p110; Table 2-29, p113; Figure 2-23, p144-145 of the submission.</w:t>
      </w:r>
    </w:p>
    <w:p w:rsidR="00225026" w:rsidRPr="00146B5E" w:rsidRDefault="00225026" w:rsidP="008F42F9">
      <w:pPr>
        <w:pStyle w:val="TableFigureFooter"/>
        <w:rPr>
          <w:rFonts w:eastAsia="Calibri"/>
          <w:szCs w:val="18"/>
        </w:rPr>
      </w:pPr>
      <w:r w:rsidRPr="00146B5E">
        <w:rPr>
          <w:rFonts w:eastAsia="Calibri"/>
          <w:szCs w:val="18"/>
        </w:rPr>
        <w:t xml:space="preserve">CI=confidence interval; GAS=Goal Attainment Scale; LSM=least square mean; NR=not reported; </w:t>
      </w:r>
      <w:r w:rsidRPr="00146B5E">
        <w:rPr>
          <w:rFonts w:eastAsia="Calibri"/>
          <w:b/>
          <w:bCs/>
          <w:szCs w:val="18"/>
        </w:rPr>
        <w:t>bold</w:t>
      </w:r>
      <w:r w:rsidRPr="00146B5E">
        <w:rPr>
          <w:rFonts w:eastAsia="Calibri"/>
          <w:szCs w:val="18"/>
        </w:rPr>
        <w:t>=statistically significant</w:t>
      </w:r>
    </w:p>
    <w:p w:rsidR="00225026" w:rsidRPr="00146B5E" w:rsidRDefault="00225026" w:rsidP="008F42F9">
      <w:pPr>
        <w:pStyle w:val="TableFigureFooter"/>
        <w:ind w:left="142" w:hanging="142"/>
        <w:rPr>
          <w:rFonts w:eastAsia="Calibri"/>
          <w:szCs w:val="18"/>
        </w:rPr>
      </w:pPr>
      <w:r w:rsidRPr="00146B5E">
        <w:rPr>
          <w:rFonts w:eastAsia="Calibri"/>
          <w:szCs w:val="18"/>
          <w:vertAlign w:val="superscript"/>
        </w:rPr>
        <w:t>a</w:t>
      </w:r>
      <w:r w:rsidRPr="00146B5E">
        <w:rPr>
          <w:rFonts w:eastAsia="Calibri"/>
          <w:szCs w:val="18"/>
        </w:rPr>
        <w:tab/>
        <w:t>In Study 153 the 2</w:t>
      </w:r>
      <w:r w:rsidR="00D82CE2">
        <w:rPr>
          <w:rFonts w:eastAsia="Calibri"/>
          <w:szCs w:val="18"/>
        </w:rPr>
        <w:t xml:space="preserve"> </w:t>
      </w:r>
      <w:r w:rsidRPr="00146B5E">
        <w:rPr>
          <w:rFonts w:eastAsia="Calibri"/>
          <w:szCs w:val="18"/>
        </w:rPr>
        <w:t xml:space="preserve">U/kg </w:t>
      </w:r>
      <w:r w:rsidR="0091336A" w:rsidRPr="00146B5E">
        <w:rPr>
          <w:rFonts w:eastAsia="Calibri"/>
          <w:szCs w:val="18"/>
        </w:rPr>
        <w:t>Dysport</w:t>
      </w:r>
      <w:r w:rsidR="0091336A" w:rsidRPr="00146B5E">
        <w:rPr>
          <w:rFonts w:eastAsia="Calibri"/>
          <w:szCs w:val="18"/>
          <w:vertAlign w:val="superscript"/>
        </w:rPr>
        <w:t>®</w:t>
      </w:r>
      <w:r w:rsidRPr="00146B5E">
        <w:rPr>
          <w:rFonts w:eastAsia="Calibri"/>
          <w:szCs w:val="18"/>
        </w:rPr>
        <w:t xml:space="preserve"> arm of the trial was used as the ‘no intervention’ arm. </w:t>
      </w:r>
    </w:p>
    <w:p w:rsidR="00225026" w:rsidRPr="00146B5E" w:rsidRDefault="00225026" w:rsidP="008F42F9">
      <w:pPr>
        <w:pStyle w:val="TableFigureFooter"/>
        <w:ind w:left="142" w:hanging="142"/>
        <w:rPr>
          <w:rFonts w:eastAsia="Calibri"/>
          <w:szCs w:val="18"/>
        </w:rPr>
      </w:pPr>
      <w:r w:rsidRPr="00146B5E">
        <w:rPr>
          <w:rFonts w:eastAsia="Calibri"/>
          <w:szCs w:val="18"/>
          <w:vertAlign w:val="superscript"/>
        </w:rPr>
        <w:t>b</w:t>
      </w:r>
      <w:r w:rsidRPr="00146B5E">
        <w:rPr>
          <w:rFonts w:eastAsia="Calibri"/>
          <w:szCs w:val="18"/>
        </w:rPr>
        <w:tab/>
        <w:t>As reported in Figure 2-23, p144-145 of the submission.</w:t>
      </w:r>
    </w:p>
    <w:p w:rsidR="00225026" w:rsidRPr="00146B5E" w:rsidRDefault="00225026" w:rsidP="008F42F9">
      <w:pPr>
        <w:pStyle w:val="TableFigureFooter"/>
        <w:ind w:left="142" w:hanging="142"/>
      </w:pPr>
      <w:r w:rsidRPr="00146B5E">
        <w:rPr>
          <w:rFonts w:eastAsia="Calibri"/>
          <w:i/>
          <w:iCs/>
          <w:szCs w:val="18"/>
          <w:vertAlign w:val="superscript"/>
        </w:rPr>
        <w:t>c</w:t>
      </w:r>
      <w:r w:rsidRPr="00146B5E">
        <w:rPr>
          <w:rFonts w:eastAsia="Calibri"/>
          <w:i/>
          <w:iCs/>
          <w:szCs w:val="18"/>
        </w:rPr>
        <w:tab/>
      </w:r>
      <w:r w:rsidRPr="00146B5E">
        <w:rPr>
          <w:rFonts w:eastAsia="Calibri"/>
          <w:iCs/>
          <w:szCs w:val="18"/>
        </w:rPr>
        <w:t>No information was provided as to which GAS values from Lowe (2006) were used.</w:t>
      </w:r>
      <w:r w:rsidR="00A87288" w:rsidRPr="00146B5E">
        <w:rPr>
          <w:rFonts w:eastAsia="Calibri"/>
          <w:iCs/>
          <w:szCs w:val="18"/>
        </w:rPr>
        <w:t xml:space="preserve"> </w:t>
      </w:r>
      <w:r w:rsidRPr="00146B5E">
        <w:rPr>
          <w:rFonts w:eastAsia="Calibri"/>
          <w:iCs/>
          <w:szCs w:val="18"/>
        </w:rPr>
        <w:t>The submission stated (p144) that GAS was measured by the family or therapist in Lowe (2006) but the submission did not indicate if the family GAS, therapist GAS or combined GAS scores were used.</w:t>
      </w:r>
      <w:r w:rsidR="00A87288" w:rsidRPr="00146B5E">
        <w:rPr>
          <w:rFonts w:eastAsia="Calibri"/>
          <w:iCs/>
          <w:szCs w:val="18"/>
        </w:rPr>
        <w:t xml:space="preserve"> </w:t>
      </w:r>
      <w:r w:rsidRPr="00146B5E">
        <w:rPr>
          <w:rFonts w:eastAsia="Calibri"/>
          <w:iCs/>
          <w:szCs w:val="18"/>
        </w:rPr>
        <w:t>For this table, the therapist GAS scores have been provided</w:t>
      </w:r>
    </w:p>
    <w:p w:rsidR="00225026" w:rsidRPr="00146B5E" w:rsidRDefault="00225026" w:rsidP="00FE21CA">
      <w:pPr>
        <w:pStyle w:val="3-BodyText"/>
        <w:ind w:left="720"/>
      </w:pPr>
      <w:r w:rsidRPr="00146B5E">
        <w:t xml:space="preserve">The analyses of change from baseline in GAS score showed that </w:t>
      </w:r>
      <w:r w:rsidR="006C23C2" w:rsidRPr="00146B5E">
        <w:t>Botox®</w:t>
      </w:r>
      <w:r w:rsidRPr="00146B5E">
        <w:t xml:space="preserve"> was statistically significantly more effective than </w:t>
      </w:r>
      <w:r w:rsidR="0091336A" w:rsidRPr="00146B5E">
        <w:t>Dysport®</w:t>
      </w:r>
      <w:r w:rsidRPr="00146B5E">
        <w:t xml:space="preserve"> at improving GAS score, for all indirect comparisons.</w:t>
      </w:r>
      <w:r w:rsidR="00A87288" w:rsidRPr="00146B5E">
        <w:t xml:space="preserve"> </w:t>
      </w:r>
      <w:r w:rsidRPr="00146B5E">
        <w:rPr>
          <w:iCs/>
        </w:rPr>
        <w:t xml:space="preserve">These results </w:t>
      </w:r>
      <w:r w:rsidR="007452C0" w:rsidRPr="00146B5E">
        <w:rPr>
          <w:iCs/>
        </w:rPr>
        <w:t>were influenced by</w:t>
      </w:r>
      <w:r w:rsidRPr="00146B5E">
        <w:rPr>
          <w:iCs/>
        </w:rPr>
        <w:t xml:space="preserve"> the Lowe (2006) </w:t>
      </w:r>
      <w:r w:rsidR="007452C0" w:rsidRPr="00146B5E">
        <w:rPr>
          <w:iCs/>
        </w:rPr>
        <w:t>trial</w:t>
      </w:r>
      <w:r w:rsidRPr="00146B5E">
        <w:rPr>
          <w:iCs/>
        </w:rPr>
        <w:t xml:space="preserve">, as when it was removed from the week 16 analysis there was no longer a statistically significant difference between </w:t>
      </w:r>
      <w:r w:rsidR="0091336A" w:rsidRPr="00146B5E">
        <w:rPr>
          <w:iCs/>
        </w:rPr>
        <w:t>Dysport®</w:t>
      </w:r>
      <w:r w:rsidRPr="00146B5E">
        <w:rPr>
          <w:iCs/>
        </w:rPr>
        <w:t xml:space="preserve"> and </w:t>
      </w:r>
      <w:r w:rsidR="006C23C2" w:rsidRPr="00146B5E">
        <w:rPr>
          <w:iCs/>
        </w:rPr>
        <w:t>Botox®</w:t>
      </w:r>
      <w:r w:rsidRPr="00146B5E">
        <w:rPr>
          <w:iCs/>
        </w:rPr>
        <w:t xml:space="preserve"> for both the 8</w:t>
      </w:r>
      <w:r w:rsidR="00D82CE2">
        <w:rPr>
          <w:iCs/>
        </w:rPr>
        <w:t xml:space="preserve"> </w:t>
      </w:r>
      <w:r w:rsidRPr="00146B5E">
        <w:rPr>
          <w:iCs/>
        </w:rPr>
        <w:t>U/kg group (-6.90; 95% CI: -15.96, 2.16) and the 16</w:t>
      </w:r>
      <w:r w:rsidR="00D82CE2">
        <w:rPr>
          <w:iCs/>
        </w:rPr>
        <w:t xml:space="preserve"> </w:t>
      </w:r>
      <w:r w:rsidRPr="00146B5E">
        <w:rPr>
          <w:iCs/>
        </w:rPr>
        <w:t>U/kg group (-5.40; 95% CI: -14.46, 3.66).</w:t>
      </w:r>
    </w:p>
    <w:p w:rsidR="00225026" w:rsidRPr="00146B5E" w:rsidRDefault="00225026" w:rsidP="00FE21CA">
      <w:pPr>
        <w:pStyle w:val="3-BodyText"/>
        <w:ind w:left="720"/>
      </w:pPr>
      <w:r w:rsidRPr="00146B5E">
        <w:t xml:space="preserve">The submission stated </w:t>
      </w:r>
      <w:r w:rsidR="005E73FE" w:rsidRPr="00146B5E">
        <w:t>t</w:t>
      </w:r>
      <w:r w:rsidRPr="00146B5E">
        <w:t>hat the results for the GAS score should be interpreted with care given that GAS was measured in different ways in the trials (investigator in Study 153; family or therapist in Lowe 2006; GAS T scores in Olesch 2010).</w:t>
      </w:r>
      <w:r w:rsidR="00A87288" w:rsidRPr="00146B5E">
        <w:t xml:space="preserve"> </w:t>
      </w:r>
      <w:r w:rsidRPr="00146B5E">
        <w:t xml:space="preserve">The submission also noted that the statistically significant differences in favour of </w:t>
      </w:r>
      <w:r w:rsidR="006C23C2" w:rsidRPr="00146B5E">
        <w:t>Botox®</w:t>
      </w:r>
      <w:r w:rsidRPr="00146B5E">
        <w:t xml:space="preserve"> were a consequence of the larger placebo effect in Study 153, where the ‘no intervention’ arm received 2</w:t>
      </w:r>
      <w:r w:rsidR="00D82CE2">
        <w:t xml:space="preserve"> </w:t>
      </w:r>
      <w:r w:rsidRPr="00146B5E">
        <w:t xml:space="preserve">U/kg of </w:t>
      </w:r>
      <w:r w:rsidR="0091336A" w:rsidRPr="00146B5E">
        <w:t>Dysport®</w:t>
      </w:r>
      <w:r w:rsidRPr="00146B5E">
        <w:t xml:space="preserve"> along with a rehabilitation program.</w:t>
      </w:r>
      <w:r w:rsidR="00A87288" w:rsidRPr="00146B5E">
        <w:t xml:space="preserve"> </w:t>
      </w:r>
      <w:r w:rsidRPr="00146B5E">
        <w:t xml:space="preserve">The submission claimed that the difference in change from baseline was smaller for </w:t>
      </w:r>
      <w:r w:rsidR="0091336A" w:rsidRPr="00146B5E">
        <w:t>Dysport®</w:t>
      </w:r>
      <w:r w:rsidRPr="00146B5E">
        <w:t xml:space="preserve"> than for </w:t>
      </w:r>
      <w:r w:rsidR="006C23C2" w:rsidRPr="00146B5E">
        <w:t>Botox®</w:t>
      </w:r>
      <w:r w:rsidRPr="00146B5E">
        <w:t xml:space="preserve"> when compared to no intervention, resulting in an unfair comparison.</w:t>
      </w:r>
      <w:r w:rsidR="00A87288" w:rsidRPr="00146B5E">
        <w:t xml:space="preserve"> </w:t>
      </w:r>
      <w:r w:rsidRPr="00146B5E">
        <w:rPr>
          <w:iCs/>
        </w:rPr>
        <w:t xml:space="preserve">The </w:t>
      </w:r>
      <w:r w:rsidRPr="00146B5E">
        <w:rPr>
          <w:iCs/>
        </w:rPr>
        <w:lastRenderedPageBreak/>
        <w:t>magnitude of any impact on the comparisons is difficult to determine, particularly since patients in Lowe (2006) and Olesch (2010) also received occupational therapy.</w:t>
      </w:r>
    </w:p>
    <w:p w:rsidR="00222DF4" w:rsidRPr="00146B5E" w:rsidRDefault="00222DF4" w:rsidP="00222DF4">
      <w:pPr>
        <w:pStyle w:val="4-SubsectionHeading"/>
      </w:pPr>
      <w:bookmarkStart w:id="16" w:name="_Toc40214625"/>
      <w:r w:rsidRPr="00146B5E">
        <w:t>Comparative harms</w:t>
      </w:r>
      <w:bookmarkEnd w:id="16"/>
    </w:p>
    <w:p w:rsidR="00090484" w:rsidRPr="00146B5E" w:rsidRDefault="00956238" w:rsidP="001B1319">
      <w:pPr>
        <w:pStyle w:val="3-BodyText"/>
        <w:ind w:left="720"/>
      </w:pPr>
      <w:r w:rsidRPr="00146B5E">
        <w:t xml:space="preserve">The submission provided indirect comparisons of </w:t>
      </w:r>
      <w:r w:rsidR="0091336A" w:rsidRPr="00146B5E">
        <w:t>Dysport®</w:t>
      </w:r>
      <w:r w:rsidRPr="00146B5E">
        <w:t xml:space="preserve"> and </w:t>
      </w:r>
      <w:r w:rsidR="006C23C2" w:rsidRPr="00146B5E">
        <w:t>Botox®</w:t>
      </w:r>
      <w:r w:rsidRPr="00146B5E">
        <w:t xml:space="preserve"> usin</w:t>
      </w:r>
      <w:r w:rsidR="00B470FF" w:rsidRPr="00146B5E">
        <w:t>g grouped adverse events (AEs).</w:t>
      </w:r>
      <w:r w:rsidRPr="00146B5E">
        <w:t xml:space="preserve"> The analyses included overall AEs, serious AEs, treatment-related AEs and discontinuations due to AEs, with data from Study 153 for </w:t>
      </w:r>
      <w:r w:rsidR="0091336A" w:rsidRPr="00146B5E">
        <w:t>Dysport®</w:t>
      </w:r>
      <w:r w:rsidRPr="00146B5E">
        <w:t xml:space="preserve"> sourced from the 16 week timepoint, and for </w:t>
      </w:r>
      <w:r w:rsidR="006C23C2" w:rsidRPr="00146B5E">
        <w:t>Botox®</w:t>
      </w:r>
      <w:r w:rsidRPr="00146B5E">
        <w:t>, week 12 for Fehlings (2018) and week 52 for Olesch (2010).</w:t>
      </w:r>
      <w:r w:rsidR="00A87288" w:rsidRPr="00146B5E">
        <w:t xml:space="preserve"> </w:t>
      </w:r>
      <w:r w:rsidRPr="00146B5E">
        <w:t>Results are provided in the table below.</w:t>
      </w:r>
    </w:p>
    <w:p w:rsidR="00956238" w:rsidRPr="00146B5E" w:rsidRDefault="002935E0" w:rsidP="008F42F9">
      <w:pPr>
        <w:pStyle w:val="TableFigureHeading"/>
      </w:pPr>
      <w:r w:rsidRPr="00146B5E">
        <w:lastRenderedPageBreak/>
        <w:t xml:space="preserve">Table </w:t>
      </w:r>
      <w:r w:rsidR="00844F8E" w:rsidRPr="00146B5E">
        <w:t>10:</w:t>
      </w:r>
      <w:r w:rsidRPr="00146B5E">
        <w:t xml:space="preserve"> Results of the indirect comparison of </w:t>
      </w:r>
      <w:r w:rsidR="0091336A" w:rsidRPr="00146B5E">
        <w:t>Dysport</w:t>
      </w:r>
      <w:r w:rsidR="0091336A" w:rsidRPr="00146B5E">
        <w:rPr>
          <w:vertAlign w:val="superscript"/>
        </w:rPr>
        <w:t>®</w:t>
      </w:r>
      <w:r w:rsidRPr="00146B5E">
        <w:t xml:space="preserve"> and </w:t>
      </w:r>
      <w:r w:rsidR="006C23C2" w:rsidRPr="00146B5E">
        <w:t>Botox</w:t>
      </w:r>
      <w:r w:rsidR="006C23C2" w:rsidRPr="00146B5E">
        <w:rPr>
          <w:vertAlign w:val="superscript"/>
        </w:rPr>
        <w:t>®</w:t>
      </w:r>
      <w:r w:rsidRPr="00146B5E">
        <w:t xml:space="preserve"> for safety outcomes</w:t>
      </w:r>
    </w:p>
    <w:tbl>
      <w:tblPr>
        <w:tblStyle w:val="TableGrid"/>
        <w:tblW w:w="5000" w:type="pct"/>
        <w:jc w:val="center"/>
        <w:tblLook w:val="04A0" w:firstRow="1" w:lastRow="0" w:firstColumn="1" w:lastColumn="0" w:noHBand="0" w:noVBand="1"/>
        <w:tblCaption w:val="Table 10"/>
      </w:tblPr>
      <w:tblGrid>
        <w:gridCol w:w="2001"/>
        <w:gridCol w:w="1432"/>
        <w:gridCol w:w="2141"/>
        <w:gridCol w:w="1302"/>
        <w:gridCol w:w="2141"/>
      </w:tblGrid>
      <w:tr w:rsidR="002935E0" w:rsidRPr="00146B5E" w:rsidTr="00AC0F2C">
        <w:trPr>
          <w:tblHeade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Overall AEs</w:t>
            </w:r>
          </w:p>
        </w:tc>
        <w:tc>
          <w:tcPr>
            <w:tcW w:w="794" w:type="pct"/>
            <w:shd w:val="clear" w:color="auto" w:fill="auto"/>
            <w:vAlign w:val="center"/>
          </w:tcPr>
          <w:p w:rsidR="002935E0"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r w:rsidRPr="001B1319">
              <w:rPr>
                <w:rFonts w:ascii="Arial Narrow" w:hAnsi="Arial Narrow"/>
                <w:b/>
                <w:color w:val="auto"/>
                <w:sz w:val="20"/>
                <w:szCs w:val="20"/>
                <w:vertAlign w:val="superscript"/>
              </w:rPr>
              <w:t>®</w:t>
            </w:r>
            <w:r w:rsidR="002935E0" w:rsidRPr="001B1319">
              <w:rPr>
                <w:rFonts w:ascii="Arial Narrow" w:hAnsi="Arial Narrow"/>
                <w:b/>
                <w:color w:val="auto"/>
                <w:sz w:val="20"/>
                <w:szCs w:val="20"/>
              </w:rPr>
              <w:t xml:space="preserve"> </w:t>
            </w:r>
          </w:p>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n/N (%)</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a</w:t>
            </w:r>
            <w:r w:rsidRPr="001B1319">
              <w:rPr>
                <w:rFonts w:ascii="Arial Narrow" w:hAnsi="Arial Narrow"/>
                <w:b/>
                <w:color w:val="auto"/>
                <w:sz w:val="20"/>
                <w:szCs w:val="20"/>
              </w:rPr>
              <w:t xml:space="preserve"> n/N (%)</w:t>
            </w:r>
          </w:p>
        </w:tc>
        <w:tc>
          <w:tcPr>
            <w:tcW w:w="722" w:type="pct"/>
            <w:shd w:val="clear" w:color="auto" w:fill="auto"/>
            <w:vAlign w:val="center"/>
          </w:tcPr>
          <w:p w:rsidR="002935E0"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n/N (%)</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RR (95% CI)</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40/70 (57.1%)</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45/70 (64.3%)</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0.89 (0.68, 1.16)</w:t>
            </w:r>
          </w:p>
        </w:tc>
      </w:tr>
      <w:tr w:rsidR="002935E0" w:rsidRPr="00146B5E" w:rsidTr="001B1319">
        <w:trPr>
          <w:jc w:val="center"/>
        </w:trPr>
        <w:tc>
          <w:tcPr>
            <w:tcW w:w="1110" w:type="pct"/>
            <w:tcBorders>
              <w:bottom w:val="single" w:sz="4" w:space="0" w:color="auto"/>
            </w:tcBorders>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tcBorders>
              <w:bottom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33/70 (47.1%)</w:t>
            </w:r>
          </w:p>
        </w:tc>
        <w:tc>
          <w:tcPr>
            <w:tcW w:w="1187" w:type="pct"/>
            <w:tcBorders>
              <w:bottom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45/70 (64.3%)</w:t>
            </w:r>
          </w:p>
        </w:tc>
        <w:tc>
          <w:tcPr>
            <w:tcW w:w="722" w:type="pct"/>
            <w:tcBorders>
              <w:bottom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tcBorders>
              <w:bottom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0.73 (0.54, 0.99)</w:t>
            </w:r>
          </w:p>
        </w:tc>
      </w:tr>
      <w:tr w:rsidR="002935E0" w:rsidRPr="00146B5E" w:rsidTr="001B1319">
        <w:trPr>
          <w:jc w:val="center"/>
        </w:trPr>
        <w:tc>
          <w:tcPr>
            <w:tcW w:w="3813" w:type="pct"/>
            <w:gridSpan w:val="4"/>
            <w:tcBorders>
              <w:bottom w:val="single" w:sz="4" w:space="0" w:color="auto"/>
            </w:tcBorders>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p=0.35)</w:t>
            </w:r>
          </w:p>
        </w:tc>
        <w:tc>
          <w:tcPr>
            <w:tcW w:w="1187" w:type="pct"/>
            <w:tcBorders>
              <w:bottom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0.82 (0.67, 1.00)</w:t>
            </w:r>
          </w:p>
        </w:tc>
      </w:tr>
      <w:tr w:rsidR="002935E0" w:rsidRPr="00146B5E" w:rsidTr="001B1319">
        <w:trPr>
          <w:jc w:val="center"/>
        </w:trPr>
        <w:tc>
          <w:tcPr>
            <w:tcW w:w="1110"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Olesch 2010</w:t>
            </w:r>
          </w:p>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(52 weeks)</w:t>
            </w:r>
          </w:p>
        </w:tc>
        <w:tc>
          <w:tcPr>
            <w:tcW w:w="794"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i/>
                <w:iCs/>
                <w:color w:val="auto"/>
                <w:sz w:val="20"/>
                <w:szCs w:val="20"/>
              </w:rPr>
            </w:pPr>
            <w:r w:rsidRPr="001B1319">
              <w:rPr>
                <w:rFonts w:ascii="Arial Narrow" w:hAnsi="Arial Narrow"/>
                <w:color w:val="auto"/>
                <w:sz w:val="20"/>
                <w:szCs w:val="20"/>
              </w:rPr>
              <w:t>0/11 (0%)</w:t>
            </w:r>
          </w:p>
        </w:tc>
        <w:tc>
          <w:tcPr>
            <w:tcW w:w="722"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i/>
                <w:iCs/>
                <w:color w:val="auto"/>
                <w:sz w:val="20"/>
                <w:szCs w:val="20"/>
              </w:rPr>
            </w:pPr>
            <w:r w:rsidRPr="001B1319">
              <w:rPr>
                <w:rFonts w:ascii="Arial Narrow" w:hAnsi="Arial Narrow"/>
                <w:color w:val="auto"/>
                <w:sz w:val="20"/>
                <w:szCs w:val="20"/>
              </w:rPr>
              <w:t>3/11(27.3%)</w:t>
            </w:r>
          </w:p>
        </w:tc>
        <w:tc>
          <w:tcPr>
            <w:tcW w:w="1187"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7.00 (0.40, 121.39)</w:t>
            </w:r>
          </w:p>
        </w:tc>
      </w:tr>
      <w:tr w:rsidR="002935E0" w:rsidRPr="00146B5E" w:rsidTr="001B1319">
        <w:trPr>
          <w:jc w:val="center"/>
        </w:trPr>
        <w:tc>
          <w:tcPr>
            <w:tcW w:w="1110"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Fehlings 2018</w:t>
            </w:r>
          </w:p>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(12 weeks)</w:t>
            </w:r>
          </w:p>
        </w:tc>
        <w:tc>
          <w:tcPr>
            <w:tcW w:w="794"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33/79 (41.8%)</w:t>
            </w:r>
          </w:p>
        </w:tc>
        <w:tc>
          <w:tcPr>
            <w:tcW w:w="722"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69/155(44.5%)</w:t>
            </w:r>
          </w:p>
        </w:tc>
        <w:tc>
          <w:tcPr>
            <w:tcW w:w="1187" w:type="pct"/>
            <w:tcBorders>
              <w:top w:val="sing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b/>
                <w:bCs/>
                <w:color w:val="auto"/>
                <w:sz w:val="20"/>
                <w:szCs w:val="20"/>
              </w:rPr>
            </w:pPr>
            <w:r w:rsidRPr="001B1319">
              <w:rPr>
                <w:rFonts w:ascii="Arial Narrow" w:hAnsi="Arial Narrow"/>
                <w:bCs/>
                <w:color w:val="auto"/>
                <w:sz w:val="20"/>
                <w:szCs w:val="20"/>
              </w:rPr>
              <w:t>1.07 (0.78, 1.46)</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color w:val="auto"/>
                <w:sz w:val="20"/>
                <w:szCs w:val="20"/>
              </w:rPr>
              <w:t xml:space="preserve">pooled </w:t>
            </w:r>
            <w:r w:rsidR="006C23C2" w:rsidRPr="001B1319">
              <w:rPr>
                <w:rFonts w:ascii="Arial Narrow" w:hAnsi="Arial Narrow"/>
                <w:color w:val="auto"/>
                <w:sz w:val="20"/>
                <w:szCs w:val="20"/>
              </w:rPr>
              <w:t>Botox</w:t>
            </w:r>
            <w:r w:rsidR="006C23C2"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p=1</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1.07 (0.78, 1.46)</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 xml:space="preserve">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0.77 (0.53, 1.11)</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0.57 (0.13, 2.57)</w:t>
            </w:r>
          </w:p>
        </w:tc>
      </w:tr>
      <w:tr w:rsidR="002935E0" w:rsidRPr="00146B5E" w:rsidTr="001B1319">
        <w:trPr>
          <w:jc w:val="center"/>
        </w:trPr>
        <w:tc>
          <w:tcPr>
            <w:tcW w:w="3813" w:type="pct"/>
            <w:gridSpan w:val="4"/>
            <w:tcBorders>
              <w:bottom w:val="double" w:sz="4" w:space="0" w:color="auto"/>
            </w:tcBorders>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pooled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tcBorders>
              <w:bottom w:val="doub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0.47 (0.10, 2.14)</w:t>
            </w:r>
          </w:p>
        </w:tc>
      </w:tr>
      <w:tr w:rsidR="002935E0" w:rsidRPr="00146B5E" w:rsidTr="001B1319">
        <w:trPr>
          <w:jc w:val="center"/>
        </w:trPr>
        <w:tc>
          <w:tcPr>
            <w:tcW w:w="1110" w:type="pct"/>
            <w:tcBorders>
              <w:top w:val="double" w:sz="4" w:space="0" w:color="auto"/>
            </w:tcBorders>
            <w:shd w:val="clear" w:color="auto" w:fill="auto"/>
            <w:vAlign w:val="center"/>
          </w:tcPr>
          <w:p w:rsidR="002935E0" w:rsidRPr="001B1319" w:rsidRDefault="002935E0" w:rsidP="007C2FB8">
            <w:pPr>
              <w:pStyle w:val="V50Instructions"/>
              <w:keepNext/>
              <w:spacing w:before="0" w:after="0"/>
              <w:jc w:val="left"/>
              <w:rPr>
                <w:rFonts w:ascii="Arial Narrow" w:hAnsi="Arial Narrow"/>
                <w:b/>
                <w:color w:val="auto"/>
                <w:sz w:val="20"/>
                <w:szCs w:val="20"/>
              </w:rPr>
            </w:pPr>
            <w:r w:rsidRPr="001B1319">
              <w:rPr>
                <w:rFonts w:ascii="Arial Narrow" w:hAnsi="Arial Narrow"/>
                <w:b/>
                <w:color w:val="auto"/>
                <w:sz w:val="20"/>
                <w:szCs w:val="20"/>
              </w:rPr>
              <w:t>Serious AEs</w:t>
            </w:r>
          </w:p>
        </w:tc>
        <w:tc>
          <w:tcPr>
            <w:tcW w:w="794" w:type="pct"/>
            <w:tcBorders>
              <w:top w:val="double" w:sz="4" w:space="0" w:color="auto"/>
            </w:tcBorders>
            <w:shd w:val="clear" w:color="auto" w:fill="auto"/>
            <w:vAlign w:val="center"/>
          </w:tcPr>
          <w:p w:rsidR="002935E0"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p>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n/N (%)</w:t>
            </w:r>
          </w:p>
        </w:tc>
        <w:tc>
          <w:tcPr>
            <w:tcW w:w="1187" w:type="pct"/>
            <w:tcBorders>
              <w:top w:val="doub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a</w:t>
            </w:r>
            <w:r w:rsidRPr="001B1319">
              <w:rPr>
                <w:rFonts w:ascii="Arial Narrow" w:hAnsi="Arial Narrow"/>
                <w:b/>
                <w:color w:val="auto"/>
                <w:sz w:val="20"/>
                <w:szCs w:val="20"/>
              </w:rPr>
              <w:t xml:space="preserve"> n/N (%)</w:t>
            </w:r>
          </w:p>
        </w:tc>
        <w:tc>
          <w:tcPr>
            <w:tcW w:w="722" w:type="pct"/>
            <w:tcBorders>
              <w:top w:val="double" w:sz="4" w:space="0" w:color="auto"/>
            </w:tcBorders>
            <w:shd w:val="clear" w:color="auto" w:fill="auto"/>
            <w:vAlign w:val="center"/>
          </w:tcPr>
          <w:p w:rsidR="002935E0"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n/N (%)</w:t>
            </w:r>
          </w:p>
        </w:tc>
        <w:tc>
          <w:tcPr>
            <w:tcW w:w="1187" w:type="pct"/>
            <w:tcBorders>
              <w:top w:val="double" w:sz="4" w:space="0" w:color="auto"/>
            </w:tcBorders>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RR (95% CI)</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3/70 (2.9%)</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2/70 (2.9%)</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0.67 (0.11, 3.87)</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b/>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3/70 (2.9%)</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2/70 (2.9%)</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0.67 (0.11, 3.87)</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p=1)</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0.67 (0.19, 2.31)</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Fehlings 2018</w:t>
            </w:r>
          </w:p>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(12 weeks)</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1/79 (1.3%)</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4/155 (2.6%)</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2.04 (0.23, 17.94)</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0.33 (0.03, 4.00)</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0.33 (0.02, 5.36)</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0.33 (0.02, 5.36)</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b/>
                <w:bCs/>
                <w:color w:val="auto"/>
                <w:sz w:val="20"/>
                <w:szCs w:val="20"/>
              </w:rPr>
            </w:pPr>
            <w:r w:rsidRPr="001B1319">
              <w:rPr>
                <w:rFonts w:ascii="Arial Narrow" w:hAnsi="Arial Narrow"/>
                <w:b/>
                <w:bCs/>
                <w:color w:val="auto"/>
                <w:sz w:val="20"/>
                <w:szCs w:val="20"/>
              </w:rPr>
              <w:t>Treatment-related AEs</w:t>
            </w:r>
          </w:p>
        </w:tc>
        <w:tc>
          <w:tcPr>
            <w:tcW w:w="794" w:type="pct"/>
            <w:shd w:val="clear" w:color="auto" w:fill="auto"/>
            <w:vAlign w:val="center"/>
          </w:tcPr>
          <w:p w:rsidR="002935E0"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p>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b/>
                <w:color w:val="auto"/>
                <w:sz w:val="20"/>
                <w:szCs w:val="20"/>
              </w:rPr>
              <w:t>n/N (%)</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a</w:t>
            </w:r>
            <w:r w:rsidRPr="001B1319">
              <w:rPr>
                <w:rFonts w:ascii="Arial Narrow" w:hAnsi="Arial Narrow"/>
                <w:b/>
                <w:color w:val="auto"/>
                <w:sz w:val="20"/>
                <w:szCs w:val="20"/>
              </w:rPr>
              <w:t xml:space="preserve"> n/N (%)</w:t>
            </w:r>
          </w:p>
        </w:tc>
        <w:tc>
          <w:tcPr>
            <w:tcW w:w="722" w:type="pct"/>
            <w:shd w:val="clear" w:color="auto" w:fill="auto"/>
            <w:vAlign w:val="center"/>
          </w:tcPr>
          <w:p w:rsidR="002935E0"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b/>
                <w:color w:val="auto"/>
                <w:sz w:val="20"/>
                <w:szCs w:val="20"/>
              </w:rPr>
              <w:t>n/N (%)</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
                <w:color w:val="auto"/>
                <w:sz w:val="20"/>
                <w:szCs w:val="20"/>
              </w:rPr>
              <w:t>RR (95%CI)</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6/70 (8.6%)</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2/70 (2.9%)</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3.00 (0.63, 14.36)</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6/70 (8.6%)</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2/70 (2.9%)</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3.00 (0.63, 14.36)</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p=1)</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3.00 (0.99, 9.08)</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Fehlings 2018</w:t>
            </w:r>
          </w:p>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(12 weeks)</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2/79 (2.5%)</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14/155 (9.0%)</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3.57 (0.83, 15.31)</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0.84 (0.13, 5.24)</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vertAlign w:val="superscript"/>
              </w:rPr>
              <w:t xml:space="preserve"> </w:t>
            </w:r>
            <w:r w:rsidRPr="001B1319">
              <w:rPr>
                <w:rFonts w:ascii="Arial Narrow" w:hAnsi="Arial Narrow"/>
                <w:bCs/>
                <w:color w:val="auto"/>
                <w:sz w:val="20"/>
                <w:szCs w:val="20"/>
              </w:rPr>
              <w:t>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0.84 (0.10, 7.14)</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0.84 (0.10, 7.14)</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b/>
                <w:bCs/>
                <w:color w:val="auto"/>
                <w:sz w:val="20"/>
                <w:szCs w:val="20"/>
              </w:rPr>
            </w:pPr>
            <w:r w:rsidRPr="001B1319">
              <w:rPr>
                <w:rFonts w:ascii="Arial Narrow" w:hAnsi="Arial Narrow"/>
                <w:b/>
                <w:bCs/>
                <w:color w:val="auto"/>
                <w:sz w:val="20"/>
                <w:szCs w:val="20"/>
              </w:rPr>
              <w:t>Discontinuation due to AEs</w:t>
            </w:r>
          </w:p>
        </w:tc>
        <w:tc>
          <w:tcPr>
            <w:tcW w:w="794" w:type="pct"/>
            <w:shd w:val="clear" w:color="auto" w:fill="auto"/>
            <w:vAlign w:val="center"/>
          </w:tcPr>
          <w:p w:rsidR="002935E0" w:rsidRPr="001B1319" w:rsidRDefault="0091336A"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Dysport®</w:t>
            </w:r>
          </w:p>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b/>
                <w:color w:val="auto"/>
                <w:sz w:val="20"/>
                <w:szCs w:val="20"/>
              </w:rPr>
              <w:t>n/N (%)</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 xml:space="preserve">Common reference </w:t>
            </w:r>
          </w:p>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b/>
                <w:color w:val="auto"/>
                <w:sz w:val="20"/>
                <w:szCs w:val="20"/>
              </w:rPr>
              <w:t>no intervention</w:t>
            </w:r>
            <w:r w:rsidRPr="001B1319">
              <w:rPr>
                <w:rFonts w:ascii="Arial Narrow" w:hAnsi="Arial Narrow"/>
                <w:b/>
                <w:color w:val="auto"/>
                <w:sz w:val="20"/>
                <w:szCs w:val="20"/>
                <w:vertAlign w:val="superscript"/>
              </w:rPr>
              <w:t>a</w:t>
            </w:r>
            <w:r w:rsidRPr="001B1319">
              <w:rPr>
                <w:rFonts w:ascii="Arial Narrow" w:hAnsi="Arial Narrow"/>
                <w:b/>
                <w:color w:val="auto"/>
                <w:sz w:val="20"/>
                <w:szCs w:val="20"/>
              </w:rPr>
              <w:t xml:space="preserve"> n/N (%)</w:t>
            </w:r>
          </w:p>
        </w:tc>
        <w:tc>
          <w:tcPr>
            <w:tcW w:w="722" w:type="pct"/>
            <w:shd w:val="clear" w:color="auto" w:fill="auto"/>
            <w:vAlign w:val="center"/>
          </w:tcPr>
          <w:p w:rsidR="002935E0" w:rsidRPr="001B1319" w:rsidRDefault="006C23C2" w:rsidP="007C2FB8">
            <w:pPr>
              <w:pStyle w:val="V50Instructions"/>
              <w:keepNext/>
              <w:spacing w:before="0" w:after="0"/>
              <w:jc w:val="center"/>
              <w:rPr>
                <w:rFonts w:ascii="Arial Narrow" w:hAnsi="Arial Narrow"/>
                <w:b/>
                <w:color w:val="auto"/>
                <w:sz w:val="20"/>
                <w:szCs w:val="20"/>
              </w:rPr>
            </w:pPr>
            <w:r w:rsidRPr="001B1319">
              <w:rPr>
                <w:rFonts w:ascii="Arial Narrow" w:hAnsi="Arial Narrow"/>
                <w:b/>
                <w:color w:val="auto"/>
                <w:sz w:val="20"/>
                <w:szCs w:val="20"/>
              </w:rPr>
              <w:t>Botox</w:t>
            </w:r>
            <w:r w:rsidRPr="001B1319">
              <w:rPr>
                <w:rFonts w:ascii="Arial Narrow" w:hAnsi="Arial Narrow"/>
                <w:b/>
                <w:color w:val="auto"/>
                <w:sz w:val="20"/>
                <w:szCs w:val="20"/>
                <w:vertAlign w:val="superscript"/>
              </w:rPr>
              <w:t>®</w:t>
            </w:r>
          </w:p>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b/>
                <w:color w:val="auto"/>
                <w:sz w:val="20"/>
                <w:szCs w:val="20"/>
              </w:rPr>
              <w:t>n/N (%)</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
                <w:color w:val="auto"/>
                <w:sz w:val="20"/>
                <w:szCs w:val="20"/>
              </w:rPr>
              <w:t>RR (95%CI)</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8</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0/70 (0%)</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2/70 (2.9%)</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0.20 (0.01, 4.09)</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16</w:t>
            </w:r>
            <w:r w:rsidR="00D82CE2" w:rsidRPr="001B1319">
              <w:rPr>
                <w:rFonts w:ascii="Arial Narrow" w:hAnsi="Arial Narrow"/>
                <w:color w:val="auto"/>
                <w:sz w:val="20"/>
                <w:szCs w:val="20"/>
              </w:rPr>
              <w:t xml:space="preserve"> </w:t>
            </w:r>
            <w:r w:rsidRPr="001B1319">
              <w:rPr>
                <w:rFonts w:ascii="Arial Narrow" w:hAnsi="Arial Narrow"/>
                <w:color w:val="auto"/>
                <w:sz w:val="20"/>
                <w:szCs w:val="20"/>
              </w:rPr>
              <w:t xml:space="preserve">U/kg Study 153 </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0/70 (0%)</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2/70 (2.9%)</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0.20 (0.01, 4.09)</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color w:val="auto"/>
                <w:sz w:val="20"/>
                <w:szCs w:val="20"/>
              </w:rPr>
            </w:pPr>
            <w:r w:rsidRPr="001B1319">
              <w:rPr>
                <w:rFonts w:ascii="Arial Narrow" w:hAnsi="Arial Narrow"/>
                <w:color w:val="auto"/>
                <w:sz w:val="20"/>
                <w:szCs w:val="20"/>
              </w:rPr>
              <w:t xml:space="preserve">pooled </w:t>
            </w:r>
            <w:r w:rsidR="0091336A" w:rsidRPr="001B1319">
              <w:rPr>
                <w:rFonts w:ascii="Arial Narrow" w:hAnsi="Arial Narrow"/>
                <w:color w:val="auto"/>
                <w:sz w:val="20"/>
                <w:szCs w:val="20"/>
              </w:rPr>
              <w:t>Dysport</w:t>
            </w:r>
            <w:r w:rsidR="0091336A" w:rsidRPr="001B1319">
              <w:rPr>
                <w:rFonts w:ascii="Arial Narrow" w:hAnsi="Arial Narrow"/>
                <w:color w:val="auto"/>
                <w:sz w:val="20"/>
                <w:szCs w:val="20"/>
                <w:vertAlign w:val="superscript"/>
              </w:rPr>
              <w:t>®</w:t>
            </w:r>
            <w:r w:rsidRPr="001B1319">
              <w:rPr>
                <w:rFonts w:ascii="Arial Narrow" w:hAnsi="Arial Narrow"/>
                <w:color w:val="auto"/>
                <w:sz w:val="20"/>
                <w:szCs w:val="20"/>
              </w:rPr>
              <w:t xml:space="preserve"> fixed effects (1</w:t>
            </w:r>
            <w:r w:rsidRPr="001B1319">
              <w:rPr>
                <w:rFonts w:ascii="Arial Narrow" w:hAnsi="Arial Narrow"/>
                <w:color w:val="auto"/>
                <w:sz w:val="20"/>
                <w:szCs w:val="20"/>
                <w:vertAlign w:val="superscript"/>
              </w:rPr>
              <w:t>2</w:t>
            </w:r>
            <w:r w:rsidRPr="001B1319">
              <w:rPr>
                <w:rFonts w:ascii="Arial Narrow" w:hAnsi="Arial Narrow"/>
                <w:color w:val="auto"/>
                <w:sz w:val="20"/>
                <w:szCs w:val="20"/>
              </w:rPr>
              <w:t>=0%; p=1)</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0.20 (0.02, 1.69)</w:t>
            </w:r>
          </w:p>
        </w:tc>
      </w:tr>
      <w:tr w:rsidR="002935E0" w:rsidRPr="00146B5E" w:rsidTr="001B1319">
        <w:trPr>
          <w:jc w:val="center"/>
        </w:trPr>
        <w:tc>
          <w:tcPr>
            <w:tcW w:w="1110" w:type="pct"/>
            <w:shd w:val="clear" w:color="auto" w:fill="auto"/>
            <w:vAlign w:val="center"/>
          </w:tcPr>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Fehlings 2018</w:t>
            </w:r>
          </w:p>
          <w:p w:rsidR="002935E0" w:rsidRPr="001B1319" w:rsidRDefault="002935E0" w:rsidP="007C2FB8">
            <w:pPr>
              <w:pStyle w:val="V50Instructions"/>
              <w:keepNext/>
              <w:spacing w:before="0" w:after="0"/>
              <w:jc w:val="left"/>
              <w:rPr>
                <w:rFonts w:ascii="Arial Narrow" w:hAnsi="Arial Narrow"/>
                <w:color w:val="auto"/>
                <w:sz w:val="20"/>
                <w:szCs w:val="20"/>
              </w:rPr>
            </w:pPr>
            <w:r w:rsidRPr="001B1319">
              <w:rPr>
                <w:rFonts w:ascii="Arial Narrow" w:hAnsi="Arial Narrow"/>
                <w:color w:val="auto"/>
                <w:sz w:val="20"/>
                <w:szCs w:val="20"/>
              </w:rPr>
              <w:t>(12 weeks)</w:t>
            </w:r>
          </w:p>
        </w:tc>
        <w:tc>
          <w:tcPr>
            <w:tcW w:w="794"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0/79 (0%)</w:t>
            </w:r>
          </w:p>
        </w:tc>
        <w:tc>
          <w:tcPr>
            <w:tcW w:w="722" w:type="pct"/>
            <w:shd w:val="clear" w:color="auto" w:fill="auto"/>
            <w:vAlign w:val="center"/>
          </w:tcPr>
          <w:p w:rsidR="002935E0" w:rsidRPr="001B1319" w:rsidRDefault="002935E0" w:rsidP="007C2FB8">
            <w:pPr>
              <w:pStyle w:val="V50Instructions"/>
              <w:keepNext/>
              <w:spacing w:before="0" w:after="0"/>
              <w:jc w:val="center"/>
              <w:rPr>
                <w:rFonts w:ascii="Arial Narrow" w:hAnsi="Arial Narrow"/>
                <w:color w:val="auto"/>
                <w:sz w:val="20"/>
                <w:szCs w:val="20"/>
              </w:rPr>
            </w:pPr>
            <w:r w:rsidRPr="001B1319">
              <w:rPr>
                <w:rFonts w:ascii="Arial Narrow" w:hAnsi="Arial Narrow"/>
                <w:color w:val="auto"/>
                <w:sz w:val="20"/>
                <w:szCs w:val="20"/>
              </w:rPr>
              <w:t>0/155 (0%)</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0.51 (0.01, 25.61)</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pooled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0.39 (0.00, 33.57)</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8</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Cs/>
                <w:color w:val="auto"/>
                <w:sz w:val="20"/>
                <w:szCs w:val="20"/>
              </w:rPr>
            </w:pPr>
            <w:r w:rsidRPr="001B1319">
              <w:rPr>
                <w:rFonts w:ascii="Arial Narrow" w:hAnsi="Arial Narrow"/>
                <w:bCs/>
                <w:color w:val="auto"/>
                <w:sz w:val="20"/>
                <w:szCs w:val="20"/>
              </w:rPr>
              <w:t>0.39 (0.00, 54.52)</w:t>
            </w:r>
          </w:p>
        </w:tc>
      </w:tr>
      <w:tr w:rsidR="002935E0" w:rsidRPr="00146B5E" w:rsidTr="001B1319">
        <w:trPr>
          <w:jc w:val="center"/>
        </w:trPr>
        <w:tc>
          <w:tcPr>
            <w:tcW w:w="3813" w:type="pct"/>
            <w:gridSpan w:val="4"/>
            <w:shd w:val="clear" w:color="auto" w:fill="auto"/>
            <w:vAlign w:val="center"/>
          </w:tcPr>
          <w:p w:rsidR="002935E0" w:rsidRPr="001B1319" w:rsidRDefault="002935E0" w:rsidP="007C2FB8">
            <w:pPr>
              <w:pStyle w:val="V50Instructions"/>
              <w:keepNext/>
              <w:spacing w:before="0" w:after="0"/>
              <w:jc w:val="right"/>
              <w:rPr>
                <w:rFonts w:ascii="Arial Narrow" w:hAnsi="Arial Narrow"/>
                <w:bCs/>
                <w:color w:val="auto"/>
                <w:sz w:val="20"/>
                <w:szCs w:val="20"/>
              </w:rPr>
            </w:pPr>
            <w:r w:rsidRPr="001B1319">
              <w:rPr>
                <w:rFonts w:ascii="Arial Narrow" w:hAnsi="Arial Narrow"/>
                <w:bCs/>
                <w:color w:val="auto"/>
                <w:sz w:val="20"/>
                <w:szCs w:val="20"/>
              </w:rPr>
              <w:t xml:space="preserve">Indirect </w:t>
            </w:r>
            <w:r w:rsidR="0091336A" w:rsidRPr="001B1319">
              <w:rPr>
                <w:rFonts w:ascii="Arial Narrow" w:hAnsi="Arial Narrow"/>
                <w:bCs/>
                <w:color w:val="auto"/>
                <w:sz w:val="20"/>
                <w:szCs w:val="20"/>
              </w:rPr>
              <w:t>Dysport</w:t>
            </w:r>
            <w:r w:rsidR="0091336A"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16</w:t>
            </w:r>
            <w:r w:rsidR="00D82CE2" w:rsidRPr="001B1319">
              <w:rPr>
                <w:rFonts w:ascii="Arial Narrow" w:hAnsi="Arial Narrow"/>
                <w:bCs/>
                <w:color w:val="auto"/>
                <w:sz w:val="20"/>
                <w:szCs w:val="20"/>
              </w:rPr>
              <w:t xml:space="preserve"> </w:t>
            </w:r>
            <w:r w:rsidRPr="001B1319">
              <w:rPr>
                <w:rFonts w:ascii="Arial Narrow" w:hAnsi="Arial Narrow"/>
                <w:bCs/>
                <w:color w:val="auto"/>
                <w:sz w:val="20"/>
                <w:szCs w:val="20"/>
              </w:rPr>
              <w:t xml:space="preserve">U/kg vs. </w:t>
            </w:r>
            <w:r w:rsidR="006C23C2" w:rsidRPr="001B1319">
              <w:rPr>
                <w:rFonts w:ascii="Arial Narrow" w:hAnsi="Arial Narrow"/>
                <w:bCs/>
                <w:color w:val="auto"/>
                <w:sz w:val="20"/>
                <w:szCs w:val="20"/>
              </w:rPr>
              <w:t>Botox</w:t>
            </w:r>
            <w:r w:rsidR="006C23C2" w:rsidRPr="001B1319">
              <w:rPr>
                <w:rFonts w:ascii="Arial Narrow" w:hAnsi="Arial Narrow"/>
                <w:bCs/>
                <w:color w:val="auto"/>
                <w:sz w:val="20"/>
                <w:szCs w:val="20"/>
                <w:vertAlign w:val="superscript"/>
              </w:rPr>
              <w:t>®</w:t>
            </w:r>
            <w:r w:rsidRPr="001B1319">
              <w:rPr>
                <w:rFonts w:ascii="Arial Narrow" w:hAnsi="Arial Narrow"/>
                <w:bCs/>
                <w:color w:val="auto"/>
                <w:sz w:val="20"/>
                <w:szCs w:val="20"/>
              </w:rPr>
              <w:t xml:space="preserve"> (95% CI)</w:t>
            </w:r>
          </w:p>
        </w:tc>
        <w:tc>
          <w:tcPr>
            <w:tcW w:w="1187" w:type="pct"/>
            <w:shd w:val="clear" w:color="auto" w:fill="auto"/>
            <w:vAlign w:val="center"/>
          </w:tcPr>
          <w:p w:rsidR="002935E0" w:rsidRPr="001B1319" w:rsidRDefault="002935E0" w:rsidP="007C2FB8">
            <w:pPr>
              <w:pStyle w:val="V50Instructions"/>
              <w:keepNext/>
              <w:spacing w:before="0" w:after="0"/>
              <w:jc w:val="center"/>
              <w:rPr>
                <w:rFonts w:ascii="Arial Narrow" w:hAnsi="Arial Narrow"/>
                <w:b/>
                <w:color w:val="auto"/>
                <w:sz w:val="20"/>
                <w:szCs w:val="20"/>
              </w:rPr>
            </w:pPr>
            <w:r w:rsidRPr="001B1319">
              <w:rPr>
                <w:rFonts w:ascii="Arial Narrow" w:hAnsi="Arial Narrow"/>
                <w:bCs/>
                <w:color w:val="auto"/>
                <w:sz w:val="20"/>
                <w:szCs w:val="20"/>
              </w:rPr>
              <w:t>0.39 (0.00, 54.52)</w:t>
            </w:r>
          </w:p>
        </w:tc>
      </w:tr>
    </w:tbl>
    <w:p w:rsidR="002935E0" w:rsidRPr="00146B5E" w:rsidRDefault="002935E0" w:rsidP="008F42F9">
      <w:pPr>
        <w:pStyle w:val="TableFigureFooter"/>
      </w:pPr>
      <w:r w:rsidRPr="00146B5E">
        <w:t>Source: Figure 2-24, p145; Figure 2-25, p146; Figure 2-26, p146 of the submission; Figures 67-69, p83-84 of the ICON report.</w:t>
      </w:r>
    </w:p>
    <w:p w:rsidR="002935E0" w:rsidRPr="00146B5E" w:rsidRDefault="002935E0" w:rsidP="008F42F9">
      <w:pPr>
        <w:pStyle w:val="TableFigureFooter"/>
        <w:rPr>
          <w:rFonts w:eastAsia="Calibri"/>
          <w:szCs w:val="18"/>
        </w:rPr>
      </w:pPr>
      <w:r w:rsidRPr="00146B5E">
        <w:rPr>
          <w:rFonts w:eastAsia="Calibri"/>
          <w:szCs w:val="18"/>
        </w:rPr>
        <w:t xml:space="preserve">AE=adverse event; CI=confidence interval; </w:t>
      </w:r>
      <w:r w:rsidRPr="00146B5E">
        <w:rPr>
          <w:rFonts w:eastAsia="Calibri"/>
          <w:b/>
          <w:bCs/>
          <w:szCs w:val="18"/>
        </w:rPr>
        <w:t>bold</w:t>
      </w:r>
      <w:r w:rsidRPr="00146B5E">
        <w:rPr>
          <w:rFonts w:eastAsia="Calibri"/>
          <w:szCs w:val="18"/>
        </w:rPr>
        <w:t>=statistically significant</w:t>
      </w:r>
    </w:p>
    <w:p w:rsidR="002935E0" w:rsidRPr="00146B5E" w:rsidRDefault="002935E0" w:rsidP="008F42F9">
      <w:pPr>
        <w:pStyle w:val="TableFigureFooter"/>
        <w:ind w:left="142" w:hanging="142"/>
      </w:pPr>
      <w:r w:rsidRPr="00146B5E">
        <w:rPr>
          <w:rFonts w:eastAsia="Calibri"/>
          <w:szCs w:val="18"/>
          <w:vertAlign w:val="superscript"/>
        </w:rPr>
        <w:t>a</w:t>
      </w:r>
      <w:r w:rsidRPr="00146B5E">
        <w:rPr>
          <w:rFonts w:eastAsia="Calibri"/>
          <w:szCs w:val="18"/>
        </w:rPr>
        <w:tab/>
        <w:t>In Study 153 the 2</w:t>
      </w:r>
      <w:r w:rsidR="00D82CE2">
        <w:rPr>
          <w:rFonts w:eastAsia="Calibri"/>
          <w:szCs w:val="18"/>
        </w:rPr>
        <w:t xml:space="preserve"> </w:t>
      </w:r>
      <w:r w:rsidRPr="00146B5E">
        <w:rPr>
          <w:rFonts w:eastAsia="Calibri"/>
          <w:szCs w:val="18"/>
        </w:rPr>
        <w:t xml:space="preserve">U/kg </w:t>
      </w:r>
      <w:r w:rsidR="0091336A" w:rsidRPr="00146B5E">
        <w:rPr>
          <w:rFonts w:eastAsia="Calibri"/>
          <w:szCs w:val="18"/>
        </w:rPr>
        <w:t>Dysport</w:t>
      </w:r>
      <w:r w:rsidR="0091336A" w:rsidRPr="00146B5E">
        <w:rPr>
          <w:rFonts w:eastAsia="Calibri"/>
          <w:szCs w:val="18"/>
          <w:vertAlign w:val="superscript"/>
        </w:rPr>
        <w:t>®</w:t>
      </w:r>
      <w:r w:rsidRPr="00146B5E">
        <w:rPr>
          <w:rFonts w:eastAsia="Calibri"/>
          <w:szCs w:val="18"/>
        </w:rPr>
        <w:t xml:space="preserve"> arm of the trial was used as the ‘no intervention’ arm</w:t>
      </w:r>
    </w:p>
    <w:p w:rsidR="00956238" w:rsidRPr="00146B5E" w:rsidRDefault="002935E0" w:rsidP="002917D2">
      <w:pPr>
        <w:pStyle w:val="3-BodyText"/>
        <w:ind w:left="720"/>
      </w:pPr>
      <w:r w:rsidRPr="00146B5E">
        <w:t xml:space="preserve">The submission noted that the occurrence of overall AEs, serious AEs, treatment-related AEs and discontinuation due to AEs was not significantly reduced with </w:t>
      </w:r>
      <w:r w:rsidR="0091336A" w:rsidRPr="00146B5E">
        <w:t>Dysport®</w:t>
      </w:r>
      <w:r w:rsidRPr="00146B5E">
        <w:t xml:space="preserve"> compared to </w:t>
      </w:r>
      <w:r w:rsidR="006C23C2" w:rsidRPr="00146B5E">
        <w:t>Botox®</w:t>
      </w:r>
      <w:r w:rsidRPr="00146B5E">
        <w:t>.</w:t>
      </w:r>
      <w:r w:rsidR="00A87288" w:rsidRPr="00146B5E">
        <w:t xml:space="preserve"> </w:t>
      </w:r>
      <w:r w:rsidRPr="00146B5E">
        <w:rPr>
          <w:iCs/>
        </w:rPr>
        <w:t xml:space="preserve">While there were no statistically significant differences between </w:t>
      </w:r>
      <w:r w:rsidR="0091336A" w:rsidRPr="00146B5E">
        <w:rPr>
          <w:iCs/>
        </w:rPr>
        <w:t>Dysport®</w:t>
      </w:r>
      <w:r w:rsidRPr="00146B5E">
        <w:rPr>
          <w:iCs/>
        </w:rPr>
        <w:t xml:space="preserve"> and </w:t>
      </w:r>
      <w:r w:rsidR="006C23C2" w:rsidRPr="00146B5E">
        <w:rPr>
          <w:iCs/>
        </w:rPr>
        <w:t>Botox®</w:t>
      </w:r>
      <w:r w:rsidRPr="00146B5E">
        <w:rPr>
          <w:iCs/>
        </w:rPr>
        <w:t xml:space="preserve"> for the indirect comparisons, many of the comparisons had wide confidence intervals.</w:t>
      </w:r>
      <w:r w:rsidR="00A87288" w:rsidRPr="00146B5E">
        <w:rPr>
          <w:iCs/>
        </w:rPr>
        <w:t xml:space="preserve"> </w:t>
      </w:r>
      <w:r w:rsidRPr="00146B5E">
        <w:rPr>
          <w:iCs/>
        </w:rPr>
        <w:t xml:space="preserve">In addition, many of the comparisons included no </w:t>
      </w:r>
      <w:r w:rsidRPr="00146B5E">
        <w:rPr>
          <w:iCs/>
        </w:rPr>
        <w:lastRenderedPageBreak/>
        <w:t>events in one or both arms of a trial.</w:t>
      </w:r>
      <w:r w:rsidR="00A87288" w:rsidRPr="00146B5E">
        <w:rPr>
          <w:iCs/>
        </w:rPr>
        <w:t xml:space="preserve"> </w:t>
      </w:r>
      <w:r w:rsidR="00FE0CAA" w:rsidRPr="00146B5E">
        <w:rPr>
          <w:iCs/>
        </w:rPr>
        <w:t>Overall, there was limited comparative evidence to allow for a comprehensive consideration of the comparative safety of Dysport® and Botox® for upper limb spasticity in paediatric patients with cerebral palsy.</w:t>
      </w:r>
      <w:r w:rsidR="00A87288" w:rsidRPr="00146B5E">
        <w:rPr>
          <w:iCs/>
        </w:rPr>
        <w:t xml:space="preserve"> </w:t>
      </w:r>
      <w:r w:rsidR="00FE0CAA" w:rsidRPr="00146B5E">
        <w:rPr>
          <w:iCs/>
        </w:rPr>
        <w:t xml:space="preserve">In its July 2019 consideration of Dysport® for lower limb spasticity in adults following an acute event, the PBAC noted that the ESC considered that Dysport® and Botox® presented similar adverse event profiles, and there were no significant differences between Dysport® and Botox® for any AEs and treatment-emergent AEs (paragraph 6.20, July 2019 Dysport® </w:t>
      </w:r>
      <w:r w:rsidR="00D01000" w:rsidRPr="00146B5E">
        <w:rPr>
          <w:iCs/>
        </w:rPr>
        <w:t>Public Summary Document</w:t>
      </w:r>
      <w:r w:rsidR="008A607F">
        <w:rPr>
          <w:iCs/>
        </w:rPr>
        <w:t xml:space="preserve"> (PSD)</w:t>
      </w:r>
      <w:r w:rsidR="00FE0CAA" w:rsidRPr="00146B5E">
        <w:rPr>
          <w:iCs/>
        </w:rPr>
        <w:t>).</w:t>
      </w:r>
      <w:r w:rsidR="00A87288" w:rsidRPr="00146B5E">
        <w:rPr>
          <w:iCs/>
        </w:rPr>
        <w:t xml:space="preserve"> </w:t>
      </w:r>
      <w:r w:rsidR="00FE0CAA" w:rsidRPr="00146B5E">
        <w:rPr>
          <w:iCs/>
        </w:rPr>
        <w:t>The PBAC considered that the claim that Dysport® was non-inferior to Botox® in terms of comparative safety for lower limb spasticity was reasonable (paragraph 6.27, July 2019 Dysport® PSD).</w:t>
      </w:r>
    </w:p>
    <w:p w:rsidR="00956238" w:rsidRPr="00146B5E" w:rsidRDefault="002935E0" w:rsidP="001B1319">
      <w:pPr>
        <w:pStyle w:val="3-BodyText"/>
        <w:ind w:left="720"/>
      </w:pPr>
      <w:r w:rsidRPr="00146B5E">
        <w:rPr>
          <w:iCs/>
        </w:rPr>
        <w:t>In addition, the submission did not provide any discussion of what events were included in the grouped AEs</w:t>
      </w:r>
      <w:r w:rsidR="00FE0CAA" w:rsidRPr="00146B5E">
        <w:rPr>
          <w:iCs/>
        </w:rPr>
        <w:t xml:space="preserve"> used in the indirect comparisons</w:t>
      </w:r>
      <w:r w:rsidRPr="00146B5E">
        <w:rPr>
          <w:iCs/>
        </w:rPr>
        <w:t>, such as those for treatment-related AEs, and whether these categorisations were the same across the trials.</w:t>
      </w:r>
      <w:r w:rsidR="00A87288" w:rsidRPr="00146B5E">
        <w:t xml:space="preserve"> </w:t>
      </w:r>
      <w:r w:rsidRPr="00146B5E">
        <w:t>In its discussion of safety outcomes for Study 153 the submission had a summary of individual treatment-emergent AEs, with that table provided below.</w:t>
      </w:r>
    </w:p>
    <w:p w:rsidR="002935E0" w:rsidRPr="00146B5E" w:rsidRDefault="002935E0" w:rsidP="008F42F9">
      <w:pPr>
        <w:pStyle w:val="TableFigureHeading"/>
      </w:pPr>
      <w:r w:rsidRPr="00146B5E">
        <w:t xml:space="preserve">Table </w:t>
      </w:r>
      <w:r w:rsidR="00844F8E" w:rsidRPr="00146B5E">
        <w:t>11</w:t>
      </w:r>
      <w:r w:rsidRPr="00146B5E">
        <w:t>: Treatment-emergent AEs in Study 153</w:t>
      </w:r>
    </w:p>
    <w:tbl>
      <w:tblPr>
        <w:tblStyle w:val="Submissionstandard1"/>
        <w:tblW w:w="5000" w:type="pct"/>
        <w:tblLook w:val="04A0" w:firstRow="1" w:lastRow="0" w:firstColumn="1" w:lastColumn="0" w:noHBand="0" w:noVBand="1"/>
        <w:tblCaption w:val="Table 11"/>
      </w:tblPr>
      <w:tblGrid>
        <w:gridCol w:w="3801"/>
        <w:gridCol w:w="1832"/>
        <w:gridCol w:w="1692"/>
        <w:gridCol w:w="1692"/>
      </w:tblGrid>
      <w:tr w:rsidR="002935E0" w:rsidRPr="00146B5E" w:rsidTr="001B1319">
        <w:trPr>
          <w:cnfStyle w:val="100000000000" w:firstRow="1" w:lastRow="0" w:firstColumn="0" w:lastColumn="0" w:oddVBand="0" w:evenVBand="0" w:oddHBand="0" w:evenHBand="0" w:firstRowFirstColumn="0" w:firstRowLastColumn="0" w:lastRowFirstColumn="0" w:lastRowLastColumn="0"/>
          <w:tblHeader/>
        </w:trPr>
        <w:tc>
          <w:tcPr>
            <w:tcW w:w="2108" w:type="pct"/>
            <w:vMerge w:val="restar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AEs</w:t>
            </w:r>
          </w:p>
          <w:p w:rsidR="002935E0" w:rsidRPr="001B1319" w:rsidRDefault="002935E0" w:rsidP="00423269">
            <w:pPr>
              <w:pStyle w:val="TableLeft"/>
              <w:widowControl w:val="0"/>
              <w:tabs>
                <w:tab w:val="left" w:pos="167"/>
              </w:tabs>
              <w:rPr>
                <w:rFonts w:ascii="Arial Narrow" w:hAnsi="Arial Narrow"/>
                <w:bCs/>
                <w:sz w:val="20"/>
                <w:szCs w:val="20"/>
                <w:lang w:val="en-AU" w:bidi="ar-SA"/>
              </w:rPr>
            </w:pPr>
            <w:r w:rsidRPr="001B1319">
              <w:rPr>
                <w:rFonts w:ascii="Arial Narrow" w:hAnsi="Arial Narrow"/>
                <w:bCs/>
                <w:sz w:val="20"/>
                <w:szCs w:val="20"/>
                <w:lang w:val="en-AU" w:bidi="ar-SA"/>
              </w:rPr>
              <w:t xml:space="preserve">n/N (%)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bCs/>
                <w:sz w:val="20"/>
                <w:szCs w:val="20"/>
                <w:lang w:val="en-AU" w:eastAsia="en-AU" w:bidi="ar-SA"/>
              </w:rPr>
            </w:pPr>
            <w:r w:rsidRPr="001B1319">
              <w:rPr>
                <w:rFonts w:ascii="Arial Narrow" w:eastAsia="Times New Roman" w:hAnsi="Arial Narrow"/>
                <w:bCs/>
                <w:sz w:val="20"/>
                <w:szCs w:val="20"/>
                <w:lang w:val="en-AU" w:eastAsia="en-AU" w:bidi="ar-SA"/>
              </w:rPr>
              <w:t xml:space="preserve">Control group </w:t>
            </w:r>
          </w:p>
        </w:tc>
        <w:tc>
          <w:tcPr>
            <w:tcW w:w="1876" w:type="pct"/>
            <w:gridSpan w:val="2"/>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bCs/>
                <w:sz w:val="20"/>
                <w:szCs w:val="20"/>
                <w:lang w:val="en-AU" w:eastAsia="en-AU" w:bidi="ar-SA"/>
              </w:rPr>
            </w:pPr>
            <w:r w:rsidRPr="001B1319">
              <w:rPr>
                <w:rFonts w:ascii="Arial Narrow" w:eastAsia="Times New Roman" w:hAnsi="Arial Narrow"/>
                <w:bCs/>
                <w:sz w:val="20"/>
                <w:szCs w:val="20"/>
                <w:lang w:val="en-AU" w:eastAsia="en-AU" w:bidi="ar-SA"/>
              </w:rPr>
              <w:t xml:space="preserve">Treatment groups </w:t>
            </w:r>
          </w:p>
        </w:tc>
      </w:tr>
      <w:tr w:rsidR="002935E0" w:rsidRPr="00146B5E" w:rsidTr="001B1319">
        <w:trPr>
          <w:cnfStyle w:val="100000000000" w:firstRow="1" w:lastRow="0" w:firstColumn="0" w:lastColumn="0" w:oddVBand="0" w:evenVBand="0" w:oddHBand="0" w:evenHBand="0" w:firstRowFirstColumn="0" w:firstRowLastColumn="0" w:lastRowFirstColumn="0" w:lastRowLastColumn="0"/>
          <w:tblHeader/>
        </w:trPr>
        <w:tc>
          <w:tcPr>
            <w:tcW w:w="2108" w:type="pct"/>
            <w:vMerge/>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p>
        </w:tc>
        <w:tc>
          <w:tcPr>
            <w:tcW w:w="1016" w:type="pct"/>
            <w:shd w:val="clear" w:color="auto" w:fill="auto"/>
            <w:tcMar>
              <w:left w:w="28" w:type="dxa"/>
              <w:right w:w="28" w:type="dxa"/>
            </w:tcMar>
            <w:vAlign w:val="center"/>
            <w:hideMark/>
          </w:tcPr>
          <w:p w:rsidR="002935E0" w:rsidRPr="001B1319" w:rsidRDefault="0091336A" w:rsidP="00423269">
            <w:pPr>
              <w:pStyle w:val="TableCentre"/>
              <w:widowControl w:val="0"/>
              <w:rPr>
                <w:rFonts w:ascii="Arial Narrow" w:eastAsia="Times New Roman" w:hAnsi="Arial Narrow"/>
                <w:b w:val="0"/>
                <w:bCs/>
                <w:sz w:val="20"/>
                <w:szCs w:val="20"/>
                <w:lang w:val="en-AU" w:eastAsia="en-AU" w:bidi="ar-SA"/>
              </w:rPr>
            </w:pPr>
            <w:r w:rsidRPr="001B1319">
              <w:rPr>
                <w:rFonts w:ascii="Arial Narrow" w:eastAsia="Times New Roman" w:hAnsi="Arial Narrow"/>
                <w:b w:val="0"/>
                <w:bCs/>
                <w:sz w:val="20"/>
                <w:szCs w:val="20"/>
                <w:lang w:val="en-AU" w:eastAsia="en-AU" w:bidi="ar-SA"/>
              </w:rPr>
              <w:t>Dysport</w:t>
            </w:r>
            <w:r w:rsidR="002935E0" w:rsidRPr="001B1319">
              <w:rPr>
                <w:rFonts w:ascii="Arial Narrow" w:eastAsia="Times New Roman" w:hAnsi="Arial Narrow"/>
                <w:b w:val="0"/>
                <w:bCs/>
                <w:sz w:val="20"/>
                <w:szCs w:val="20"/>
                <w:vertAlign w:val="superscript"/>
                <w:lang w:val="en-AU" w:eastAsia="en-AU" w:bidi="ar-SA"/>
              </w:rPr>
              <w:t xml:space="preserve">® </w:t>
            </w:r>
            <w:r w:rsidR="002935E0" w:rsidRPr="001B1319">
              <w:rPr>
                <w:rFonts w:ascii="Arial Narrow" w:eastAsia="Times New Roman" w:hAnsi="Arial Narrow"/>
                <w:b w:val="0"/>
                <w:bCs/>
                <w:sz w:val="20"/>
                <w:szCs w:val="20"/>
                <w:lang w:val="en-AU" w:eastAsia="en-AU" w:bidi="ar-SA"/>
              </w:rPr>
              <w:t xml:space="preserve">2 U/kg </w:t>
            </w:r>
          </w:p>
          <w:p w:rsidR="002935E0" w:rsidRPr="001B1319" w:rsidRDefault="002935E0" w:rsidP="00423269">
            <w:pPr>
              <w:pStyle w:val="TableCentre"/>
              <w:widowControl w:val="0"/>
              <w:rPr>
                <w:rFonts w:ascii="Arial Narrow" w:eastAsia="Times New Roman" w:hAnsi="Arial Narrow"/>
                <w:b w:val="0"/>
                <w:bCs/>
                <w:sz w:val="20"/>
                <w:szCs w:val="20"/>
                <w:lang w:val="en-AU" w:eastAsia="en-AU" w:bidi="ar-SA"/>
              </w:rPr>
            </w:pPr>
            <w:r w:rsidRPr="001B1319">
              <w:rPr>
                <w:rFonts w:ascii="Arial Narrow" w:eastAsia="Times New Roman" w:hAnsi="Arial Narrow"/>
                <w:b w:val="0"/>
                <w:bCs/>
                <w:sz w:val="20"/>
                <w:szCs w:val="20"/>
                <w:lang w:val="en-AU" w:eastAsia="en-AU" w:bidi="ar-SA"/>
              </w:rPr>
              <w:t xml:space="preserve">N=70 </w:t>
            </w:r>
          </w:p>
        </w:tc>
        <w:tc>
          <w:tcPr>
            <w:tcW w:w="938" w:type="pct"/>
            <w:shd w:val="clear" w:color="auto" w:fill="auto"/>
            <w:tcMar>
              <w:left w:w="28" w:type="dxa"/>
              <w:right w:w="28" w:type="dxa"/>
            </w:tcMar>
            <w:vAlign w:val="center"/>
            <w:hideMark/>
          </w:tcPr>
          <w:p w:rsidR="002935E0" w:rsidRPr="001B1319" w:rsidRDefault="0091336A" w:rsidP="00423269">
            <w:pPr>
              <w:pStyle w:val="TableCentre"/>
              <w:widowControl w:val="0"/>
              <w:rPr>
                <w:rFonts w:ascii="Arial Narrow" w:eastAsia="Times New Roman" w:hAnsi="Arial Narrow"/>
                <w:b w:val="0"/>
                <w:bCs/>
                <w:sz w:val="20"/>
                <w:szCs w:val="20"/>
                <w:lang w:val="en-AU" w:eastAsia="en-AU" w:bidi="ar-SA"/>
              </w:rPr>
            </w:pPr>
            <w:r w:rsidRPr="001B1319">
              <w:rPr>
                <w:rFonts w:ascii="Arial Narrow" w:eastAsia="Times New Roman" w:hAnsi="Arial Narrow"/>
                <w:b w:val="0"/>
                <w:bCs/>
                <w:sz w:val="20"/>
                <w:szCs w:val="20"/>
                <w:lang w:val="en-AU" w:eastAsia="en-AU" w:bidi="ar-SA"/>
              </w:rPr>
              <w:t>Dysport</w:t>
            </w:r>
            <w:r w:rsidR="002935E0" w:rsidRPr="001B1319">
              <w:rPr>
                <w:rFonts w:ascii="Arial Narrow" w:eastAsia="Times New Roman" w:hAnsi="Arial Narrow"/>
                <w:b w:val="0"/>
                <w:bCs/>
                <w:sz w:val="20"/>
                <w:szCs w:val="20"/>
                <w:vertAlign w:val="superscript"/>
                <w:lang w:val="en-AU" w:eastAsia="en-AU" w:bidi="ar-SA"/>
              </w:rPr>
              <w:t>®</w:t>
            </w:r>
            <w:r w:rsidR="002935E0" w:rsidRPr="001B1319">
              <w:rPr>
                <w:rFonts w:ascii="Arial Narrow" w:eastAsia="Times New Roman" w:hAnsi="Arial Narrow"/>
                <w:b w:val="0"/>
                <w:bCs/>
                <w:sz w:val="20"/>
                <w:szCs w:val="20"/>
                <w:lang w:val="en-AU" w:eastAsia="en-AU" w:bidi="ar-SA"/>
              </w:rPr>
              <w:t xml:space="preserve"> 8 U/kg </w:t>
            </w:r>
          </w:p>
          <w:p w:rsidR="002935E0" w:rsidRPr="001B1319" w:rsidRDefault="002935E0" w:rsidP="00423269">
            <w:pPr>
              <w:pStyle w:val="TableCentre"/>
              <w:widowControl w:val="0"/>
              <w:rPr>
                <w:rFonts w:ascii="Arial Narrow" w:eastAsia="Times New Roman" w:hAnsi="Arial Narrow"/>
                <w:b w:val="0"/>
                <w:bCs/>
                <w:sz w:val="20"/>
                <w:szCs w:val="20"/>
                <w:lang w:val="en-AU" w:eastAsia="en-AU" w:bidi="ar-SA"/>
              </w:rPr>
            </w:pPr>
            <w:r w:rsidRPr="001B1319">
              <w:rPr>
                <w:rFonts w:ascii="Arial Narrow" w:eastAsia="Times New Roman" w:hAnsi="Arial Narrow"/>
                <w:b w:val="0"/>
                <w:bCs/>
                <w:sz w:val="20"/>
                <w:szCs w:val="20"/>
                <w:lang w:val="en-AU" w:eastAsia="en-AU" w:bidi="ar-SA"/>
              </w:rPr>
              <w:t xml:space="preserve">N=70 </w:t>
            </w:r>
          </w:p>
        </w:tc>
        <w:tc>
          <w:tcPr>
            <w:tcW w:w="938" w:type="pct"/>
            <w:shd w:val="clear" w:color="auto" w:fill="auto"/>
            <w:tcMar>
              <w:left w:w="28" w:type="dxa"/>
              <w:right w:w="28" w:type="dxa"/>
            </w:tcMar>
            <w:vAlign w:val="center"/>
            <w:hideMark/>
          </w:tcPr>
          <w:p w:rsidR="002935E0" w:rsidRPr="001B1319" w:rsidRDefault="0091336A" w:rsidP="00423269">
            <w:pPr>
              <w:pStyle w:val="TableCentre"/>
              <w:widowControl w:val="0"/>
              <w:rPr>
                <w:rFonts w:ascii="Arial Narrow" w:eastAsia="Times New Roman" w:hAnsi="Arial Narrow"/>
                <w:b w:val="0"/>
                <w:bCs/>
                <w:sz w:val="20"/>
                <w:szCs w:val="20"/>
                <w:lang w:val="en-AU" w:eastAsia="en-AU" w:bidi="ar-SA"/>
              </w:rPr>
            </w:pPr>
            <w:r w:rsidRPr="001B1319">
              <w:rPr>
                <w:rFonts w:ascii="Arial Narrow" w:eastAsia="Times New Roman" w:hAnsi="Arial Narrow"/>
                <w:b w:val="0"/>
                <w:bCs/>
                <w:sz w:val="20"/>
                <w:szCs w:val="20"/>
                <w:lang w:val="en-AU" w:eastAsia="en-AU" w:bidi="ar-SA"/>
              </w:rPr>
              <w:t>Dysport</w:t>
            </w:r>
            <w:r w:rsidR="002935E0" w:rsidRPr="001B1319">
              <w:rPr>
                <w:rFonts w:ascii="Arial Narrow" w:eastAsia="Times New Roman" w:hAnsi="Arial Narrow"/>
                <w:b w:val="0"/>
                <w:bCs/>
                <w:sz w:val="20"/>
                <w:szCs w:val="20"/>
                <w:vertAlign w:val="superscript"/>
                <w:lang w:val="en-AU" w:eastAsia="en-AU" w:bidi="ar-SA"/>
              </w:rPr>
              <w:t xml:space="preserve">® </w:t>
            </w:r>
            <w:r w:rsidR="002935E0" w:rsidRPr="001B1319">
              <w:rPr>
                <w:rFonts w:ascii="Arial Narrow" w:eastAsia="Times New Roman" w:hAnsi="Arial Narrow"/>
                <w:b w:val="0"/>
                <w:bCs/>
                <w:sz w:val="20"/>
                <w:szCs w:val="20"/>
                <w:lang w:val="en-AU" w:eastAsia="en-AU" w:bidi="ar-SA"/>
              </w:rPr>
              <w:t xml:space="preserve">16 U/kg </w:t>
            </w:r>
          </w:p>
          <w:p w:rsidR="002935E0" w:rsidRPr="001B1319" w:rsidRDefault="002935E0" w:rsidP="00423269">
            <w:pPr>
              <w:pStyle w:val="TableCentre"/>
              <w:widowControl w:val="0"/>
              <w:rPr>
                <w:rFonts w:ascii="Arial Narrow" w:eastAsia="Times New Roman" w:hAnsi="Arial Narrow"/>
                <w:b w:val="0"/>
                <w:bCs/>
                <w:sz w:val="20"/>
                <w:szCs w:val="20"/>
                <w:lang w:val="en-AU" w:eastAsia="en-AU" w:bidi="ar-SA"/>
              </w:rPr>
            </w:pPr>
            <w:r w:rsidRPr="001B1319">
              <w:rPr>
                <w:rFonts w:ascii="Arial Narrow" w:eastAsia="Times New Roman" w:hAnsi="Arial Narrow"/>
                <w:b w:val="0"/>
                <w:bCs/>
                <w:sz w:val="20"/>
                <w:szCs w:val="20"/>
                <w:lang w:val="en-AU" w:eastAsia="en-AU" w:bidi="ar-SA"/>
              </w:rPr>
              <w:t xml:space="preserve">N=70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Any TEAE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45 (64.3%)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40 (57.1%)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33 (47.1%)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Infections and infestations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26 (37.1%)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23 (32.9%)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21 (30.0%)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Upper respiratory tract infection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5 (7.1%)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8 (11.4%)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Viral upper respiratory tract infection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10 (14.3%)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Pharyngitis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 (5.7%)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Urinary tract infection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Gastrointestinal disorders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8 (11.4%)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8 (11.4%)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5 (7.1%)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 </w:t>
            </w:r>
            <w:r w:rsidRPr="001B1319">
              <w:rPr>
                <w:rFonts w:ascii="Arial Narrow" w:hAnsi="Arial Narrow"/>
                <w:sz w:val="20"/>
                <w:szCs w:val="20"/>
                <w:lang w:val="en-AU" w:bidi="ar-SA"/>
              </w:rPr>
              <w:tab/>
              <w:t xml:space="preserve">Vomiting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1 (1.4%)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Musculoskeletal and connective tissue disorders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5 (7.1%)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Muscular weakness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1 (1.4%)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 (5.7%)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Nervous system disorders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7 (10.0%)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 (5.7%)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Headache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 (5.7%)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Epilepsy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1 (1.4%)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Seizure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Respiratory, thoracic and mediastinal disorders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7 (10.0%)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Rhinorrhoea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5 (7.1%)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1 (1.4%)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Cough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General disorders and administration site conditions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5 (7.1%) </w:t>
            </w:r>
          </w:p>
        </w:tc>
        <w:tc>
          <w:tcPr>
            <w:tcW w:w="938" w:type="pct"/>
            <w:shd w:val="clear" w:color="auto" w:fill="auto"/>
            <w:tcMar>
              <w:left w:w="28" w:type="dxa"/>
              <w:right w:w="28" w:type="dxa"/>
            </w:tcMar>
            <w:vAlign w:val="center"/>
            <w:hideMark/>
          </w:tcPr>
          <w:p w:rsidR="002935E0" w:rsidRPr="001B1319" w:rsidRDefault="002935E0" w:rsidP="000D60FB">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Pyrexia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 (5.7%)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Injury, poisoning and procedural complications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4 (5.7%)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Fall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1 (1.4%)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 xml:space="preserve">Skin and subcutaneous tissue disorders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6 (8.6%)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2 (2.9%) </w:t>
            </w:r>
          </w:p>
        </w:tc>
      </w:tr>
      <w:tr w:rsidR="002935E0" w:rsidRPr="00146B5E" w:rsidTr="001B1319">
        <w:tc>
          <w:tcPr>
            <w:tcW w:w="2108" w:type="pct"/>
            <w:shd w:val="clear" w:color="auto" w:fill="auto"/>
            <w:tcMar>
              <w:left w:w="28" w:type="dxa"/>
              <w:right w:w="28" w:type="dxa"/>
            </w:tcMar>
            <w:vAlign w:val="center"/>
            <w:hideMark/>
          </w:tcPr>
          <w:p w:rsidR="002935E0" w:rsidRPr="001B1319" w:rsidRDefault="002935E0" w:rsidP="00423269">
            <w:pPr>
              <w:pStyle w:val="TableLeft"/>
              <w:widowControl w:val="0"/>
              <w:tabs>
                <w:tab w:val="left" w:pos="167"/>
              </w:tabs>
              <w:rPr>
                <w:rFonts w:ascii="Arial Narrow" w:hAnsi="Arial Narrow"/>
                <w:sz w:val="20"/>
                <w:szCs w:val="20"/>
                <w:lang w:val="en-AU" w:bidi="ar-SA"/>
              </w:rPr>
            </w:pPr>
            <w:r w:rsidRPr="001B1319">
              <w:rPr>
                <w:rFonts w:ascii="Arial Narrow" w:hAnsi="Arial Narrow"/>
                <w:sz w:val="20"/>
                <w:szCs w:val="20"/>
                <w:lang w:val="en-AU" w:bidi="ar-SA"/>
              </w:rPr>
              <w:tab/>
              <w:t xml:space="preserve">Rash </w:t>
            </w:r>
          </w:p>
        </w:tc>
        <w:tc>
          <w:tcPr>
            <w:tcW w:w="1016"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3 (4.3%) </w:t>
            </w:r>
          </w:p>
        </w:tc>
        <w:tc>
          <w:tcPr>
            <w:tcW w:w="938" w:type="pct"/>
            <w:shd w:val="clear" w:color="auto" w:fill="auto"/>
            <w:tcMar>
              <w:left w:w="28" w:type="dxa"/>
              <w:right w:w="28" w:type="dxa"/>
            </w:tcMar>
            <w:vAlign w:val="center"/>
            <w:hideMark/>
          </w:tcPr>
          <w:p w:rsidR="002935E0" w:rsidRPr="001B1319" w:rsidRDefault="002935E0" w:rsidP="00423269">
            <w:pPr>
              <w:pStyle w:val="TableCentre"/>
              <w:widowControl w:val="0"/>
              <w:rPr>
                <w:rFonts w:ascii="Arial Narrow" w:eastAsia="Times New Roman" w:hAnsi="Arial Narrow"/>
                <w:sz w:val="20"/>
                <w:szCs w:val="20"/>
                <w:lang w:val="en-AU" w:eastAsia="en-AU" w:bidi="ar-SA"/>
              </w:rPr>
            </w:pPr>
            <w:r w:rsidRPr="001B1319">
              <w:rPr>
                <w:rFonts w:ascii="Arial Narrow" w:eastAsia="Times New Roman" w:hAnsi="Arial Narrow"/>
                <w:sz w:val="20"/>
                <w:szCs w:val="20"/>
                <w:lang w:val="en-AU" w:eastAsia="en-AU" w:bidi="ar-SA"/>
              </w:rPr>
              <w:t xml:space="preserve">0 </w:t>
            </w:r>
          </w:p>
        </w:tc>
      </w:tr>
    </w:tbl>
    <w:p w:rsidR="002935E0" w:rsidRPr="00146B5E" w:rsidRDefault="002935E0" w:rsidP="008F42F9">
      <w:pPr>
        <w:pStyle w:val="TableFigureFooter"/>
      </w:pPr>
      <w:r w:rsidRPr="00146B5E">
        <w:t>Source:</w:t>
      </w:r>
      <w:r w:rsidR="00A87288" w:rsidRPr="00146B5E">
        <w:t xml:space="preserve"> </w:t>
      </w:r>
      <w:r w:rsidRPr="00146B5E">
        <w:t>Table 2-62, p116 of the submission.</w:t>
      </w:r>
    </w:p>
    <w:p w:rsidR="002935E0" w:rsidRPr="00146B5E" w:rsidRDefault="002935E0" w:rsidP="008F42F9">
      <w:pPr>
        <w:pStyle w:val="TableFigureFooter"/>
      </w:pPr>
      <w:r w:rsidRPr="00146B5E">
        <w:t>AEs=adverse events; TEAE=treatment-emergent adverse event</w:t>
      </w:r>
    </w:p>
    <w:p w:rsidR="002935E0" w:rsidRPr="00146B5E" w:rsidRDefault="002935E0" w:rsidP="001B1319">
      <w:pPr>
        <w:pStyle w:val="3-BodyText"/>
        <w:ind w:left="720"/>
      </w:pPr>
      <w:r w:rsidRPr="00146B5E">
        <w:t>The submission noted that the most frequently reported AEs were upper respiratory tract infection, and these events are consistent with common respiratory childhood illnesses and other comorbid conditions in paediatric patients with cerebral palsy.</w:t>
      </w:r>
      <w:r w:rsidR="00A87288" w:rsidRPr="00146B5E">
        <w:t xml:space="preserve"> </w:t>
      </w:r>
      <w:r w:rsidRPr="00146B5E">
        <w:rPr>
          <w:iCs/>
        </w:rPr>
        <w:t xml:space="preserve">This </w:t>
      </w:r>
      <w:r w:rsidRPr="00146B5E">
        <w:rPr>
          <w:iCs/>
        </w:rPr>
        <w:lastRenderedPageBreak/>
        <w:t>was reasonable.</w:t>
      </w:r>
      <w:r w:rsidR="00A87288" w:rsidRPr="00146B5E">
        <w:rPr>
          <w:iCs/>
        </w:rPr>
        <w:t xml:space="preserve"> </w:t>
      </w:r>
      <w:r w:rsidR="00830C02" w:rsidRPr="00146B5E">
        <w:t>Remote spread of toxins was identified in the Study 153 as an adverse event of special interest, with the other AE of special interest being hypersensitivity-like reactions.</w:t>
      </w:r>
      <w:r w:rsidR="00A87288" w:rsidRPr="00146B5E">
        <w:t xml:space="preserve"> </w:t>
      </w:r>
      <w:r w:rsidR="00830C02" w:rsidRPr="00146B5E">
        <w:t>There were no hypersensitivity-like reactions reported.</w:t>
      </w:r>
      <w:r w:rsidR="00A87288" w:rsidRPr="00146B5E">
        <w:t xml:space="preserve"> </w:t>
      </w:r>
      <w:r w:rsidR="00830C02" w:rsidRPr="00146B5E">
        <w:t>The submission indicated that two patients experienced AEs suggestive of remote spread of toxin effects.</w:t>
      </w:r>
      <w:r w:rsidR="00A87288" w:rsidRPr="00146B5E">
        <w:t xml:space="preserve"> </w:t>
      </w:r>
      <w:r w:rsidR="00830C02" w:rsidRPr="00146B5E">
        <w:t>The submission stated that there was no evidence of a dose relationship with these events.</w:t>
      </w:r>
    </w:p>
    <w:p w:rsidR="007F1017" w:rsidRPr="00146B5E" w:rsidRDefault="007F1017" w:rsidP="00D86231">
      <w:pPr>
        <w:pStyle w:val="4-SubsectionHeading"/>
      </w:pPr>
      <w:bookmarkStart w:id="17" w:name="_Toc22897643"/>
      <w:bookmarkStart w:id="18" w:name="_Toc40214626"/>
      <w:r w:rsidRPr="00146B5E">
        <w:t>Benefits/harms</w:t>
      </w:r>
      <w:bookmarkEnd w:id="17"/>
      <w:bookmarkEnd w:id="18"/>
    </w:p>
    <w:p w:rsidR="00847FD3" w:rsidRPr="00146B5E" w:rsidRDefault="00847FD3" w:rsidP="002917D2">
      <w:pPr>
        <w:pStyle w:val="3-BodyText"/>
        <w:ind w:left="720"/>
      </w:pPr>
      <w:r w:rsidRPr="00146B5E">
        <w:t>Based on the non-inferiority results presented in the submission, and the indirect treatment comparison, no benefits and harms table has been compiled</w:t>
      </w:r>
      <w:r w:rsidRPr="00146B5E">
        <w:rPr>
          <w:iCs/>
        </w:rPr>
        <w:t>.</w:t>
      </w:r>
    </w:p>
    <w:p w:rsidR="00B60939" w:rsidRPr="00146B5E" w:rsidRDefault="00B60939" w:rsidP="00E9094A">
      <w:pPr>
        <w:pStyle w:val="4-SubsectionHeading"/>
      </w:pPr>
      <w:bookmarkStart w:id="19" w:name="_Toc22897644"/>
      <w:bookmarkStart w:id="20" w:name="_Toc40214627"/>
      <w:r w:rsidRPr="00146B5E">
        <w:t>Clinical claim</w:t>
      </w:r>
      <w:bookmarkEnd w:id="19"/>
      <w:bookmarkEnd w:id="20"/>
    </w:p>
    <w:p w:rsidR="008A144B" w:rsidRPr="00146B5E" w:rsidRDefault="008A144B" w:rsidP="001B1319">
      <w:pPr>
        <w:pStyle w:val="3-BodyText"/>
        <w:ind w:left="720"/>
      </w:pPr>
      <w:r w:rsidRPr="00146B5E">
        <w:t xml:space="preserve">The submission did not use superior, inferior or non-inferior wording as part of its clinical claim, and instead stated that </w:t>
      </w:r>
      <w:r w:rsidR="00050C46" w:rsidRPr="00146B5E">
        <w:t xml:space="preserve">for the treatment of moderate to severe upper limb spasticity in cerebral palsy patients, </w:t>
      </w:r>
      <w:r w:rsidR="0091336A" w:rsidRPr="00146B5E">
        <w:t>Dysport®</w:t>
      </w:r>
      <w:r w:rsidRPr="00146B5E">
        <w:t xml:space="preserve"> is as effective as </w:t>
      </w:r>
      <w:r w:rsidR="006C23C2" w:rsidRPr="00146B5E">
        <w:t>Botox®</w:t>
      </w:r>
      <w:r w:rsidRPr="00146B5E">
        <w:t xml:space="preserve"> at reducing muscle tone and spasticity </w:t>
      </w:r>
      <w:r w:rsidR="00050C46" w:rsidRPr="00146B5E">
        <w:t xml:space="preserve">and it has </w:t>
      </w:r>
      <w:r w:rsidRPr="00146B5E">
        <w:t>a comparable safety profile.</w:t>
      </w:r>
    </w:p>
    <w:p w:rsidR="00A55D38" w:rsidRPr="00146B5E" w:rsidRDefault="008A144B" w:rsidP="001B1319">
      <w:pPr>
        <w:pStyle w:val="3-BodyText"/>
        <w:ind w:left="720"/>
      </w:pPr>
      <w:r w:rsidRPr="00146B5E">
        <w:t xml:space="preserve">The evidence presented </w:t>
      </w:r>
      <w:r w:rsidR="00765CE9" w:rsidRPr="00146B5E">
        <w:t xml:space="preserve">in the submission </w:t>
      </w:r>
      <w:r w:rsidRPr="00146B5E">
        <w:t>partially supports the therapeutic conclusion.</w:t>
      </w:r>
      <w:r w:rsidR="00A87288" w:rsidRPr="00146B5E">
        <w:t xml:space="preserve"> </w:t>
      </w:r>
      <w:r w:rsidRPr="00146B5E">
        <w:rPr>
          <w:iCs/>
        </w:rPr>
        <w:t xml:space="preserve">While there were </w:t>
      </w:r>
      <w:r w:rsidR="00D62860" w:rsidRPr="00146B5E">
        <w:rPr>
          <w:iCs/>
        </w:rPr>
        <w:t xml:space="preserve">generally no </w:t>
      </w:r>
      <w:r w:rsidRPr="00146B5E">
        <w:rPr>
          <w:iCs/>
        </w:rPr>
        <w:t xml:space="preserve">statistically significant differences between </w:t>
      </w:r>
      <w:r w:rsidR="0091336A" w:rsidRPr="00146B5E">
        <w:rPr>
          <w:iCs/>
        </w:rPr>
        <w:t>Dysport®</w:t>
      </w:r>
      <w:r w:rsidRPr="00146B5E">
        <w:rPr>
          <w:iCs/>
        </w:rPr>
        <w:t xml:space="preserve"> and </w:t>
      </w:r>
      <w:r w:rsidR="006C23C2" w:rsidRPr="00146B5E">
        <w:rPr>
          <w:iCs/>
        </w:rPr>
        <w:t>Botox®</w:t>
      </w:r>
      <w:r w:rsidRPr="00146B5E">
        <w:rPr>
          <w:iCs/>
        </w:rPr>
        <w:t xml:space="preserve"> for both effectiveness and safety outcomes, those comparisons were limited by a number of issues associated with the indirect comparisons, including small </w:t>
      </w:r>
      <w:r w:rsidR="00635088" w:rsidRPr="00146B5E">
        <w:rPr>
          <w:iCs/>
        </w:rPr>
        <w:t>patient numbers</w:t>
      </w:r>
      <w:r w:rsidRPr="00146B5E">
        <w:rPr>
          <w:iCs/>
        </w:rPr>
        <w:t xml:space="preserve"> in most of the </w:t>
      </w:r>
      <w:r w:rsidR="006C23C2" w:rsidRPr="00146B5E">
        <w:rPr>
          <w:iCs/>
        </w:rPr>
        <w:t>Botox®</w:t>
      </w:r>
      <w:r w:rsidRPr="00146B5E">
        <w:rPr>
          <w:iCs/>
        </w:rPr>
        <w:t xml:space="preserve"> trials, heterogeneity in many of the comparisons, as well as wide confidence intervals and/or few or no events for many of the safety outcome comparisons.</w:t>
      </w:r>
      <w:r w:rsidR="00A87288" w:rsidRPr="00146B5E">
        <w:rPr>
          <w:iCs/>
        </w:rPr>
        <w:t xml:space="preserve"> </w:t>
      </w:r>
    </w:p>
    <w:p w:rsidR="009D74BB" w:rsidRPr="00146B5E" w:rsidRDefault="00A55D38" w:rsidP="001B1319">
      <w:pPr>
        <w:pStyle w:val="3-BodyText"/>
        <w:ind w:left="720"/>
      </w:pPr>
      <w:r w:rsidRPr="00146B5E">
        <w:rPr>
          <w:iCs/>
        </w:rPr>
        <w:t xml:space="preserve">In addition, while it was acknowledged by the submission there was no evidence available for the adult population, the submission did not consider the applicability of evidence based on children </w:t>
      </w:r>
      <w:r w:rsidR="0014726A" w:rsidRPr="00146B5E">
        <w:rPr>
          <w:iCs/>
        </w:rPr>
        <w:t>with a mean age less than</w:t>
      </w:r>
      <w:r w:rsidRPr="00146B5E">
        <w:rPr>
          <w:iCs/>
        </w:rPr>
        <w:t xml:space="preserve"> 10 years (Study 153) to an adult population.</w:t>
      </w:r>
    </w:p>
    <w:p w:rsidR="009D74BB" w:rsidRPr="00146B5E" w:rsidRDefault="009D74BB" w:rsidP="001B1319">
      <w:pPr>
        <w:pStyle w:val="3-BodyText"/>
        <w:ind w:left="720"/>
      </w:pPr>
      <w:r w:rsidRPr="00146B5E">
        <w:t xml:space="preserve">The PBAC considered that </w:t>
      </w:r>
      <w:r w:rsidR="00275729" w:rsidRPr="00146B5E">
        <w:t>it was likely that Dysport</w:t>
      </w:r>
      <w:r w:rsidR="00050C46" w:rsidRPr="00146B5E">
        <w:rPr>
          <w:rFonts w:cstheme="minorHAnsi"/>
        </w:rPr>
        <w:t>®</w:t>
      </w:r>
      <w:r w:rsidR="00275729" w:rsidRPr="00146B5E">
        <w:t xml:space="preserve"> was as effective as Botox</w:t>
      </w:r>
      <w:r w:rsidR="00050C46" w:rsidRPr="00146B5E">
        <w:rPr>
          <w:rFonts w:cstheme="minorHAnsi"/>
        </w:rPr>
        <w:t>®</w:t>
      </w:r>
      <w:r w:rsidR="00275729" w:rsidRPr="00146B5E">
        <w:t xml:space="preserve"> at reducing muscle tone and spasticity </w:t>
      </w:r>
      <w:r w:rsidR="00050C46" w:rsidRPr="00146B5E">
        <w:t xml:space="preserve">and had a </w:t>
      </w:r>
      <w:r w:rsidR="00D01000" w:rsidRPr="00146B5E">
        <w:t>comparable</w:t>
      </w:r>
      <w:r w:rsidR="00275729" w:rsidRPr="00146B5E">
        <w:t xml:space="preserve"> safety profile.</w:t>
      </w:r>
    </w:p>
    <w:p w:rsidR="00B60939" w:rsidRPr="00146B5E" w:rsidRDefault="00B60939" w:rsidP="00E9094A">
      <w:pPr>
        <w:pStyle w:val="4-SubsectionHeading"/>
      </w:pPr>
      <w:bookmarkStart w:id="21" w:name="_Toc22897645"/>
      <w:bookmarkStart w:id="22" w:name="_Toc40214628"/>
      <w:r w:rsidRPr="00146B5E">
        <w:t>Economic analysis</w:t>
      </w:r>
      <w:bookmarkEnd w:id="21"/>
      <w:bookmarkEnd w:id="22"/>
      <w:r w:rsidR="00491B3A" w:rsidRPr="00146B5E">
        <w:t xml:space="preserve"> </w:t>
      </w:r>
    </w:p>
    <w:p w:rsidR="00847FD3" w:rsidRPr="00146B5E" w:rsidRDefault="00014963" w:rsidP="002917D2">
      <w:pPr>
        <w:pStyle w:val="3-BodyText"/>
        <w:ind w:left="720"/>
        <w:rPr>
          <w:b/>
          <w:bCs/>
        </w:rPr>
      </w:pPr>
      <w:r w:rsidRPr="00146B5E">
        <w:t xml:space="preserve">The submission presented a cost-minimisation analysis based on the indirect comparison versus </w:t>
      </w:r>
      <w:r w:rsidR="006C23C2" w:rsidRPr="00146B5E">
        <w:t>Botox®</w:t>
      </w:r>
      <w:r w:rsidRPr="00146B5E">
        <w:t>.</w:t>
      </w:r>
    </w:p>
    <w:p w:rsidR="00014963" w:rsidRPr="00146B5E" w:rsidRDefault="00072461" w:rsidP="002917D2">
      <w:pPr>
        <w:pStyle w:val="3-BodyText"/>
        <w:ind w:left="720"/>
        <w:rPr>
          <w:b/>
          <w:bCs/>
        </w:rPr>
      </w:pPr>
      <w:r w:rsidRPr="00146B5E">
        <w:t xml:space="preserve">The submission indicated that the units used to express the potency of botulinum toxin preparations are not equivalent and therefore not interchangeable on a unit-to-unit basis; and a universal conversion factor between units of </w:t>
      </w:r>
      <w:r w:rsidR="006C23C2" w:rsidRPr="00146B5E">
        <w:t>Botox®</w:t>
      </w:r>
      <w:r w:rsidRPr="00146B5E">
        <w:t xml:space="preserve"> and units of </w:t>
      </w:r>
      <w:r w:rsidR="0091336A" w:rsidRPr="00146B5E">
        <w:t>Dysport®</w:t>
      </w:r>
      <w:r w:rsidRPr="00146B5E">
        <w:t xml:space="preserve"> has not been determined.</w:t>
      </w:r>
      <w:r w:rsidR="00A87288" w:rsidRPr="00146B5E">
        <w:t xml:space="preserve"> </w:t>
      </w:r>
      <w:r w:rsidRPr="00146B5E">
        <w:rPr>
          <w:iCs/>
        </w:rPr>
        <w:t>This was accurate.</w:t>
      </w:r>
      <w:r w:rsidR="00A87288" w:rsidRPr="00146B5E">
        <w:t xml:space="preserve"> </w:t>
      </w:r>
      <w:r w:rsidRPr="00146B5E">
        <w:t xml:space="preserve">Therefore, the submission calculated the equi-effective doses of </w:t>
      </w:r>
      <w:r w:rsidR="0091336A" w:rsidRPr="00146B5E">
        <w:t>Dysport®</w:t>
      </w:r>
      <w:r w:rsidRPr="00146B5E">
        <w:t xml:space="preserve"> and </w:t>
      </w:r>
      <w:r w:rsidR="006C23C2" w:rsidRPr="00146B5E">
        <w:t>Botox®</w:t>
      </w:r>
      <w:r w:rsidRPr="00146B5E">
        <w:t xml:space="preserve"> using data from Study 153 and from three of the </w:t>
      </w:r>
      <w:r w:rsidR="006C23C2" w:rsidRPr="00146B5E">
        <w:t>Botox®</w:t>
      </w:r>
      <w:r w:rsidRPr="00146B5E">
        <w:t xml:space="preserve"> trials used in the indirect comparisons (Fehlings 2000; Rameckers 2009/Speth 2005; Lowe 2006).</w:t>
      </w:r>
    </w:p>
    <w:p w:rsidR="00072461" w:rsidRPr="00146B5E" w:rsidRDefault="00EF02BC" w:rsidP="001B1319">
      <w:pPr>
        <w:pStyle w:val="3-BodyText"/>
        <w:ind w:left="720"/>
        <w:rPr>
          <w:b/>
          <w:bCs/>
        </w:rPr>
      </w:pPr>
      <w:r w:rsidRPr="00146B5E">
        <w:lastRenderedPageBreak/>
        <w:t>The table below provides the calculation of equi-effective doses.</w:t>
      </w:r>
      <w:r w:rsidR="00A87288" w:rsidRPr="00146B5E">
        <w:t xml:space="preserve"> </w:t>
      </w:r>
      <w:r w:rsidRPr="00146B5E">
        <w:t>Data from the 8</w:t>
      </w:r>
      <w:r w:rsidR="00D82CE2">
        <w:t xml:space="preserve"> </w:t>
      </w:r>
      <w:r w:rsidRPr="00146B5E">
        <w:t>U/kg and 16</w:t>
      </w:r>
      <w:r w:rsidR="00D82CE2">
        <w:t xml:space="preserve"> </w:t>
      </w:r>
      <w:r w:rsidRPr="00146B5E">
        <w:t xml:space="preserve">U/kg arms from Study 153 for </w:t>
      </w:r>
      <w:r w:rsidR="0091336A" w:rsidRPr="00146B5E">
        <w:t>Dysport®</w:t>
      </w:r>
      <w:r w:rsidRPr="00146B5E">
        <w:t xml:space="preserve"> were pooled.</w:t>
      </w:r>
      <w:r w:rsidR="00A87288" w:rsidRPr="00146B5E">
        <w:t xml:space="preserve"> </w:t>
      </w:r>
      <w:r w:rsidRPr="00146B5E">
        <w:t>For the Fehlings (2000) trial, data on mean weight was not available so Australian reference weight was used instead.</w:t>
      </w:r>
      <w:r w:rsidR="00A87288" w:rsidRPr="00146B5E">
        <w:t xml:space="preserve"> </w:t>
      </w:r>
      <w:r w:rsidRPr="00146B5E">
        <w:rPr>
          <w:iCs/>
        </w:rPr>
        <w:t>This was reasonable.</w:t>
      </w:r>
      <w:r w:rsidR="00A87288" w:rsidRPr="00146B5E">
        <w:t xml:space="preserve"> </w:t>
      </w:r>
    </w:p>
    <w:p w:rsidR="00072461" w:rsidRPr="00146B5E" w:rsidRDefault="00EF02BC" w:rsidP="008F42F9">
      <w:pPr>
        <w:pStyle w:val="TableFigureHeading"/>
      </w:pPr>
      <w:r w:rsidRPr="00146B5E">
        <w:rPr>
          <w:rStyle w:val="CommentReference"/>
          <w:b/>
          <w:szCs w:val="24"/>
        </w:rPr>
        <w:t xml:space="preserve">Table </w:t>
      </w:r>
      <w:r w:rsidR="00844F8E" w:rsidRPr="00146B5E">
        <w:rPr>
          <w:rStyle w:val="CommentReference"/>
          <w:b/>
          <w:szCs w:val="24"/>
        </w:rPr>
        <w:t>12</w:t>
      </w:r>
      <w:r w:rsidRPr="00146B5E">
        <w:rPr>
          <w:rStyle w:val="CommentReference"/>
          <w:b/>
          <w:szCs w:val="24"/>
        </w:rPr>
        <w:t xml:space="preserve">: Mean doses in </w:t>
      </w:r>
      <w:r w:rsidR="0091336A" w:rsidRPr="00146B5E">
        <w:rPr>
          <w:rStyle w:val="CommentReference"/>
          <w:b/>
          <w:szCs w:val="24"/>
        </w:rPr>
        <w:t>Dysport®</w:t>
      </w:r>
      <w:r w:rsidRPr="00146B5E">
        <w:rPr>
          <w:rStyle w:val="CommentReference"/>
          <w:b/>
          <w:szCs w:val="24"/>
        </w:rPr>
        <w:t xml:space="preserve"> and </w:t>
      </w:r>
      <w:r w:rsidR="006C23C2" w:rsidRPr="00146B5E">
        <w:rPr>
          <w:rStyle w:val="CommentReference"/>
          <w:b/>
          <w:szCs w:val="24"/>
        </w:rPr>
        <w:t>Botox®</w:t>
      </w:r>
      <w:r w:rsidRPr="00146B5E">
        <w:rPr>
          <w:rStyle w:val="CommentReference"/>
          <w:b/>
          <w:szCs w:val="24"/>
        </w:rPr>
        <w:t xml:space="preserve"> trials used to calculate equi-effective doses</w:t>
      </w:r>
    </w:p>
    <w:tbl>
      <w:tblPr>
        <w:tblStyle w:val="Submissionstandard1"/>
        <w:tblW w:w="5000" w:type="pct"/>
        <w:tblLook w:val="04A0" w:firstRow="1" w:lastRow="0" w:firstColumn="1" w:lastColumn="0" w:noHBand="0" w:noVBand="1"/>
        <w:tblCaption w:val="Table 12"/>
      </w:tblPr>
      <w:tblGrid>
        <w:gridCol w:w="2133"/>
        <w:gridCol w:w="1643"/>
        <w:gridCol w:w="1351"/>
        <w:gridCol w:w="1167"/>
        <w:gridCol w:w="1421"/>
        <w:gridCol w:w="1302"/>
      </w:tblGrid>
      <w:tr w:rsidR="009211A7" w:rsidRPr="00146B5E" w:rsidTr="00AC0F2C">
        <w:trPr>
          <w:cnfStyle w:val="100000000000" w:firstRow="1" w:lastRow="0" w:firstColumn="0" w:lastColumn="0" w:oddVBand="0" w:evenVBand="0" w:oddHBand="0" w:evenHBand="0" w:firstRowFirstColumn="0" w:firstRowLastColumn="0" w:lastRowFirstColumn="0" w:lastRowLastColumn="0"/>
          <w:tblHeader/>
        </w:trPr>
        <w:tc>
          <w:tcPr>
            <w:tcW w:w="1183" w:type="pct"/>
            <w:vMerge w:val="restart"/>
            <w:shd w:val="clear" w:color="auto" w:fill="auto"/>
            <w:noWrap/>
            <w:vAlign w:val="center"/>
          </w:tcPr>
          <w:p w:rsidR="009211A7" w:rsidRPr="00146B5E" w:rsidRDefault="009211A7" w:rsidP="00186772">
            <w:pPr>
              <w:pStyle w:val="TableTextleftalign"/>
              <w:keepNext/>
              <w:spacing w:after="0"/>
              <w:rPr>
                <w:rFonts w:ascii="Arial Narrow" w:hAnsi="Arial Narrow"/>
                <w:bCs/>
                <w:sz w:val="20"/>
                <w:szCs w:val="20"/>
                <w:lang w:val="en-AU"/>
              </w:rPr>
            </w:pPr>
          </w:p>
        </w:tc>
        <w:tc>
          <w:tcPr>
            <w:tcW w:w="911" w:type="pct"/>
            <w:shd w:val="clear" w:color="auto" w:fill="auto"/>
            <w:noWrap/>
            <w:tcMar>
              <w:right w:w="28" w:type="dxa"/>
            </w:tcMar>
            <w:vAlign w:val="center"/>
          </w:tcPr>
          <w:p w:rsidR="009211A7" w:rsidRPr="00146B5E" w:rsidRDefault="009211A7" w:rsidP="00186772">
            <w:pPr>
              <w:pStyle w:val="TableCentre"/>
              <w:keepNext/>
              <w:rPr>
                <w:rFonts w:ascii="Arial Narrow" w:hAnsi="Arial Narrow"/>
                <w:bCs/>
                <w:sz w:val="20"/>
                <w:szCs w:val="20"/>
                <w:lang w:val="en-AU"/>
              </w:rPr>
            </w:pPr>
            <w:r w:rsidRPr="00146B5E">
              <w:rPr>
                <w:rFonts w:ascii="Arial Narrow" w:hAnsi="Arial Narrow"/>
                <w:bCs/>
                <w:sz w:val="20"/>
                <w:szCs w:val="20"/>
                <w:lang w:val="en-AU"/>
              </w:rPr>
              <w:t>Dysport</w:t>
            </w:r>
            <w:r w:rsidRPr="00146B5E">
              <w:rPr>
                <w:rStyle w:val="CommentReference"/>
                <w:bCs/>
                <w:szCs w:val="24"/>
                <w:vertAlign w:val="superscript"/>
                <w:lang w:val="en-AU"/>
              </w:rPr>
              <w:t>®</w:t>
            </w:r>
          </w:p>
        </w:tc>
        <w:tc>
          <w:tcPr>
            <w:tcW w:w="2906" w:type="pct"/>
            <w:gridSpan w:val="4"/>
            <w:shd w:val="clear" w:color="auto" w:fill="auto"/>
            <w:vAlign w:val="center"/>
          </w:tcPr>
          <w:p w:rsidR="009211A7" w:rsidRPr="00146B5E" w:rsidRDefault="009211A7" w:rsidP="00186772">
            <w:pPr>
              <w:pStyle w:val="TableCentre"/>
              <w:keepNext/>
              <w:rPr>
                <w:rFonts w:ascii="Arial Narrow" w:hAnsi="Arial Narrow"/>
                <w:b w:val="0"/>
                <w:sz w:val="20"/>
                <w:szCs w:val="20"/>
                <w:lang w:val="en-AU"/>
              </w:rPr>
            </w:pPr>
            <w:r w:rsidRPr="00146B5E">
              <w:rPr>
                <w:rStyle w:val="CommentReference"/>
                <w:b/>
                <w:szCs w:val="24"/>
                <w:lang w:val="en-AU"/>
              </w:rPr>
              <w:t>Botox</w:t>
            </w:r>
            <w:r w:rsidRPr="00146B5E">
              <w:rPr>
                <w:rStyle w:val="CommentReference"/>
                <w:b/>
                <w:szCs w:val="24"/>
                <w:vertAlign w:val="superscript"/>
                <w:lang w:val="en-AU"/>
              </w:rPr>
              <w:t>®</w:t>
            </w:r>
          </w:p>
        </w:tc>
      </w:tr>
      <w:tr w:rsidR="009211A7" w:rsidRPr="00146B5E" w:rsidTr="00AC0F2C">
        <w:trPr>
          <w:cnfStyle w:val="100000000000" w:firstRow="1" w:lastRow="0" w:firstColumn="0" w:lastColumn="0" w:oddVBand="0" w:evenVBand="0" w:oddHBand="0" w:evenHBand="0" w:firstRowFirstColumn="0" w:firstRowLastColumn="0" w:lastRowFirstColumn="0" w:lastRowLastColumn="0"/>
          <w:tblHeader/>
        </w:trPr>
        <w:tc>
          <w:tcPr>
            <w:tcW w:w="1183" w:type="pct"/>
            <w:vMerge/>
            <w:shd w:val="clear" w:color="auto" w:fill="auto"/>
            <w:noWrap/>
            <w:vAlign w:val="center"/>
            <w:hideMark/>
          </w:tcPr>
          <w:p w:rsidR="009211A7" w:rsidRPr="00146B5E" w:rsidRDefault="009211A7" w:rsidP="00186772">
            <w:pPr>
              <w:pStyle w:val="TableTextleftalign"/>
              <w:keepNext/>
              <w:spacing w:after="0"/>
              <w:rPr>
                <w:rFonts w:ascii="Arial Narrow" w:hAnsi="Arial Narrow"/>
                <w:bCs/>
                <w:sz w:val="20"/>
                <w:szCs w:val="20"/>
                <w:lang w:val="en-AU"/>
              </w:rPr>
            </w:pPr>
          </w:p>
        </w:tc>
        <w:tc>
          <w:tcPr>
            <w:tcW w:w="911" w:type="pct"/>
            <w:shd w:val="clear" w:color="auto" w:fill="auto"/>
            <w:noWrap/>
            <w:tcMar>
              <w:right w:w="28" w:type="dxa"/>
            </w:tcMar>
            <w:vAlign w:val="center"/>
            <w:hideMark/>
          </w:tcPr>
          <w:p w:rsidR="009211A7" w:rsidRPr="00146B5E" w:rsidRDefault="009211A7" w:rsidP="00186772">
            <w:pPr>
              <w:pStyle w:val="TableCentre"/>
              <w:keepNext/>
              <w:rPr>
                <w:rFonts w:ascii="Arial Narrow" w:hAnsi="Arial Narrow"/>
                <w:b w:val="0"/>
                <w:sz w:val="20"/>
                <w:szCs w:val="20"/>
                <w:lang w:val="en-AU"/>
              </w:rPr>
            </w:pPr>
            <w:r w:rsidRPr="00146B5E">
              <w:rPr>
                <w:rFonts w:ascii="Arial Narrow" w:hAnsi="Arial Narrow"/>
                <w:sz w:val="20"/>
                <w:szCs w:val="20"/>
                <w:lang w:val="en-AU"/>
              </w:rPr>
              <w:t>Study 153</w:t>
            </w:r>
          </w:p>
        </w:tc>
        <w:tc>
          <w:tcPr>
            <w:tcW w:w="749" w:type="pct"/>
            <w:shd w:val="clear" w:color="auto" w:fill="auto"/>
            <w:vAlign w:val="center"/>
          </w:tcPr>
          <w:p w:rsidR="009211A7" w:rsidRPr="00146B5E" w:rsidRDefault="009211A7" w:rsidP="00186772">
            <w:pPr>
              <w:pStyle w:val="TableCentre"/>
              <w:keepNext/>
              <w:rPr>
                <w:rFonts w:ascii="Arial Narrow" w:hAnsi="Arial Narrow"/>
                <w:b w:val="0"/>
                <w:sz w:val="20"/>
                <w:szCs w:val="20"/>
                <w:lang w:val="en-AU"/>
              </w:rPr>
            </w:pPr>
            <w:r w:rsidRPr="00146B5E">
              <w:rPr>
                <w:rFonts w:ascii="Arial Narrow" w:hAnsi="Arial Narrow"/>
                <w:sz w:val="20"/>
                <w:szCs w:val="20"/>
                <w:lang w:val="en-AU"/>
              </w:rPr>
              <w:t>Fehlings 2000</w:t>
            </w:r>
          </w:p>
        </w:tc>
        <w:tc>
          <w:tcPr>
            <w:tcW w:w="647" w:type="pct"/>
            <w:shd w:val="clear" w:color="auto" w:fill="auto"/>
            <w:noWrap/>
            <w:vAlign w:val="center"/>
            <w:hideMark/>
          </w:tcPr>
          <w:p w:rsidR="009211A7" w:rsidRPr="00146B5E" w:rsidRDefault="009211A7" w:rsidP="00186772">
            <w:pPr>
              <w:pStyle w:val="TableCentre"/>
              <w:keepNext/>
              <w:rPr>
                <w:rFonts w:ascii="Arial Narrow" w:hAnsi="Arial Narrow"/>
                <w:b w:val="0"/>
                <w:sz w:val="20"/>
                <w:szCs w:val="20"/>
                <w:lang w:val="en-AU"/>
              </w:rPr>
            </w:pPr>
            <w:r w:rsidRPr="00146B5E">
              <w:rPr>
                <w:rFonts w:ascii="Arial Narrow" w:hAnsi="Arial Narrow"/>
                <w:sz w:val="20"/>
                <w:szCs w:val="20"/>
                <w:lang w:val="en-AU"/>
              </w:rPr>
              <w:t>Speth 2005</w:t>
            </w:r>
          </w:p>
        </w:tc>
        <w:tc>
          <w:tcPr>
            <w:tcW w:w="788" w:type="pct"/>
            <w:shd w:val="clear" w:color="auto" w:fill="auto"/>
            <w:noWrap/>
            <w:vAlign w:val="center"/>
            <w:hideMark/>
          </w:tcPr>
          <w:p w:rsidR="009211A7" w:rsidRPr="00146B5E" w:rsidRDefault="009211A7" w:rsidP="00186772">
            <w:pPr>
              <w:pStyle w:val="TableCentre"/>
              <w:keepNext/>
              <w:rPr>
                <w:rFonts w:ascii="Arial Narrow" w:hAnsi="Arial Narrow"/>
                <w:b w:val="0"/>
                <w:sz w:val="20"/>
                <w:szCs w:val="20"/>
                <w:lang w:val="en-AU"/>
              </w:rPr>
            </w:pPr>
            <w:r w:rsidRPr="00146B5E">
              <w:rPr>
                <w:rFonts w:ascii="Arial Narrow" w:hAnsi="Arial Narrow"/>
                <w:sz w:val="20"/>
                <w:szCs w:val="20"/>
                <w:lang w:val="en-AU"/>
              </w:rPr>
              <w:t>Lowe et al 2006</w:t>
            </w:r>
          </w:p>
        </w:tc>
        <w:tc>
          <w:tcPr>
            <w:tcW w:w="722" w:type="pct"/>
            <w:shd w:val="clear" w:color="auto" w:fill="auto"/>
          </w:tcPr>
          <w:p w:rsidR="009211A7" w:rsidRPr="00146B5E" w:rsidRDefault="009211A7" w:rsidP="00186772">
            <w:pPr>
              <w:pStyle w:val="TableCentre"/>
              <w:keepNext/>
              <w:rPr>
                <w:rFonts w:ascii="Arial Narrow" w:hAnsi="Arial Narrow"/>
                <w:b w:val="0"/>
                <w:sz w:val="20"/>
                <w:szCs w:val="20"/>
                <w:lang w:val="en-AU"/>
              </w:rPr>
            </w:pPr>
            <w:r w:rsidRPr="00146B5E">
              <w:rPr>
                <w:rFonts w:ascii="Arial Narrow" w:hAnsi="Arial Narrow"/>
                <w:sz w:val="20"/>
                <w:szCs w:val="20"/>
                <w:lang w:val="en-AU"/>
              </w:rPr>
              <w:t>Total Botox</w:t>
            </w:r>
            <w:r w:rsidRPr="00146B5E">
              <w:rPr>
                <w:rFonts w:ascii="Arial Narrow" w:hAnsi="Arial Narrow"/>
                <w:sz w:val="20"/>
                <w:szCs w:val="20"/>
                <w:vertAlign w:val="superscript"/>
                <w:lang w:val="en-AU"/>
              </w:rPr>
              <w:t>®</w:t>
            </w:r>
            <w:r w:rsidRPr="00146B5E">
              <w:rPr>
                <w:rFonts w:ascii="Arial Narrow" w:hAnsi="Arial Narrow"/>
                <w:sz w:val="20"/>
                <w:szCs w:val="20"/>
                <w:lang w:val="en-AU"/>
              </w:rPr>
              <w:t xml:space="preserve"> trials</w:t>
            </w:r>
          </w:p>
        </w:tc>
      </w:tr>
      <w:tr w:rsidR="009211A7" w:rsidRPr="00146B5E" w:rsidTr="008F42F9">
        <w:tc>
          <w:tcPr>
            <w:tcW w:w="1183" w:type="pct"/>
            <w:shd w:val="clear" w:color="auto" w:fill="auto"/>
            <w:noWrap/>
            <w:vAlign w:val="center"/>
            <w:hideMark/>
          </w:tcPr>
          <w:p w:rsidR="009211A7" w:rsidRPr="00146B5E" w:rsidRDefault="009211A7" w:rsidP="00186772">
            <w:pPr>
              <w:pStyle w:val="TableTextleftalign"/>
              <w:keepNext/>
              <w:spacing w:after="0"/>
              <w:rPr>
                <w:rFonts w:ascii="Arial Narrow" w:hAnsi="Arial Narrow"/>
                <w:sz w:val="20"/>
                <w:szCs w:val="20"/>
                <w:lang w:val="en-AU"/>
              </w:rPr>
            </w:pPr>
            <w:r w:rsidRPr="00146B5E">
              <w:rPr>
                <w:rFonts w:ascii="Arial Narrow" w:hAnsi="Arial Narrow"/>
                <w:sz w:val="20"/>
                <w:szCs w:val="20"/>
                <w:lang w:val="en-AU"/>
              </w:rPr>
              <w:t>Number treated</w:t>
            </w:r>
          </w:p>
        </w:tc>
        <w:tc>
          <w:tcPr>
            <w:tcW w:w="911" w:type="pct"/>
            <w:shd w:val="clear" w:color="auto" w:fill="auto"/>
            <w:noWrap/>
            <w:tcMar>
              <w:right w:w="28" w:type="dxa"/>
            </w:tcMar>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139</w:t>
            </w:r>
          </w:p>
        </w:tc>
        <w:tc>
          <w:tcPr>
            <w:tcW w:w="749" w:type="pct"/>
            <w:vAlign w:val="center"/>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14</w:t>
            </w:r>
          </w:p>
        </w:tc>
        <w:tc>
          <w:tcPr>
            <w:tcW w:w="647"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10</w:t>
            </w:r>
          </w:p>
        </w:tc>
        <w:tc>
          <w:tcPr>
            <w:tcW w:w="788"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21</w:t>
            </w:r>
          </w:p>
        </w:tc>
        <w:tc>
          <w:tcPr>
            <w:tcW w:w="722" w:type="pct"/>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45</w:t>
            </w:r>
          </w:p>
        </w:tc>
      </w:tr>
      <w:tr w:rsidR="009211A7" w:rsidRPr="00146B5E" w:rsidTr="008F42F9">
        <w:tc>
          <w:tcPr>
            <w:tcW w:w="1183" w:type="pct"/>
            <w:shd w:val="clear" w:color="auto" w:fill="auto"/>
            <w:noWrap/>
            <w:vAlign w:val="center"/>
            <w:hideMark/>
          </w:tcPr>
          <w:p w:rsidR="009211A7" w:rsidRPr="00146B5E" w:rsidRDefault="009211A7" w:rsidP="00186772">
            <w:pPr>
              <w:pStyle w:val="TableTextleftalign"/>
              <w:keepNext/>
              <w:spacing w:after="0"/>
              <w:rPr>
                <w:rFonts w:ascii="Arial Narrow" w:hAnsi="Arial Narrow"/>
                <w:sz w:val="20"/>
                <w:szCs w:val="20"/>
                <w:lang w:val="en-AU"/>
              </w:rPr>
            </w:pPr>
            <w:r w:rsidRPr="00146B5E">
              <w:rPr>
                <w:rFonts w:ascii="Arial Narrow" w:hAnsi="Arial Narrow"/>
                <w:sz w:val="20"/>
                <w:szCs w:val="20"/>
                <w:lang w:val="en-AU"/>
              </w:rPr>
              <w:t>Mean weight</w:t>
            </w:r>
          </w:p>
        </w:tc>
        <w:tc>
          <w:tcPr>
            <w:tcW w:w="911" w:type="pct"/>
            <w:shd w:val="clear" w:color="auto" w:fill="auto"/>
            <w:noWrap/>
            <w:tcMar>
              <w:right w:w="28" w:type="dxa"/>
            </w:tcMar>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32.79</w:t>
            </w:r>
          </w:p>
        </w:tc>
        <w:tc>
          <w:tcPr>
            <w:tcW w:w="749" w:type="pct"/>
            <w:vAlign w:val="center"/>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19.30</w:t>
            </w:r>
          </w:p>
        </w:tc>
        <w:tc>
          <w:tcPr>
            <w:tcW w:w="647"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34.96</w:t>
            </w:r>
          </w:p>
        </w:tc>
        <w:tc>
          <w:tcPr>
            <w:tcW w:w="788"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19.10</w:t>
            </w:r>
          </w:p>
        </w:tc>
        <w:tc>
          <w:tcPr>
            <w:tcW w:w="722" w:type="pct"/>
          </w:tcPr>
          <w:p w:rsidR="009211A7" w:rsidRPr="00146B5E" w:rsidRDefault="00017497" w:rsidP="00186772">
            <w:pPr>
              <w:pStyle w:val="TableCentre"/>
              <w:keepNext/>
              <w:rPr>
                <w:rFonts w:ascii="Arial Narrow" w:hAnsi="Arial Narrow"/>
                <w:sz w:val="20"/>
                <w:szCs w:val="20"/>
                <w:lang w:val="en-AU"/>
              </w:rPr>
            </w:pPr>
            <w:r w:rsidRPr="00146B5E">
              <w:rPr>
                <w:rFonts w:ascii="Arial Narrow" w:hAnsi="Arial Narrow"/>
                <w:sz w:val="20"/>
                <w:szCs w:val="20"/>
                <w:lang w:val="en-AU"/>
              </w:rPr>
              <w:t>-</w:t>
            </w:r>
          </w:p>
        </w:tc>
      </w:tr>
      <w:tr w:rsidR="009211A7" w:rsidRPr="00146B5E" w:rsidTr="008F42F9">
        <w:tc>
          <w:tcPr>
            <w:tcW w:w="1183" w:type="pct"/>
            <w:shd w:val="clear" w:color="auto" w:fill="auto"/>
            <w:noWrap/>
            <w:vAlign w:val="center"/>
            <w:hideMark/>
          </w:tcPr>
          <w:p w:rsidR="009211A7" w:rsidRPr="00146B5E" w:rsidRDefault="009211A7" w:rsidP="00186772">
            <w:pPr>
              <w:pStyle w:val="TableTextleftalign"/>
              <w:keepNext/>
              <w:spacing w:after="0"/>
              <w:rPr>
                <w:rFonts w:ascii="Arial Narrow" w:hAnsi="Arial Narrow"/>
                <w:sz w:val="20"/>
                <w:szCs w:val="20"/>
                <w:lang w:val="en-AU"/>
              </w:rPr>
            </w:pPr>
            <w:r w:rsidRPr="00146B5E">
              <w:rPr>
                <w:rFonts w:ascii="Arial Narrow" w:hAnsi="Arial Narrow"/>
                <w:sz w:val="20"/>
                <w:szCs w:val="20"/>
                <w:lang w:val="en-AU"/>
              </w:rPr>
              <w:t>Mean dose per arm (U/kg)</w:t>
            </w:r>
          </w:p>
        </w:tc>
        <w:tc>
          <w:tcPr>
            <w:tcW w:w="911" w:type="pct"/>
            <w:shd w:val="clear" w:color="auto" w:fill="auto"/>
            <w:noWrap/>
            <w:tcMar>
              <w:right w:w="28" w:type="dxa"/>
            </w:tcMar>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11.99</w:t>
            </w:r>
          </w:p>
        </w:tc>
        <w:tc>
          <w:tcPr>
            <w:tcW w:w="749" w:type="pct"/>
            <w:vAlign w:val="center"/>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4.08</w:t>
            </w:r>
          </w:p>
        </w:tc>
        <w:tc>
          <w:tcPr>
            <w:tcW w:w="647"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4.67</w:t>
            </w:r>
          </w:p>
        </w:tc>
        <w:tc>
          <w:tcPr>
            <w:tcW w:w="788"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7.28</w:t>
            </w:r>
          </w:p>
        </w:tc>
        <w:tc>
          <w:tcPr>
            <w:tcW w:w="722" w:type="pct"/>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5.70</w:t>
            </w:r>
          </w:p>
        </w:tc>
      </w:tr>
      <w:tr w:rsidR="009211A7" w:rsidRPr="00146B5E" w:rsidTr="008F42F9">
        <w:tc>
          <w:tcPr>
            <w:tcW w:w="1183" w:type="pct"/>
            <w:shd w:val="clear" w:color="auto" w:fill="auto"/>
            <w:noWrap/>
            <w:vAlign w:val="center"/>
            <w:hideMark/>
          </w:tcPr>
          <w:p w:rsidR="009211A7" w:rsidRPr="00146B5E" w:rsidRDefault="009211A7" w:rsidP="00186772">
            <w:pPr>
              <w:pStyle w:val="TableTextleftalign"/>
              <w:keepNext/>
              <w:spacing w:after="0"/>
              <w:rPr>
                <w:rFonts w:ascii="Arial Narrow" w:hAnsi="Arial Narrow"/>
                <w:sz w:val="20"/>
                <w:szCs w:val="20"/>
                <w:lang w:val="en-AU"/>
              </w:rPr>
            </w:pPr>
            <w:r w:rsidRPr="00146B5E">
              <w:rPr>
                <w:rFonts w:ascii="Arial Narrow" w:hAnsi="Arial Narrow"/>
                <w:sz w:val="20"/>
                <w:szCs w:val="20"/>
                <w:lang w:val="en-AU"/>
              </w:rPr>
              <w:t xml:space="preserve">Mean total dose </w:t>
            </w:r>
          </w:p>
        </w:tc>
        <w:tc>
          <w:tcPr>
            <w:tcW w:w="911" w:type="pct"/>
            <w:shd w:val="clear" w:color="auto" w:fill="auto"/>
            <w:noWrap/>
            <w:tcMar>
              <w:right w:w="28" w:type="dxa"/>
            </w:tcMar>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394.01</w:t>
            </w:r>
          </w:p>
        </w:tc>
        <w:tc>
          <w:tcPr>
            <w:tcW w:w="749" w:type="pct"/>
            <w:vAlign w:val="center"/>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78.74</w:t>
            </w:r>
          </w:p>
        </w:tc>
        <w:tc>
          <w:tcPr>
            <w:tcW w:w="647"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163.08</w:t>
            </w:r>
          </w:p>
        </w:tc>
        <w:tc>
          <w:tcPr>
            <w:tcW w:w="788" w:type="pct"/>
            <w:shd w:val="clear" w:color="auto" w:fill="auto"/>
            <w:noWrap/>
            <w:vAlign w:val="center"/>
            <w:hideMark/>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139.00</w:t>
            </w:r>
          </w:p>
        </w:tc>
        <w:tc>
          <w:tcPr>
            <w:tcW w:w="722" w:type="pct"/>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125.61</w:t>
            </w:r>
          </w:p>
        </w:tc>
      </w:tr>
      <w:tr w:rsidR="009211A7" w:rsidRPr="00146B5E" w:rsidTr="008F42F9">
        <w:tc>
          <w:tcPr>
            <w:tcW w:w="1183" w:type="pct"/>
            <w:shd w:val="clear" w:color="auto" w:fill="auto"/>
            <w:noWrap/>
            <w:vAlign w:val="center"/>
          </w:tcPr>
          <w:p w:rsidR="009211A7" w:rsidRPr="00146B5E" w:rsidRDefault="009211A7" w:rsidP="00186772">
            <w:pPr>
              <w:pStyle w:val="TableTextleftalign"/>
              <w:keepNext/>
              <w:spacing w:after="0"/>
              <w:rPr>
                <w:rFonts w:ascii="Arial Narrow" w:hAnsi="Arial Narrow"/>
                <w:b/>
                <w:bCs/>
                <w:sz w:val="20"/>
                <w:szCs w:val="20"/>
                <w:lang w:val="en-AU"/>
              </w:rPr>
            </w:pPr>
            <w:r w:rsidRPr="00146B5E">
              <w:rPr>
                <w:rFonts w:ascii="Arial Narrow" w:hAnsi="Arial Narrow"/>
                <w:b/>
                <w:bCs/>
                <w:sz w:val="20"/>
                <w:szCs w:val="20"/>
                <w:lang w:val="en-AU"/>
              </w:rPr>
              <w:t>Equi-effective dose</w:t>
            </w:r>
          </w:p>
        </w:tc>
        <w:tc>
          <w:tcPr>
            <w:tcW w:w="3817" w:type="pct"/>
            <w:gridSpan w:val="5"/>
            <w:shd w:val="clear" w:color="auto" w:fill="auto"/>
            <w:noWrap/>
            <w:tcMar>
              <w:right w:w="28" w:type="dxa"/>
            </w:tcMar>
            <w:vAlign w:val="center"/>
          </w:tcPr>
          <w:p w:rsidR="009211A7" w:rsidRPr="00146B5E" w:rsidRDefault="009211A7" w:rsidP="00186772">
            <w:pPr>
              <w:pStyle w:val="TableCentre"/>
              <w:keepNext/>
              <w:rPr>
                <w:rFonts w:ascii="Arial Narrow" w:hAnsi="Arial Narrow"/>
                <w:sz w:val="20"/>
                <w:szCs w:val="20"/>
                <w:lang w:val="en-AU"/>
              </w:rPr>
            </w:pPr>
            <w:r w:rsidRPr="00146B5E">
              <w:rPr>
                <w:rFonts w:ascii="Arial Narrow" w:hAnsi="Arial Narrow"/>
                <w:sz w:val="20"/>
                <w:szCs w:val="20"/>
                <w:lang w:val="en-AU"/>
              </w:rPr>
              <w:t>11.99 (</w:t>
            </w:r>
            <w:r w:rsidR="002917D2" w:rsidRPr="00146B5E">
              <w:rPr>
                <w:rFonts w:ascii="Arial Narrow" w:hAnsi="Arial Narrow"/>
                <w:sz w:val="20"/>
                <w:szCs w:val="20"/>
                <w:lang w:val="en-AU"/>
              </w:rPr>
              <w:t xml:space="preserve">mean </w:t>
            </w:r>
            <w:r w:rsidRPr="00146B5E">
              <w:rPr>
                <w:rFonts w:ascii="Arial Narrow" w:hAnsi="Arial Narrow"/>
                <w:sz w:val="20"/>
                <w:szCs w:val="20"/>
                <w:lang w:val="en-AU"/>
              </w:rPr>
              <w:t>dose per arm U/kg) Dysport</w:t>
            </w:r>
            <w:r w:rsidR="002917D2" w:rsidRPr="00146B5E">
              <w:rPr>
                <w:rFonts w:ascii="Arial Narrow" w:hAnsi="Arial Narrow"/>
                <w:sz w:val="20"/>
                <w:szCs w:val="20"/>
                <w:lang w:val="en-AU"/>
              </w:rPr>
              <w:t xml:space="preserve"> </w:t>
            </w:r>
            <w:r w:rsidRPr="00146B5E">
              <w:rPr>
                <w:rFonts w:ascii="Arial Narrow" w:hAnsi="Arial Narrow"/>
                <w:sz w:val="20"/>
                <w:szCs w:val="20"/>
                <w:lang w:val="en-AU"/>
              </w:rPr>
              <w:t>÷</w:t>
            </w:r>
            <w:r w:rsidR="002917D2" w:rsidRPr="00146B5E">
              <w:rPr>
                <w:rFonts w:ascii="Arial Narrow" w:hAnsi="Arial Narrow"/>
                <w:sz w:val="20"/>
                <w:szCs w:val="20"/>
                <w:lang w:val="en-AU"/>
              </w:rPr>
              <w:t xml:space="preserve"> </w:t>
            </w:r>
            <w:r w:rsidRPr="00146B5E">
              <w:rPr>
                <w:rFonts w:ascii="Arial Narrow" w:hAnsi="Arial Narrow"/>
                <w:sz w:val="20"/>
                <w:szCs w:val="20"/>
                <w:lang w:val="en-AU"/>
              </w:rPr>
              <w:t>5.70 (</w:t>
            </w:r>
            <w:r w:rsidR="00FE21CA" w:rsidRPr="00146B5E">
              <w:rPr>
                <w:rFonts w:ascii="Arial Narrow" w:hAnsi="Arial Narrow"/>
                <w:sz w:val="20"/>
                <w:szCs w:val="20"/>
                <w:lang w:val="en-AU"/>
              </w:rPr>
              <w:t>weighted</w:t>
            </w:r>
            <w:r w:rsidR="002917D2" w:rsidRPr="00146B5E">
              <w:rPr>
                <w:rFonts w:ascii="Arial Narrow" w:hAnsi="Arial Narrow"/>
                <w:sz w:val="20"/>
                <w:szCs w:val="20"/>
                <w:lang w:val="en-AU"/>
              </w:rPr>
              <w:t xml:space="preserve"> mean </w:t>
            </w:r>
            <w:r w:rsidRPr="00146B5E">
              <w:rPr>
                <w:rFonts w:ascii="Arial Narrow" w:hAnsi="Arial Narrow"/>
                <w:sz w:val="20"/>
                <w:szCs w:val="20"/>
                <w:lang w:val="en-AU"/>
              </w:rPr>
              <w:t xml:space="preserve">dose per arm U/kg) </w:t>
            </w:r>
            <w:r w:rsidR="002917D2" w:rsidRPr="00146B5E">
              <w:rPr>
                <w:rFonts w:ascii="Arial Narrow" w:hAnsi="Arial Narrow"/>
                <w:sz w:val="20"/>
                <w:szCs w:val="20"/>
                <w:lang w:val="en-AU"/>
              </w:rPr>
              <w:br/>
            </w:r>
            <w:r w:rsidRPr="00146B5E">
              <w:rPr>
                <w:rFonts w:ascii="Arial Narrow" w:hAnsi="Arial Narrow"/>
                <w:b/>
                <w:bCs/>
                <w:sz w:val="20"/>
                <w:szCs w:val="20"/>
                <w:lang w:val="en-AU"/>
              </w:rPr>
              <w:t>2.10 units Dysport</w:t>
            </w:r>
            <w:r w:rsidRPr="00146B5E">
              <w:rPr>
                <w:rFonts w:ascii="Arial Narrow" w:hAnsi="Arial Narrow"/>
                <w:b/>
                <w:bCs/>
                <w:sz w:val="20"/>
                <w:szCs w:val="20"/>
                <w:vertAlign w:val="superscript"/>
                <w:lang w:val="en-AU"/>
              </w:rPr>
              <w:t>®</w:t>
            </w:r>
            <w:r w:rsidRPr="00146B5E">
              <w:rPr>
                <w:rFonts w:ascii="Arial Narrow" w:hAnsi="Arial Narrow"/>
                <w:b/>
                <w:bCs/>
                <w:sz w:val="20"/>
                <w:szCs w:val="20"/>
                <w:lang w:val="en-AU"/>
              </w:rPr>
              <w:t xml:space="preserve"> = 1 unit Botox</w:t>
            </w:r>
            <w:r w:rsidRPr="00146B5E">
              <w:rPr>
                <w:rFonts w:ascii="Arial Narrow" w:hAnsi="Arial Narrow"/>
                <w:b/>
                <w:bCs/>
                <w:sz w:val="20"/>
                <w:szCs w:val="20"/>
                <w:vertAlign w:val="superscript"/>
                <w:lang w:val="en-AU"/>
              </w:rPr>
              <w:t>®</w:t>
            </w:r>
          </w:p>
        </w:tc>
      </w:tr>
    </w:tbl>
    <w:p w:rsidR="00EF02BC" w:rsidRPr="00146B5E" w:rsidRDefault="00EF02BC" w:rsidP="00397BFD">
      <w:pPr>
        <w:pStyle w:val="TableFigureFooter"/>
      </w:pPr>
      <w:r w:rsidRPr="00146B5E">
        <w:t>Source: Table 3-2, p162 of the submission</w:t>
      </w:r>
      <w:r w:rsidR="00F8670D" w:rsidRPr="00146B5E">
        <w:t>; Excel Workbook Ipsen Dysport Paediatric UL Section 3</w:t>
      </w:r>
      <w:r w:rsidRPr="00146B5E">
        <w:t>.</w:t>
      </w:r>
    </w:p>
    <w:p w:rsidR="00C27D58" w:rsidRPr="00146B5E" w:rsidRDefault="007C34DB" w:rsidP="00017497">
      <w:pPr>
        <w:pStyle w:val="3-BodyText"/>
        <w:spacing w:after="160"/>
        <w:ind w:left="720"/>
        <w:rPr>
          <w:b/>
          <w:bCs/>
        </w:rPr>
      </w:pPr>
      <w:r w:rsidRPr="00146B5E">
        <w:t>T</w:t>
      </w:r>
      <w:r w:rsidR="00017497" w:rsidRPr="00146B5E">
        <w:t>he cost-minimisation analysis is presented below. The submission has proposed ex-manufacturer prices for Dysport 300U and 500U</w:t>
      </w:r>
      <w:r w:rsidR="0053494A" w:rsidRPr="00146B5E">
        <w:t xml:space="preserve"> based on approved prices in other indications and </w:t>
      </w:r>
      <w:r w:rsidR="00017497" w:rsidRPr="00146B5E">
        <w:t>which are lower than those calculated in the cost-mini</w:t>
      </w:r>
      <w:r w:rsidR="00FE21CA" w:rsidRPr="00146B5E">
        <w:t>mi</w:t>
      </w:r>
      <w:r w:rsidR="00017497" w:rsidRPr="00146B5E">
        <w:t>sation</w:t>
      </w:r>
      <w:r w:rsidR="0053494A" w:rsidRPr="00146B5E">
        <w:t>. Therefore, the submission has estimated savings based on the assumed equi-effective doses of Dysport</w:t>
      </w:r>
      <w:r w:rsidR="0053494A" w:rsidRPr="00146B5E">
        <w:rPr>
          <w:rFonts w:cstheme="minorHAnsi"/>
        </w:rPr>
        <w:t>®</w:t>
      </w:r>
      <w:r w:rsidR="0053494A" w:rsidRPr="00146B5E">
        <w:t xml:space="preserve"> and Botox</w:t>
      </w:r>
      <w:r w:rsidR="0053494A" w:rsidRPr="00146B5E">
        <w:rPr>
          <w:rFonts w:cstheme="minorHAnsi"/>
        </w:rPr>
        <w:t>®</w:t>
      </w:r>
      <w:r w:rsidR="0053494A" w:rsidRPr="00146B5E">
        <w:t xml:space="preserve">. </w:t>
      </w:r>
    </w:p>
    <w:p w:rsidR="00F56C58" w:rsidRPr="00146B5E" w:rsidRDefault="0089482E" w:rsidP="008F42F9">
      <w:pPr>
        <w:pStyle w:val="TableFigureHeading"/>
      </w:pPr>
      <w:r w:rsidRPr="00146B5E">
        <w:rPr>
          <w:rStyle w:val="CommentReference"/>
          <w:b/>
          <w:szCs w:val="24"/>
        </w:rPr>
        <w:t>Table 13: 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51"/>
        <w:gridCol w:w="1733"/>
        <w:gridCol w:w="1733"/>
      </w:tblGrid>
      <w:tr w:rsidR="00F56C58"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tabs>
                <w:tab w:val="left" w:pos="142"/>
              </w:tabs>
              <w:spacing w:before="0" w:after="0"/>
            </w:pPr>
          </w:p>
        </w:tc>
        <w:tc>
          <w:tcPr>
            <w:tcW w:w="961"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spacing w:before="0" w:after="0"/>
              <w:jc w:val="center"/>
              <w:rPr>
                <w:b/>
              </w:rPr>
            </w:pPr>
            <w:r w:rsidRPr="00146B5E">
              <w:rPr>
                <w:b/>
              </w:rPr>
              <w:t>Dysport</w:t>
            </w:r>
            <w:r w:rsidR="00F61386" w:rsidRPr="00146B5E">
              <w:rPr>
                <w:b/>
                <w:vertAlign w:val="superscript"/>
              </w:rPr>
              <w:t>®</w:t>
            </w:r>
          </w:p>
        </w:tc>
        <w:tc>
          <w:tcPr>
            <w:tcW w:w="961"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spacing w:before="0" w:after="0"/>
              <w:jc w:val="center"/>
              <w:rPr>
                <w:b/>
              </w:rPr>
            </w:pPr>
            <w:r w:rsidRPr="00146B5E">
              <w:rPr>
                <w:b/>
              </w:rPr>
              <w:t>Botox</w:t>
            </w:r>
            <w:r w:rsidR="00F61386" w:rsidRPr="00146B5E">
              <w:rPr>
                <w:b/>
                <w:vertAlign w:val="superscript"/>
              </w:rPr>
              <w:t>®</w:t>
            </w:r>
          </w:p>
        </w:tc>
      </w:tr>
      <w:tr w:rsidR="00F56C58" w:rsidRPr="00146B5E" w:rsidTr="001B1319">
        <w:tc>
          <w:tcPr>
            <w:tcW w:w="3078" w:type="pct"/>
            <w:tcBorders>
              <w:top w:val="single" w:sz="4" w:space="0" w:color="auto"/>
              <w:left w:val="single" w:sz="4" w:space="0" w:color="auto"/>
              <w:bottom w:val="single" w:sz="4" w:space="0" w:color="auto"/>
              <w:right w:val="single" w:sz="4" w:space="0" w:color="auto"/>
            </w:tcBorders>
            <w:vAlign w:val="center"/>
            <w:hideMark/>
          </w:tcPr>
          <w:p w:rsidR="00F56C58" w:rsidRPr="00146B5E" w:rsidRDefault="00F56C58" w:rsidP="00D15FA4">
            <w:pPr>
              <w:pStyle w:val="PBACTableText"/>
              <w:keepNext/>
              <w:tabs>
                <w:tab w:val="left" w:pos="142"/>
              </w:tabs>
              <w:spacing w:before="0" w:after="0"/>
            </w:pPr>
            <w:r w:rsidRPr="00146B5E">
              <w:t>Proposed equi-effective dose</w:t>
            </w:r>
            <w:r w:rsidR="00A87288" w:rsidRPr="00146B5E">
              <w:t xml:space="preserve"> </w:t>
            </w:r>
          </w:p>
        </w:tc>
        <w:tc>
          <w:tcPr>
            <w:tcW w:w="1922" w:type="pct"/>
            <w:gridSpan w:val="2"/>
            <w:tcBorders>
              <w:top w:val="single" w:sz="4" w:space="0" w:color="auto"/>
              <w:left w:val="single" w:sz="4" w:space="0" w:color="auto"/>
              <w:bottom w:val="single" w:sz="4" w:space="0" w:color="auto"/>
              <w:right w:val="single" w:sz="4" w:space="0" w:color="auto"/>
            </w:tcBorders>
            <w:vAlign w:val="center"/>
          </w:tcPr>
          <w:p w:rsidR="00F56C58" w:rsidRPr="00146B5E" w:rsidRDefault="00F56C58" w:rsidP="00017497">
            <w:pPr>
              <w:pStyle w:val="PBACTableText"/>
              <w:keepNext/>
              <w:spacing w:before="0" w:after="0"/>
              <w:jc w:val="center"/>
            </w:pPr>
            <w:r w:rsidRPr="00146B5E">
              <w:t>2:10</w:t>
            </w:r>
            <w:r w:rsidR="00017497" w:rsidRPr="00146B5E">
              <w:t xml:space="preserve">U Dysport = </w:t>
            </w:r>
            <w:r w:rsidRPr="00146B5E">
              <w:t>1</w:t>
            </w:r>
            <w:r w:rsidR="00017497" w:rsidRPr="00146B5E">
              <w:t>U Botox</w:t>
            </w:r>
          </w:p>
        </w:tc>
      </w:tr>
      <w:tr w:rsidR="00F56C58" w:rsidRPr="00146B5E" w:rsidTr="001B1319">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56C58" w:rsidRPr="00146B5E" w:rsidRDefault="00F56C58" w:rsidP="00D15FA4">
            <w:pPr>
              <w:pStyle w:val="PBACTableText"/>
              <w:keepNext/>
              <w:tabs>
                <w:tab w:val="left" w:pos="142"/>
              </w:tabs>
              <w:spacing w:before="0" w:after="0"/>
              <w:rPr>
                <w:b/>
              </w:rPr>
            </w:pPr>
            <w:r w:rsidRPr="00146B5E">
              <w:rPr>
                <w:b/>
              </w:rPr>
              <w:t>Treatment cost Botox</w:t>
            </w:r>
            <w:r w:rsidR="00F61386" w:rsidRPr="00146B5E">
              <w:rPr>
                <w:b/>
                <w:vertAlign w:val="superscript"/>
              </w:rPr>
              <w:t>®</w:t>
            </w:r>
          </w:p>
        </w:tc>
      </w:tr>
      <w:tr w:rsidR="00F56C58"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tabs>
                <w:tab w:val="left" w:pos="142"/>
              </w:tabs>
              <w:spacing w:before="0" w:after="0"/>
            </w:pPr>
            <w:r w:rsidRPr="00146B5E">
              <w:t>100U vial AEMP</w:t>
            </w:r>
          </w:p>
        </w:tc>
        <w:tc>
          <w:tcPr>
            <w:tcW w:w="961"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spacing w:before="0" w:after="0"/>
              <w:jc w:val="center"/>
            </w:pPr>
            <w:r w:rsidRPr="00146B5E">
              <w:t>-</w:t>
            </w:r>
          </w:p>
        </w:tc>
        <w:tc>
          <w:tcPr>
            <w:tcW w:w="961"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spacing w:before="0" w:after="0"/>
              <w:jc w:val="center"/>
            </w:pPr>
            <w:r w:rsidRPr="00146B5E">
              <w:t>$337.49</w:t>
            </w:r>
          </w:p>
        </w:tc>
      </w:tr>
      <w:tr w:rsidR="00F56C58"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tabs>
                <w:tab w:val="left" w:pos="142"/>
              </w:tabs>
              <w:spacing w:before="0" w:after="0"/>
            </w:pPr>
            <w:r w:rsidRPr="00146B5E">
              <w:t>Cost per unit ($337.49 ÷ 100)</w:t>
            </w:r>
          </w:p>
        </w:tc>
        <w:tc>
          <w:tcPr>
            <w:tcW w:w="961"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spacing w:before="0" w:after="0"/>
              <w:jc w:val="center"/>
            </w:pPr>
            <w:r w:rsidRPr="00146B5E">
              <w:t>-</w:t>
            </w:r>
          </w:p>
        </w:tc>
        <w:tc>
          <w:tcPr>
            <w:tcW w:w="961" w:type="pct"/>
            <w:tcBorders>
              <w:top w:val="single" w:sz="4" w:space="0" w:color="auto"/>
              <w:left w:val="single" w:sz="4" w:space="0" w:color="auto"/>
              <w:bottom w:val="single" w:sz="4" w:space="0" w:color="auto"/>
              <w:right w:val="single" w:sz="4" w:space="0" w:color="auto"/>
            </w:tcBorders>
            <w:vAlign w:val="center"/>
          </w:tcPr>
          <w:p w:rsidR="00F56C58" w:rsidRPr="00146B5E" w:rsidRDefault="00F56C58" w:rsidP="00D15FA4">
            <w:pPr>
              <w:pStyle w:val="PBACTableText"/>
              <w:keepNext/>
              <w:spacing w:before="0" w:after="0"/>
              <w:jc w:val="center"/>
            </w:pPr>
            <w:r w:rsidRPr="00146B5E">
              <w:t>$3.37</w:t>
            </w:r>
          </w:p>
        </w:tc>
      </w:tr>
      <w:tr w:rsidR="00F56C58" w:rsidRPr="00146B5E" w:rsidTr="001B1319">
        <w:tc>
          <w:tcPr>
            <w:tcW w:w="5000" w:type="pct"/>
            <w:gridSpan w:val="3"/>
            <w:tcBorders>
              <w:top w:val="single" w:sz="4" w:space="0" w:color="auto"/>
              <w:left w:val="single" w:sz="4" w:space="0" w:color="auto"/>
              <w:bottom w:val="single" w:sz="4" w:space="0" w:color="auto"/>
              <w:right w:val="single" w:sz="4" w:space="0" w:color="auto"/>
            </w:tcBorders>
            <w:vAlign w:val="center"/>
          </w:tcPr>
          <w:p w:rsidR="00F56C58" w:rsidRPr="00146B5E" w:rsidRDefault="0053494A" w:rsidP="0053494A">
            <w:pPr>
              <w:pStyle w:val="PBACTableText"/>
              <w:keepNext/>
              <w:tabs>
                <w:tab w:val="left" w:pos="142"/>
              </w:tabs>
              <w:spacing w:before="0" w:after="0"/>
              <w:rPr>
                <w:b/>
              </w:rPr>
            </w:pPr>
            <w:r w:rsidRPr="00146B5E">
              <w:rPr>
                <w:b/>
              </w:rPr>
              <w:t xml:space="preserve">Ex-manufacturer prices for </w:t>
            </w:r>
            <w:r w:rsidR="00F56C58" w:rsidRPr="00146B5E">
              <w:rPr>
                <w:b/>
              </w:rPr>
              <w:t>Dysport</w:t>
            </w:r>
            <w:r w:rsidR="00F61386" w:rsidRPr="00146B5E">
              <w:rPr>
                <w:b/>
                <w:vertAlign w:val="superscript"/>
              </w:rPr>
              <w:t>®</w:t>
            </w:r>
            <w:r w:rsidR="00017497" w:rsidRPr="00146B5E">
              <w:rPr>
                <w:b/>
              </w:rPr>
              <w:t xml:space="preserve"> as per the cost-mini</w:t>
            </w:r>
            <w:r w:rsidR="00FE21CA" w:rsidRPr="00146B5E">
              <w:rPr>
                <w:b/>
              </w:rPr>
              <w:t>mi</w:t>
            </w:r>
            <w:r w:rsidR="00017497" w:rsidRPr="00146B5E">
              <w:rPr>
                <w:b/>
              </w:rPr>
              <w:t>sation analysis</w:t>
            </w: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tabs>
                <w:tab w:val="left" w:pos="142"/>
              </w:tabs>
              <w:spacing w:before="0" w:after="0"/>
            </w:pPr>
            <w:r w:rsidRPr="00146B5E">
              <w:t>Cost per unit ($3.37 ÷ 2.10)</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spacing w:before="0" w:after="0"/>
              <w:jc w:val="center"/>
            </w:pPr>
            <w:r w:rsidRPr="00146B5E">
              <w:t>$1.60</w:t>
            </w:r>
          </w:p>
        </w:tc>
        <w:tc>
          <w:tcPr>
            <w:tcW w:w="961" w:type="pct"/>
            <w:vMerge w:val="restart"/>
            <w:tcBorders>
              <w:top w:val="single" w:sz="4" w:space="0" w:color="auto"/>
              <w:left w:val="single" w:sz="4" w:space="0" w:color="auto"/>
              <w:right w:val="single" w:sz="4" w:space="0" w:color="auto"/>
            </w:tcBorders>
            <w:vAlign w:val="center"/>
          </w:tcPr>
          <w:p w:rsidR="00017497" w:rsidRPr="00146B5E" w:rsidRDefault="00017497" w:rsidP="00D15FA4">
            <w:pPr>
              <w:pStyle w:val="PBACTableText"/>
              <w:keepNext/>
              <w:spacing w:before="0" w:after="0"/>
              <w:jc w:val="center"/>
            </w:pPr>
            <w:r w:rsidRPr="00146B5E">
              <w:t>-</w:t>
            </w: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tabs>
                <w:tab w:val="left" w:pos="142"/>
              </w:tabs>
              <w:spacing w:before="0" w:after="0"/>
            </w:pPr>
            <w:r w:rsidRPr="00146B5E">
              <w:t>300U ($1.60 × 300U)</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spacing w:before="0" w:after="0"/>
              <w:jc w:val="center"/>
            </w:pPr>
            <w:r w:rsidRPr="00146B5E">
              <w:t>$481.32</w:t>
            </w:r>
          </w:p>
        </w:tc>
        <w:tc>
          <w:tcPr>
            <w:tcW w:w="961" w:type="pct"/>
            <w:vMerge/>
            <w:tcBorders>
              <w:left w:val="single" w:sz="4" w:space="0" w:color="auto"/>
              <w:right w:val="single" w:sz="4" w:space="0" w:color="auto"/>
            </w:tcBorders>
            <w:vAlign w:val="center"/>
          </w:tcPr>
          <w:p w:rsidR="00017497" w:rsidRPr="00146B5E" w:rsidRDefault="00017497" w:rsidP="00D15FA4">
            <w:pPr>
              <w:pStyle w:val="PBACTableText"/>
              <w:keepNext/>
              <w:spacing w:before="0" w:after="0"/>
              <w:jc w:val="center"/>
            </w:pP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tabs>
                <w:tab w:val="left" w:pos="142"/>
              </w:tabs>
              <w:spacing w:before="0" w:after="0"/>
            </w:pPr>
            <w:r w:rsidRPr="00146B5E">
              <w:t>500U ($1.60 × 500U)</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spacing w:before="0" w:after="0"/>
              <w:jc w:val="center"/>
            </w:pPr>
            <w:r w:rsidRPr="00146B5E">
              <w:t>$802.20</w:t>
            </w:r>
          </w:p>
        </w:tc>
        <w:tc>
          <w:tcPr>
            <w:tcW w:w="961" w:type="pct"/>
            <w:vMerge/>
            <w:tcBorders>
              <w:left w:val="single" w:sz="4" w:space="0" w:color="auto"/>
              <w:right w:val="single" w:sz="4" w:space="0" w:color="auto"/>
            </w:tcBorders>
            <w:vAlign w:val="center"/>
          </w:tcPr>
          <w:p w:rsidR="00017497" w:rsidRPr="00146B5E" w:rsidRDefault="00017497" w:rsidP="00D15FA4">
            <w:pPr>
              <w:pStyle w:val="PBACTableText"/>
              <w:keepNext/>
              <w:spacing w:before="0" w:after="0"/>
              <w:jc w:val="center"/>
            </w:pPr>
          </w:p>
        </w:tc>
      </w:tr>
      <w:tr w:rsidR="00017497" w:rsidRPr="00146B5E" w:rsidTr="001B1319">
        <w:tc>
          <w:tcPr>
            <w:tcW w:w="4039" w:type="pct"/>
            <w:gridSpan w:val="2"/>
            <w:tcBorders>
              <w:top w:val="single" w:sz="4" w:space="0" w:color="auto"/>
              <w:left w:val="single" w:sz="4" w:space="0" w:color="auto"/>
              <w:bottom w:val="single" w:sz="4" w:space="0" w:color="auto"/>
              <w:right w:val="single" w:sz="4" w:space="0" w:color="auto"/>
            </w:tcBorders>
            <w:vAlign w:val="center"/>
          </w:tcPr>
          <w:p w:rsidR="00017497" w:rsidRPr="00146B5E" w:rsidRDefault="00017497" w:rsidP="0053494A">
            <w:pPr>
              <w:pStyle w:val="PBACTableText"/>
              <w:keepNext/>
              <w:spacing w:before="0" w:after="0"/>
              <w:rPr>
                <w:b/>
              </w:rPr>
            </w:pPr>
            <w:r w:rsidRPr="00146B5E">
              <w:rPr>
                <w:b/>
              </w:rPr>
              <w:t xml:space="preserve">Proposed </w:t>
            </w:r>
            <w:r w:rsidR="0053494A" w:rsidRPr="00146B5E">
              <w:rPr>
                <w:b/>
              </w:rPr>
              <w:t>ex-manufacturer prices</w:t>
            </w:r>
            <w:r w:rsidRPr="00146B5E">
              <w:rPr>
                <w:b/>
              </w:rPr>
              <w:t xml:space="preserve"> for Dysport</w:t>
            </w:r>
            <w:r w:rsidRPr="00146B5E">
              <w:rPr>
                <w:b/>
                <w:vertAlign w:val="superscript"/>
              </w:rPr>
              <w:t xml:space="preserve">® </w:t>
            </w:r>
            <w:r w:rsidRPr="00146B5E">
              <w:rPr>
                <w:b/>
              </w:rPr>
              <w:t>as per the submission</w:t>
            </w:r>
          </w:p>
        </w:tc>
        <w:tc>
          <w:tcPr>
            <w:tcW w:w="961" w:type="pct"/>
            <w:vMerge/>
            <w:tcBorders>
              <w:left w:val="single" w:sz="4" w:space="0" w:color="auto"/>
              <w:right w:val="single" w:sz="4" w:space="0" w:color="auto"/>
            </w:tcBorders>
            <w:vAlign w:val="center"/>
          </w:tcPr>
          <w:p w:rsidR="00017497" w:rsidRPr="00146B5E" w:rsidRDefault="00017497" w:rsidP="00D15FA4">
            <w:pPr>
              <w:pStyle w:val="PBACTableText"/>
              <w:keepNext/>
              <w:spacing w:before="0" w:after="0"/>
              <w:jc w:val="center"/>
              <w:rPr>
                <w:b/>
              </w:rPr>
            </w:pP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017497">
            <w:pPr>
              <w:pStyle w:val="PBACTableText"/>
              <w:keepNext/>
              <w:tabs>
                <w:tab w:val="left" w:pos="142"/>
              </w:tabs>
              <w:spacing w:before="0" w:after="0"/>
            </w:pPr>
            <w:r w:rsidRPr="00146B5E">
              <w:t xml:space="preserve">300U </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spacing w:before="0" w:after="0"/>
              <w:jc w:val="center"/>
            </w:pPr>
            <w:r w:rsidRPr="00146B5E">
              <w:rPr>
                <w:rFonts w:cs="Calibri"/>
                <w:color w:val="000000"/>
              </w:rPr>
              <w:t>$293.64</w:t>
            </w:r>
          </w:p>
        </w:tc>
        <w:tc>
          <w:tcPr>
            <w:tcW w:w="961" w:type="pct"/>
            <w:vMerge/>
            <w:tcBorders>
              <w:left w:val="single" w:sz="4" w:space="0" w:color="auto"/>
              <w:right w:val="single" w:sz="4" w:space="0" w:color="auto"/>
            </w:tcBorders>
            <w:vAlign w:val="center"/>
          </w:tcPr>
          <w:p w:rsidR="00017497" w:rsidRPr="00146B5E" w:rsidRDefault="00017497" w:rsidP="00D15FA4">
            <w:pPr>
              <w:pStyle w:val="PBACTableText"/>
              <w:keepNext/>
              <w:spacing w:before="0" w:after="0"/>
              <w:jc w:val="center"/>
            </w:pP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017497">
            <w:pPr>
              <w:pStyle w:val="PBACTableText"/>
              <w:keepNext/>
              <w:tabs>
                <w:tab w:val="left" w:pos="142"/>
              </w:tabs>
              <w:spacing w:before="0" w:after="0"/>
            </w:pPr>
            <w:r w:rsidRPr="00146B5E">
              <w:t xml:space="preserve">500U </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D15FA4">
            <w:pPr>
              <w:pStyle w:val="PBACTableText"/>
              <w:keepNext/>
              <w:spacing w:before="0" w:after="0"/>
              <w:jc w:val="center"/>
            </w:pPr>
            <w:r w:rsidRPr="00146B5E">
              <w:rPr>
                <w:rFonts w:cs="Calibri"/>
                <w:color w:val="000000"/>
              </w:rPr>
              <w:t>$523.75</w:t>
            </w:r>
          </w:p>
        </w:tc>
        <w:tc>
          <w:tcPr>
            <w:tcW w:w="961" w:type="pct"/>
            <w:vMerge/>
            <w:tcBorders>
              <w:left w:val="single" w:sz="4" w:space="0" w:color="auto"/>
              <w:right w:val="single" w:sz="4" w:space="0" w:color="auto"/>
            </w:tcBorders>
            <w:vAlign w:val="center"/>
          </w:tcPr>
          <w:p w:rsidR="00017497" w:rsidRPr="00146B5E" w:rsidRDefault="00017497" w:rsidP="00D15FA4">
            <w:pPr>
              <w:pStyle w:val="PBACTableText"/>
              <w:keepNext/>
              <w:spacing w:before="0" w:after="0"/>
              <w:jc w:val="center"/>
            </w:pP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017497">
            <w:pPr>
              <w:pStyle w:val="PBACTableText"/>
              <w:keepNext/>
              <w:tabs>
                <w:tab w:val="left" w:pos="142"/>
              </w:tabs>
              <w:spacing w:before="0" w:after="0"/>
            </w:pPr>
            <w:r w:rsidRPr="00146B5E">
              <w:t>Savings per vial 300U ($481.32 - $293.64)</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017497">
            <w:pPr>
              <w:pStyle w:val="PBACTableText"/>
              <w:keepNext/>
              <w:spacing w:before="0" w:after="0"/>
              <w:jc w:val="center"/>
            </w:pPr>
            <w:r w:rsidRPr="00146B5E">
              <w:t>$187.68</w:t>
            </w:r>
          </w:p>
        </w:tc>
        <w:tc>
          <w:tcPr>
            <w:tcW w:w="961" w:type="pct"/>
            <w:vMerge/>
            <w:tcBorders>
              <w:left w:val="single" w:sz="4" w:space="0" w:color="auto"/>
              <w:bottom w:val="single" w:sz="4" w:space="0" w:color="auto"/>
              <w:right w:val="single" w:sz="4" w:space="0" w:color="auto"/>
            </w:tcBorders>
            <w:vAlign w:val="center"/>
          </w:tcPr>
          <w:p w:rsidR="00017497" w:rsidRPr="00146B5E" w:rsidRDefault="00017497" w:rsidP="00017497">
            <w:pPr>
              <w:pStyle w:val="PBACTableText"/>
              <w:keepNext/>
              <w:spacing w:before="0" w:after="0"/>
              <w:jc w:val="center"/>
            </w:pPr>
          </w:p>
        </w:tc>
      </w:tr>
      <w:tr w:rsidR="00017497" w:rsidRPr="00146B5E" w:rsidTr="001B1319">
        <w:tc>
          <w:tcPr>
            <w:tcW w:w="3078"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017497">
            <w:pPr>
              <w:pStyle w:val="PBACTableText"/>
              <w:keepNext/>
              <w:tabs>
                <w:tab w:val="left" w:pos="142"/>
              </w:tabs>
              <w:spacing w:before="0" w:after="0"/>
            </w:pPr>
            <w:r w:rsidRPr="00146B5E">
              <w:t>Savings per vial 500U ($802.20 - $523.75)</w:t>
            </w:r>
          </w:p>
        </w:tc>
        <w:tc>
          <w:tcPr>
            <w:tcW w:w="961" w:type="pct"/>
            <w:tcBorders>
              <w:top w:val="single" w:sz="4" w:space="0" w:color="auto"/>
              <w:left w:val="single" w:sz="4" w:space="0" w:color="auto"/>
              <w:bottom w:val="single" w:sz="4" w:space="0" w:color="auto"/>
              <w:right w:val="single" w:sz="4" w:space="0" w:color="auto"/>
            </w:tcBorders>
            <w:vAlign w:val="center"/>
          </w:tcPr>
          <w:p w:rsidR="00017497" w:rsidRPr="00146B5E" w:rsidRDefault="00017497" w:rsidP="00017497">
            <w:pPr>
              <w:pStyle w:val="PBACTableText"/>
              <w:keepNext/>
              <w:spacing w:before="0" w:after="0"/>
              <w:jc w:val="center"/>
            </w:pPr>
            <w:r w:rsidRPr="00146B5E">
              <w:t>$278.45</w:t>
            </w:r>
          </w:p>
        </w:tc>
        <w:tc>
          <w:tcPr>
            <w:tcW w:w="961" w:type="pct"/>
            <w:vMerge/>
            <w:tcBorders>
              <w:left w:val="single" w:sz="4" w:space="0" w:color="auto"/>
              <w:bottom w:val="single" w:sz="4" w:space="0" w:color="auto"/>
              <w:right w:val="single" w:sz="4" w:space="0" w:color="auto"/>
            </w:tcBorders>
            <w:vAlign w:val="center"/>
          </w:tcPr>
          <w:p w:rsidR="00017497" w:rsidRPr="00146B5E" w:rsidRDefault="00017497" w:rsidP="00017497">
            <w:pPr>
              <w:pStyle w:val="PBACTableText"/>
              <w:keepNext/>
              <w:spacing w:before="0" w:after="0"/>
              <w:jc w:val="center"/>
            </w:pPr>
          </w:p>
        </w:tc>
      </w:tr>
    </w:tbl>
    <w:p w:rsidR="00E30D3B" w:rsidRPr="00146B5E" w:rsidRDefault="00E30D3B" w:rsidP="00397BFD">
      <w:pPr>
        <w:pStyle w:val="TableFigureFooter"/>
      </w:pPr>
      <w:r w:rsidRPr="00146B5E">
        <w:t>Source: Table 3-4, p164 of the submission and the Excel workbook ‘Ipsen Dysport Paediatric UL Section 3’.</w:t>
      </w:r>
    </w:p>
    <w:p w:rsidR="007C34DB" w:rsidRPr="00146B5E" w:rsidRDefault="00F61386" w:rsidP="008F42F9">
      <w:pPr>
        <w:pStyle w:val="TableFigureFooter"/>
      </w:pPr>
      <w:r w:rsidRPr="00146B5E">
        <w:t>AEMP=approved ex-manufacturer price</w:t>
      </w:r>
    </w:p>
    <w:p w:rsidR="00EF02BC" w:rsidRPr="00146B5E" w:rsidRDefault="006C4BD7" w:rsidP="00017497">
      <w:pPr>
        <w:pStyle w:val="3-BodyText"/>
        <w:ind w:left="720"/>
        <w:rPr>
          <w:b/>
          <w:bCs/>
        </w:rPr>
      </w:pPr>
      <w:r w:rsidRPr="00146B5E">
        <w:rPr>
          <w:iCs/>
        </w:rPr>
        <w:t xml:space="preserve">While the submission’s analysis estimated cost savings, the equi-effective doses based on Study 153 and the selected </w:t>
      </w:r>
      <w:r w:rsidR="006C23C2" w:rsidRPr="00146B5E">
        <w:rPr>
          <w:iCs/>
        </w:rPr>
        <w:t>Botox®</w:t>
      </w:r>
      <w:r w:rsidRPr="00146B5E">
        <w:rPr>
          <w:iCs/>
        </w:rPr>
        <w:t xml:space="preserve"> trials are not likely to be representative of the actual equi-effective dose, as both Study 153 and the </w:t>
      </w:r>
      <w:r w:rsidR="006C23C2" w:rsidRPr="00146B5E">
        <w:rPr>
          <w:iCs/>
        </w:rPr>
        <w:t>Botox®</w:t>
      </w:r>
      <w:r w:rsidRPr="00146B5E">
        <w:rPr>
          <w:iCs/>
        </w:rPr>
        <w:t xml:space="preserve"> trials </w:t>
      </w:r>
      <w:r w:rsidR="00AF77EF" w:rsidRPr="00146B5E">
        <w:rPr>
          <w:iCs/>
        </w:rPr>
        <w:t xml:space="preserve">included </w:t>
      </w:r>
      <w:r w:rsidRPr="00146B5E">
        <w:rPr>
          <w:iCs/>
        </w:rPr>
        <w:t>paediatric patients only.</w:t>
      </w:r>
      <w:r w:rsidR="00A87288" w:rsidRPr="00146B5E">
        <w:rPr>
          <w:iCs/>
        </w:rPr>
        <w:t xml:space="preserve"> </w:t>
      </w:r>
      <w:r w:rsidRPr="00146B5E">
        <w:rPr>
          <w:iCs/>
        </w:rPr>
        <w:t>Since the dose used was weight dependent, the calculated equi-effective dose will not apply to adult patients.</w:t>
      </w:r>
      <w:r w:rsidR="00A87288" w:rsidRPr="00146B5E">
        <w:rPr>
          <w:iCs/>
        </w:rPr>
        <w:t xml:space="preserve"> </w:t>
      </w:r>
      <w:r w:rsidRPr="00146B5E">
        <w:rPr>
          <w:iCs/>
        </w:rPr>
        <w:t xml:space="preserve">In addition, the patient numbers in the </w:t>
      </w:r>
      <w:r w:rsidR="006C23C2" w:rsidRPr="00146B5E">
        <w:rPr>
          <w:iCs/>
        </w:rPr>
        <w:t>Botox®</w:t>
      </w:r>
      <w:r w:rsidRPr="00146B5E">
        <w:rPr>
          <w:iCs/>
        </w:rPr>
        <w:t xml:space="preserve"> trials were small (between 10 and 21 per arm in each trial), indicating that the doses used by those small groups may not be representative of a larger sample.</w:t>
      </w:r>
    </w:p>
    <w:p w:rsidR="00014963" w:rsidRPr="00146B5E" w:rsidRDefault="006C4BD7" w:rsidP="0053494A">
      <w:pPr>
        <w:pStyle w:val="3-BodyText"/>
        <w:ind w:left="720"/>
        <w:rPr>
          <w:b/>
          <w:bCs/>
        </w:rPr>
      </w:pPr>
      <w:r w:rsidRPr="00146B5E">
        <w:rPr>
          <w:iCs/>
        </w:rPr>
        <w:t xml:space="preserve">Furthermore, in its consideration of </w:t>
      </w:r>
      <w:r w:rsidR="0091336A" w:rsidRPr="00146B5E">
        <w:rPr>
          <w:iCs/>
        </w:rPr>
        <w:t>Dysport®</w:t>
      </w:r>
      <w:r w:rsidRPr="00146B5E">
        <w:rPr>
          <w:iCs/>
        </w:rPr>
        <w:t xml:space="preserve"> for lower limb spasticity due to </w:t>
      </w:r>
      <w:r w:rsidR="00AF77EF" w:rsidRPr="00146B5E">
        <w:rPr>
          <w:iCs/>
        </w:rPr>
        <w:t xml:space="preserve">an acute event </w:t>
      </w:r>
      <w:r w:rsidRPr="00146B5E">
        <w:rPr>
          <w:iCs/>
        </w:rPr>
        <w:t xml:space="preserve">in July 2019, the PBAC </w:t>
      </w:r>
      <w:r w:rsidRPr="00146B5E">
        <w:rPr>
          <w:bCs/>
          <w:iCs/>
        </w:rPr>
        <w:t xml:space="preserve">considered that the equi-effective doses of </w:t>
      </w:r>
      <w:r w:rsidR="0091336A" w:rsidRPr="00146B5E">
        <w:rPr>
          <w:bCs/>
          <w:iCs/>
        </w:rPr>
        <w:t>Dysport</w:t>
      </w:r>
      <w:r w:rsidRPr="00146B5E">
        <w:rPr>
          <w:rFonts w:cstheme="minorHAnsi"/>
          <w:bCs/>
          <w:iCs/>
        </w:rPr>
        <w:t>®</w:t>
      </w:r>
      <w:r w:rsidRPr="00146B5E">
        <w:rPr>
          <w:bCs/>
          <w:iCs/>
        </w:rPr>
        <w:t xml:space="preserve"> and </w:t>
      </w:r>
      <w:r w:rsidRPr="00146B5E">
        <w:rPr>
          <w:bCs/>
          <w:iCs/>
        </w:rPr>
        <w:lastRenderedPageBreak/>
        <w:t>Botox</w:t>
      </w:r>
      <w:r w:rsidRPr="00146B5E">
        <w:rPr>
          <w:rFonts w:cstheme="minorHAnsi"/>
          <w:bCs/>
          <w:iCs/>
        </w:rPr>
        <w:t>®</w:t>
      </w:r>
      <w:r w:rsidRPr="00146B5E">
        <w:rPr>
          <w:bCs/>
          <w:iCs/>
        </w:rPr>
        <w:t xml:space="preserve"> should be based on the maximum dispensed quantities which would result in equivalent treatment costs per cycle.</w:t>
      </w:r>
      <w:r w:rsidR="00A87288" w:rsidRPr="00146B5E">
        <w:rPr>
          <w:bCs/>
          <w:iCs/>
        </w:rPr>
        <w:t xml:space="preserve"> </w:t>
      </w:r>
      <w:r w:rsidRPr="00146B5E">
        <w:rPr>
          <w:bCs/>
          <w:iCs/>
        </w:rPr>
        <w:t xml:space="preserve">The PBAC considered that the equi-effective doses were 1500U </w:t>
      </w:r>
      <w:r w:rsidR="0091336A" w:rsidRPr="00146B5E">
        <w:rPr>
          <w:bCs/>
          <w:iCs/>
        </w:rPr>
        <w:t>Dysport®</w:t>
      </w:r>
      <w:r w:rsidR="006F3146" w:rsidRPr="00146B5E">
        <w:rPr>
          <w:bCs/>
          <w:iCs/>
        </w:rPr>
        <w:t xml:space="preserve"> was equivalent to </w:t>
      </w:r>
      <w:r w:rsidRPr="00146B5E">
        <w:rPr>
          <w:bCs/>
          <w:iCs/>
        </w:rPr>
        <w:t>400U Botox</w:t>
      </w:r>
      <w:r w:rsidR="006F3146" w:rsidRPr="00146B5E">
        <w:rPr>
          <w:bCs/>
          <w:iCs/>
        </w:rPr>
        <w:t>®</w:t>
      </w:r>
      <w:r w:rsidRPr="00146B5E">
        <w:rPr>
          <w:bCs/>
          <w:iCs/>
        </w:rPr>
        <w:t xml:space="preserve">, which converts to 3.75U </w:t>
      </w:r>
      <w:r w:rsidR="0091336A" w:rsidRPr="00146B5E">
        <w:rPr>
          <w:bCs/>
          <w:iCs/>
        </w:rPr>
        <w:t>Dysport®</w:t>
      </w:r>
      <w:r w:rsidRPr="00146B5E">
        <w:rPr>
          <w:bCs/>
          <w:iCs/>
        </w:rPr>
        <w:t xml:space="preserve"> to 1U Botox</w:t>
      </w:r>
      <w:r w:rsidR="006F3146" w:rsidRPr="00146B5E">
        <w:rPr>
          <w:bCs/>
          <w:iCs/>
        </w:rPr>
        <w:t>®</w:t>
      </w:r>
      <w:r w:rsidRPr="00146B5E">
        <w:rPr>
          <w:bCs/>
          <w:iCs/>
        </w:rPr>
        <w:t xml:space="preserve"> (paragraph 7.3, July 2019 </w:t>
      </w:r>
      <w:r w:rsidR="0091336A" w:rsidRPr="00146B5E">
        <w:rPr>
          <w:bCs/>
          <w:iCs/>
        </w:rPr>
        <w:t>Dysport®</w:t>
      </w:r>
      <w:r w:rsidRPr="00146B5E">
        <w:rPr>
          <w:bCs/>
          <w:iCs/>
        </w:rPr>
        <w:t xml:space="preserve"> PSD).</w:t>
      </w:r>
      <w:r w:rsidR="00A87288" w:rsidRPr="00146B5E">
        <w:rPr>
          <w:bCs/>
          <w:iCs/>
        </w:rPr>
        <w:t xml:space="preserve"> </w:t>
      </w:r>
      <w:r w:rsidRPr="00146B5E">
        <w:rPr>
          <w:bCs/>
          <w:iCs/>
        </w:rPr>
        <w:t xml:space="preserve">The PBAC made the same recommendation for </w:t>
      </w:r>
      <w:r w:rsidR="0091336A" w:rsidRPr="00146B5E">
        <w:rPr>
          <w:bCs/>
          <w:iCs/>
        </w:rPr>
        <w:t>Dysport®</w:t>
      </w:r>
      <w:r w:rsidRPr="00146B5E">
        <w:rPr>
          <w:bCs/>
          <w:iCs/>
        </w:rPr>
        <w:t xml:space="preserve"> in November 2019 for lower limb spasticity due to acute events other than stroke (paragraph 6.9, November 2019 </w:t>
      </w:r>
      <w:r w:rsidR="0091336A" w:rsidRPr="00146B5E">
        <w:rPr>
          <w:bCs/>
          <w:iCs/>
        </w:rPr>
        <w:t>Dysport®</w:t>
      </w:r>
      <w:r w:rsidRPr="00146B5E">
        <w:rPr>
          <w:bCs/>
          <w:iCs/>
        </w:rPr>
        <w:t xml:space="preserve"> PSD) and also for </w:t>
      </w:r>
      <w:r w:rsidR="00B4188E" w:rsidRPr="00146B5E">
        <w:rPr>
          <w:bCs/>
          <w:iCs/>
        </w:rPr>
        <w:t>Xeomin®</w:t>
      </w:r>
      <w:r w:rsidRPr="00146B5E">
        <w:rPr>
          <w:bCs/>
          <w:iCs/>
        </w:rPr>
        <w:t xml:space="preserve"> for its requested listing for lower limb spasticity due to acute events other than stroke (paragraph 6.10, November 2019 </w:t>
      </w:r>
      <w:r w:rsidR="00B4188E" w:rsidRPr="00146B5E">
        <w:rPr>
          <w:bCs/>
          <w:iCs/>
        </w:rPr>
        <w:t>Xeomin®</w:t>
      </w:r>
      <w:r w:rsidRPr="00146B5E">
        <w:rPr>
          <w:bCs/>
          <w:iCs/>
        </w:rPr>
        <w:t xml:space="preserve"> PSD).</w:t>
      </w:r>
      <w:r w:rsidR="00A87288" w:rsidRPr="00146B5E">
        <w:rPr>
          <w:bCs/>
          <w:iCs/>
        </w:rPr>
        <w:t xml:space="preserve"> </w:t>
      </w:r>
      <w:r w:rsidRPr="00146B5E">
        <w:rPr>
          <w:bCs/>
          <w:iCs/>
        </w:rPr>
        <w:t xml:space="preserve">The PBAC noted for its consideration of </w:t>
      </w:r>
      <w:r w:rsidR="00B4188E" w:rsidRPr="00146B5E">
        <w:rPr>
          <w:bCs/>
          <w:iCs/>
        </w:rPr>
        <w:t>Xeomin®</w:t>
      </w:r>
      <w:r w:rsidRPr="00146B5E">
        <w:rPr>
          <w:bCs/>
          <w:iCs/>
        </w:rPr>
        <w:t xml:space="preserve"> that it had </w:t>
      </w:r>
      <w:r w:rsidRPr="00146B5E">
        <w:rPr>
          <w:iCs/>
        </w:rPr>
        <w:t>previously considered that the extent to which the potential use of botulinum toxin in both the upper and lower limbs in the same patient would affect utilisation, cost effectiveness and the financial implications remained uncertain. The PBAC was therefore of the view that any pricing arrangement for these indications should take these uncertainties into account by implementing a single price across these conditions (paragraphs 5.9 and 5.10, March 2019 Botox</w:t>
      </w:r>
      <w:r w:rsidRPr="00146B5E">
        <w:rPr>
          <w:rFonts w:cstheme="minorHAnsi"/>
          <w:iCs/>
        </w:rPr>
        <w:t>®</w:t>
      </w:r>
      <w:r w:rsidRPr="00146B5E">
        <w:rPr>
          <w:iCs/>
        </w:rPr>
        <w:t xml:space="preserve"> PSD; paragraph 7.17, July 2019 </w:t>
      </w:r>
      <w:r w:rsidR="0091336A" w:rsidRPr="00146B5E">
        <w:rPr>
          <w:iCs/>
        </w:rPr>
        <w:t>Dysport</w:t>
      </w:r>
      <w:r w:rsidRPr="00146B5E">
        <w:rPr>
          <w:rFonts w:cstheme="minorHAnsi"/>
          <w:iCs/>
        </w:rPr>
        <w:t>®</w:t>
      </w:r>
      <w:r w:rsidRPr="00146B5E">
        <w:rPr>
          <w:iCs/>
        </w:rPr>
        <w:t xml:space="preserve"> PSD).</w:t>
      </w:r>
    </w:p>
    <w:p w:rsidR="006C4BD7" w:rsidRPr="00146B5E" w:rsidRDefault="006C4BD7" w:rsidP="0053494A">
      <w:pPr>
        <w:pStyle w:val="3-BodyText"/>
        <w:ind w:left="720"/>
        <w:rPr>
          <w:b/>
          <w:bCs/>
        </w:rPr>
      </w:pPr>
      <w:r w:rsidRPr="00146B5E">
        <w:rPr>
          <w:bCs/>
          <w:iCs/>
        </w:rPr>
        <w:t xml:space="preserve">Given the PBAC’s recommendation in July 2019, </w:t>
      </w:r>
      <w:r w:rsidR="007D0AA5" w:rsidRPr="00146B5E">
        <w:rPr>
          <w:bCs/>
          <w:iCs/>
        </w:rPr>
        <w:t>and noting that the cost will relate to the amount dispensed, not the dose injected, t</w:t>
      </w:r>
      <w:r w:rsidR="00765CE9" w:rsidRPr="00146B5E">
        <w:rPr>
          <w:bCs/>
          <w:iCs/>
        </w:rPr>
        <w:t>he ESC considered</w:t>
      </w:r>
      <w:r w:rsidRPr="00146B5E">
        <w:rPr>
          <w:bCs/>
          <w:iCs/>
        </w:rPr>
        <w:t xml:space="preserve"> that equi-effective doses based on maximum quantities </w:t>
      </w:r>
      <w:r w:rsidR="00F776D0" w:rsidRPr="00146B5E">
        <w:rPr>
          <w:bCs/>
          <w:iCs/>
        </w:rPr>
        <w:t xml:space="preserve">dispensed </w:t>
      </w:r>
      <w:r w:rsidRPr="00146B5E">
        <w:rPr>
          <w:bCs/>
          <w:iCs/>
        </w:rPr>
        <w:t>should be used.</w:t>
      </w:r>
      <w:r w:rsidR="00A87288" w:rsidRPr="00146B5E">
        <w:rPr>
          <w:bCs/>
          <w:iCs/>
        </w:rPr>
        <w:t xml:space="preserve"> </w:t>
      </w:r>
      <w:r w:rsidRPr="00146B5E">
        <w:rPr>
          <w:bCs/>
          <w:iCs/>
        </w:rPr>
        <w:t xml:space="preserve">For the current requested listing there are two </w:t>
      </w:r>
      <w:r w:rsidR="0091336A" w:rsidRPr="00146B5E">
        <w:rPr>
          <w:bCs/>
          <w:iCs/>
        </w:rPr>
        <w:t>Dysport®</w:t>
      </w:r>
      <w:r w:rsidRPr="00146B5E">
        <w:rPr>
          <w:bCs/>
          <w:iCs/>
        </w:rPr>
        <w:t xml:space="preserve"> vials available, 300U with a maximum quantity of 1200U, and 500U with a maximum quantity of 1000U.</w:t>
      </w:r>
      <w:r w:rsidR="00A87288" w:rsidRPr="00146B5E">
        <w:rPr>
          <w:bCs/>
          <w:iCs/>
        </w:rPr>
        <w:t xml:space="preserve"> </w:t>
      </w:r>
      <w:r w:rsidR="00765CE9" w:rsidRPr="00146B5E">
        <w:rPr>
          <w:bCs/>
          <w:iCs/>
        </w:rPr>
        <w:t>T</w:t>
      </w:r>
      <w:r w:rsidRPr="00146B5E">
        <w:rPr>
          <w:bCs/>
          <w:iCs/>
        </w:rPr>
        <w:t>he submission has assumed that 14.73% of scripts will be for the 300U vial and 85.27% will be for the 500U vial.</w:t>
      </w:r>
      <w:r w:rsidR="00A87288" w:rsidRPr="00146B5E">
        <w:rPr>
          <w:bCs/>
          <w:iCs/>
        </w:rPr>
        <w:t xml:space="preserve"> </w:t>
      </w:r>
      <w:r w:rsidRPr="00146B5E">
        <w:rPr>
          <w:bCs/>
          <w:iCs/>
        </w:rPr>
        <w:t>Applying these proportions to the available maximum quantities results in a maximum quantity of 1029U.</w:t>
      </w:r>
      <w:r w:rsidR="00A87288" w:rsidRPr="00146B5E">
        <w:rPr>
          <w:bCs/>
          <w:iCs/>
        </w:rPr>
        <w:t xml:space="preserve"> </w:t>
      </w:r>
      <w:r w:rsidRPr="00146B5E">
        <w:rPr>
          <w:bCs/>
          <w:iCs/>
        </w:rPr>
        <w:t>The</w:t>
      </w:r>
      <w:r w:rsidR="00765CE9" w:rsidRPr="00146B5E">
        <w:rPr>
          <w:bCs/>
          <w:iCs/>
        </w:rPr>
        <w:t xml:space="preserve"> ESC considered that </w:t>
      </w:r>
      <w:r w:rsidRPr="00146B5E">
        <w:rPr>
          <w:bCs/>
          <w:iCs/>
        </w:rPr>
        <w:t xml:space="preserve">based on </w:t>
      </w:r>
      <w:r w:rsidR="00765CE9" w:rsidRPr="00146B5E">
        <w:rPr>
          <w:bCs/>
          <w:iCs/>
        </w:rPr>
        <w:t xml:space="preserve">the assumed usage of vial sizes, </w:t>
      </w:r>
      <w:r w:rsidRPr="00146B5E">
        <w:rPr>
          <w:bCs/>
          <w:iCs/>
        </w:rPr>
        <w:t xml:space="preserve">the maximum quantity of </w:t>
      </w:r>
      <w:r w:rsidR="0091336A" w:rsidRPr="00146B5E">
        <w:rPr>
          <w:bCs/>
          <w:iCs/>
        </w:rPr>
        <w:t>Dysport®</w:t>
      </w:r>
      <w:r w:rsidRPr="00146B5E">
        <w:rPr>
          <w:bCs/>
          <w:iCs/>
        </w:rPr>
        <w:t xml:space="preserve"> </w:t>
      </w:r>
      <w:r w:rsidR="00304346" w:rsidRPr="00146B5E">
        <w:rPr>
          <w:bCs/>
          <w:iCs/>
        </w:rPr>
        <w:t>would</w:t>
      </w:r>
      <w:r w:rsidRPr="00146B5E">
        <w:rPr>
          <w:bCs/>
          <w:iCs/>
        </w:rPr>
        <w:t xml:space="preserve"> be 1000U</w:t>
      </w:r>
      <w:r w:rsidR="00765CE9" w:rsidRPr="00146B5E">
        <w:rPr>
          <w:bCs/>
          <w:iCs/>
        </w:rPr>
        <w:t xml:space="preserve">, the </w:t>
      </w:r>
      <w:r w:rsidR="006C23C2" w:rsidRPr="00146B5E">
        <w:rPr>
          <w:bCs/>
          <w:iCs/>
        </w:rPr>
        <w:t>Botox®</w:t>
      </w:r>
      <w:r w:rsidR="00765CE9" w:rsidRPr="00146B5E">
        <w:rPr>
          <w:bCs/>
          <w:iCs/>
        </w:rPr>
        <w:t xml:space="preserve"> maximum quantity</w:t>
      </w:r>
      <w:r w:rsidRPr="00146B5E">
        <w:rPr>
          <w:bCs/>
          <w:iCs/>
        </w:rPr>
        <w:t xml:space="preserve"> </w:t>
      </w:r>
      <w:r w:rsidR="00765CE9" w:rsidRPr="00146B5E">
        <w:rPr>
          <w:bCs/>
          <w:iCs/>
        </w:rPr>
        <w:t xml:space="preserve">would remain </w:t>
      </w:r>
      <w:r w:rsidRPr="00146B5E">
        <w:rPr>
          <w:bCs/>
          <w:iCs/>
        </w:rPr>
        <w:t xml:space="preserve">at 400U, </w:t>
      </w:r>
      <w:r w:rsidR="00765CE9" w:rsidRPr="00146B5E">
        <w:rPr>
          <w:bCs/>
          <w:iCs/>
        </w:rPr>
        <w:t xml:space="preserve">and </w:t>
      </w:r>
      <w:r w:rsidRPr="00146B5E">
        <w:rPr>
          <w:bCs/>
          <w:iCs/>
        </w:rPr>
        <w:t>the equi-effective dose</w:t>
      </w:r>
      <w:r w:rsidR="00000A87" w:rsidRPr="00146B5E">
        <w:rPr>
          <w:bCs/>
          <w:iCs/>
        </w:rPr>
        <w:t>s</w:t>
      </w:r>
      <w:r w:rsidRPr="00146B5E">
        <w:rPr>
          <w:bCs/>
          <w:iCs/>
        </w:rPr>
        <w:t xml:space="preserve"> </w:t>
      </w:r>
      <w:r w:rsidR="00765CE9" w:rsidRPr="00146B5E">
        <w:rPr>
          <w:bCs/>
          <w:iCs/>
        </w:rPr>
        <w:t>would be</w:t>
      </w:r>
      <w:r w:rsidRPr="00146B5E">
        <w:rPr>
          <w:bCs/>
          <w:iCs/>
        </w:rPr>
        <w:t xml:space="preserve"> 2.5</w:t>
      </w:r>
      <w:r w:rsidR="00B470FF" w:rsidRPr="00146B5E">
        <w:rPr>
          <w:bCs/>
          <w:iCs/>
        </w:rPr>
        <w:t>U Dysp</w:t>
      </w:r>
      <w:r w:rsidR="00765CE9" w:rsidRPr="00146B5E">
        <w:rPr>
          <w:bCs/>
          <w:iCs/>
        </w:rPr>
        <w:t xml:space="preserve">ort® is equivalent to </w:t>
      </w:r>
      <w:r w:rsidRPr="00146B5E">
        <w:rPr>
          <w:bCs/>
          <w:iCs/>
        </w:rPr>
        <w:t>1</w:t>
      </w:r>
      <w:r w:rsidR="00765CE9" w:rsidRPr="00146B5E">
        <w:rPr>
          <w:bCs/>
          <w:iCs/>
        </w:rPr>
        <w:t>U Botox®</w:t>
      </w:r>
      <w:r w:rsidRPr="00146B5E">
        <w:rPr>
          <w:bCs/>
          <w:iCs/>
        </w:rPr>
        <w:t>.</w:t>
      </w:r>
      <w:r w:rsidR="00A87288" w:rsidRPr="00146B5E">
        <w:rPr>
          <w:bCs/>
          <w:iCs/>
        </w:rPr>
        <w:t xml:space="preserve"> </w:t>
      </w:r>
      <w:r w:rsidRPr="00146B5E">
        <w:rPr>
          <w:bCs/>
          <w:iCs/>
        </w:rPr>
        <w:t>The submission ha</w:t>
      </w:r>
      <w:r w:rsidR="00304346" w:rsidRPr="00146B5E">
        <w:rPr>
          <w:bCs/>
          <w:iCs/>
        </w:rPr>
        <w:t>s</w:t>
      </w:r>
      <w:r w:rsidRPr="00146B5E">
        <w:rPr>
          <w:bCs/>
          <w:iCs/>
        </w:rPr>
        <w:t xml:space="preserve"> provided </w:t>
      </w:r>
      <w:r w:rsidR="00A33B24" w:rsidRPr="00146B5E">
        <w:rPr>
          <w:bCs/>
          <w:iCs/>
        </w:rPr>
        <w:t xml:space="preserve">an option to conduct a </w:t>
      </w:r>
      <w:r w:rsidRPr="00146B5E">
        <w:rPr>
          <w:bCs/>
          <w:iCs/>
        </w:rPr>
        <w:t>sensitivity analysis using this dose</w:t>
      </w:r>
      <w:r w:rsidR="00A33B24" w:rsidRPr="00146B5E">
        <w:rPr>
          <w:bCs/>
          <w:iCs/>
        </w:rPr>
        <w:t xml:space="preserve"> equivalence (although the submission did not provide results),</w:t>
      </w:r>
      <w:r w:rsidRPr="00146B5E">
        <w:rPr>
          <w:bCs/>
          <w:iCs/>
        </w:rPr>
        <w:t xml:space="preserve"> as well as a sensitivity analysis using the equi-effective dose based on the maximum quantity for the 500U vial (1200U), which was 3.0:1.</w:t>
      </w:r>
    </w:p>
    <w:p w:rsidR="006C4BD7" w:rsidRPr="00146B5E" w:rsidRDefault="006C4BD7" w:rsidP="001B1319">
      <w:pPr>
        <w:pStyle w:val="3-BodyText"/>
        <w:ind w:left="720"/>
      </w:pPr>
      <w:r w:rsidRPr="00146B5E">
        <w:t>The table below provides the results of the cost-minimisation analysis for the submission’s base case, using a</w:t>
      </w:r>
      <w:r w:rsidR="004E1857" w:rsidRPr="00146B5E">
        <w:t>n equi-effective dose of 2.1:1, along with equi-effective doses based on maximum quantities.</w:t>
      </w:r>
      <w:r w:rsidRPr="00146B5E">
        <w:t xml:space="preserve"> </w:t>
      </w:r>
    </w:p>
    <w:p w:rsidR="004E1857" w:rsidRPr="00146B5E" w:rsidRDefault="00B558D3" w:rsidP="00A836B8">
      <w:pPr>
        <w:pStyle w:val="TableFigureHeading"/>
        <w:rPr>
          <w:b w:val="0"/>
        </w:rPr>
      </w:pPr>
      <w:r w:rsidRPr="00146B5E">
        <w:rPr>
          <w:rStyle w:val="CommentReference"/>
          <w:b/>
          <w:bCs w:val="0"/>
          <w:szCs w:val="24"/>
        </w:rPr>
        <w:lastRenderedPageBreak/>
        <w:t xml:space="preserve">Table </w:t>
      </w:r>
      <w:r w:rsidR="00DD5100" w:rsidRPr="00146B5E">
        <w:rPr>
          <w:rStyle w:val="CommentReference"/>
          <w:b/>
          <w:bCs w:val="0"/>
          <w:szCs w:val="24"/>
        </w:rPr>
        <w:t>14</w:t>
      </w:r>
      <w:r w:rsidRPr="00146B5E">
        <w:rPr>
          <w:rStyle w:val="CommentReference"/>
          <w:b/>
          <w:bCs w:val="0"/>
          <w:szCs w:val="24"/>
        </w:rPr>
        <w:t xml:space="preserve">: Results of the cost-minimisation analysis </w:t>
      </w:r>
    </w:p>
    <w:tbl>
      <w:tblPr>
        <w:tblStyle w:val="Submissionstandard"/>
        <w:tblW w:w="5000" w:type="pct"/>
        <w:tblCellMar>
          <w:left w:w="28" w:type="dxa"/>
          <w:right w:w="28" w:type="dxa"/>
        </w:tblCellMar>
        <w:tblLook w:val="04A0" w:firstRow="1" w:lastRow="0" w:firstColumn="1" w:lastColumn="0" w:noHBand="0" w:noVBand="1"/>
        <w:tblCaption w:val="Table 14"/>
      </w:tblPr>
      <w:tblGrid>
        <w:gridCol w:w="1499"/>
        <w:gridCol w:w="929"/>
        <w:gridCol w:w="1262"/>
        <w:gridCol w:w="1628"/>
        <w:gridCol w:w="1396"/>
        <w:gridCol w:w="2303"/>
      </w:tblGrid>
      <w:tr w:rsidR="00B558D3" w:rsidRPr="00146B5E" w:rsidTr="00AC0F2C">
        <w:trPr>
          <w:cnfStyle w:val="100000000000" w:firstRow="1" w:lastRow="0" w:firstColumn="0" w:lastColumn="0" w:oddVBand="0" w:evenVBand="0" w:oddHBand="0" w:evenHBand="0" w:firstRowFirstColumn="0" w:firstRowLastColumn="0" w:lastRowFirstColumn="0" w:lastRowLastColumn="0"/>
          <w:tblHeader/>
        </w:trPr>
        <w:tc>
          <w:tcPr>
            <w:tcW w:w="831" w:type="pct"/>
            <w:shd w:val="clear" w:color="auto" w:fill="auto"/>
            <w:vAlign w:val="center"/>
          </w:tcPr>
          <w:p w:rsidR="00B558D3" w:rsidRPr="001B1319" w:rsidRDefault="00B558D3" w:rsidP="007C2FB8">
            <w:pPr>
              <w:pStyle w:val="TableTextleftalign"/>
              <w:keepNext/>
              <w:spacing w:after="0"/>
              <w:rPr>
                <w:rFonts w:ascii="Arial Narrow" w:hAnsi="Arial Narrow"/>
                <w:bCs/>
                <w:color w:val="000000" w:themeColor="text1"/>
                <w:sz w:val="20"/>
                <w:szCs w:val="20"/>
                <w:lang w:val="en-AU"/>
              </w:rPr>
            </w:pPr>
            <w:r w:rsidRPr="001B1319">
              <w:rPr>
                <w:rFonts w:ascii="Arial Narrow" w:hAnsi="Arial Narrow"/>
                <w:bCs/>
                <w:color w:val="000000" w:themeColor="text1"/>
                <w:sz w:val="20"/>
                <w:szCs w:val="20"/>
                <w:lang w:val="en-AU"/>
              </w:rPr>
              <w:t>Treatment</w:t>
            </w:r>
          </w:p>
        </w:tc>
        <w:tc>
          <w:tcPr>
            <w:tcW w:w="515" w:type="pct"/>
            <w:shd w:val="clear" w:color="auto" w:fill="auto"/>
            <w:vAlign w:val="center"/>
          </w:tcPr>
          <w:p w:rsidR="00B558D3" w:rsidRPr="001B1319" w:rsidRDefault="00B558D3" w:rsidP="007C2FB8">
            <w:pPr>
              <w:pStyle w:val="TableCentre"/>
              <w:keepNext/>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AEMP</w:t>
            </w:r>
          </w:p>
        </w:tc>
        <w:tc>
          <w:tcPr>
            <w:tcW w:w="700" w:type="pct"/>
            <w:shd w:val="clear" w:color="auto" w:fill="auto"/>
            <w:vAlign w:val="center"/>
          </w:tcPr>
          <w:p w:rsidR="00B558D3" w:rsidRPr="001B1319" w:rsidRDefault="00B558D3" w:rsidP="007C2FB8">
            <w:pPr>
              <w:pStyle w:val="TableCentre"/>
              <w:keepNext/>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Cost per unit</w:t>
            </w:r>
          </w:p>
        </w:tc>
        <w:tc>
          <w:tcPr>
            <w:tcW w:w="903" w:type="pct"/>
            <w:shd w:val="clear" w:color="auto" w:fill="auto"/>
            <w:vAlign w:val="center"/>
          </w:tcPr>
          <w:p w:rsidR="00B558D3" w:rsidRPr="001B1319" w:rsidRDefault="00B558D3" w:rsidP="007C2FB8">
            <w:pPr>
              <w:pStyle w:val="TableCentre"/>
              <w:keepNext/>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Dose equivalence</w:t>
            </w:r>
          </w:p>
        </w:tc>
        <w:tc>
          <w:tcPr>
            <w:tcW w:w="774" w:type="pct"/>
            <w:shd w:val="clear" w:color="auto" w:fill="auto"/>
            <w:vAlign w:val="center"/>
          </w:tcPr>
          <w:p w:rsidR="00B558D3" w:rsidRPr="001B1319" w:rsidRDefault="00B558D3" w:rsidP="007C2FB8">
            <w:pPr>
              <w:pStyle w:val="TableCentre"/>
              <w:keepNext/>
              <w:rPr>
                <w:rFonts w:ascii="Arial Narrow" w:hAnsi="Arial Narrow"/>
                <w:bCs/>
                <w:color w:val="000000" w:themeColor="text1"/>
                <w:sz w:val="20"/>
                <w:szCs w:val="20"/>
                <w:lang w:val="en-AU"/>
              </w:rPr>
            </w:pPr>
            <w:r w:rsidRPr="001B1319">
              <w:rPr>
                <w:rFonts w:ascii="Arial Narrow" w:hAnsi="Arial Narrow"/>
                <w:bCs/>
                <w:color w:val="000000" w:themeColor="text1"/>
                <w:sz w:val="20"/>
                <w:szCs w:val="20"/>
                <w:lang w:val="en-AU"/>
              </w:rPr>
              <w:t>Revised AEMP</w:t>
            </w:r>
          </w:p>
        </w:tc>
        <w:tc>
          <w:tcPr>
            <w:tcW w:w="1277" w:type="pct"/>
            <w:shd w:val="clear" w:color="auto" w:fill="auto"/>
            <w:vAlign w:val="center"/>
          </w:tcPr>
          <w:p w:rsidR="00B558D3" w:rsidRPr="001B1319" w:rsidRDefault="00B558D3" w:rsidP="007C2FB8">
            <w:pPr>
              <w:pStyle w:val="TableCentre"/>
              <w:keepNext/>
              <w:rPr>
                <w:rFonts w:ascii="Arial Narrow" w:hAnsi="Arial Narrow"/>
                <w:bCs/>
                <w:color w:val="000000" w:themeColor="text1"/>
                <w:sz w:val="20"/>
                <w:szCs w:val="20"/>
                <w:lang w:val="en-AU"/>
              </w:rPr>
            </w:pPr>
            <w:r w:rsidRPr="001B1319">
              <w:rPr>
                <w:rFonts w:ascii="Arial Narrow" w:hAnsi="Arial Narrow"/>
                <w:bCs/>
                <w:color w:val="000000" w:themeColor="text1"/>
                <w:sz w:val="20"/>
                <w:szCs w:val="20"/>
                <w:lang w:val="en-AU"/>
              </w:rPr>
              <w:t>Savings per vial compared to current AEMP</w:t>
            </w:r>
          </w:p>
        </w:tc>
      </w:tr>
      <w:tr w:rsidR="00B558D3" w:rsidRPr="00146B5E" w:rsidTr="001B1319">
        <w:tc>
          <w:tcPr>
            <w:tcW w:w="5000" w:type="pct"/>
            <w:gridSpan w:val="6"/>
            <w:shd w:val="clear" w:color="auto" w:fill="auto"/>
            <w:vAlign w:val="center"/>
          </w:tcPr>
          <w:p w:rsidR="00B558D3" w:rsidRPr="001B1319" w:rsidRDefault="00B558D3" w:rsidP="007C2FB8">
            <w:pPr>
              <w:pStyle w:val="TableCentre"/>
              <w:keepNext/>
              <w:jc w:val="left"/>
              <w:rPr>
                <w:rFonts w:ascii="Arial Narrow" w:hAnsi="Arial Narrow"/>
                <w:sz w:val="20"/>
                <w:szCs w:val="20"/>
                <w:lang w:val="en-AU"/>
              </w:rPr>
            </w:pPr>
            <w:r w:rsidRPr="001B1319">
              <w:rPr>
                <w:rFonts w:ascii="Arial Narrow" w:hAnsi="Arial Narrow"/>
                <w:b/>
                <w:bCs/>
                <w:sz w:val="20"/>
                <w:szCs w:val="20"/>
                <w:lang w:val="en-AU"/>
              </w:rPr>
              <w:t>Base case:</w:t>
            </w:r>
            <w:r w:rsidR="00A87288" w:rsidRPr="001B1319">
              <w:rPr>
                <w:rFonts w:ascii="Arial Narrow" w:hAnsi="Arial Narrow"/>
                <w:sz w:val="20"/>
                <w:szCs w:val="20"/>
                <w:lang w:val="en-AU"/>
              </w:rPr>
              <w:t xml:space="preserve"> </w:t>
            </w:r>
            <w:r w:rsidRPr="001B1319">
              <w:rPr>
                <w:rFonts w:ascii="Arial Narrow" w:hAnsi="Arial Narrow"/>
                <w:sz w:val="20"/>
                <w:szCs w:val="20"/>
                <w:lang w:val="en-AU"/>
              </w:rPr>
              <w:t>Savings of $187.68 per vial for the 300U vial and $278.45 for the 500U vial</w:t>
            </w:r>
          </w:p>
        </w:tc>
      </w:tr>
      <w:tr w:rsidR="00B558D3" w:rsidRPr="00146B5E" w:rsidTr="001B1319">
        <w:tc>
          <w:tcPr>
            <w:tcW w:w="5000" w:type="pct"/>
            <w:gridSpan w:val="6"/>
            <w:shd w:val="clear" w:color="auto" w:fill="auto"/>
            <w:vAlign w:val="center"/>
          </w:tcPr>
          <w:p w:rsidR="00B558D3" w:rsidRPr="001B1319" w:rsidRDefault="00B558D3" w:rsidP="007C2FB8">
            <w:pPr>
              <w:pStyle w:val="TableCentre"/>
              <w:keepNext/>
              <w:jc w:val="left"/>
              <w:rPr>
                <w:rFonts w:ascii="Arial Narrow" w:hAnsi="Arial Narrow"/>
                <w:b/>
                <w:bCs/>
                <w:sz w:val="20"/>
                <w:szCs w:val="20"/>
                <w:lang w:val="en-AU"/>
              </w:rPr>
            </w:pPr>
            <w:r w:rsidRPr="001B1319">
              <w:rPr>
                <w:rFonts w:ascii="Arial Narrow" w:hAnsi="Arial Narrow"/>
                <w:b/>
                <w:bCs/>
                <w:sz w:val="20"/>
                <w:szCs w:val="20"/>
                <w:lang w:val="en-AU"/>
              </w:rPr>
              <w:t>Base case – trial-based doses</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Botox</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100U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$337.49</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w:t>
            </w:r>
          </w:p>
        </w:tc>
        <w:tc>
          <w:tcPr>
            <w:tcW w:w="903" w:type="pct"/>
            <w:vMerge w:val="restart"/>
            <w:shd w:val="clear" w:color="auto" w:fill="auto"/>
            <w:vAlign w:val="center"/>
          </w:tcPr>
          <w:p w:rsidR="00B558D3" w:rsidRPr="001B1319" w:rsidRDefault="0091336A" w:rsidP="007C2FB8">
            <w:pPr>
              <w:pStyle w:val="TableCentre"/>
              <w:keepNext/>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00B558D3" w:rsidRPr="001B1319">
              <w:rPr>
                <w:rFonts w:ascii="Arial Narrow" w:hAnsi="Arial Narrow"/>
                <w:color w:val="000000" w:themeColor="text1"/>
                <w:sz w:val="20"/>
                <w:szCs w:val="20"/>
                <w:lang w:val="en-AU"/>
              </w:rPr>
              <w:t xml:space="preserve"> 2.1 units:</w:t>
            </w:r>
          </w:p>
          <w:p w:rsidR="00B558D3" w:rsidRPr="001B1319" w:rsidRDefault="006C23C2"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Botox</w:t>
            </w:r>
            <w:r w:rsidRPr="001B1319">
              <w:rPr>
                <w:rFonts w:ascii="Arial Narrow" w:hAnsi="Arial Narrow"/>
                <w:color w:val="000000" w:themeColor="text1"/>
                <w:sz w:val="20"/>
                <w:szCs w:val="20"/>
                <w:vertAlign w:val="superscript"/>
                <w:lang w:val="en-AU"/>
              </w:rPr>
              <w:t>®</w:t>
            </w:r>
            <w:r w:rsidR="00B558D3" w:rsidRPr="001B1319">
              <w:rPr>
                <w:rFonts w:ascii="Arial Narrow" w:hAnsi="Arial Narrow"/>
                <w:color w:val="000000" w:themeColor="text1"/>
                <w:sz w:val="20"/>
                <w:szCs w:val="20"/>
                <w:lang w:val="en-AU"/>
              </w:rPr>
              <w:t xml:space="preserve"> 1.0 unit</w:t>
            </w: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$337.49</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NA</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300U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$293.64</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$1.60</w:t>
            </w:r>
            <w:r w:rsidRPr="001B1319">
              <w:rPr>
                <w:rFonts w:ascii="Arial Narrow" w:hAnsi="Arial Narrow"/>
                <w:sz w:val="20"/>
                <w:szCs w:val="20"/>
                <w:vertAlign w:val="superscript"/>
                <w:lang w:val="en-AU"/>
              </w:rPr>
              <w:t>a</w:t>
            </w:r>
          </w:p>
        </w:tc>
        <w:tc>
          <w:tcPr>
            <w:tcW w:w="903" w:type="pct"/>
            <w:vMerge/>
            <w:shd w:val="clear" w:color="auto" w:fill="auto"/>
            <w:vAlign w:val="center"/>
          </w:tcPr>
          <w:p w:rsidR="00B558D3" w:rsidRPr="001B1319" w:rsidRDefault="00B558D3" w:rsidP="007C2FB8">
            <w:pPr>
              <w:pStyle w:val="TableCentre"/>
              <w:keepNext/>
              <w:rPr>
                <w:rFonts w:ascii="Arial Narrow" w:hAnsi="Arial Narrow"/>
                <w:sz w:val="20"/>
                <w:szCs w:val="20"/>
                <w:lang w:val="en-AU"/>
              </w:rPr>
            </w:pP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$481.32</w:t>
            </w:r>
            <w:r w:rsidRPr="001B1319">
              <w:rPr>
                <w:rFonts w:ascii="Arial Narrow" w:hAnsi="Arial Narrow"/>
                <w:sz w:val="20"/>
                <w:szCs w:val="20"/>
                <w:vertAlign w:val="superscript"/>
                <w:lang w:val="en-AU"/>
              </w:rPr>
              <w:t>b</w:t>
            </w:r>
          </w:p>
        </w:tc>
        <w:tc>
          <w:tcPr>
            <w:tcW w:w="1277" w:type="pct"/>
            <w:shd w:val="clear" w:color="auto" w:fill="auto"/>
            <w:vAlign w:val="center"/>
          </w:tcPr>
          <w:p w:rsidR="00B558D3" w:rsidRPr="001B1319" w:rsidRDefault="00731FC1" w:rsidP="007C2FB8">
            <w:pPr>
              <w:pStyle w:val="TableCentre"/>
              <w:keepNext/>
              <w:rPr>
                <w:rFonts w:ascii="Arial Narrow" w:hAnsi="Arial Narrow"/>
                <w:sz w:val="20"/>
                <w:szCs w:val="20"/>
                <w:lang w:val="en-AU"/>
              </w:rPr>
            </w:pPr>
            <w:r w:rsidRPr="001B1319">
              <w:rPr>
                <w:rFonts w:ascii="Arial Narrow" w:hAnsi="Arial Narrow"/>
                <w:sz w:val="20"/>
                <w:szCs w:val="20"/>
                <w:lang w:val="en-AU"/>
              </w:rPr>
              <w:t>$</w:t>
            </w:r>
            <w:r w:rsidR="00B558D3" w:rsidRPr="001B1319">
              <w:rPr>
                <w:rFonts w:ascii="Arial Narrow" w:hAnsi="Arial Narrow"/>
                <w:sz w:val="20"/>
                <w:szCs w:val="20"/>
                <w:lang w:val="en-AU"/>
              </w:rPr>
              <w:t>187.68</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500U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$523.75</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$1.60</w:t>
            </w:r>
            <w:r w:rsidRPr="001B1319">
              <w:rPr>
                <w:rFonts w:ascii="Arial Narrow" w:hAnsi="Arial Narrow"/>
                <w:sz w:val="20"/>
                <w:szCs w:val="20"/>
                <w:vertAlign w:val="superscript"/>
                <w:lang w:val="en-AU"/>
              </w:rPr>
              <w:t>a</w:t>
            </w:r>
          </w:p>
        </w:tc>
        <w:tc>
          <w:tcPr>
            <w:tcW w:w="903" w:type="pct"/>
            <w:vMerge/>
            <w:shd w:val="clear" w:color="auto" w:fill="auto"/>
            <w:vAlign w:val="center"/>
          </w:tcPr>
          <w:p w:rsidR="00B558D3" w:rsidRPr="001B1319" w:rsidRDefault="00B558D3" w:rsidP="007C2FB8">
            <w:pPr>
              <w:pStyle w:val="TableCentre"/>
              <w:keepNext/>
              <w:rPr>
                <w:rFonts w:ascii="Arial Narrow" w:hAnsi="Arial Narrow"/>
                <w:sz w:val="20"/>
                <w:szCs w:val="20"/>
                <w:lang w:val="en-AU"/>
              </w:rPr>
            </w:pP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$802.20</w:t>
            </w:r>
            <w:r w:rsidRPr="001B1319">
              <w:rPr>
                <w:rFonts w:ascii="Arial Narrow" w:hAnsi="Arial Narrow"/>
                <w:sz w:val="20"/>
                <w:szCs w:val="20"/>
                <w:vertAlign w:val="superscript"/>
                <w:lang w:val="en-AU"/>
              </w:rPr>
              <w:t>b</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$278.45</w:t>
            </w:r>
          </w:p>
        </w:tc>
      </w:tr>
      <w:tr w:rsidR="00B558D3" w:rsidRPr="00146B5E" w:rsidTr="001B1319">
        <w:tc>
          <w:tcPr>
            <w:tcW w:w="5000" w:type="pct"/>
            <w:gridSpan w:val="6"/>
            <w:shd w:val="clear" w:color="auto" w:fill="auto"/>
            <w:vAlign w:val="center"/>
          </w:tcPr>
          <w:p w:rsidR="00B558D3" w:rsidRPr="001B1319" w:rsidRDefault="00B558D3" w:rsidP="007C2FB8">
            <w:pPr>
              <w:pStyle w:val="TableCentre"/>
              <w:keepNext/>
              <w:jc w:val="left"/>
              <w:rPr>
                <w:rFonts w:ascii="Arial Narrow" w:hAnsi="Arial Narrow"/>
                <w:b/>
                <w:bCs/>
                <w:sz w:val="20"/>
                <w:szCs w:val="20"/>
                <w:lang w:val="en-AU"/>
              </w:rPr>
            </w:pPr>
            <w:r w:rsidRPr="001B1319">
              <w:rPr>
                <w:rFonts w:ascii="Arial Narrow" w:hAnsi="Arial Narrow"/>
                <w:b/>
                <w:bCs/>
                <w:sz w:val="20"/>
                <w:szCs w:val="20"/>
                <w:lang w:val="en-AU"/>
              </w:rPr>
              <w:t>Maximum quantity</w:t>
            </w:r>
            <w:r w:rsidR="00A87288" w:rsidRPr="001B1319">
              <w:rPr>
                <w:rFonts w:ascii="Arial Narrow" w:hAnsi="Arial Narrow"/>
                <w:b/>
                <w:bCs/>
                <w:sz w:val="20"/>
                <w:szCs w:val="20"/>
                <w:lang w:val="en-AU"/>
              </w:rPr>
              <w:t xml:space="preserve"> </w:t>
            </w:r>
            <w:r w:rsidR="00517916" w:rsidRPr="001B1319">
              <w:rPr>
                <w:rFonts w:ascii="Arial Narrow" w:hAnsi="Arial Narrow"/>
                <w:b/>
                <w:bCs/>
                <w:sz w:val="20"/>
                <w:szCs w:val="20"/>
                <w:lang w:val="en-AU"/>
              </w:rPr>
              <w:t xml:space="preserve">for </w:t>
            </w:r>
            <w:r w:rsidRPr="001B1319">
              <w:rPr>
                <w:rFonts w:ascii="Arial Narrow" w:hAnsi="Arial Narrow"/>
                <w:b/>
                <w:bCs/>
                <w:sz w:val="20"/>
                <w:szCs w:val="20"/>
                <w:lang w:val="en-AU"/>
              </w:rPr>
              <w:t>Dysport</w:t>
            </w:r>
            <w:r w:rsidR="002100A0" w:rsidRPr="001B1319">
              <w:rPr>
                <w:rFonts w:ascii="Arial Narrow" w:hAnsi="Arial Narrow"/>
                <w:b/>
                <w:bCs/>
                <w:color w:val="000000" w:themeColor="text1"/>
                <w:sz w:val="20"/>
                <w:szCs w:val="20"/>
                <w:vertAlign w:val="superscript"/>
                <w:lang w:val="en-AU"/>
              </w:rPr>
              <w:t>®</w:t>
            </w:r>
            <w:r w:rsidRPr="001B1319">
              <w:rPr>
                <w:rFonts w:ascii="Arial Narrow" w:hAnsi="Arial Narrow"/>
                <w:b/>
                <w:bCs/>
                <w:sz w:val="20"/>
                <w:szCs w:val="20"/>
                <w:lang w:val="en-AU"/>
              </w:rPr>
              <w:t xml:space="preserve"> </w:t>
            </w:r>
            <w:r w:rsidR="00C53DF2" w:rsidRPr="001B1319">
              <w:rPr>
                <w:rFonts w:ascii="Arial Narrow" w:hAnsi="Arial Narrow"/>
                <w:b/>
                <w:bCs/>
                <w:sz w:val="20"/>
                <w:szCs w:val="20"/>
                <w:lang w:val="en-AU"/>
              </w:rPr>
              <w:t xml:space="preserve">500U </w:t>
            </w:r>
            <w:r w:rsidRPr="001B1319">
              <w:rPr>
                <w:rFonts w:ascii="Arial Narrow" w:hAnsi="Arial Narrow"/>
                <w:b/>
                <w:bCs/>
                <w:sz w:val="20"/>
                <w:szCs w:val="20"/>
                <w:lang w:val="en-AU"/>
              </w:rPr>
              <w:t>vial</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Botox</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100U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$337.49</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w:t>
            </w:r>
          </w:p>
        </w:tc>
        <w:tc>
          <w:tcPr>
            <w:tcW w:w="903" w:type="pct"/>
            <w:vMerge w:val="restart"/>
            <w:shd w:val="clear" w:color="auto" w:fill="auto"/>
            <w:vAlign w:val="center"/>
          </w:tcPr>
          <w:p w:rsidR="00B558D3" w:rsidRPr="001B1319" w:rsidRDefault="00B558D3" w:rsidP="007C2FB8">
            <w:pPr>
              <w:pStyle w:val="TableCentre"/>
              <w:keepNext/>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00334631"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2.5 units:</w:t>
            </w:r>
          </w:p>
          <w:p w:rsidR="00B558D3" w:rsidRPr="001B1319" w:rsidRDefault="006C23C2"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Botox</w:t>
            </w:r>
            <w:r w:rsidRPr="001B1319">
              <w:rPr>
                <w:rFonts w:ascii="Arial Narrow" w:hAnsi="Arial Narrow"/>
                <w:color w:val="000000" w:themeColor="text1"/>
                <w:sz w:val="20"/>
                <w:szCs w:val="20"/>
                <w:vertAlign w:val="superscript"/>
                <w:lang w:val="en-AU"/>
              </w:rPr>
              <w:t>®</w:t>
            </w:r>
            <w:r w:rsidR="00B558D3" w:rsidRPr="001B1319">
              <w:rPr>
                <w:rFonts w:ascii="Arial Narrow" w:hAnsi="Arial Narrow"/>
                <w:color w:val="000000" w:themeColor="text1"/>
                <w:sz w:val="20"/>
                <w:szCs w:val="20"/>
                <w:lang w:val="en-AU"/>
              </w:rPr>
              <w:t xml:space="preserve"> 1.0 unit</w:t>
            </w: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$337.49</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NA</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300U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$293.64</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$1.35</w:t>
            </w:r>
            <w:r w:rsidRPr="001B1319">
              <w:rPr>
                <w:rFonts w:ascii="Arial Narrow" w:hAnsi="Arial Narrow"/>
                <w:sz w:val="20"/>
                <w:szCs w:val="20"/>
                <w:vertAlign w:val="superscript"/>
                <w:lang w:val="en-AU"/>
              </w:rPr>
              <w:t>a</w:t>
            </w:r>
          </w:p>
        </w:tc>
        <w:tc>
          <w:tcPr>
            <w:tcW w:w="903" w:type="pct"/>
            <w:vMerge/>
            <w:shd w:val="clear" w:color="auto" w:fill="auto"/>
            <w:vAlign w:val="center"/>
          </w:tcPr>
          <w:p w:rsidR="00B558D3" w:rsidRPr="001B1319" w:rsidRDefault="00B558D3" w:rsidP="007C2FB8">
            <w:pPr>
              <w:pStyle w:val="TableCentre"/>
              <w:keepNext/>
              <w:rPr>
                <w:rFonts w:ascii="Arial Narrow" w:hAnsi="Arial Narrow"/>
                <w:sz w:val="20"/>
                <w:szCs w:val="20"/>
                <w:lang w:val="en-AU"/>
              </w:rPr>
            </w:pP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$404.99</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$111.35</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500U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$523.75</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$1.35</w:t>
            </w:r>
            <w:r w:rsidRPr="001B1319">
              <w:rPr>
                <w:rFonts w:ascii="Arial Narrow" w:hAnsi="Arial Narrow"/>
                <w:sz w:val="20"/>
                <w:szCs w:val="20"/>
                <w:vertAlign w:val="superscript"/>
                <w:lang w:val="en-AU"/>
              </w:rPr>
              <w:t>a</w:t>
            </w:r>
          </w:p>
        </w:tc>
        <w:tc>
          <w:tcPr>
            <w:tcW w:w="903" w:type="pct"/>
            <w:vMerge/>
            <w:shd w:val="clear" w:color="auto" w:fill="auto"/>
            <w:vAlign w:val="center"/>
          </w:tcPr>
          <w:p w:rsidR="00B558D3" w:rsidRPr="001B1319" w:rsidRDefault="00B558D3" w:rsidP="007C2FB8">
            <w:pPr>
              <w:pStyle w:val="TableCentre"/>
              <w:keepNext/>
              <w:rPr>
                <w:rFonts w:ascii="Arial Narrow" w:hAnsi="Arial Narrow"/>
                <w:sz w:val="20"/>
                <w:szCs w:val="20"/>
                <w:lang w:val="en-AU"/>
              </w:rPr>
            </w:pP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$674.98</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$151.23</w:t>
            </w:r>
          </w:p>
        </w:tc>
      </w:tr>
      <w:tr w:rsidR="00B558D3" w:rsidRPr="00146B5E" w:rsidTr="001B1319">
        <w:tc>
          <w:tcPr>
            <w:tcW w:w="5000" w:type="pct"/>
            <w:gridSpan w:val="6"/>
            <w:shd w:val="clear" w:color="auto" w:fill="auto"/>
            <w:vAlign w:val="center"/>
          </w:tcPr>
          <w:p w:rsidR="00B558D3" w:rsidRPr="001B1319" w:rsidRDefault="00B558D3" w:rsidP="007C2FB8">
            <w:pPr>
              <w:pStyle w:val="TableCentre"/>
              <w:keepNext/>
              <w:jc w:val="left"/>
              <w:rPr>
                <w:rFonts w:ascii="Arial Narrow" w:hAnsi="Arial Narrow"/>
                <w:b/>
                <w:bCs/>
                <w:sz w:val="20"/>
                <w:szCs w:val="20"/>
                <w:lang w:val="en-AU"/>
              </w:rPr>
            </w:pPr>
            <w:r w:rsidRPr="001B1319">
              <w:rPr>
                <w:rFonts w:ascii="Arial Narrow" w:hAnsi="Arial Narrow"/>
                <w:b/>
                <w:bCs/>
                <w:sz w:val="20"/>
                <w:szCs w:val="20"/>
                <w:lang w:val="en-AU"/>
              </w:rPr>
              <w:t>Maximum quantity</w:t>
            </w:r>
            <w:r w:rsidR="00A87288" w:rsidRPr="001B1319">
              <w:rPr>
                <w:rFonts w:ascii="Arial Narrow" w:hAnsi="Arial Narrow"/>
                <w:b/>
                <w:bCs/>
                <w:sz w:val="20"/>
                <w:szCs w:val="20"/>
                <w:lang w:val="en-AU"/>
              </w:rPr>
              <w:t xml:space="preserve"> </w:t>
            </w:r>
            <w:r w:rsidR="00517916" w:rsidRPr="001B1319">
              <w:rPr>
                <w:rFonts w:ascii="Arial Narrow" w:hAnsi="Arial Narrow"/>
                <w:b/>
                <w:bCs/>
                <w:sz w:val="20"/>
                <w:szCs w:val="20"/>
                <w:lang w:val="en-AU"/>
              </w:rPr>
              <w:t xml:space="preserve">for </w:t>
            </w:r>
            <w:r w:rsidRPr="001B1319">
              <w:rPr>
                <w:rFonts w:ascii="Arial Narrow" w:hAnsi="Arial Narrow"/>
                <w:b/>
                <w:bCs/>
                <w:sz w:val="20"/>
                <w:szCs w:val="20"/>
                <w:lang w:val="en-AU"/>
              </w:rPr>
              <w:t>Dysport</w:t>
            </w:r>
            <w:r w:rsidR="009626D1" w:rsidRPr="001B1319">
              <w:rPr>
                <w:rFonts w:ascii="Arial Narrow" w:hAnsi="Arial Narrow"/>
                <w:b/>
                <w:bCs/>
                <w:color w:val="000000" w:themeColor="text1"/>
                <w:sz w:val="20"/>
                <w:szCs w:val="20"/>
                <w:vertAlign w:val="superscript"/>
                <w:lang w:val="en-AU"/>
              </w:rPr>
              <w:t>®</w:t>
            </w:r>
            <w:r w:rsidRPr="001B1319">
              <w:rPr>
                <w:rFonts w:ascii="Arial Narrow" w:hAnsi="Arial Narrow"/>
                <w:b/>
                <w:bCs/>
                <w:sz w:val="20"/>
                <w:szCs w:val="20"/>
                <w:lang w:val="en-AU"/>
              </w:rPr>
              <w:t xml:space="preserve"> </w:t>
            </w:r>
            <w:r w:rsidR="00C53DF2" w:rsidRPr="001B1319">
              <w:rPr>
                <w:rFonts w:ascii="Arial Narrow" w:hAnsi="Arial Narrow"/>
                <w:b/>
                <w:bCs/>
                <w:sz w:val="20"/>
                <w:szCs w:val="20"/>
                <w:lang w:val="en-AU"/>
              </w:rPr>
              <w:t xml:space="preserve">300U </w:t>
            </w:r>
            <w:r w:rsidRPr="001B1319">
              <w:rPr>
                <w:rFonts w:ascii="Arial Narrow" w:hAnsi="Arial Narrow"/>
                <w:b/>
                <w:bCs/>
                <w:sz w:val="20"/>
                <w:szCs w:val="20"/>
                <w:lang w:val="en-AU"/>
              </w:rPr>
              <w:t>vial</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Botox</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100U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$337.49</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w:t>
            </w:r>
          </w:p>
        </w:tc>
        <w:tc>
          <w:tcPr>
            <w:tcW w:w="903" w:type="pct"/>
            <w:vMerge w:val="restart"/>
            <w:shd w:val="clear" w:color="auto" w:fill="auto"/>
            <w:vAlign w:val="center"/>
          </w:tcPr>
          <w:p w:rsidR="00B558D3" w:rsidRPr="001B1319" w:rsidRDefault="00B558D3" w:rsidP="007C2FB8">
            <w:pPr>
              <w:pStyle w:val="TableCentre"/>
              <w:keepNext/>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00334631"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3.0 units:</w:t>
            </w:r>
          </w:p>
          <w:p w:rsidR="00B558D3" w:rsidRPr="001B1319" w:rsidRDefault="006C23C2"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Botox</w:t>
            </w:r>
            <w:r w:rsidRPr="001B1319">
              <w:rPr>
                <w:rFonts w:ascii="Arial Narrow" w:hAnsi="Arial Narrow"/>
                <w:color w:val="000000" w:themeColor="text1"/>
                <w:sz w:val="20"/>
                <w:szCs w:val="20"/>
                <w:vertAlign w:val="superscript"/>
                <w:lang w:val="en-AU"/>
              </w:rPr>
              <w:t>®</w:t>
            </w:r>
            <w:r w:rsidR="00B558D3" w:rsidRPr="001B1319">
              <w:rPr>
                <w:rFonts w:ascii="Arial Narrow" w:hAnsi="Arial Narrow"/>
                <w:color w:val="000000" w:themeColor="text1"/>
                <w:sz w:val="20"/>
                <w:szCs w:val="20"/>
                <w:lang w:val="en-AU"/>
              </w:rPr>
              <w:t xml:space="preserve"> 1.0 unit</w:t>
            </w: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$337.49</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NA</w:t>
            </w:r>
          </w:p>
        </w:tc>
      </w:tr>
      <w:tr w:rsidR="00B558D3" w:rsidRPr="00146B5E" w:rsidTr="001B1319">
        <w:tc>
          <w:tcPr>
            <w:tcW w:w="831" w:type="pct"/>
            <w:shd w:val="clear" w:color="auto" w:fill="auto"/>
            <w:vAlign w:val="center"/>
          </w:tcPr>
          <w:p w:rsidR="00B558D3" w:rsidRPr="001B1319" w:rsidRDefault="00B558D3" w:rsidP="007C2FB8">
            <w:pPr>
              <w:pStyle w:val="TableTextleftalign"/>
              <w:keepNext/>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300U vial</w:t>
            </w:r>
          </w:p>
        </w:tc>
        <w:tc>
          <w:tcPr>
            <w:tcW w:w="515" w:type="pct"/>
            <w:shd w:val="clear" w:color="auto" w:fill="auto"/>
            <w:vAlign w:val="center"/>
          </w:tcPr>
          <w:p w:rsidR="00B558D3" w:rsidRPr="001B1319" w:rsidRDefault="00B558D3" w:rsidP="007C2FB8">
            <w:pPr>
              <w:pStyle w:val="TableCentre"/>
              <w:keepNext/>
              <w:rPr>
                <w:rFonts w:ascii="Arial Narrow" w:hAnsi="Arial Narrow" w:cs="Calibri"/>
                <w:color w:val="000000"/>
                <w:sz w:val="20"/>
                <w:szCs w:val="20"/>
                <w:lang w:val="en-AU"/>
              </w:rPr>
            </w:pPr>
            <w:r w:rsidRPr="001B1319">
              <w:rPr>
                <w:rFonts w:ascii="Arial Narrow" w:hAnsi="Arial Narrow" w:cs="Calibri"/>
                <w:color w:val="000000"/>
                <w:sz w:val="20"/>
                <w:szCs w:val="20"/>
                <w:lang w:val="en-AU"/>
              </w:rPr>
              <w:t>$293.64</w:t>
            </w:r>
          </w:p>
        </w:tc>
        <w:tc>
          <w:tcPr>
            <w:tcW w:w="700"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$1.12</w:t>
            </w:r>
            <w:r w:rsidRPr="001B1319">
              <w:rPr>
                <w:rFonts w:ascii="Arial Narrow" w:hAnsi="Arial Narrow"/>
                <w:sz w:val="20"/>
                <w:szCs w:val="20"/>
                <w:vertAlign w:val="superscript"/>
                <w:lang w:val="en-AU"/>
              </w:rPr>
              <w:t>a</w:t>
            </w:r>
          </w:p>
        </w:tc>
        <w:tc>
          <w:tcPr>
            <w:tcW w:w="903" w:type="pct"/>
            <w:vMerge/>
            <w:shd w:val="clear" w:color="auto" w:fill="auto"/>
            <w:vAlign w:val="center"/>
          </w:tcPr>
          <w:p w:rsidR="00B558D3" w:rsidRPr="001B1319" w:rsidRDefault="00B558D3" w:rsidP="007C2FB8">
            <w:pPr>
              <w:pStyle w:val="TableCentre"/>
              <w:keepNext/>
              <w:rPr>
                <w:rFonts w:ascii="Arial Narrow" w:hAnsi="Arial Narrow"/>
                <w:sz w:val="20"/>
                <w:szCs w:val="20"/>
                <w:lang w:val="en-AU"/>
              </w:rPr>
            </w:pPr>
          </w:p>
        </w:tc>
        <w:tc>
          <w:tcPr>
            <w:tcW w:w="774"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color w:val="000000" w:themeColor="text1"/>
                <w:sz w:val="20"/>
                <w:szCs w:val="20"/>
                <w:lang w:val="en-AU"/>
              </w:rPr>
              <w:t>$337.49</w:t>
            </w:r>
          </w:p>
        </w:tc>
        <w:tc>
          <w:tcPr>
            <w:tcW w:w="1277" w:type="pct"/>
            <w:shd w:val="clear" w:color="auto" w:fill="auto"/>
            <w:vAlign w:val="center"/>
          </w:tcPr>
          <w:p w:rsidR="00B558D3" w:rsidRPr="001B1319" w:rsidRDefault="00B558D3" w:rsidP="007C2FB8">
            <w:pPr>
              <w:pStyle w:val="TableCentre"/>
              <w:keepNext/>
              <w:rPr>
                <w:rFonts w:ascii="Arial Narrow" w:hAnsi="Arial Narrow"/>
                <w:sz w:val="20"/>
                <w:szCs w:val="20"/>
                <w:lang w:val="en-AU"/>
              </w:rPr>
            </w:pPr>
            <w:r w:rsidRPr="001B1319">
              <w:rPr>
                <w:rFonts w:ascii="Arial Narrow" w:hAnsi="Arial Narrow"/>
                <w:sz w:val="20"/>
                <w:szCs w:val="20"/>
                <w:lang w:val="en-AU"/>
              </w:rPr>
              <w:t>$43.85</w:t>
            </w:r>
          </w:p>
        </w:tc>
      </w:tr>
      <w:tr w:rsidR="00B558D3" w:rsidRPr="00146B5E" w:rsidTr="001B1319">
        <w:tc>
          <w:tcPr>
            <w:tcW w:w="831" w:type="pct"/>
            <w:shd w:val="clear" w:color="auto" w:fill="auto"/>
            <w:vAlign w:val="center"/>
          </w:tcPr>
          <w:p w:rsidR="00B558D3" w:rsidRPr="001B1319" w:rsidRDefault="00B558D3" w:rsidP="003632F5">
            <w:pPr>
              <w:pStyle w:val="TableTextleftalign"/>
              <w:spacing w:after="0"/>
              <w:rPr>
                <w:rFonts w:ascii="Arial Narrow" w:hAnsi="Arial Narrow"/>
                <w:color w:val="000000" w:themeColor="text1"/>
                <w:sz w:val="20"/>
                <w:szCs w:val="20"/>
                <w:lang w:val="en-AU"/>
              </w:rPr>
            </w:pPr>
            <w:r w:rsidRPr="001B1319">
              <w:rPr>
                <w:rFonts w:ascii="Arial Narrow" w:hAnsi="Arial Narrow"/>
                <w:color w:val="000000" w:themeColor="text1"/>
                <w:sz w:val="20"/>
                <w:szCs w:val="20"/>
                <w:lang w:val="en-AU"/>
              </w:rPr>
              <w:t>Dysport</w:t>
            </w:r>
            <w:r w:rsidRPr="001B1319">
              <w:rPr>
                <w:rFonts w:ascii="Arial Narrow" w:hAnsi="Arial Narrow"/>
                <w:color w:val="000000" w:themeColor="text1"/>
                <w:sz w:val="20"/>
                <w:szCs w:val="20"/>
                <w:vertAlign w:val="superscript"/>
                <w:lang w:val="en-AU"/>
              </w:rPr>
              <w:t>®</w:t>
            </w:r>
            <w:r w:rsidRPr="001B1319">
              <w:rPr>
                <w:rFonts w:ascii="Arial Narrow" w:hAnsi="Arial Narrow"/>
                <w:color w:val="000000" w:themeColor="text1"/>
                <w:sz w:val="20"/>
                <w:szCs w:val="20"/>
                <w:lang w:val="en-AU"/>
              </w:rPr>
              <w:t xml:space="preserve"> 500U vial</w:t>
            </w:r>
          </w:p>
        </w:tc>
        <w:tc>
          <w:tcPr>
            <w:tcW w:w="515" w:type="pct"/>
            <w:shd w:val="clear" w:color="auto" w:fill="auto"/>
            <w:vAlign w:val="center"/>
          </w:tcPr>
          <w:p w:rsidR="00B558D3" w:rsidRPr="001B1319" w:rsidRDefault="00B558D3" w:rsidP="003632F5">
            <w:pPr>
              <w:pStyle w:val="TableCentre"/>
              <w:rPr>
                <w:rFonts w:ascii="Arial Narrow" w:hAnsi="Arial Narrow" w:cs="Calibri"/>
                <w:color w:val="000000"/>
                <w:sz w:val="20"/>
                <w:szCs w:val="20"/>
                <w:lang w:val="en-AU"/>
              </w:rPr>
            </w:pPr>
            <w:r w:rsidRPr="001B1319">
              <w:rPr>
                <w:rFonts w:ascii="Arial Narrow" w:hAnsi="Arial Narrow" w:cs="Calibri"/>
                <w:color w:val="000000"/>
                <w:sz w:val="20"/>
                <w:szCs w:val="20"/>
                <w:lang w:val="en-AU"/>
              </w:rPr>
              <w:t>$523.75</w:t>
            </w:r>
          </w:p>
        </w:tc>
        <w:tc>
          <w:tcPr>
            <w:tcW w:w="700" w:type="pct"/>
            <w:shd w:val="clear" w:color="auto" w:fill="auto"/>
            <w:vAlign w:val="center"/>
          </w:tcPr>
          <w:p w:rsidR="00B558D3" w:rsidRPr="001B1319" w:rsidRDefault="00B558D3" w:rsidP="003632F5">
            <w:pPr>
              <w:pStyle w:val="TableCentre"/>
              <w:rPr>
                <w:rFonts w:ascii="Arial Narrow" w:hAnsi="Arial Narrow"/>
                <w:sz w:val="20"/>
                <w:szCs w:val="20"/>
                <w:lang w:val="en-AU"/>
              </w:rPr>
            </w:pPr>
            <w:r w:rsidRPr="001B1319">
              <w:rPr>
                <w:rFonts w:ascii="Arial Narrow" w:hAnsi="Arial Narrow"/>
                <w:sz w:val="20"/>
                <w:szCs w:val="20"/>
                <w:lang w:val="en-AU"/>
              </w:rPr>
              <w:t>$1.12</w:t>
            </w:r>
            <w:r w:rsidRPr="001B1319">
              <w:rPr>
                <w:rFonts w:ascii="Arial Narrow" w:hAnsi="Arial Narrow"/>
                <w:sz w:val="20"/>
                <w:szCs w:val="20"/>
                <w:vertAlign w:val="superscript"/>
                <w:lang w:val="en-AU"/>
              </w:rPr>
              <w:t>a</w:t>
            </w:r>
          </w:p>
        </w:tc>
        <w:tc>
          <w:tcPr>
            <w:tcW w:w="903" w:type="pct"/>
            <w:vMerge/>
            <w:shd w:val="clear" w:color="auto" w:fill="auto"/>
            <w:vAlign w:val="center"/>
          </w:tcPr>
          <w:p w:rsidR="00B558D3" w:rsidRPr="001B1319" w:rsidRDefault="00B558D3" w:rsidP="003632F5">
            <w:pPr>
              <w:pStyle w:val="TableCentre"/>
              <w:rPr>
                <w:rFonts w:ascii="Arial Narrow" w:hAnsi="Arial Narrow"/>
                <w:sz w:val="20"/>
                <w:szCs w:val="20"/>
                <w:lang w:val="en-AU"/>
              </w:rPr>
            </w:pPr>
          </w:p>
        </w:tc>
        <w:tc>
          <w:tcPr>
            <w:tcW w:w="774" w:type="pct"/>
            <w:shd w:val="clear" w:color="auto" w:fill="auto"/>
            <w:vAlign w:val="center"/>
          </w:tcPr>
          <w:p w:rsidR="00B558D3" w:rsidRPr="001B1319" w:rsidRDefault="00B558D3" w:rsidP="003632F5">
            <w:pPr>
              <w:pStyle w:val="TableCentre"/>
              <w:rPr>
                <w:rFonts w:ascii="Arial Narrow" w:hAnsi="Arial Narrow"/>
                <w:sz w:val="20"/>
                <w:szCs w:val="20"/>
                <w:lang w:val="en-AU"/>
              </w:rPr>
            </w:pPr>
            <w:r w:rsidRPr="001B1319">
              <w:rPr>
                <w:rFonts w:ascii="Arial Narrow" w:hAnsi="Arial Narrow"/>
                <w:sz w:val="20"/>
                <w:szCs w:val="20"/>
                <w:lang w:val="en-AU"/>
              </w:rPr>
              <w:t>$562.48</w:t>
            </w:r>
          </w:p>
        </w:tc>
        <w:tc>
          <w:tcPr>
            <w:tcW w:w="1277" w:type="pct"/>
            <w:shd w:val="clear" w:color="auto" w:fill="auto"/>
            <w:vAlign w:val="center"/>
          </w:tcPr>
          <w:p w:rsidR="00B558D3" w:rsidRPr="001B1319" w:rsidRDefault="00B558D3" w:rsidP="003632F5">
            <w:pPr>
              <w:pStyle w:val="TableCentre"/>
              <w:rPr>
                <w:rFonts w:ascii="Arial Narrow" w:hAnsi="Arial Narrow"/>
                <w:sz w:val="20"/>
                <w:szCs w:val="20"/>
                <w:lang w:val="en-AU"/>
              </w:rPr>
            </w:pPr>
            <w:r w:rsidRPr="001B1319">
              <w:rPr>
                <w:rFonts w:ascii="Arial Narrow" w:hAnsi="Arial Narrow"/>
                <w:sz w:val="20"/>
                <w:szCs w:val="20"/>
                <w:lang w:val="en-AU"/>
              </w:rPr>
              <w:t>$38.73</w:t>
            </w:r>
          </w:p>
        </w:tc>
      </w:tr>
    </w:tbl>
    <w:p w:rsidR="00731FC1" w:rsidRPr="00146B5E" w:rsidRDefault="00731FC1" w:rsidP="00A836B8">
      <w:pPr>
        <w:pStyle w:val="TableFigureFooter"/>
      </w:pPr>
      <w:r w:rsidRPr="00146B5E">
        <w:t xml:space="preserve">Source: Table 3-4, p164; Table 3-6, p165; Table 3-7, p166 of the submission and </w:t>
      </w:r>
      <w:r w:rsidRPr="00146B5E">
        <w:rPr>
          <w:szCs w:val="18"/>
        </w:rPr>
        <w:t>the Excel workbook ‘Ipsen Dysport Paediatric UL Section 3’.</w:t>
      </w:r>
    </w:p>
    <w:p w:rsidR="00731FC1" w:rsidRPr="00146B5E" w:rsidRDefault="00731FC1" w:rsidP="00A836B8">
      <w:pPr>
        <w:pStyle w:val="TableFigureFooter"/>
        <w:ind w:left="142" w:hanging="142"/>
      </w:pPr>
      <w:r w:rsidRPr="00146B5E">
        <w:rPr>
          <w:vertAlign w:val="superscript"/>
        </w:rPr>
        <w:t>a</w:t>
      </w:r>
      <w:r w:rsidRPr="00146B5E">
        <w:tab/>
        <w:t xml:space="preserve">Calculated as </w:t>
      </w:r>
      <w:r w:rsidR="006C23C2" w:rsidRPr="00146B5E">
        <w:t>Botox</w:t>
      </w:r>
      <w:r w:rsidR="006C23C2" w:rsidRPr="00146B5E">
        <w:rPr>
          <w:vertAlign w:val="superscript"/>
        </w:rPr>
        <w:t>®</w:t>
      </w:r>
      <w:r w:rsidRPr="00146B5E">
        <w:t xml:space="preserve"> cost per unit multiplied by dose equivalence.</w:t>
      </w:r>
    </w:p>
    <w:p w:rsidR="004E1857" w:rsidRPr="00146B5E" w:rsidRDefault="00731FC1" w:rsidP="00A836B8">
      <w:pPr>
        <w:pStyle w:val="TableFigureFooter"/>
        <w:ind w:left="142" w:hanging="142"/>
        <w:rPr>
          <w:szCs w:val="18"/>
        </w:rPr>
      </w:pPr>
      <w:r w:rsidRPr="00146B5E">
        <w:rPr>
          <w:szCs w:val="18"/>
          <w:vertAlign w:val="superscript"/>
        </w:rPr>
        <w:t>b</w:t>
      </w:r>
      <w:r w:rsidRPr="00146B5E">
        <w:rPr>
          <w:szCs w:val="18"/>
        </w:rPr>
        <w:tab/>
        <w:t>Calculated as cost per unit multiplied by number of units, with rounding.</w:t>
      </w:r>
    </w:p>
    <w:p w:rsidR="006C4BD7" w:rsidRPr="00146B5E" w:rsidRDefault="00731FC1" w:rsidP="00B522C8">
      <w:pPr>
        <w:pStyle w:val="3-BodyText"/>
        <w:spacing w:after="160"/>
        <w:ind w:left="720"/>
      </w:pPr>
      <w:r w:rsidRPr="00146B5E">
        <w:t xml:space="preserve">The submission noted that all scenarios resulted in cost-savings per vial for </w:t>
      </w:r>
      <w:r w:rsidR="00A30D3F" w:rsidRPr="00146B5E">
        <w:t>Dysport®</w:t>
      </w:r>
      <w:r w:rsidRPr="00146B5E">
        <w:t>.</w:t>
      </w:r>
      <w:r w:rsidR="00A87288" w:rsidRPr="00146B5E">
        <w:rPr>
          <w:i/>
          <w:iCs/>
        </w:rPr>
        <w:t xml:space="preserve"> </w:t>
      </w:r>
      <w:r w:rsidRPr="00146B5E">
        <w:rPr>
          <w:iCs/>
        </w:rPr>
        <w:t>The estimated cost saving</w:t>
      </w:r>
      <w:r w:rsidR="00B522C8" w:rsidRPr="00146B5E">
        <w:rPr>
          <w:iCs/>
        </w:rPr>
        <w:t>s</w:t>
      </w:r>
      <w:r w:rsidRPr="00146B5E">
        <w:rPr>
          <w:iCs/>
        </w:rPr>
        <w:t xml:space="preserve"> per vial w</w:t>
      </w:r>
      <w:r w:rsidR="00B522C8" w:rsidRPr="00146B5E">
        <w:rPr>
          <w:iCs/>
        </w:rPr>
        <w:t>ere</w:t>
      </w:r>
      <w:r w:rsidRPr="00146B5E">
        <w:rPr>
          <w:iCs/>
        </w:rPr>
        <w:t xml:space="preserve"> considerably less when the equi-effective dose</w:t>
      </w:r>
      <w:r w:rsidR="00B522C8" w:rsidRPr="00146B5E">
        <w:rPr>
          <w:iCs/>
        </w:rPr>
        <w:t>s based on the maximum quantities were</w:t>
      </w:r>
      <w:r w:rsidRPr="00146B5E">
        <w:rPr>
          <w:iCs/>
        </w:rPr>
        <w:t xml:space="preserve"> used, compared to the submission’s base case estimates.</w:t>
      </w:r>
    </w:p>
    <w:p w:rsidR="00C25D9C" w:rsidRPr="00146B5E" w:rsidRDefault="00C25D9C" w:rsidP="0035230F">
      <w:pPr>
        <w:pStyle w:val="4-SubsectionHeading"/>
        <w:spacing w:after="160"/>
      </w:pPr>
      <w:bookmarkStart w:id="23" w:name="_Toc22897646"/>
      <w:bookmarkStart w:id="24" w:name="_Toc40214629"/>
      <w:r w:rsidRPr="00146B5E">
        <w:t>Drug</w:t>
      </w:r>
      <w:r w:rsidR="0035230F" w:rsidRPr="00146B5E">
        <w:t xml:space="preserve"> </w:t>
      </w:r>
      <w:r w:rsidRPr="00146B5E">
        <w:t>cost/patient/course</w:t>
      </w:r>
      <w:bookmarkEnd w:id="23"/>
      <w:bookmarkEnd w:id="24"/>
    </w:p>
    <w:p w:rsidR="00321986" w:rsidRPr="00146B5E" w:rsidRDefault="00321986" w:rsidP="00B522C8">
      <w:pPr>
        <w:pStyle w:val="3-BodyText"/>
        <w:ind w:left="720"/>
        <w:rPr>
          <w:snapToGrid/>
        </w:rPr>
      </w:pPr>
      <w:r w:rsidRPr="00146B5E">
        <w:rPr>
          <w:rFonts w:cstheme="minorHAnsi"/>
        </w:rPr>
        <w:t>The submission assumed, based on PBS item data for use</w:t>
      </w:r>
      <w:r w:rsidR="00B934F2" w:rsidRPr="00146B5E">
        <w:rPr>
          <w:rFonts w:cstheme="minorHAnsi"/>
        </w:rPr>
        <w:t xml:space="preserve"> </w:t>
      </w:r>
      <w:r w:rsidRPr="00146B5E">
        <w:rPr>
          <w:rFonts w:cstheme="minorHAnsi"/>
        </w:rPr>
        <w:t xml:space="preserve">of </w:t>
      </w:r>
      <w:r w:rsidR="00A30D3F" w:rsidRPr="00146B5E">
        <w:rPr>
          <w:rFonts w:cstheme="minorHAnsi"/>
        </w:rPr>
        <w:t>Dysport®</w:t>
      </w:r>
      <w:r w:rsidRPr="00146B5E">
        <w:rPr>
          <w:rFonts w:cstheme="minorHAnsi"/>
        </w:rPr>
        <w:t xml:space="preserve"> between 20</w:t>
      </w:r>
      <w:r w:rsidR="00B934F2" w:rsidRPr="00146B5E">
        <w:rPr>
          <w:rFonts w:cstheme="minorHAnsi"/>
        </w:rPr>
        <w:t>17</w:t>
      </w:r>
      <w:r w:rsidRPr="00146B5E">
        <w:rPr>
          <w:rFonts w:cstheme="minorHAnsi"/>
        </w:rPr>
        <w:t xml:space="preserve"> and 201</w:t>
      </w:r>
      <w:r w:rsidR="00B934F2" w:rsidRPr="00146B5E">
        <w:rPr>
          <w:rFonts w:cstheme="minorHAnsi"/>
        </w:rPr>
        <w:t>9</w:t>
      </w:r>
      <w:r w:rsidRPr="00146B5E">
        <w:rPr>
          <w:rFonts w:cstheme="minorHAnsi"/>
        </w:rPr>
        <w:t xml:space="preserve">, that </w:t>
      </w:r>
      <w:r w:rsidR="008312E5" w:rsidRPr="00146B5E">
        <w:rPr>
          <w:rFonts w:cstheme="minorHAnsi"/>
        </w:rPr>
        <w:t xml:space="preserve">utilisation would be split between the 300U and 500U vial sizes at a ratio of </w:t>
      </w:r>
      <w:r w:rsidRPr="00146B5E">
        <w:rPr>
          <w:rFonts w:cstheme="minorHAnsi"/>
        </w:rPr>
        <w:t xml:space="preserve">14.73% </w:t>
      </w:r>
      <w:r w:rsidR="008312E5" w:rsidRPr="00146B5E">
        <w:rPr>
          <w:rFonts w:cstheme="minorHAnsi"/>
        </w:rPr>
        <w:t xml:space="preserve">to </w:t>
      </w:r>
      <w:r w:rsidRPr="00146B5E">
        <w:rPr>
          <w:rFonts w:cstheme="minorHAnsi"/>
        </w:rPr>
        <w:t>85.2</w:t>
      </w:r>
      <w:r w:rsidR="008312E5" w:rsidRPr="00146B5E">
        <w:rPr>
          <w:rFonts w:cstheme="minorHAnsi"/>
        </w:rPr>
        <w:t>7%</w:t>
      </w:r>
      <w:r w:rsidR="00B934F2" w:rsidRPr="00146B5E">
        <w:rPr>
          <w:rFonts w:cstheme="minorHAnsi"/>
        </w:rPr>
        <w:t>.</w:t>
      </w:r>
      <w:r w:rsidR="00A87288" w:rsidRPr="00146B5E">
        <w:rPr>
          <w:rFonts w:cstheme="minorHAnsi"/>
        </w:rPr>
        <w:t xml:space="preserve"> </w:t>
      </w:r>
      <w:r w:rsidR="00B934F2" w:rsidRPr="00146B5E">
        <w:rPr>
          <w:rFonts w:cstheme="minorHAnsi"/>
        </w:rPr>
        <w:t>Applying these proportions to the requested price of each vial results in a drug cost</w:t>
      </w:r>
      <w:r w:rsidR="00B522C8" w:rsidRPr="00146B5E">
        <w:rPr>
          <w:rFonts w:cstheme="minorHAnsi"/>
        </w:rPr>
        <w:t xml:space="preserve">, based on the </w:t>
      </w:r>
      <w:r w:rsidR="000D505D" w:rsidRPr="00146B5E">
        <w:rPr>
          <w:rFonts w:cstheme="minorHAnsi"/>
        </w:rPr>
        <w:t>maximum quantities of each vial size</w:t>
      </w:r>
      <w:r w:rsidR="00B522C8" w:rsidRPr="00146B5E">
        <w:rPr>
          <w:rFonts w:cstheme="minorHAnsi"/>
        </w:rPr>
        <w:t>,</w:t>
      </w:r>
      <w:r w:rsidR="00B934F2" w:rsidRPr="00146B5E">
        <w:rPr>
          <w:rFonts w:cstheme="minorHAnsi"/>
        </w:rPr>
        <w:t xml:space="preserve"> of $1,113.61</w:t>
      </w:r>
      <w:r w:rsidR="00B522C8" w:rsidRPr="00146B5E">
        <w:rPr>
          <w:rFonts w:cstheme="minorHAnsi"/>
        </w:rPr>
        <w:t xml:space="preserve"> per cycle</w:t>
      </w:r>
      <w:r w:rsidR="00B934F2" w:rsidRPr="00146B5E">
        <w:rPr>
          <w:rFonts w:cstheme="minorHAnsi"/>
          <w:i/>
        </w:rPr>
        <w:t>.</w:t>
      </w:r>
      <w:r w:rsidR="00A87288" w:rsidRPr="00146B5E">
        <w:rPr>
          <w:rFonts w:cstheme="minorHAnsi"/>
        </w:rPr>
        <w:t xml:space="preserve"> </w:t>
      </w:r>
    </w:p>
    <w:p w:rsidR="00B60939" w:rsidRPr="00146B5E" w:rsidRDefault="00B60939" w:rsidP="002B05A1">
      <w:pPr>
        <w:pStyle w:val="4-SubsectionHeading"/>
      </w:pPr>
      <w:bookmarkStart w:id="25" w:name="_Toc22897647"/>
      <w:bookmarkStart w:id="26" w:name="_Toc40214630"/>
      <w:r w:rsidRPr="00146B5E">
        <w:t>Estimated PBS usage &amp; financial implications</w:t>
      </w:r>
      <w:bookmarkEnd w:id="25"/>
      <w:bookmarkEnd w:id="26"/>
    </w:p>
    <w:p w:rsidR="0072416F" w:rsidRPr="00146B5E" w:rsidRDefault="000364BF" w:rsidP="008312E5">
      <w:pPr>
        <w:pStyle w:val="3-BodyText"/>
        <w:spacing w:after="160"/>
        <w:ind w:left="720"/>
        <w:rPr>
          <w:color w:val="0066FF"/>
        </w:rPr>
      </w:pPr>
      <w:r w:rsidRPr="00146B5E">
        <w:t xml:space="preserve">This submission </w:t>
      </w:r>
      <w:r w:rsidR="00911184" w:rsidRPr="00146B5E">
        <w:t>was</w:t>
      </w:r>
      <w:r w:rsidRPr="00146B5E">
        <w:t xml:space="preserve"> not considered by DUSC.</w:t>
      </w:r>
      <w:r w:rsidR="00A87288" w:rsidRPr="00146B5E">
        <w:t xml:space="preserve"> </w:t>
      </w:r>
      <w:r w:rsidRPr="00146B5E">
        <w:t xml:space="preserve">The submission applied a market share approach to estimate the number of </w:t>
      </w:r>
      <w:r w:rsidR="00A30D3F" w:rsidRPr="00146B5E">
        <w:t>Dysport®</w:t>
      </w:r>
      <w:r w:rsidRPr="00146B5E">
        <w:t xml:space="preserve"> scripts that will be used for treatment of upper limb spasticity due to cerebral palsy.</w:t>
      </w:r>
      <w:r w:rsidR="00A87288" w:rsidRPr="00146B5E">
        <w:t xml:space="preserve"> </w:t>
      </w:r>
      <w:r w:rsidRPr="00146B5E">
        <w:t>The table below summarises the inputs used for the financial estimates.</w:t>
      </w:r>
    </w:p>
    <w:p w:rsidR="00E42F73" w:rsidRPr="00146B5E" w:rsidRDefault="00E42F73" w:rsidP="007925DF">
      <w:pPr>
        <w:pStyle w:val="TableFigureHeading"/>
        <w:rPr>
          <w:rStyle w:val="CommentReference"/>
          <w:b/>
          <w:szCs w:val="24"/>
        </w:rPr>
      </w:pPr>
      <w:r w:rsidRPr="00146B5E">
        <w:rPr>
          <w:rStyle w:val="CommentReference"/>
          <w:b/>
          <w:szCs w:val="24"/>
        </w:rPr>
        <w:lastRenderedPageBreak/>
        <w:t xml:space="preserve">Table </w:t>
      </w:r>
      <w:r w:rsidR="00DD5100" w:rsidRPr="00146B5E">
        <w:rPr>
          <w:rStyle w:val="CommentReference"/>
          <w:b/>
          <w:szCs w:val="24"/>
        </w:rPr>
        <w:t>15</w:t>
      </w:r>
      <w:r w:rsidRPr="00146B5E">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32"/>
        <w:gridCol w:w="3419"/>
        <w:gridCol w:w="3866"/>
      </w:tblGrid>
      <w:tr w:rsidR="00E83F65" w:rsidRPr="00146B5E" w:rsidTr="001B1319">
        <w:trPr>
          <w:tblHeader/>
        </w:trPr>
        <w:tc>
          <w:tcPr>
            <w:tcW w:w="960" w:type="pct"/>
            <w:shd w:val="clear" w:color="auto" w:fill="auto"/>
            <w:vAlign w:val="center"/>
          </w:tcPr>
          <w:p w:rsidR="00E42F73" w:rsidRPr="00146B5E" w:rsidRDefault="004658B5" w:rsidP="007925DF">
            <w:pPr>
              <w:pStyle w:val="In-tableHeading"/>
              <w:rPr>
                <w:lang w:val="en-AU"/>
              </w:rPr>
            </w:pPr>
            <w:r w:rsidRPr="00146B5E">
              <w:rPr>
                <w:lang w:val="en-AU"/>
              </w:rPr>
              <w:t>Parameter</w:t>
            </w:r>
          </w:p>
        </w:tc>
        <w:tc>
          <w:tcPr>
            <w:tcW w:w="1896" w:type="pct"/>
            <w:shd w:val="clear" w:color="auto" w:fill="auto"/>
            <w:vAlign w:val="center"/>
          </w:tcPr>
          <w:p w:rsidR="00E42F73" w:rsidRPr="00146B5E" w:rsidRDefault="004658B5" w:rsidP="00182E4E">
            <w:pPr>
              <w:pStyle w:val="In-tableHeading"/>
              <w:jc w:val="center"/>
              <w:rPr>
                <w:lang w:val="en-AU"/>
              </w:rPr>
            </w:pPr>
            <w:r w:rsidRPr="00146B5E">
              <w:rPr>
                <w:lang w:val="en-AU"/>
              </w:rPr>
              <w:t>Value applied and source</w:t>
            </w:r>
          </w:p>
        </w:tc>
        <w:tc>
          <w:tcPr>
            <w:tcW w:w="2144" w:type="pct"/>
            <w:shd w:val="clear" w:color="auto" w:fill="auto"/>
            <w:vAlign w:val="center"/>
          </w:tcPr>
          <w:p w:rsidR="00E42F73" w:rsidRPr="00146B5E" w:rsidRDefault="004658B5" w:rsidP="00182E4E">
            <w:pPr>
              <w:pStyle w:val="In-tableHeading"/>
              <w:jc w:val="center"/>
              <w:rPr>
                <w:lang w:val="en-AU"/>
              </w:rPr>
            </w:pPr>
            <w:r w:rsidRPr="00146B5E">
              <w:rPr>
                <w:lang w:val="en-AU"/>
              </w:rPr>
              <w:t>Comment</w:t>
            </w:r>
          </w:p>
        </w:tc>
      </w:tr>
      <w:tr w:rsidR="00E83F65" w:rsidRPr="00146B5E" w:rsidTr="001B1319">
        <w:tc>
          <w:tcPr>
            <w:tcW w:w="960" w:type="pct"/>
            <w:shd w:val="clear" w:color="auto" w:fill="auto"/>
            <w:vAlign w:val="center"/>
          </w:tcPr>
          <w:p w:rsidR="00182E4E" w:rsidRPr="00146B5E" w:rsidRDefault="00182E4E" w:rsidP="00182E4E">
            <w:pPr>
              <w:pStyle w:val="TableText0"/>
            </w:pPr>
            <w:r w:rsidRPr="00146B5E">
              <w:rPr>
                <w:szCs w:val="20"/>
              </w:rPr>
              <w:t xml:space="preserve">Proportion of </w:t>
            </w:r>
            <w:r w:rsidR="006C23C2" w:rsidRPr="00146B5E">
              <w:rPr>
                <w:szCs w:val="20"/>
              </w:rPr>
              <w:t>Botox</w:t>
            </w:r>
            <w:r w:rsidR="006C23C2" w:rsidRPr="00146B5E">
              <w:rPr>
                <w:szCs w:val="20"/>
                <w:vertAlign w:val="superscript"/>
              </w:rPr>
              <w:t>®</w:t>
            </w:r>
            <w:r w:rsidRPr="00146B5E">
              <w:rPr>
                <w:szCs w:val="20"/>
              </w:rPr>
              <w:t xml:space="preserve"> scripts applicable to listing</w:t>
            </w:r>
          </w:p>
        </w:tc>
        <w:tc>
          <w:tcPr>
            <w:tcW w:w="1896" w:type="pct"/>
            <w:shd w:val="clear" w:color="auto" w:fill="auto"/>
            <w:vAlign w:val="center"/>
          </w:tcPr>
          <w:p w:rsidR="00182E4E" w:rsidRPr="00146B5E" w:rsidRDefault="00182E4E" w:rsidP="00182E4E">
            <w:pPr>
              <w:pStyle w:val="TableText0"/>
            </w:pPr>
            <w:r w:rsidRPr="00146B5E">
              <w:rPr>
                <w:szCs w:val="20"/>
              </w:rPr>
              <w:t>DUSC 2018 report: 63.45%</w:t>
            </w:r>
            <w:r w:rsidR="00527BCC" w:rsidRPr="00146B5E">
              <w:rPr>
                <w:szCs w:val="20"/>
              </w:rPr>
              <w:t>, calculated using 2 years of PBS data</w:t>
            </w:r>
            <w:r w:rsidR="00DD5100" w:rsidRPr="00146B5E">
              <w:rPr>
                <w:szCs w:val="20"/>
              </w:rPr>
              <w:t xml:space="preserve"> for Botox</w:t>
            </w:r>
            <w:r w:rsidR="00DD5100" w:rsidRPr="00146B5E">
              <w:rPr>
                <w:szCs w:val="20"/>
                <w:vertAlign w:val="superscript"/>
              </w:rPr>
              <w:t>®</w:t>
            </w:r>
            <w:r w:rsidR="00DD5100" w:rsidRPr="00146B5E">
              <w:rPr>
                <w:szCs w:val="20"/>
              </w:rPr>
              <w:t xml:space="preserve"> for upper limb spasticity</w:t>
            </w:r>
            <w:r w:rsidR="008312E5" w:rsidRPr="00146B5E">
              <w:rPr>
                <w:szCs w:val="20"/>
              </w:rPr>
              <w:t xml:space="preserve"> due to CP and stroke.</w:t>
            </w:r>
          </w:p>
        </w:tc>
        <w:tc>
          <w:tcPr>
            <w:tcW w:w="2144" w:type="pct"/>
            <w:shd w:val="clear" w:color="auto" w:fill="auto"/>
            <w:vAlign w:val="center"/>
          </w:tcPr>
          <w:p w:rsidR="00182E4E" w:rsidRPr="00146B5E" w:rsidRDefault="00527BCC" w:rsidP="00182E4E">
            <w:pPr>
              <w:pStyle w:val="TableText0"/>
            </w:pPr>
            <w:r w:rsidRPr="00146B5E">
              <w:t>While the proportion is likely to be reasonable, the financial estimates were sensitive to the calculated proportion.</w:t>
            </w:r>
          </w:p>
        </w:tc>
      </w:tr>
      <w:tr w:rsidR="00E83F65" w:rsidRPr="00146B5E" w:rsidTr="001B1319">
        <w:tc>
          <w:tcPr>
            <w:tcW w:w="960" w:type="pct"/>
            <w:shd w:val="clear" w:color="auto" w:fill="auto"/>
            <w:vAlign w:val="center"/>
          </w:tcPr>
          <w:p w:rsidR="00182E4E" w:rsidRPr="00146B5E" w:rsidRDefault="00182E4E" w:rsidP="00182E4E">
            <w:pPr>
              <w:pStyle w:val="TableText0"/>
            </w:pPr>
            <w:r w:rsidRPr="00146B5E">
              <w:rPr>
                <w:szCs w:val="20"/>
              </w:rPr>
              <w:t>Market growth rate</w:t>
            </w:r>
          </w:p>
        </w:tc>
        <w:tc>
          <w:tcPr>
            <w:tcW w:w="1896" w:type="pct"/>
            <w:shd w:val="clear" w:color="auto" w:fill="auto"/>
            <w:vAlign w:val="center"/>
          </w:tcPr>
          <w:p w:rsidR="00182E4E" w:rsidRPr="00146B5E" w:rsidRDefault="00182E4E" w:rsidP="00182E4E">
            <w:pPr>
              <w:pStyle w:val="TableText0"/>
            </w:pPr>
            <w:r w:rsidRPr="00146B5E">
              <w:rPr>
                <w:szCs w:val="20"/>
              </w:rPr>
              <w:t xml:space="preserve">Calculated from </w:t>
            </w:r>
            <w:r w:rsidR="00527BCC" w:rsidRPr="00146B5E">
              <w:rPr>
                <w:szCs w:val="20"/>
              </w:rPr>
              <w:t xml:space="preserve">the </w:t>
            </w:r>
            <w:r w:rsidRPr="00146B5E">
              <w:rPr>
                <w:szCs w:val="20"/>
              </w:rPr>
              <w:t>DUSC 2018 report: 16.22%</w:t>
            </w:r>
            <w:r w:rsidR="00527BCC" w:rsidRPr="00146B5E">
              <w:rPr>
                <w:szCs w:val="20"/>
              </w:rPr>
              <w:t>, based on MBS data from 2011 to 2017.</w:t>
            </w:r>
          </w:p>
        </w:tc>
        <w:tc>
          <w:tcPr>
            <w:tcW w:w="2144" w:type="pct"/>
            <w:shd w:val="clear" w:color="auto" w:fill="auto"/>
            <w:vAlign w:val="center"/>
          </w:tcPr>
          <w:p w:rsidR="00182E4E" w:rsidRPr="00146B5E" w:rsidRDefault="00527BCC" w:rsidP="00182E4E">
            <w:pPr>
              <w:pStyle w:val="TableText0"/>
            </w:pPr>
            <w:r w:rsidRPr="00146B5E">
              <w:t>May not be accurate as the extrapolation was based on MBS data, which DUSC indicated differed from PBS data for use of BoNT-A in spasticity (p17 2018 DUSC report).</w:t>
            </w:r>
          </w:p>
        </w:tc>
      </w:tr>
      <w:tr w:rsidR="00E83F65" w:rsidRPr="00146B5E" w:rsidTr="001B1319">
        <w:tc>
          <w:tcPr>
            <w:tcW w:w="960" w:type="pct"/>
            <w:shd w:val="clear" w:color="auto" w:fill="auto"/>
            <w:vAlign w:val="center"/>
          </w:tcPr>
          <w:p w:rsidR="00182E4E" w:rsidRPr="00146B5E" w:rsidRDefault="00182E4E" w:rsidP="00182E4E">
            <w:pPr>
              <w:pStyle w:val="TableText0"/>
            </w:pPr>
            <w:r w:rsidRPr="00146B5E">
              <w:rPr>
                <w:szCs w:val="20"/>
              </w:rPr>
              <w:t xml:space="preserve">Uptake rate </w:t>
            </w:r>
          </w:p>
        </w:tc>
        <w:tc>
          <w:tcPr>
            <w:tcW w:w="1896" w:type="pct"/>
            <w:shd w:val="clear" w:color="auto" w:fill="auto"/>
            <w:vAlign w:val="center"/>
          </w:tcPr>
          <w:p w:rsidR="00182E4E" w:rsidRPr="00146B5E" w:rsidRDefault="00182E4E" w:rsidP="00182E4E">
            <w:pPr>
              <w:pStyle w:val="TableText0"/>
            </w:pPr>
            <w:r w:rsidRPr="00146B5E">
              <w:rPr>
                <w:szCs w:val="20"/>
              </w:rPr>
              <w:t>Sponsor assumption: 50% in Years 1 to 6.</w:t>
            </w:r>
          </w:p>
        </w:tc>
        <w:tc>
          <w:tcPr>
            <w:tcW w:w="2144" w:type="pct"/>
            <w:shd w:val="clear" w:color="auto" w:fill="auto"/>
            <w:vAlign w:val="center"/>
          </w:tcPr>
          <w:p w:rsidR="00182E4E" w:rsidRPr="00146B5E" w:rsidRDefault="001B63AD" w:rsidP="00182E4E">
            <w:pPr>
              <w:pStyle w:val="TableText0"/>
            </w:pPr>
            <w:r w:rsidRPr="00146B5E">
              <w:t xml:space="preserve">While 50% uptake </w:t>
            </w:r>
            <w:r w:rsidR="00527BCC" w:rsidRPr="00146B5E">
              <w:t>sp</w:t>
            </w:r>
            <w:r w:rsidRPr="00146B5E">
              <w:t xml:space="preserve">its the market between </w:t>
            </w:r>
            <w:r w:rsidR="00A30D3F" w:rsidRPr="00146B5E">
              <w:t>Dysport</w:t>
            </w:r>
            <w:r w:rsidR="00334631" w:rsidRPr="00146B5E">
              <w:rPr>
                <w:color w:val="000000" w:themeColor="text1"/>
                <w:szCs w:val="20"/>
                <w:vertAlign w:val="superscript"/>
              </w:rPr>
              <w:t>®</w:t>
            </w:r>
            <w:r w:rsidRPr="00146B5E">
              <w:t xml:space="preserve"> and </w:t>
            </w:r>
            <w:r w:rsidR="006C23C2" w:rsidRPr="00146B5E">
              <w:t>Botox</w:t>
            </w:r>
            <w:r w:rsidR="006C23C2" w:rsidRPr="00146B5E">
              <w:rPr>
                <w:vertAlign w:val="superscript"/>
              </w:rPr>
              <w:t>®</w:t>
            </w:r>
            <w:r w:rsidR="00527BCC" w:rsidRPr="00146B5E">
              <w:t>, there was no evidence or discussion provided around why a 50% rate was chosen.</w:t>
            </w:r>
            <w:r w:rsidR="00A87288" w:rsidRPr="00146B5E">
              <w:t xml:space="preserve"> </w:t>
            </w:r>
            <w:r w:rsidR="00527BCC" w:rsidRPr="00146B5E">
              <w:t>Nor was a rationale provided for assumption of the same rate across the first 6 years of listing.</w:t>
            </w:r>
            <w:r w:rsidR="00186772" w:rsidRPr="00146B5E">
              <w:t xml:space="preserve"> The ESC considered that a market share estimate of 50% was highly optimistic.</w:t>
            </w:r>
          </w:p>
        </w:tc>
      </w:tr>
      <w:tr w:rsidR="00E83F65" w:rsidRPr="00146B5E" w:rsidTr="001B1319">
        <w:tc>
          <w:tcPr>
            <w:tcW w:w="960" w:type="pct"/>
            <w:shd w:val="clear" w:color="auto" w:fill="auto"/>
            <w:vAlign w:val="center"/>
          </w:tcPr>
          <w:p w:rsidR="00182E4E" w:rsidRPr="00146B5E" w:rsidRDefault="00182E4E" w:rsidP="00182E4E">
            <w:pPr>
              <w:pStyle w:val="TableText0"/>
            </w:pPr>
            <w:r w:rsidRPr="00146B5E">
              <w:rPr>
                <w:szCs w:val="20"/>
              </w:rPr>
              <w:t xml:space="preserve">Split of </w:t>
            </w:r>
            <w:r w:rsidR="00A30D3F" w:rsidRPr="00146B5E">
              <w:rPr>
                <w:szCs w:val="20"/>
              </w:rPr>
              <w:t>Dysport®</w:t>
            </w:r>
            <w:r w:rsidRPr="00146B5E">
              <w:rPr>
                <w:szCs w:val="20"/>
              </w:rPr>
              <w:t xml:space="preserve"> vial size usage</w:t>
            </w:r>
          </w:p>
        </w:tc>
        <w:tc>
          <w:tcPr>
            <w:tcW w:w="1896" w:type="pct"/>
            <w:shd w:val="clear" w:color="auto" w:fill="auto"/>
            <w:vAlign w:val="center"/>
          </w:tcPr>
          <w:p w:rsidR="00182E4E" w:rsidRPr="00146B5E" w:rsidRDefault="00182E4E" w:rsidP="00182E4E">
            <w:pPr>
              <w:pStyle w:val="TableText0"/>
            </w:pPr>
            <w:r w:rsidRPr="00146B5E">
              <w:rPr>
                <w:szCs w:val="20"/>
              </w:rPr>
              <w:t xml:space="preserve">PBS item reports for </w:t>
            </w:r>
            <w:r w:rsidR="00A30D3F" w:rsidRPr="00146B5E">
              <w:rPr>
                <w:szCs w:val="20"/>
              </w:rPr>
              <w:t>Dysport</w:t>
            </w:r>
            <w:r w:rsidR="00A30D3F" w:rsidRPr="00146B5E">
              <w:rPr>
                <w:szCs w:val="20"/>
                <w:vertAlign w:val="superscript"/>
              </w:rPr>
              <w:t>®</w:t>
            </w:r>
            <w:r w:rsidRPr="00146B5E">
              <w:rPr>
                <w:szCs w:val="20"/>
                <w:vertAlign w:val="superscript"/>
              </w:rPr>
              <w:t xml:space="preserve"> </w:t>
            </w:r>
            <w:r w:rsidRPr="00146B5E">
              <w:rPr>
                <w:szCs w:val="20"/>
              </w:rPr>
              <w:t>use between 2017 and 2019: 300U 14.73%; 500U 85.27%</w:t>
            </w:r>
          </w:p>
        </w:tc>
        <w:tc>
          <w:tcPr>
            <w:tcW w:w="2144" w:type="pct"/>
            <w:shd w:val="clear" w:color="auto" w:fill="auto"/>
            <w:vAlign w:val="center"/>
          </w:tcPr>
          <w:p w:rsidR="00182E4E" w:rsidRPr="00146B5E" w:rsidRDefault="00E83F65" w:rsidP="00182E4E">
            <w:pPr>
              <w:pStyle w:val="TableText0"/>
            </w:pPr>
            <w:r w:rsidRPr="00146B5E">
              <w:t xml:space="preserve">The split was based on </w:t>
            </w:r>
            <w:r w:rsidR="00A30D3F" w:rsidRPr="00146B5E">
              <w:t>Dysport</w:t>
            </w:r>
            <w:r w:rsidR="00334631" w:rsidRPr="00146B5E">
              <w:rPr>
                <w:color w:val="000000" w:themeColor="text1"/>
                <w:szCs w:val="20"/>
                <w:vertAlign w:val="superscript"/>
              </w:rPr>
              <w:t>®</w:t>
            </w:r>
            <w:r w:rsidRPr="00146B5E">
              <w:t xml:space="preserve"> usage for all conditions, which may not reflect usage under the proposed listing.</w:t>
            </w:r>
            <w:r w:rsidR="00A87288" w:rsidRPr="00146B5E">
              <w:t xml:space="preserve"> </w:t>
            </w:r>
            <w:r w:rsidRPr="00146B5E">
              <w:t>However the estimates did not show much sensitivity to this component.</w:t>
            </w:r>
          </w:p>
        </w:tc>
      </w:tr>
      <w:tr w:rsidR="00E83F65" w:rsidRPr="00146B5E" w:rsidTr="001B1319">
        <w:tc>
          <w:tcPr>
            <w:tcW w:w="960" w:type="pct"/>
            <w:shd w:val="clear" w:color="auto" w:fill="auto"/>
            <w:vAlign w:val="center"/>
          </w:tcPr>
          <w:p w:rsidR="00D244B6" w:rsidRPr="00146B5E" w:rsidRDefault="00D9256D" w:rsidP="007925DF">
            <w:pPr>
              <w:pStyle w:val="TableText0"/>
            </w:pPr>
            <w:r w:rsidRPr="00146B5E">
              <w:t xml:space="preserve">Offsets for </w:t>
            </w:r>
            <w:r w:rsidR="006C23C2" w:rsidRPr="00146B5E">
              <w:t>Botox®</w:t>
            </w:r>
          </w:p>
        </w:tc>
        <w:tc>
          <w:tcPr>
            <w:tcW w:w="1896" w:type="pct"/>
            <w:shd w:val="clear" w:color="auto" w:fill="auto"/>
            <w:vAlign w:val="center"/>
          </w:tcPr>
          <w:p w:rsidR="00D244B6" w:rsidRPr="00146B5E" w:rsidRDefault="00E83F65" w:rsidP="007925DF">
            <w:pPr>
              <w:pStyle w:val="TableText0"/>
            </w:pPr>
            <w:r w:rsidRPr="00146B5E">
              <w:t xml:space="preserve">Cost offsets for </w:t>
            </w:r>
            <w:r w:rsidR="006C23C2" w:rsidRPr="00146B5E">
              <w:t>Botox</w:t>
            </w:r>
            <w:r w:rsidR="006C23C2" w:rsidRPr="00146B5E">
              <w:rPr>
                <w:vertAlign w:val="superscript"/>
              </w:rPr>
              <w:t>®</w:t>
            </w:r>
            <w:r w:rsidRPr="00146B5E">
              <w:t xml:space="preserve"> were based on equi-effective doses and the assumed uptake rate.</w:t>
            </w:r>
          </w:p>
        </w:tc>
        <w:tc>
          <w:tcPr>
            <w:tcW w:w="2144" w:type="pct"/>
            <w:shd w:val="clear" w:color="auto" w:fill="auto"/>
            <w:vAlign w:val="center"/>
          </w:tcPr>
          <w:p w:rsidR="00D244B6" w:rsidRPr="00146B5E" w:rsidRDefault="00E83F65" w:rsidP="007925DF">
            <w:pPr>
              <w:pStyle w:val="TableText0"/>
            </w:pPr>
            <w:r w:rsidRPr="00146B5E">
              <w:t>The estimated offsets are not likely to be accurate, given issues with the equi-effective dose and assumption of a 50% uptake rate.</w:t>
            </w:r>
          </w:p>
        </w:tc>
      </w:tr>
      <w:tr w:rsidR="00E83F65" w:rsidRPr="00146B5E" w:rsidTr="001B1319">
        <w:tc>
          <w:tcPr>
            <w:tcW w:w="960" w:type="pct"/>
            <w:shd w:val="clear" w:color="auto" w:fill="auto"/>
            <w:vAlign w:val="center"/>
          </w:tcPr>
          <w:p w:rsidR="004658B5" w:rsidRPr="00146B5E" w:rsidRDefault="004658B5" w:rsidP="007925DF">
            <w:pPr>
              <w:pStyle w:val="TableText0"/>
            </w:pPr>
            <w:r w:rsidRPr="00146B5E">
              <w:t>MBS item</w:t>
            </w:r>
            <w:r w:rsidR="00182E4E" w:rsidRPr="00146B5E">
              <w:t>s</w:t>
            </w:r>
          </w:p>
        </w:tc>
        <w:tc>
          <w:tcPr>
            <w:tcW w:w="1896" w:type="pct"/>
            <w:shd w:val="clear" w:color="auto" w:fill="auto"/>
            <w:vAlign w:val="center"/>
          </w:tcPr>
          <w:p w:rsidR="004658B5" w:rsidRPr="00146B5E" w:rsidRDefault="00182E4E" w:rsidP="007925DF">
            <w:pPr>
              <w:pStyle w:val="TableText0"/>
            </w:pPr>
            <w:r w:rsidRPr="00146B5E">
              <w:rPr>
                <w:szCs w:val="20"/>
              </w:rPr>
              <w:t>Not included.</w:t>
            </w:r>
          </w:p>
        </w:tc>
        <w:tc>
          <w:tcPr>
            <w:tcW w:w="2144" w:type="pct"/>
            <w:shd w:val="clear" w:color="auto" w:fill="auto"/>
            <w:vAlign w:val="center"/>
          </w:tcPr>
          <w:p w:rsidR="004658B5" w:rsidRPr="00146B5E" w:rsidRDefault="00182E4E" w:rsidP="007925DF">
            <w:pPr>
              <w:pStyle w:val="TableText0"/>
            </w:pPr>
            <w:r w:rsidRPr="00146B5E">
              <w:t xml:space="preserve">Not appropriate, as MBS items are used by both </w:t>
            </w:r>
            <w:r w:rsidR="00A30D3F" w:rsidRPr="00146B5E">
              <w:t>Dysport</w:t>
            </w:r>
            <w:r w:rsidR="00334631" w:rsidRPr="00146B5E">
              <w:rPr>
                <w:color w:val="000000" w:themeColor="text1"/>
                <w:szCs w:val="20"/>
                <w:vertAlign w:val="superscript"/>
              </w:rPr>
              <w:t>®</w:t>
            </w:r>
            <w:r w:rsidRPr="00146B5E">
              <w:t xml:space="preserve"> and </w:t>
            </w:r>
            <w:r w:rsidR="006C23C2" w:rsidRPr="00146B5E">
              <w:t>Botox</w:t>
            </w:r>
            <w:r w:rsidR="006C23C2" w:rsidRPr="00146B5E">
              <w:rPr>
                <w:vertAlign w:val="superscript"/>
              </w:rPr>
              <w:t>®</w:t>
            </w:r>
            <w:r w:rsidRPr="00146B5E">
              <w:t xml:space="preserve"> patients and may be used with a different frequency by </w:t>
            </w:r>
            <w:r w:rsidR="00A30D3F" w:rsidRPr="00146B5E">
              <w:t>Dysport</w:t>
            </w:r>
            <w:r w:rsidR="00334631" w:rsidRPr="00146B5E">
              <w:rPr>
                <w:color w:val="000000" w:themeColor="text1"/>
                <w:szCs w:val="20"/>
                <w:vertAlign w:val="superscript"/>
              </w:rPr>
              <w:t>®</w:t>
            </w:r>
            <w:r w:rsidRPr="00146B5E">
              <w:t xml:space="preserve"> patients.</w:t>
            </w:r>
          </w:p>
        </w:tc>
      </w:tr>
    </w:tbl>
    <w:p w:rsidR="007925DF" w:rsidRPr="00146B5E" w:rsidRDefault="00E83F65" w:rsidP="00A836B8">
      <w:pPr>
        <w:pStyle w:val="TableFigureFooter"/>
        <w:rPr>
          <w:color w:val="3366FF"/>
        </w:rPr>
      </w:pPr>
      <w:r w:rsidRPr="00146B5E">
        <w:t>Source: Section 4.1 to Section 4.5, p168-175 of the submission.</w:t>
      </w:r>
    </w:p>
    <w:p w:rsidR="00E83F65" w:rsidRPr="00146B5E" w:rsidRDefault="00E83F65" w:rsidP="008312E5">
      <w:pPr>
        <w:pStyle w:val="3-BodyText"/>
        <w:ind w:left="720"/>
      </w:pPr>
      <w:r w:rsidRPr="00146B5E">
        <w:t xml:space="preserve">The estimated script numbers and costs of the PBS listing of </w:t>
      </w:r>
      <w:r w:rsidR="00A30D3F" w:rsidRPr="00146B5E">
        <w:t>Dysport®</w:t>
      </w:r>
      <w:r w:rsidRPr="00146B5E">
        <w:t xml:space="preserve"> are provided below.</w:t>
      </w:r>
      <w:r w:rsidR="00A87288" w:rsidRPr="00146B5E">
        <w:t xml:space="preserve"> </w:t>
      </w:r>
      <w:r w:rsidRPr="00146B5E">
        <w:rPr>
          <w:iCs/>
        </w:rPr>
        <w:t xml:space="preserve">The submission did not include discussion or estimates of patient numbers, and instead applied </w:t>
      </w:r>
      <w:r w:rsidR="006C22A0" w:rsidRPr="00146B5E">
        <w:rPr>
          <w:iCs/>
        </w:rPr>
        <w:t>the market share approach to estimation of script numbers only.</w:t>
      </w:r>
    </w:p>
    <w:p w:rsidR="00C25D9C" w:rsidRPr="00146B5E" w:rsidRDefault="002A2F50" w:rsidP="00606FBA">
      <w:pPr>
        <w:pStyle w:val="TableFigureHeading"/>
      </w:pPr>
      <w:r w:rsidRPr="00146B5E">
        <w:rPr>
          <w:rStyle w:val="CommentReference"/>
          <w:b/>
          <w:szCs w:val="24"/>
        </w:rPr>
        <w:t xml:space="preserve">Table </w:t>
      </w:r>
      <w:r w:rsidR="00DD5100" w:rsidRPr="00146B5E">
        <w:rPr>
          <w:rStyle w:val="CommentReference"/>
          <w:b/>
          <w:szCs w:val="24"/>
        </w:rPr>
        <w:t>16</w:t>
      </w:r>
      <w:r w:rsidRPr="00146B5E">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146B5E" w:rsidTr="001B1319">
        <w:trPr>
          <w:tblHeader/>
        </w:trPr>
        <w:tc>
          <w:tcPr>
            <w:tcW w:w="1116" w:type="pct"/>
            <w:shd w:val="clear" w:color="auto" w:fill="auto"/>
            <w:vAlign w:val="center"/>
          </w:tcPr>
          <w:p w:rsidR="00385A9D" w:rsidRPr="001B1319" w:rsidRDefault="00385A9D" w:rsidP="00606FBA">
            <w:pPr>
              <w:pStyle w:val="In-tableHeading"/>
              <w:jc w:val="center"/>
              <w:rPr>
                <w:szCs w:val="20"/>
                <w:lang w:val="en-AU"/>
              </w:rPr>
            </w:pPr>
          </w:p>
        </w:tc>
        <w:tc>
          <w:tcPr>
            <w:tcW w:w="647" w:type="pct"/>
            <w:shd w:val="clear" w:color="auto" w:fill="auto"/>
            <w:vAlign w:val="center"/>
          </w:tcPr>
          <w:p w:rsidR="00385A9D" w:rsidRPr="001B1319" w:rsidRDefault="00385A9D" w:rsidP="00606FBA">
            <w:pPr>
              <w:pStyle w:val="In-tableHeading"/>
              <w:jc w:val="center"/>
              <w:rPr>
                <w:szCs w:val="20"/>
                <w:lang w:val="en-AU"/>
              </w:rPr>
            </w:pPr>
            <w:r w:rsidRPr="001B1319">
              <w:rPr>
                <w:szCs w:val="20"/>
                <w:lang w:val="en-AU"/>
              </w:rPr>
              <w:t>Year 1</w:t>
            </w:r>
          </w:p>
        </w:tc>
        <w:tc>
          <w:tcPr>
            <w:tcW w:w="647" w:type="pct"/>
            <w:shd w:val="clear" w:color="auto" w:fill="auto"/>
            <w:vAlign w:val="center"/>
          </w:tcPr>
          <w:p w:rsidR="00385A9D" w:rsidRPr="001B1319" w:rsidRDefault="00385A9D" w:rsidP="00606FBA">
            <w:pPr>
              <w:pStyle w:val="In-tableHeading"/>
              <w:jc w:val="center"/>
              <w:rPr>
                <w:szCs w:val="20"/>
                <w:lang w:val="en-AU"/>
              </w:rPr>
            </w:pPr>
            <w:r w:rsidRPr="001B1319">
              <w:rPr>
                <w:szCs w:val="20"/>
                <w:lang w:val="en-AU"/>
              </w:rPr>
              <w:t>Year 2</w:t>
            </w:r>
          </w:p>
        </w:tc>
        <w:tc>
          <w:tcPr>
            <w:tcW w:w="647" w:type="pct"/>
            <w:shd w:val="clear" w:color="auto" w:fill="auto"/>
            <w:vAlign w:val="center"/>
          </w:tcPr>
          <w:p w:rsidR="00385A9D" w:rsidRPr="001B1319" w:rsidRDefault="00385A9D" w:rsidP="00606FBA">
            <w:pPr>
              <w:pStyle w:val="In-tableHeading"/>
              <w:jc w:val="center"/>
              <w:rPr>
                <w:szCs w:val="20"/>
                <w:lang w:val="en-AU"/>
              </w:rPr>
            </w:pPr>
            <w:r w:rsidRPr="001B1319">
              <w:rPr>
                <w:szCs w:val="20"/>
                <w:lang w:val="en-AU"/>
              </w:rPr>
              <w:t>Year 3</w:t>
            </w:r>
          </w:p>
        </w:tc>
        <w:tc>
          <w:tcPr>
            <w:tcW w:w="647" w:type="pct"/>
            <w:shd w:val="clear" w:color="auto" w:fill="auto"/>
            <w:vAlign w:val="center"/>
          </w:tcPr>
          <w:p w:rsidR="00385A9D" w:rsidRPr="001B1319" w:rsidRDefault="00385A9D" w:rsidP="00606FBA">
            <w:pPr>
              <w:pStyle w:val="In-tableHeading"/>
              <w:jc w:val="center"/>
              <w:rPr>
                <w:szCs w:val="20"/>
                <w:lang w:val="en-AU"/>
              </w:rPr>
            </w:pPr>
            <w:r w:rsidRPr="001B1319">
              <w:rPr>
                <w:szCs w:val="20"/>
                <w:lang w:val="en-AU"/>
              </w:rPr>
              <w:t>Year 4</w:t>
            </w:r>
          </w:p>
        </w:tc>
        <w:tc>
          <w:tcPr>
            <w:tcW w:w="647" w:type="pct"/>
            <w:shd w:val="clear" w:color="auto" w:fill="auto"/>
            <w:vAlign w:val="center"/>
          </w:tcPr>
          <w:p w:rsidR="00385A9D" w:rsidRPr="001B1319" w:rsidRDefault="00385A9D" w:rsidP="00606FBA">
            <w:pPr>
              <w:pStyle w:val="In-tableHeading"/>
              <w:jc w:val="center"/>
              <w:rPr>
                <w:szCs w:val="20"/>
                <w:lang w:val="en-AU"/>
              </w:rPr>
            </w:pPr>
            <w:r w:rsidRPr="001B1319">
              <w:rPr>
                <w:szCs w:val="20"/>
                <w:lang w:val="en-AU"/>
              </w:rPr>
              <w:t>Year 5</w:t>
            </w:r>
          </w:p>
        </w:tc>
        <w:tc>
          <w:tcPr>
            <w:tcW w:w="649" w:type="pct"/>
          </w:tcPr>
          <w:p w:rsidR="00385A9D" w:rsidRPr="001B1319" w:rsidRDefault="00385A9D" w:rsidP="00606FBA">
            <w:pPr>
              <w:pStyle w:val="In-tableHeading"/>
              <w:jc w:val="center"/>
              <w:rPr>
                <w:szCs w:val="20"/>
                <w:lang w:val="en-AU"/>
              </w:rPr>
            </w:pPr>
            <w:r w:rsidRPr="001B1319">
              <w:rPr>
                <w:szCs w:val="20"/>
                <w:lang w:val="en-AU"/>
              </w:rPr>
              <w:t>Year 6</w:t>
            </w:r>
          </w:p>
        </w:tc>
      </w:tr>
      <w:tr w:rsidR="00385A9D" w:rsidRPr="00146B5E" w:rsidTr="001B1319">
        <w:tc>
          <w:tcPr>
            <w:tcW w:w="5000" w:type="pct"/>
            <w:gridSpan w:val="7"/>
            <w:shd w:val="clear" w:color="auto" w:fill="auto"/>
            <w:vAlign w:val="center"/>
          </w:tcPr>
          <w:p w:rsidR="00385A9D" w:rsidRPr="001B1319" w:rsidRDefault="00385A9D" w:rsidP="00606FBA">
            <w:pPr>
              <w:pStyle w:val="In-tableHeading"/>
              <w:rPr>
                <w:bCs/>
                <w:color w:val="000000"/>
                <w:szCs w:val="20"/>
                <w:lang w:val="en-AU"/>
              </w:rPr>
            </w:pPr>
            <w:r w:rsidRPr="001B1319">
              <w:rPr>
                <w:bCs/>
                <w:color w:val="000000"/>
                <w:szCs w:val="20"/>
                <w:lang w:val="en-AU"/>
              </w:rPr>
              <w:t>Estimated extent of use</w:t>
            </w:r>
          </w:p>
        </w:tc>
      </w:tr>
      <w:tr w:rsidR="00DE7AFB" w:rsidRPr="00146B5E" w:rsidTr="001B1319">
        <w:tc>
          <w:tcPr>
            <w:tcW w:w="1116" w:type="pct"/>
            <w:shd w:val="clear" w:color="auto" w:fill="auto"/>
            <w:vAlign w:val="center"/>
          </w:tcPr>
          <w:p w:rsidR="00DE7AFB" w:rsidRPr="001B1319" w:rsidRDefault="00DE7AFB" w:rsidP="00DE7AFB">
            <w:pPr>
              <w:pStyle w:val="TableText0"/>
              <w:rPr>
                <w:szCs w:val="20"/>
              </w:rPr>
            </w:pPr>
            <w:r w:rsidRPr="001B1319">
              <w:rPr>
                <w:szCs w:val="20"/>
              </w:rPr>
              <w:t>Number of scripts dispensed</w:t>
            </w:r>
            <w:r w:rsidRPr="001B1319">
              <w:rPr>
                <w:szCs w:val="20"/>
                <w:vertAlign w:val="superscript"/>
              </w:rPr>
              <w:t>a</w:t>
            </w:r>
          </w:p>
        </w:tc>
        <w:tc>
          <w:tcPr>
            <w:tcW w:w="647" w:type="pct"/>
            <w:shd w:val="clear" w:color="auto" w:fill="auto"/>
            <w:vAlign w:val="center"/>
          </w:tcPr>
          <w:p w:rsidR="00DE7AFB" w:rsidRPr="00823EE8" w:rsidRDefault="00823EE8" w:rsidP="007C2FB8">
            <w:pPr>
              <w:pStyle w:val="TableText0"/>
              <w:jc w:val="center"/>
              <w:rPr>
                <w:color w:val="000000"/>
                <w:szCs w:val="20"/>
                <w:highlight w:val="black"/>
              </w:rPr>
            </w:pPr>
            <w:r>
              <w:rPr>
                <w:bCs w:val="0"/>
                <w:noProof/>
                <w:color w:val="000000"/>
                <w:szCs w:val="20"/>
                <w:highlight w:val="black"/>
              </w:rPr>
              <w:t>''''''''''</w:t>
            </w:r>
          </w:p>
        </w:tc>
        <w:tc>
          <w:tcPr>
            <w:tcW w:w="647" w:type="pct"/>
            <w:shd w:val="clear" w:color="auto" w:fill="auto"/>
            <w:vAlign w:val="center"/>
          </w:tcPr>
          <w:p w:rsidR="00DE7AFB" w:rsidRPr="00823EE8" w:rsidRDefault="00823EE8" w:rsidP="007C2FB8">
            <w:pPr>
              <w:pStyle w:val="TableText0"/>
              <w:jc w:val="center"/>
              <w:rPr>
                <w:color w:val="000000"/>
                <w:szCs w:val="20"/>
                <w:highlight w:val="black"/>
              </w:rPr>
            </w:pPr>
            <w:r>
              <w:rPr>
                <w:bCs w:val="0"/>
                <w:noProof/>
                <w:color w:val="000000"/>
                <w:szCs w:val="20"/>
                <w:highlight w:val="black"/>
              </w:rPr>
              <w:t>'''''''''</w:t>
            </w:r>
          </w:p>
        </w:tc>
        <w:tc>
          <w:tcPr>
            <w:tcW w:w="647" w:type="pct"/>
            <w:shd w:val="clear" w:color="auto" w:fill="auto"/>
            <w:vAlign w:val="center"/>
          </w:tcPr>
          <w:p w:rsidR="00DE7AFB" w:rsidRPr="00823EE8" w:rsidRDefault="00823EE8" w:rsidP="007C2FB8">
            <w:pPr>
              <w:pStyle w:val="TableText0"/>
              <w:jc w:val="center"/>
              <w:rPr>
                <w:color w:val="000000"/>
                <w:szCs w:val="20"/>
                <w:highlight w:val="black"/>
              </w:rPr>
            </w:pPr>
            <w:r>
              <w:rPr>
                <w:bCs w:val="0"/>
                <w:noProof/>
                <w:color w:val="000000"/>
                <w:szCs w:val="20"/>
                <w:highlight w:val="black"/>
              </w:rPr>
              <w:t>''''''''</w:t>
            </w:r>
          </w:p>
        </w:tc>
        <w:tc>
          <w:tcPr>
            <w:tcW w:w="647" w:type="pct"/>
            <w:shd w:val="clear" w:color="auto" w:fill="auto"/>
            <w:vAlign w:val="center"/>
          </w:tcPr>
          <w:p w:rsidR="00DE7AFB" w:rsidRPr="00823EE8" w:rsidRDefault="00823EE8" w:rsidP="007C2FB8">
            <w:pPr>
              <w:pStyle w:val="TableText0"/>
              <w:jc w:val="center"/>
              <w:rPr>
                <w:color w:val="000000"/>
                <w:szCs w:val="20"/>
                <w:highlight w:val="black"/>
              </w:rPr>
            </w:pPr>
            <w:r>
              <w:rPr>
                <w:bCs w:val="0"/>
                <w:noProof/>
                <w:color w:val="000000"/>
                <w:szCs w:val="20"/>
                <w:highlight w:val="black"/>
              </w:rPr>
              <w:t>''''''''''</w:t>
            </w:r>
          </w:p>
        </w:tc>
        <w:tc>
          <w:tcPr>
            <w:tcW w:w="647" w:type="pct"/>
            <w:shd w:val="clear" w:color="auto" w:fill="auto"/>
            <w:vAlign w:val="center"/>
          </w:tcPr>
          <w:p w:rsidR="00DE7AFB" w:rsidRPr="00823EE8" w:rsidRDefault="00823EE8" w:rsidP="007C2FB8">
            <w:pPr>
              <w:pStyle w:val="TableText0"/>
              <w:jc w:val="center"/>
              <w:rPr>
                <w:color w:val="000000"/>
                <w:szCs w:val="20"/>
                <w:highlight w:val="black"/>
              </w:rPr>
            </w:pPr>
            <w:r>
              <w:rPr>
                <w:bCs w:val="0"/>
                <w:noProof/>
                <w:color w:val="000000"/>
                <w:szCs w:val="20"/>
                <w:highlight w:val="black"/>
              </w:rPr>
              <w:t>'''''''''''''</w:t>
            </w:r>
          </w:p>
        </w:tc>
        <w:tc>
          <w:tcPr>
            <w:tcW w:w="649" w:type="pct"/>
            <w:vAlign w:val="center"/>
          </w:tcPr>
          <w:p w:rsidR="00DE7AFB" w:rsidRPr="00823EE8" w:rsidRDefault="00823EE8" w:rsidP="007C2FB8">
            <w:pPr>
              <w:pStyle w:val="TableText0"/>
              <w:jc w:val="center"/>
              <w:rPr>
                <w:color w:val="000000"/>
                <w:szCs w:val="20"/>
                <w:highlight w:val="black"/>
              </w:rPr>
            </w:pPr>
            <w:r>
              <w:rPr>
                <w:bCs w:val="0"/>
                <w:noProof/>
                <w:color w:val="000000"/>
                <w:szCs w:val="20"/>
                <w:highlight w:val="black"/>
              </w:rPr>
              <w:t>'''''''''''''''</w:t>
            </w:r>
          </w:p>
        </w:tc>
      </w:tr>
      <w:tr w:rsidR="00DE7AFB" w:rsidRPr="00146B5E" w:rsidTr="001B1319">
        <w:tc>
          <w:tcPr>
            <w:tcW w:w="5000" w:type="pct"/>
            <w:gridSpan w:val="7"/>
            <w:shd w:val="clear" w:color="auto" w:fill="auto"/>
            <w:vAlign w:val="center"/>
          </w:tcPr>
          <w:p w:rsidR="00DE7AFB" w:rsidRPr="001B1319" w:rsidRDefault="00DE7AFB" w:rsidP="00DE7AFB">
            <w:pPr>
              <w:pStyle w:val="In-tableHeading"/>
              <w:rPr>
                <w:szCs w:val="20"/>
                <w:lang w:val="en-AU"/>
              </w:rPr>
            </w:pPr>
            <w:r w:rsidRPr="001B1319">
              <w:rPr>
                <w:bCs/>
                <w:color w:val="000000"/>
                <w:szCs w:val="20"/>
                <w:lang w:val="en-AU"/>
              </w:rPr>
              <w:t xml:space="preserve">Estimated financial implications of </w:t>
            </w:r>
            <w:r w:rsidR="00A30D3F" w:rsidRPr="001B1319">
              <w:rPr>
                <w:bCs/>
                <w:color w:val="000000"/>
                <w:szCs w:val="20"/>
                <w:lang w:val="en-AU"/>
              </w:rPr>
              <w:t>Dysport</w:t>
            </w:r>
            <w:r w:rsidR="00A30D3F" w:rsidRPr="001B1319">
              <w:rPr>
                <w:bCs/>
                <w:color w:val="000000"/>
                <w:szCs w:val="20"/>
                <w:vertAlign w:val="superscript"/>
                <w:lang w:val="en-AU"/>
              </w:rPr>
              <w:t>®</w:t>
            </w:r>
          </w:p>
        </w:tc>
      </w:tr>
      <w:tr w:rsidR="00DE7AFB" w:rsidRPr="00146B5E" w:rsidTr="001B1319">
        <w:tc>
          <w:tcPr>
            <w:tcW w:w="1116" w:type="pct"/>
            <w:shd w:val="clear" w:color="auto" w:fill="auto"/>
            <w:vAlign w:val="center"/>
          </w:tcPr>
          <w:p w:rsidR="00DE7AFB" w:rsidRPr="001B1319" w:rsidRDefault="00DE7AFB" w:rsidP="00DE7AFB">
            <w:pPr>
              <w:pStyle w:val="TableText0"/>
              <w:rPr>
                <w:szCs w:val="20"/>
              </w:rPr>
            </w:pPr>
            <w:r w:rsidRPr="001B1319">
              <w:rPr>
                <w:szCs w:val="20"/>
              </w:rPr>
              <w:t>Cost to PBS/RPBS</w:t>
            </w:r>
            <w:r w:rsidR="00756F68" w:rsidRPr="001B1319">
              <w:rPr>
                <w:i/>
                <w:iCs/>
                <w:szCs w:val="20"/>
                <w:vertAlign w:val="superscript"/>
              </w:rPr>
              <w:t>b</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r w:rsidRPr="001B1319">
              <w:rPr>
                <w:rFonts w:cs="Arial"/>
                <w:bCs w:val="0"/>
                <w:iCs/>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r w:rsidRPr="001B1319">
              <w:rPr>
                <w:rFonts w:cs="Arial"/>
                <w:bCs w:val="0"/>
                <w:iCs/>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r w:rsidRPr="001B1319">
              <w:rPr>
                <w:rFonts w:cs="Arial"/>
                <w:bCs w:val="0"/>
                <w:iCs/>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r w:rsidRPr="001B1319">
              <w:rPr>
                <w:rFonts w:cs="Arial"/>
                <w:bCs w:val="0"/>
                <w:iCs/>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r w:rsidRPr="001B1319">
              <w:rPr>
                <w:rFonts w:cs="Arial"/>
                <w:bCs w:val="0"/>
                <w:iCs/>
                <w:szCs w:val="20"/>
              </w:rPr>
              <w:t xml:space="preserve"> </w:t>
            </w:r>
          </w:p>
        </w:tc>
        <w:tc>
          <w:tcPr>
            <w:tcW w:w="649" w:type="pct"/>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r w:rsidRPr="001B1319">
              <w:rPr>
                <w:rFonts w:cs="Arial"/>
                <w:bCs w:val="0"/>
                <w:iCs/>
                <w:szCs w:val="20"/>
              </w:rPr>
              <w:t xml:space="preserve"> </w:t>
            </w:r>
          </w:p>
        </w:tc>
      </w:tr>
      <w:tr w:rsidR="00DE7AFB" w:rsidRPr="00146B5E" w:rsidTr="001B1319">
        <w:tc>
          <w:tcPr>
            <w:tcW w:w="1116" w:type="pct"/>
            <w:shd w:val="clear" w:color="auto" w:fill="auto"/>
            <w:vAlign w:val="center"/>
          </w:tcPr>
          <w:p w:rsidR="00DE7AFB" w:rsidRPr="001B1319" w:rsidRDefault="00DE7AFB" w:rsidP="00DE7AFB">
            <w:pPr>
              <w:pStyle w:val="TableText0"/>
              <w:rPr>
                <w:szCs w:val="20"/>
              </w:rPr>
            </w:pPr>
            <w:r w:rsidRPr="001B1319">
              <w:rPr>
                <w:szCs w:val="20"/>
              </w:rPr>
              <w:t>Copayments</w:t>
            </w:r>
            <w:r w:rsidR="00756F68" w:rsidRPr="001B1319">
              <w:rPr>
                <w:iCs/>
                <w:szCs w:val="20"/>
                <w:vertAlign w:val="superscript"/>
              </w:rPr>
              <w:t>b</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p>
        </w:tc>
        <w:tc>
          <w:tcPr>
            <w:tcW w:w="649" w:type="pct"/>
            <w:vAlign w:val="center"/>
          </w:tcPr>
          <w:p w:rsidR="00DE7AFB" w:rsidRPr="001B1319" w:rsidRDefault="00DE7AFB" w:rsidP="00DE7AFB">
            <w:pPr>
              <w:pStyle w:val="TableText0"/>
              <w:jc w:val="center"/>
              <w:rPr>
                <w:szCs w:val="20"/>
              </w:rPr>
            </w:pPr>
            <w:r w:rsidRPr="001B1319">
              <w:rPr>
                <w:rFonts w:cs="Arial"/>
                <w:bCs w:val="0"/>
                <w:iCs/>
                <w:szCs w:val="20"/>
              </w:rPr>
              <w:t>-$</w:t>
            </w:r>
            <w:r w:rsidR="00823EE8">
              <w:rPr>
                <w:rFonts w:cs="Arial"/>
                <w:bCs w:val="0"/>
                <w:iCs/>
                <w:noProof/>
                <w:color w:val="000000"/>
                <w:szCs w:val="20"/>
                <w:highlight w:val="black"/>
              </w:rPr>
              <w:t>'''''''''''''''</w:t>
            </w:r>
          </w:p>
        </w:tc>
      </w:tr>
      <w:tr w:rsidR="00DE7AFB" w:rsidRPr="00146B5E" w:rsidTr="001B1319">
        <w:tc>
          <w:tcPr>
            <w:tcW w:w="1116" w:type="pct"/>
            <w:shd w:val="clear" w:color="auto" w:fill="auto"/>
            <w:vAlign w:val="center"/>
          </w:tcPr>
          <w:p w:rsidR="00DE7AFB" w:rsidRPr="001B1319" w:rsidRDefault="00DE7AFB" w:rsidP="00DE7AFB">
            <w:pPr>
              <w:pStyle w:val="TableText0"/>
              <w:rPr>
                <w:szCs w:val="20"/>
              </w:rPr>
            </w:pPr>
            <w:r w:rsidRPr="001B1319">
              <w:rPr>
                <w:szCs w:val="20"/>
              </w:rPr>
              <w:t>Cost to PBS/RPBS less copayments</w:t>
            </w:r>
          </w:p>
        </w:tc>
        <w:tc>
          <w:tcPr>
            <w:tcW w:w="647" w:type="pct"/>
            <w:shd w:val="clear" w:color="auto" w:fill="auto"/>
            <w:vAlign w:val="center"/>
          </w:tcPr>
          <w:p w:rsidR="00DE7AFB" w:rsidRPr="001B1319" w:rsidRDefault="00DE7AFB" w:rsidP="007C2FB8">
            <w:pPr>
              <w:pStyle w:val="TableText0"/>
              <w:jc w:val="center"/>
              <w:rPr>
                <w:szCs w:val="20"/>
              </w:rPr>
            </w:pPr>
            <w:r w:rsidRPr="001B1319">
              <w:rPr>
                <w:bCs w:val="0"/>
                <w:szCs w:val="20"/>
              </w:rPr>
              <w:t>$</w:t>
            </w:r>
            <w:r w:rsidR="00823EE8">
              <w:rPr>
                <w:bCs w:val="0"/>
                <w:noProof/>
                <w:color w:val="000000"/>
                <w:szCs w:val="20"/>
                <w:highlight w:val="black"/>
              </w:rPr>
              <w:t>'''''''''''''''''</w:t>
            </w:r>
          </w:p>
        </w:tc>
        <w:tc>
          <w:tcPr>
            <w:tcW w:w="647" w:type="pct"/>
            <w:shd w:val="clear" w:color="auto" w:fill="auto"/>
            <w:vAlign w:val="center"/>
          </w:tcPr>
          <w:p w:rsidR="00DE7AFB" w:rsidRPr="001B1319" w:rsidRDefault="00DE7AFB" w:rsidP="007C2FB8">
            <w:pPr>
              <w:pStyle w:val="TableText0"/>
              <w:jc w:val="center"/>
              <w:rPr>
                <w:szCs w:val="20"/>
              </w:rPr>
            </w:pPr>
            <w:r w:rsidRPr="001B1319">
              <w:rPr>
                <w:bCs w:val="0"/>
                <w:szCs w:val="20"/>
              </w:rPr>
              <w:t>$</w:t>
            </w:r>
            <w:r w:rsidR="00823EE8">
              <w:rPr>
                <w:bCs w:val="0"/>
                <w:noProof/>
                <w:color w:val="000000"/>
                <w:szCs w:val="20"/>
                <w:highlight w:val="black"/>
              </w:rPr>
              <w:t>''''''''''''''''''''</w:t>
            </w:r>
          </w:p>
        </w:tc>
        <w:tc>
          <w:tcPr>
            <w:tcW w:w="647" w:type="pct"/>
            <w:shd w:val="clear" w:color="auto" w:fill="auto"/>
            <w:vAlign w:val="center"/>
          </w:tcPr>
          <w:p w:rsidR="00DE7AFB" w:rsidRPr="001B1319" w:rsidRDefault="00DE7AFB" w:rsidP="007C2FB8">
            <w:pPr>
              <w:pStyle w:val="TableText0"/>
              <w:jc w:val="center"/>
              <w:rPr>
                <w:szCs w:val="20"/>
              </w:rPr>
            </w:pPr>
            <w:r w:rsidRPr="001B1319">
              <w:rPr>
                <w:bCs w:val="0"/>
                <w:szCs w:val="20"/>
              </w:rPr>
              <w:t>$</w:t>
            </w:r>
            <w:r w:rsidR="00823EE8">
              <w:rPr>
                <w:bCs w:val="0"/>
                <w:noProof/>
                <w:color w:val="000000"/>
                <w:szCs w:val="20"/>
                <w:highlight w:val="black"/>
              </w:rPr>
              <w:t>'''''''''''''''''</w:t>
            </w:r>
          </w:p>
        </w:tc>
        <w:tc>
          <w:tcPr>
            <w:tcW w:w="647" w:type="pct"/>
            <w:shd w:val="clear" w:color="auto" w:fill="auto"/>
            <w:vAlign w:val="center"/>
          </w:tcPr>
          <w:p w:rsidR="00DE7AFB" w:rsidRPr="001B1319" w:rsidRDefault="00DE7AFB" w:rsidP="007C2FB8">
            <w:pPr>
              <w:pStyle w:val="TableText0"/>
              <w:jc w:val="center"/>
              <w:rPr>
                <w:szCs w:val="20"/>
              </w:rPr>
            </w:pPr>
            <w:r w:rsidRPr="001B1319">
              <w:rPr>
                <w:bCs w:val="0"/>
                <w:szCs w:val="20"/>
              </w:rPr>
              <w:t>$</w:t>
            </w:r>
            <w:r w:rsidR="00823EE8">
              <w:rPr>
                <w:bCs w:val="0"/>
                <w:noProof/>
                <w:color w:val="000000"/>
                <w:szCs w:val="20"/>
                <w:highlight w:val="black"/>
              </w:rPr>
              <w:t>'''''''''''''''''''</w:t>
            </w:r>
          </w:p>
        </w:tc>
        <w:tc>
          <w:tcPr>
            <w:tcW w:w="647" w:type="pct"/>
            <w:shd w:val="clear" w:color="auto" w:fill="auto"/>
            <w:vAlign w:val="center"/>
          </w:tcPr>
          <w:p w:rsidR="00DE7AFB" w:rsidRPr="001B1319" w:rsidRDefault="00DE7AFB" w:rsidP="007C2FB8">
            <w:pPr>
              <w:pStyle w:val="TableText0"/>
              <w:jc w:val="center"/>
              <w:rPr>
                <w:szCs w:val="20"/>
              </w:rPr>
            </w:pPr>
            <w:r w:rsidRPr="001B1319">
              <w:rPr>
                <w:bCs w:val="0"/>
                <w:szCs w:val="20"/>
              </w:rPr>
              <w:t>$</w:t>
            </w:r>
            <w:r w:rsidR="00823EE8">
              <w:rPr>
                <w:bCs w:val="0"/>
                <w:noProof/>
                <w:color w:val="000000"/>
                <w:szCs w:val="20"/>
                <w:highlight w:val="black"/>
              </w:rPr>
              <w:t>''''''''''''''''''''</w:t>
            </w:r>
          </w:p>
        </w:tc>
        <w:tc>
          <w:tcPr>
            <w:tcW w:w="649" w:type="pct"/>
            <w:vAlign w:val="center"/>
          </w:tcPr>
          <w:p w:rsidR="00DE7AFB" w:rsidRPr="001B1319" w:rsidRDefault="00DE7AFB" w:rsidP="007C2FB8">
            <w:pPr>
              <w:pStyle w:val="TableText0"/>
              <w:jc w:val="center"/>
              <w:rPr>
                <w:szCs w:val="20"/>
              </w:rPr>
            </w:pPr>
            <w:r w:rsidRPr="001B1319">
              <w:rPr>
                <w:bCs w:val="0"/>
                <w:szCs w:val="20"/>
              </w:rPr>
              <w:t>$</w:t>
            </w:r>
            <w:r w:rsidR="00823EE8">
              <w:rPr>
                <w:bCs w:val="0"/>
                <w:noProof/>
                <w:color w:val="000000"/>
                <w:szCs w:val="20"/>
                <w:highlight w:val="black"/>
              </w:rPr>
              <w:t>''''''''''''''''''</w:t>
            </w:r>
          </w:p>
        </w:tc>
      </w:tr>
      <w:tr w:rsidR="00DE7AFB" w:rsidRPr="00146B5E" w:rsidTr="001B1319">
        <w:tc>
          <w:tcPr>
            <w:tcW w:w="1116" w:type="pct"/>
            <w:shd w:val="clear" w:color="auto" w:fill="auto"/>
            <w:vAlign w:val="center"/>
          </w:tcPr>
          <w:p w:rsidR="00DE7AFB" w:rsidRPr="001B1319" w:rsidRDefault="00DE7AFB" w:rsidP="00DE7AFB">
            <w:pPr>
              <w:pStyle w:val="TableText0"/>
              <w:rPr>
                <w:szCs w:val="20"/>
              </w:rPr>
            </w:pPr>
            <w:r w:rsidRPr="001B1319">
              <w:rPr>
                <w:szCs w:val="20"/>
              </w:rPr>
              <w:t xml:space="preserve">Cost offsets for substituted </w:t>
            </w:r>
            <w:r w:rsidR="006C23C2" w:rsidRPr="001B1319">
              <w:rPr>
                <w:szCs w:val="20"/>
              </w:rPr>
              <w:t>Botox</w:t>
            </w:r>
            <w:r w:rsidR="006C23C2" w:rsidRPr="001B1319">
              <w:rPr>
                <w:szCs w:val="20"/>
                <w:vertAlign w:val="superscript"/>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szCs w:val="20"/>
              </w:rPr>
              <w:t>-$</w:t>
            </w:r>
            <w:r w:rsidR="00823EE8">
              <w:rPr>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szCs w:val="20"/>
              </w:rPr>
              <w:t>-$</w:t>
            </w:r>
            <w:r w:rsidR="00823EE8">
              <w:rPr>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szCs w:val="20"/>
              </w:rPr>
              <w:t>-$</w:t>
            </w:r>
            <w:r w:rsidR="00823EE8">
              <w:rPr>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szCs w:val="20"/>
              </w:rPr>
              <w:t>-$</w:t>
            </w:r>
            <w:r w:rsidR="00823EE8">
              <w:rPr>
                <w:noProof/>
                <w:color w:val="000000"/>
                <w:szCs w:val="20"/>
                <w:highlight w:val="black"/>
              </w:rPr>
              <w:t>'''''''''''''''''''''''</w:t>
            </w:r>
          </w:p>
        </w:tc>
        <w:tc>
          <w:tcPr>
            <w:tcW w:w="647" w:type="pct"/>
            <w:shd w:val="clear" w:color="auto" w:fill="auto"/>
            <w:vAlign w:val="center"/>
          </w:tcPr>
          <w:p w:rsidR="00DE7AFB" w:rsidRPr="001B1319" w:rsidRDefault="00DE7AFB" w:rsidP="00DE7AFB">
            <w:pPr>
              <w:pStyle w:val="TableText0"/>
              <w:jc w:val="center"/>
              <w:rPr>
                <w:szCs w:val="20"/>
              </w:rPr>
            </w:pPr>
            <w:r w:rsidRPr="001B1319">
              <w:rPr>
                <w:szCs w:val="20"/>
              </w:rPr>
              <w:t>-$</w:t>
            </w:r>
            <w:r w:rsidR="00823EE8">
              <w:rPr>
                <w:noProof/>
                <w:color w:val="000000"/>
                <w:szCs w:val="20"/>
                <w:highlight w:val="black"/>
              </w:rPr>
              <w:t>'''''''''''''''''''''''</w:t>
            </w:r>
          </w:p>
        </w:tc>
        <w:tc>
          <w:tcPr>
            <w:tcW w:w="649" w:type="pct"/>
            <w:vAlign w:val="center"/>
          </w:tcPr>
          <w:p w:rsidR="00DE7AFB" w:rsidRPr="001B1319" w:rsidRDefault="00DE7AFB" w:rsidP="00DE7AFB">
            <w:pPr>
              <w:pStyle w:val="TableText0"/>
              <w:jc w:val="center"/>
              <w:rPr>
                <w:szCs w:val="20"/>
              </w:rPr>
            </w:pPr>
            <w:r w:rsidRPr="001B1319">
              <w:rPr>
                <w:szCs w:val="20"/>
              </w:rPr>
              <w:t>-$</w:t>
            </w:r>
            <w:r w:rsidR="00823EE8">
              <w:rPr>
                <w:noProof/>
                <w:color w:val="000000"/>
                <w:szCs w:val="20"/>
                <w:highlight w:val="black"/>
              </w:rPr>
              <w:t>''''''''''''''''''''''</w:t>
            </w:r>
          </w:p>
        </w:tc>
      </w:tr>
      <w:tr w:rsidR="00DE7AFB" w:rsidRPr="00146B5E" w:rsidTr="001B1319">
        <w:tc>
          <w:tcPr>
            <w:tcW w:w="5000" w:type="pct"/>
            <w:gridSpan w:val="7"/>
            <w:shd w:val="clear" w:color="auto" w:fill="auto"/>
            <w:vAlign w:val="center"/>
          </w:tcPr>
          <w:p w:rsidR="00DE7AFB" w:rsidRPr="001B1319" w:rsidRDefault="00DE7AFB" w:rsidP="00DE7AFB">
            <w:pPr>
              <w:pStyle w:val="In-tableHeading"/>
              <w:rPr>
                <w:szCs w:val="20"/>
                <w:lang w:val="en-AU"/>
              </w:rPr>
            </w:pPr>
            <w:r w:rsidRPr="001B1319">
              <w:rPr>
                <w:szCs w:val="20"/>
                <w:lang w:val="en-AU"/>
              </w:rPr>
              <w:t>Net financial implications</w:t>
            </w:r>
          </w:p>
        </w:tc>
      </w:tr>
      <w:tr w:rsidR="00DE7AFB" w:rsidRPr="00146B5E" w:rsidTr="001B1319">
        <w:tc>
          <w:tcPr>
            <w:tcW w:w="1116" w:type="pct"/>
            <w:shd w:val="clear" w:color="auto" w:fill="auto"/>
            <w:vAlign w:val="center"/>
          </w:tcPr>
          <w:p w:rsidR="00DE7AFB" w:rsidRPr="001B1319" w:rsidRDefault="00DE7AFB" w:rsidP="00DE7AFB">
            <w:pPr>
              <w:pStyle w:val="TableText0"/>
              <w:rPr>
                <w:b/>
                <w:bCs w:val="0"/>
                <w:szCs w:val="20"/>
              </w:rPr>
            </w:pPr>
            <w:r w:rsidRPr="001B1319">
              <w:rPr>
                <w:b/>
                <w:bCs w:val="0"/>
                <w:szCs w:val="20"/>
              </w:rPr>
              <w:t>Net cost to PBS/RPBS</w:t>
            </w:r>
          </w:p>
        </w:tc>
        <w:tc>
          <w:tcPr>
            <w:tcW w:w="647" w:type="pct"/>
            <w:shd w:val="clear" w:color="auto" w:fill="auto"/>
            <w:vAlign w:val="center"/>
          </w:tcPr>
          <w:p w:rsidR="00DE7AFB" w:rsidRPr="001B1319" w:rsidRDefault="00DE7AFB" w:rsidP="00DE7AFB">
            <w:pPr>
              <w:pStyle w:val="TableText0"/>
              <w:jc w:val="center"/>
              <w:rPr>
                <w:szCs w:val="20"/>
              </w:rPr>
            </w:pPr>
            <w:r w:rsidRPr="001B1319">
              <w:rPr>
                <w:b/>
                <w:bCs w:val="0"/>
                <w:szCs w:val="20"/>
              </w:rPr>
              <w:t>-$</w:t>
            </w:r>
            <w:r w:rsidR="00823EE8">
              <w:rPr>
                <w:b/>
                <w:bCs w:val="0"/>
                <w:noProof/>
                <w:color w:val="000000"/>
                <w:szCs w:val="20"/>
                <w:highlight w:val="black"/>
              </w:rPr>
              <w:t>''''''''''''''''</w:t>
            </w:r>
            <w:r w:rsidRPr="001B1319">
              <w:rPr>
                <w:b/>
                <w:bCs w:val="0"/>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b/>
                <w:bCs w:val="0"/>
                <w:szCs w:val="20"/>
              </w:rPr>
              <w:t>-$</w:t>
            </w:r>
            <w:r w:rsidR="00823EE8">
              <w:rPr>
                <w:b/>
                <w:bCs w:val="0"/>
                <w:noProof/>
                <w:color w:val="000000"/>
                <w:szCs w:val="20"/>
                <w:highlight w:val="black"/>
              </w:rPr>
              <w:t>''''''''''''''''</w:t>
            </w:r>
            <w:r w:rsidRPr="001B1319">
              <w:rPr>
                <w:b/>
                <w:bCs w:val="0"/>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b/>
                <w:bCs w:val="0"/>
                <w:szCs w:val="20"/>
              </w:rPr>
              <w:t>-$</w:t>
            </w:r>
            <w:r w:rsidR="00823EE8">
              <w:rPr>
                <w:b/>
                <w:bCs w:val="0"/>
                <w:noProof/>
                <w:color w:val="000000"/>
                <w:szCs w:val="20"/>
                <w:highlight w:val="black"/>
              </w:rPr>
              <w:t>'''''''''''''''</w:t>
            </w:r>
            <w:r w:rsidRPr="001B1319">
              <w:rPr>
                <w:b/>
                <w:bCs w:val="0"/>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b/>
                <w:bCs w:val="0"/>
                <w:szCs w:val="20"/>
              </w:rPr>
              <w:t>-$</w:t>
            </w:r>
            <w:r w:rsidR="00823EE8">
              <w:rPr>
                <w:b/>
                <w:bCs w:val="0"/>
                <w:noProof/>
                <w:color w:val="000000"/>
                <w:szCs w:val="20"/>
                <w:highlight w:val="black"/>
              </w:rPr>
              <w:t>''''''''''''''</w:t>
            </w:r>
            <w:r w:rsidRPr="001B1319">
              <w:rPr>
                <w:b/>
                <w:bCs w:val="0"/>
                <w:szCs w:val="20"/>
              </w:rPr>
              <w:t xml:space="preserve"> </w:t>
            </w:r>
          </w:p>
        </w:tc>
        <w:tc>
          <w:tcPr>
            <w:tcW w:w="647" w:type="pct"/>
            <w:shd w:val="clear" w:color="auto" w:fill="auto"/>
            <w:vAlign w:val="center"/>
          </w:tcPr>
          <w:p w:rsidR="00DE7AFB" w:rsidRPr="001B1319" w:rsidRDefault="00DE7AFB" w:rsidP="00DE7AFB">
            <w:pPr>
              <w:pStyle w:val="TableText0"/>
              <w:jc w:val="center"/>
              <w:rPr>
                <w:szCs w:val="20"/>
              </w:rPr>
            </w:pPr>
            <w:r w:rsidRPr="001B1319">
              <w:rPr>
                <w:b/>
                <w:bCs w:val="0"/>
                <w:szCs w:val="20"/>
              </w:rPr>
              <w:t>-$</w:t>
            </w:r>
            <w:r w:rsidR="00823EE8">
              <w:rPr>
                <w:b/>
                <w:bCs w:val="0"/>
                <w:noProof/>
                <w:color w:val="000000"/>
                <w:szCs w:val="20"/>
                <w:highlight w:val="black"/>
              </w:rPr>
              <w:t>''''''''''''''''</w:t>
            </w:r>
            <w:r w:rsidRPr="001B1319">
              <w:rPr>
                <w:b/>
                <w:bCs w:val="0"/>
                <w:szCs w:val="20"/>
              </w:rPr>
              <w:t xml:space="preserve"> </w:t>
            </w:r>
          </w:p>
        </w:tc>
        <w:tc>
          <w:tcPr>
            <w:tcW w:w="649" w:type="pct"/>
            <w:vAlign w:val="center"/>
          </w:tcPr>
          <w:p w:rsidR="00DE7AFB" w:rsidRPr="001B1319" w:rsidRDefault="00DE7AFB" w:rsidP="00DE7AFB">
            <w:pPr>
              <w:pStyle w:val="TableText0"/>
              <w:jc w:val="center"/>
              <w:rPr>
                <w:szCs w:val="20"/>
              </w:rPr>
            </w:pPr>
            <w:r w:rsidRPr="001B1319">
              <w:rPr>
                <w:b/>
                <w:bCs w:val="0"/>
                <w:szCs w:val="20"/>
              </w:rPr>
              <w:t>-$</w:t>
            </w:r>
            <w:r w:rsidR="00823EE8">
              <w:rPr>
                <w:b/>
                <w:bCs w:val="0"/>
                <w:noProof/>
                <w:color w:val="000000"/>
                <w:szCs w:val="20"/>
                <w:highlight w:val="black"/>
              </w:rPr>
              <w:t>'''''''''''''''''''</w:t>
            </w:r>
            <w:r w:rsidRPr="001B1319">
              <w:rPr>
                <w:b/>
                <w:bCs w:val="0"/>
                <w:szCs w:val="20"/>
              </w:rPr>
              <w:t xml:space="preserve"> </w:t>
            </w:r>
          </w:p>
        </w:tc>
      </w:tr>
    </w:tbl>
    <w:p w:rsidR="00620C25" w:rsidRPr="00146B5E" w:rsidRDefault="00620C25" w:rsidP="00397BFD">
      <w:pPr>
        <w:pStyle w:val="TableFigureFooter"/>
        <w:rPr>
          <w:rStyle w:val="CommentReference"/>
        </w:rPr>
      </w:pPr>
      <w:r w:rsidRPr="00146B5E">
        <w:t xml:space="preserve">Source: </w:t>
      </w:r>
      <w:r w:rsidR="00DE7AFB" w:rsidRPr="00146B5E">
        <w:t>Table 4-9, p172; Table 4-11, p172 of the submission.</w:t>
      </w:r>
    </w:p>
    <w:p w:rsidR="00E466F3" w:rsidRPr="00146B5E" w:rsidRDefault="00E466F3" w:rsidP="00A836B8">
      <w:pPr>
        <w:pStyle w:val="TableFigureFooter"/>
        <w:ind w:left="142" w:hanging="142"/>
      </w:pPr>
      <w:r w:rsidRPr="00146B5E">
        <w:rPr>
          <w:vertAlign w:val="superscript"/>
        </w:rPr>
        <w:t>a</w:t>
      </w:r>
      <w:r w:rsidR="006C22A0" w:rsidRPr="00146B5E">
        <w:tab/>
        <w:t xml:space="preserve">The submission assumed there would be 3.26 </w:t>
      </w:r>
      <w:r w:rsidR="00A30D3F" w:rsidRPr="00146B5E">
        <w:t>Dysport</w:t>
      </w:r>
      <w:r w:rsidR="00A30D3F" w:rsidRPr="00146B5E">
        <w:rPr>
          <w:vertAlign w:val="superscript"/>
        </w:rPr>
        <w:t>®</w:t>
      </w:r>
      <w:r w:rsidR="006C22A0" w:rsidRPr="00146B5E">
        <w:t xml:space="preserve"> prescriptions per year based on a 16 week treatment cycle, and this was converted to a relative re-treatment</w:t>
      </w:r>
      <w:r w:rsidR="00DE7AFB" w:rsidRPr="00146B5E">
        <w:t xml:space="preserve"> (0.75)</w:t>
      </w:r>
      <w:r w:rsidR="006C22A0" w:rsidRPr="00146B5E">
        <w:t xml:space="preserve"> based on the 12 week treatment cycle for </w:t>
      </w:r>
      <w:r w:rsidR="006C23C2" w:rsidRPr="00146B5E">
        <w:t>Botox</w:t>
      </w:r>
      <w:r w:rsidR="006C23C2" w:rsidRPr="00146B5E">
        <w:rPr>
          <w:vertAlign w:val="superscript"/>
        </w:rPr>
        <w:t>®</w:t>
      </w:r>
      <w:r w:rsidR="006C22A0" w:rsidRPr="00146B5E">
        <w:t>.</w:t>
      </w:r>
      <w:r w:rsidR="00A87288" w:rsidRPr="00146B5E">
        <w:t xml:space="preserve"> </w:t>
      </w:r>
      <w:r w:rsidR="006C22A0" w:rsidRPr="00146B5E">
        <w:t xml:space="preserve">Therefore, the submission used 2.44 </w:t>
      </w:r>
      <w:r w:rsidR="00DE7AFB" w:rsidRPr="00146B5E">
        <w:t xml:space="preserve">treatments per year to calculate scripts that would substitute for </w:t>
      </w:r>
      <w:r w:rsidR="006C23C2" w:rsidRPr="00146B5E">
        <w:t>Botox</w:t>
      </w:r>
      <w:r w:rsidR="006C23C2" w:rsidRPr="00146B5E">
        <w:rPr>
          <w:vertAlign w:val="superscript"/>
        </w:rPr>
        <w:t>®</w:t>
      </w:r>
      <w:r w:rsidR="00DE7AFB" w:rsidRPr="00146B5E">
        <w:rPr>
          <w:vertAlign w:val="superscript"/>
        </w:rPr>
        <w:t>.</w:t>
      </w:r>
    </w:p>
    <w:p w:rsidR="004A7CF1" w:rsidRPr="00146B5E" w:rsidRDefault="00756F68" w:rsidP="00A836B8">
      <w:pPr>
        <w:pStyle w:val="TableFigureFooter"/>
        <w:ind w:left="142" w:hanging="142"/>
      </w:pPr>
      <w:r w:rsidRPr="00146B5E">
        <w:rPr>
          <w:i/>
          <w:vertAlign w:val="superscript"/>
        </w:rPr>
        <w:t>b</w:t>
      </w:r>
      <w:r w:rsidRPr="00146B5E">
        <w:rPr>
          <w:i/>
        </w:rPr>
        <w:tab/>
      </w:r>
      <w:r w:rsidRPr="00146B5E">
        <w:t>The submission did not provide total PBS/RPBS costs or patient copayments, however these could be calculated in the submission’s Section 4 Excel workbook and that was done during the evaluation.</w:t>
      </w:r>
    </w:p>
    <w:p w:rsidR="00186772" w:rsidRPr="00146B5E" w:rsidRDefault="00897DB5" w:rsidP="008312E5">
      <w:pPr>
        <w:pStyle w:val="3-BodyText"/>
        <w:ind w:left="720"/>
      </w:pPr>
      <w:r>
        <w:t xml:space="preserve">There was </w:t>
      </w:r>
      <w:r w:rsidR="006C50CB">
        <w:t xml:space="preserve">a </w:t>
      </w:r>
      <w:r>
        <w:t xml:space="preserve">net cost </w:t>
      </w:r>
      <w:r w:rsidR="00D62633" w:rsidRPr="00146B5E">
        <w:t xml:space="preserve">saving to the PBS/RPBS in Year 6 </w:t>
      </w:r>
      <w:r w:rsidR="006C50CB">
        <w:t xml:space="preserve">and </w:t>
      </w:r>
      <w:r w:rsidR="00D62633" w:rsidRPr="00146B5E">
        <w:t>over the first 6 years of listing</w:t>
      </w:r>
      <w:r w:rsidR="00BF04E1" w:rsidRPr="00146B5E">
        <w:t>.</w:t>
      </w:r>
      <w:r w:rsidR="00A87288" w:rsidRPr="00146B5E">
        <w:t xml:space="preserve"> </w:t>
      </w:r>
      <w:r w:rsidR="00D62633" w:rsidRPr="00146B5E">
        <w:rPr>
          <w:iCs/>
        </w:rPr>
        <w:t xml:space="preserve">The estimated savings are largely based on the equi-effective dose of 2.1:1 </w:t>
      </w:r>
      <w:r w:rsidR="00D62633" w:rsidRPr="00146B5E">
        <w:rPr>
          <w:iCs/>
        </w:rPr>
        <w:lastRenderedPageBreak/>
        <w:t>used by the submission, the assumed uptake rate of 50% across the first 6 years of listing and the estimated market growth of 16.22%.</w:t>
      </w:r>
      <w:r w:rsidR="00431711" w:rsidRPr="00146B5E">
        <w:rPr>
          <w:iCs/>
        </w:rPr>
        <w:t xml:space="preserve"> </w:t>
      </w:r>
    </w:p>
    <w:p w:rsidR="0094025C" w:rsidRPr="00146B5E" w:rsidRDefault="00431711" w:rsidP="008312E5">
      <w:pPr>
        <w:pStyle w:val="3-BodyText"/>
        <w:ind w:left="720"/>
      </w:pPr>
      <w:r w:rsidRPr="00146B5E">
        <w:rPr>
          <w:iCs/>
        </w:rPr>
        <w:t>The</w:t>
      </w:r>
      <w:r w:rsidR="008A607F">
        <w:rPr>
          <w:iCs/>
        </w:rPr>
        <w:t xml:space="preserve"> </w:t>
      </w:r>
      <w:r w:rsidRPr="00146B5E">
        <w:rPr>
          <w:iCs/>
        </w:rPr>
        <w:t>PSCR noted that the assumption in the submission that there would be 16 weeks between Dysport</w:t>
      </w:r>
      <w:r w:rsidR="0030470B" w:rsidRPr="00146B5E">
        <w:rPr>
          <w:iCs/>
        </w:rPr>
        <w:t>®</w:t>
      </w:r>
      <w:r w:rsidRPr="00146B5E">
        <w:rPr>
          <w:iCs/>
        </w:rPr>
        <w:t xml:space="preserve"> treatments was conservative as the majority of patients in Study 153 were retreated between 16 and 28 weeks. In addition, the Product Information for Botox</w:t>
      </w:r>
      <w:r w:rsidR="0030470B" w:rsidRPr="00146B5E">
        <w:rPr>
          <w:iCs/>
        </w:rPr>
        <w:t>®</w:t>
      </w:r>
      <w:r w:rsidRPr="00146B5E">
        <w:rPr>
          <w:iCs/>
        </w:rPr>
        <w:t xml:space="preserve"> indicated that the minimum time between treatments is 12 weeks</w:t>
      </w:r>
      <w:r w:rsidR="00F776D0" w:rsidRPr="00146B5E">
        <w:rPr>
          <w:iCs/>
        </w:rPr>
        <w:t>, with the potential difference, if Dysport® was recommended, likely resulting in cost savings to the PBS/RPBS</w:t>
      </w:r>
      <w:r w:rsidRPr="00146B5E">
        <w:rPr>
          <w:iCs/>
        </w:rPr>
        <w:t>.</w:t>
      </w:r>
      <w:r w:rsidR="00186772" w:rsidRPr="00146B5E">
        <w:rPr>
          <w:iCs/>
        </w:rPr>
        <w:t xml:space="preserve"> The ESC considered that in practice the dosing interval may relate more to the timing of scheduled review than to the pharmacology of the drugs.</w:t>
      </w:r>
    </w:p>
    <w:p w:rsidR="007D307B" w:rsidRPr="00146B5E" w:rsidRDefault="007D307B" w:rsidP="008312E5">
      <w:pPr>
        <w:pStyle w:val="3-BodyText"/>
        <w:ind w:left="720"/>
      </w:pPr>
      <w:r w:rsidRPr="00146B5E">
        <w:rPr>
          <w:iCs/>
        </w:rPr>
        <w:t xml:space="preserve">As the submission did not include MBS costs for administration of </w:t>
      </w:r>
      <w:r w:rsidR="00A30D3F" w:rsidRPr="00146B5E">
        <w:rPr>
          <w:iCs/>
        </w:rPr>
        <w:t>Dysport®</w:t>
      </w:r>
      <w:r w:rsidRPr="00146B5E">
        <w:rPr>
          <w:iCs/>
        </w:rPr>
        <w:t xml:space="preserve"> or </w:t>
      </w:r>
      <w:r w:rsidR="006C23C2" w:rsidRPr="00146B5E">
        <w:rPr>
          <w:iCs/>
        </w:rPr>
        <w:t>Botox®</w:t>
      </w:r>
      <w:r w:rsidRPr="00146B5E">
        <w:rPr>
          <w:iCs/>
        </w:rPr>
        <w:t xml:space="preserve">, the values presented by the submission did not accurately estimate the financial impact of the requested PBS listing of </w:t>
      </w:r>
      <w:r w:rsidR="00A30D3F" w:rsidRPr="00146B5E">
        <w:rPr>
          <w:iCs/>
        </w:rPr>
        <w:t>Dysport®</w:t>
      </w:r>
      <w:r w:rsidRPr="00146B5E">
        <w:rPr>
          <w:iCs/>
        </w:rPr>
        <w:t>.</w:t>
      </w:r>
      <w:r w:rsidR="00A87288" w:rsidRPr="00146B5E">
        <w:rPr>
          <w:iCs/>
        </w:rPr>
        <w:t xml:space="preserve"> </w:t>
      </w:r>
      <w:r w:rsidRPr="00146B5E">
        <w:rPr>
          <w:iCs/>
        </w:rPr>
        <w:t>Omission of MBS costs would have underestimated costs.</w:t>
      </w:r>
      <w:r w:rsidR="0030470B" w:rsidRPr="00146B5E">
        <w:rPr>
          <w:iCs/>
        </w:rPr>
        <w:t xml:space="preserve"> The PSCR stated that given the potential differences between treatment </w:t>
      </w:r>
      <w:r w:rsidR="00B470FF" w:rsidRPr="00146B5E">
        <w:rPr>
          <w:iCs/>
        </w:rPr>
        <w:t>durations, it is likely that Dy</w:t>
      </w:r>
      <w:r w:rsidR="0030470B" w:rsidRPr="00146B5E">
        <w:rPr>
          <w:iCs/>
        </w:rPr>
        <w:t>s</w:t>
      </w:r>
      <w:r w:rsidR="00B470FF" w:rsidRPr="00146B5E">
        <w:rPr>
          <w:iCs/>
        </w:rPr>
        <w:t>p</w:t>
      </w:r>
      <w:r w:rsidR="0030470B" w:rsidRPr="00146B5E">
        <w:rPr>
          <w:iCs/>
        </w:rPr>
        <w:t>ort® will result in fewer MBS items being processed.</w:t>
      </w:r>
    </w:p>
    <w:p w:rsidR="00D62633" w:rsidRPr="00146B5E" w:rsidRDefault="00D62633" w:rsidP="008312E5">
      <w:pPr>
        <w:pStyle w:val="3-BodyText"/>
        <w:ind w:left="720"/>
      </w:pPr>
      <w:r w:rsidRPr="00146B5E">
        <w:rPr>
          <w:iCs/>
        </w:rPr>
        <w:t xml:space="preserve">The PBAC had stated for the recommendation of </w:t>
      </w:r>
      <w:r w:rsidR="00A30D3F" w:rsidRPr="00146B5E">
        <w:rPr>
          <w:iCs/>
        </w:rPr>
        <w:t>Dysport®</w:t>
      </w:r>
      <w:r w:rsidRPr="00146B5E">
        <w:rPr>
          <w:iCs/>
        </w:rPr>
        <w:t xml:space="preserve"> in July 2019 that equi-effective doses assuming maximum quantity should be used (paragraph 7.3, July 2019 </w:t>
      </w:r>
      <w:r w:rsidR="00A30D3F" w:rsidRPr="00146B5E">
        <w:rPr>
          <w:iCs/>
        </w:rPr>
        <w:t>Dysport®</w:t>
      </w:r>
      <w:r w:rsidRPr="00146B5E">
        <w:rPr>
          <w:iCs/>
        </w:rPr>
        <w:t xml:space="preserve"> PSD).</w:t>
      </w:r>
      <w:r w:rsidR="00A87288" w:rsidRPr="00146B5E">
        <w:rPr>
          <w:iCs/>
        </w:rPr>
        <w:t xml:space="preserve"> </w:t>
      </w:r>
      <w:r w:rsidRPr="00146B5E">
        <w:rPr>
          <w:iCs/>
        </w:rPr>
        <w:t>Applying maximum quantity to equi-effective doses for the current submission results in a dose equivalence of 2.5:1.</w:t>
      </w:r>
      <w:r w:rsidR="00A87288" w:rsidRPr="00146B5E">
        <w:rPr>
          <w:iCs/>
        </w:rPr>
        <w:t xml:space="preserve"> </w:t>
      </w:r>
      <w:r w:rsidRPr="00146B5E">
        <w:rPr>
          <w:iCs/>
        </w:rPr>
        <w:t>Use of this dose equivalence decreased the estimated net savings over the first 6 years of listing.</w:t>
      </w:r>
      <w:r w:rsidR="00A87288" w:rsidRPr="00146B5E">
        <w:rPr>
          <w:iCs/>
        </w:rPr>
        <w:t xml:space="preserve"> </w:t>
      </w:r>
      <w:r w:rsidR="007D307B" w:rsidRPr="00146B5E">
        <w:rPr>
          <w:iCs/>
        </w:rPr>
        <w:t>The impact of alteration</w:t>
      </w:r>
      <w:r w:rsidR="0011496D" w:rsidRPr="00146B5E">
        <w:rPr>
          <w:iCs/>
        </w:rPr>
        <w:t xml:space="preserve"> of financial estimate inputs on the estimated net savings over the first 6 years of listing</w:t>
      </w:r>
      <w:r w:rsidR="00304346" w:rsidRPr="00146B5E">
        <w:rPr>
          <w:iCs/>
        </w:rPr>
        <w:t xml:space="preserve"> are provided below.</w:t>
      </w:r>
      <w:r w:rsidR="00431711" w:rsidRPr="00146B5E">
        <w:rPr>
          <w:iCs/>
        </w:rPr>
        <w:t xml:space="preserve"> </w:t>
      </w:r>
    </w:p>
    <w:p w:rsidR="00AB4F75" w:rsidRPr="00146B5E" w:rsidRDefault="00AB4F75" w:rsidP="00A836B8">
      <w:pPr>
        <w:pStyle w:val="TableFigureHeading"/>
      </w:pPr>
      <w:r w:rsidRPr="00146B5E">
        <w:t>Table 17: Sensitivity analyses – impact on estimated savings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4929"/>
        <w:gridCol w:w="4088"/>
      </w:tblGrid>
      <w:tr w:rsidR="00DA7432" w:rsidRPr="00146B5E" w:rsidTr="001B1319">
        <w:trPr>
          <w:tblHeader/>
        </w:trPr>
        <w:tc>
          <w:tcPr>
            <w:tcW w:w="2733" w:type="pct"/>
            <w:shd w:val="clear" w:color="auto" w:fill="auto"/>
            <w:vAlign w:val="center"/>
          </w:tcPr>
          <w:p w:rsidR="00DA7432" w:rsidRPr="00146B5E" w:rsidRDefault="00DA7432" w:rsidP="00186772">
            <w:pPr>
              <w:pStyle w:val="In-tableHeading"/>
              <w:widowControl w:val="0"/>
              <w:rPr>
                <w:rFonts w:cs="Calibri"/>
                <w:bCs/>
                <w:szCs w:val="20"/>
                <w:lang w:val="en-AU"/>
              </w:rPr>
            </w:pPr>
            <w:r w:rsidRPr="00146B5E">
              <w:rPr>
                <w:rFonts w:cs="Calibri"/>
                <w:bCs/>
                <w:szCs w:val="20"/>
                <w:lang w:val="en-AU"/>
              </w:rPr>
              <w:t>Sensitivity analysis</w:t>
            </w:r>
          </w:p>
        </w:tc>
        <w:tc>
          <w:tcPr>
            <w:tcW w:w="2267" w:type="pct"/>
            <w:shd w:val="clear" w:color="auto" w:fill="auto"/>
            <w:vAlign w:val="center"/>
          </w:tcPr>
          <w:p w:rsidR="00DA7432" w:rsidRPr="00146B5E" w:rsidRDefault="00DA7432" w:rsidP="00186772">
            <w:pPr>
              <w:pStyle w:val="In-tableHeading"/>
              <w:widowControl w:val="0"/>
              <w:jc w:val="center"/>
              <w:rPr>
                <w:rFonts w:cs="Calibri"/>
                <w:bCs/>
                <w:szCs w:val="20"/>
                <w:lang w:val="en-AU"/>
              </w:rPr>
            </w:pPr>
            <w:r w:rsidRPr="00146B5E">
              <w:rPr>
                <w:rFonts w:cs="Calibri"/>
                <w:bCs/>
                <w:szCs w:val="20"/>
                <w:lang w:val="en-AU"/>
              </w:rPr>
              <w:t xml:space="preserve">Net savings over first 6 years of listing </w:t>
            </w:r>
          </w:p>
          <w:p w:rsidR="00DA7432" w:rsidRPr="00146B5E" w:rsidRDefault="00DA7432" w:rsidP="00186772">
            <w:pPr>
              <w:pStyle w:val="In-tableHeading"/>
              <w:widowControl w:val="0"/>
              <w:jc w:val="center"/>
              <w:rPr>
                <w:rFonts w:cs="Calibri"/>
                <w:bCs/>
                <w:szCs w:val="20"/>
                <w:lang w:val="en-AU"/>
              </w:rPr>
            </w:pPr>
            <w:r w:rsidRPr="00146B5E">
              <w:rPr>
                <w:rFonts w:cs="Calibri"/>
                <w:bCs/>
                <w:szCs w:val="20"/>
                <w:lang w:val="en-AU"/>
              </w:rPr>
              <w:t>(base case $</w:t>
            </w:r>
            <w:r w:rsidR="00823EE8">
              <w:rPr>
                <w:rFonts w:cs="Calibri"/>
                <w:bCs/>
                <w:noProof/>
                <w:color w:val="000000"/>
                <w:szCs w:val="20"/>
                <w:highlight w:val="black"/>
                <w:lang w:val="en-AU"/>
              </w:rPr>
              <w:t>''''''''''</w:t>
            </w:r>
            <w:r w:rsidRPr="00146B5E">
              <w:rPr>
                <w:rFonts w:cs="Calibri"/>
                <w:bCs/>
                <w:szCs w:val="20"/>
                <w:lang w:val="en-AU"/>
              </w:rPr>
              <w:t>)</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szCs w:val="20"/>
              </w:rPr>
            </w:pPr>
            <w:r w:rsidRPr="00146B5E">
              <w:rPr>
                <w:rFonts w:cs="Calibri"/>
                <w:bCs w:val="0"/>
                <w:szCs w:val="20"/>
              </w:rPr>
              <w:t>Dose equivalence 2.5:1</w:t>
            </w:r>
          </w:p>
        </w:tc>
        <w:tc>
          <w:tcPr>
            <w:tcW w:w="2267" w:type="pct"/>
            <w:shd w:val="clear" w:color="auto" w:fill="auto"/>
            <w:vAlign w:val="center"/>
          </w:tcPr>
          <w:p w:rsidR="00DA7432" w:rsidRPr="00146B5E" w:rsidRDefault="00DA7432" w:rsidP="00186772">
            <w:pPr>
              <w:pStyle w:val="TableText0"/>
              <w:widowControl w:val="0"/>
              <w:jc w:val="center"/>
              <w:rPr>
                <w:rFonts w:cs="Calibri"/>
                <w:bCs w:val="0"/>
                <w:color w:val="000000"/>
                <w:szCs w:val="20"/>
              </w:rPr>
            </w:pPr>
            <w:r w:rsidRPr="00146B5E">
              <w:rPr>
                <w:rFonts w:cs="Calibri"/>
                <w:bCs w:val="0"/>
                <w:szCs w:val="20"/>
              </w:rPr>
              <w:t>$</w:t>
            </w:r>
            <w:r w:rsidR="00823EE8">
              <w:rPr>
                <w:rFonts w:cs="Calibri"/>
                <w:bCs w:val="0"/>
                <w:noProof/>
                <w:color w:val="000000"/>
                <w:szCs w:val="20"/>
                <w:highlight w:val="black"/>
              </w:rPr>
              <w:t>'''''''</w:t>
            </w:r>
            <w:r w:rsidRPr="00146B5E">
              <w:rPr>
                <w:rFonts w:cs="Calibri"/>
                <w:bCs w:val="0"/>
                <w:szCs w:val="20"/>
              </w:rPr>
              <w:t>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szCs w:val="20"/>
              </w:rPr>
            </w:pPr>
            <w:r w:rsidRPr="00146B5E">
              <w:rPr>
                <w:rFonts w:cs="Calibri"/>
                <w:bCs w:val="0"/>
                <w:szCs w:val="20"/>
              </w:rPr>
              <w:t>Dose equivalence 3.0:1</w:t>
            </w:r>
          </w:p>
        </w:tc>
        <w:tc>
          <w:tcPr>
            <w:tcW w:w="2267" w:type="pct"/>
            <w:shd w:val="clear" w:color="auto" w:fill="auto"/>
            <w:vAlign w:val="center"/>
          </w:tcPr>
          <w:p w:rsidR="00DA7432" w:rsidRPr="00146B5E" w:rsidRDefault="00DA7432" w:rsidP="00186772">
            <w:pPr>
              <w:pStyle w:val="TableText0"/>
              <w:widowControl w:val="0"/>
              <w:jc w:val="center"/>
              <w:rPr>
                <w:rFonts w:cs="Calibri"/>
                <w:bCs w:val="0"/>
                <w:szCs w:val="20"/>
              </w:rPr>
            </w:pPr>
            <w:r w:rsidRPr="00146B5E">
              <w:rPr>
                <w:rFonts w:cs="Calibri"/>
                <w:bCs w:val="0"/>
                <w:szCs w:val="20"/>
              </w:rPr>
              <w:t>$</w:t>
            </w:r>
            <w:r w:rsidR="00823EE8">
              <w:rPr>
                <w:rFonts w:cs="Calibri"/>
                <w:bCs w:val="0"/>
                <w:noProof/>
                <w:color w:val="000000"/>
                <w:szCs w:val="20"/>
                <w:highlight w:val="black"/>
              </w:rPr>
              <w:t>''''''''</w:t>
            </w:r>
            <w:r w:rsidRPr="00146B5E">
              <w:rPr>
                <w:rFonts w:cs="Calibri"/>
                <w:bCs w:val="0"/>
                <w:szCs w:val="20"/>
              </w:rPr>
              <w:t>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szCs w:val="20"/>
              </w:rPr>
            </w:pPr>
            <w:r w:rsidRPr="00146B5E">
              <w:rPr>
                <w:rFonts w:cs="Calibri"/>
                <w:bCs w:val="0"/>
                <w:szCs w:val="20"/>
              </w:rPr>
              <w:t xml:space="preserve">Proportion of </w:t>
            </w:r>
            <w:r w:rsidR="006C23C2" w:rsidRPr="00146B5E">
              <w:rPr>
                <w:rFonts w:cs="Calibri"/>
                <w:bCs w:val="0"/>
                <w:szCs w:val="20"/>
              </w:rPr>
              <w:t>Botox</w:t>
            </w:r>
            <w:r w:rsidR="006C23C2" w:rsidRPr="00146B5E">
              <w:rPr>
                <w:rFonts w:cs="Calibri"/>
                <w:bCs w:val="0"/>
                <w:szCs w:val="20"/>
                <w:vertAlign w:val="superscript"/>
              </w:rPr>
              <w:t>®</w:t>
            </w:r>
            <w:r w:rsidRPr="00146B5E">
              <w:rPr>
                <w:rFonts w:cs="Calibri"/>
                <w:bCs w:val="0"/>
                <w:szCs w:val="20"/>
                <w:vertAlign w:val="superscript"/>
              </w:rPr>
              <w:t xml:space="preserve"> </w:t>
            </w:r>
            <w:r w:rsidRPr="00146B5E">
              <w:rPr>
                <w:rFonts w:cs="Calibri"/>
                <w:bCs w:val="0"/>
                <w:szCs w:val="20"/>
              </w:rPr>
              <w:t>scripts applicable 50%</w:t>
            </w:r>
          </w:p>
        </w:tc>
        <w:tc>
          <w:tcPr>
            <w:tcW w:w="2267" w:type="pct"/>
            <w:shd w:val="clear" w:color="auto" w:fill="auto"/>
            <w:vAlign w:val="center"/>
          </w:tcPr>
          <w:p w:rsidR="00DA7432" w:rsidRPr="00146B5E" w:rsidRDefault="00DA7432" w:rsidP="00186772">
            <w:pPr>
              <w:pStyle w:val="TableText0"/>
              <w:widowControl w:val="0"/>
              <w:jc w:val="center"/>
              <w:rPr>
                <w:rFonts w:cs="Calibri"/>
                <w:bCs w:val="0"/>
                <w:szCs w:val="20"/>
              </w:rPr>
            </w:pPr>
            <w:r w:rsidRPr="00146B5E">
              <w:rPr>
                <w:rFonts w:cs="Calibri"/>
                <w:bCs w:val="0"/>
                <w:szCs w:val="20"/>
              </w:rPr>
              <w:t>$</w:t>
            </w:r>
            <w:r w:rsidR="00823EE8">
              <w:rPr>
                <w:rFonts w:cs="Calibri"/>
                <w:bCs w:val="0"/>
                <w:noProof/>
                <w:color w:val="000000"/>
                <w:szCs w:val="20"/>
                <w:highlight w:val="black"/>
              </w:rPr>
              <w:t>'''''''</w:t>
            </w:r>
            <w:r w:rsidRPr="00146B5E">
              <w:rPr>
                <w:rFonts w:cs="Calibri"/>
                <w:bCs w:val="0"/>
                <w:szCs w:val="20"/>
              </w:rPr>
              <w:t xml:space="preserve">M </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iCs/>
                <w:szCs w:val="20"/>
              </w:rPr>
            </w:pPr>
            <w:r w:rsidRPr="00146B5E">
              <w:rPr>
                <w:rFonts w:cs="Calibri"/>
                <w:bCs w:val="0"/>
                <w:iCs/>
                <w:szCs w:val="20"/>
              </w:rPr>
              <w:t xml:space="preserve">Proportion of </w:t>
            </w:r>
            <w:r w:rsidR="006C23C2" w:rsidRPr="00146B5E">
              <w:rPr>
                <w:rFonts w:cs="Calibri"/>
                <w:bCs w:val="0"/>
                <w:iCs/>
                <w:szCs w:val="20"/>
              </w:rPr>
              <w:t>Botox</w:t>
            </w:r>
            <w:r w:rsidR="006C23C2" w:rsidRPr="00146B5E">
              <w:rPr>
                <w:rFonts w:cs="Calibri"/>
                <w:bCs w:val="0"/>
                <w:iCs/>
                <w:szCs w:val="20"/>
                <w:vertAlign w:val="superscript"/>
              </w:rPr>
              <w:t>®</w:t>
            </w:r>
            <w:r w:rsidRPr="00146B5E">
              <w:rPr>
                <w:rFonts w:cs="Calibri"/>
                <w:bCs w:val="0"/>
                <w:iCs/>
                <w:szCs w:val="20"/>
              </w:rPr>
              <w:t xml:space="preserve"> scripts applicable 75%</w:t>
            </w:r>
          </w:p>
        </w:tc>
        <w:tc>
          <w:tcPr>
            <w:tcW w:w="2267" w:type="pct"/>
            <w:shd w:val="clear" w:color="auto" w:fill="auto"/>
            <w:vAlign w:val="center"/>
          </w:tcPr>
          <w:p w:rsidR="00DA7432" w:rsidRPr="00146B5E" w:rsidRDefault="00DA7432" w:rsidP="00186772">
            <w:pPr>
              <w:pStyle w:val="TableText0"/>
              <w:widowControl w:val="0"/>
              <w:jc w:val="center"/>
              <w:rPr>
                <w:rFonts w:cs="Calibri"/>
                <w:bCs w:val="0"/>
                <w:iCs/>
                <w:szCs w:val="20"/>
              </w:rPr>
            </w:pPr>
            <w:r w:rsidRPr="00146B5E">
              <w:rPr>
                <w:rFonts w:cs="Calibri"/>
                <w:bCs w:val="0"/>
                <w:iCs/>
                <w:szCs w:val="20"/>
              </w:rPr>
              <w:t>$</w:t>
            </w:r>
            <w:r w:rsidR="00823EE8">
              <w:rPr>
                <w:rFonts w:cs="Calibri"/>
                <w:bCs w:val="0"/>
                <w:iCs/>
                <w:noProof/>
                <w:color w:val="000000"/>
                <w:szCs w:val="20"/>
                <w:highlight w:val="black"/>
              </w:rPr>
              <w:t>''''''''</w:t>
            </w:r>
            <w:r w:rsidRPr="00146B5E">
              <w:rPr>
                <w:rFonts w:cs="Calibri"/>
                <w:bCs w:val="0"/>
                <w:iCs/>
                <w:szCs w:val="20"/>
              </w:rPr>
              <w:t>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iCs/>
                <w:szCs w:val="20"/>
              </w:rPr>
            </w:pPr>
            <w:r w:rsidRPr="00146B5E">
              <w:rPr>
                <w:rFonts w:cs="Calibri"/>
                <w:bCs w:val="0"/>
                <w:iCs/>
                <w:szCs w:val="20"/>
              </w:rPr>
              <w:t>Vial split 300U 50%; 500U 50%</w:t>
            </w:r>
          </w:p>
        </w:tc>
        <w:tc>
          <w:tcPr>
            <w:tcW w:w="2267" w:type="pct"/>
            <w:shd w:val="clear" w:color="auto" w:fill="auto"/>
            <w:vAlign w:val="center"/>
          </w:tcPr>
          <w:p w:rsidR="00DA7432" w:rsidRPr="00146B5E" w:rsidRDefault="00DA7432" w:rsidP="00186772">
            <w:pPr>
              <w:pStyle w:val="TableText0"/>
              <w:widowControl w:val="0"/>
              <w:jc w:val="center"/>
              <w:rPr>
                <w:rFonts w:cs="Calibri"/>
                <w:bCs w:val="0"/>
                <w:iCs/>
                <w:szCs w:val="20"/>
              </w:rPr>
            </w:pPr>
            <w:r w:rsidRPr="00146B5E">
              <w:rPr>
                <w:rFonts w:cs="Calibri"/>
                <w:bCs w:val="0"/>
                <w:iCs/>
                <w:szCs w:val="20"/>
              </w:rPr>
              <w:t>$</w:t>
            </w:r>
            <w:r w:rsidR="00823EE8">
              <w:rPr>
                <w:rFonts w:cs="Calibri"/>
                <w:bCs w:val="0"/>
                <w:iCs/>
                <w:noProof/>
                <w:color w:val="000000"/>
                <w:szCs w:val="20"/>
                <w:highlight w:val="black"/>
              </w:rPr>
              <w:t>''''''''</w:t>
            </w:r>
            <w:r w:rsidRPr="00146B5E">
              <w:rPr>
                <w:rFonts w:cs="Calibri"/>
                <w:bCs w:val="0"/>
                <w:iCs/>
                <w:szCs w:val="20"/>
              </w:rPr>
              <w:t>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szCs w:val="20"/>
              </w:rPr>
            </w:pPr>
            <w:r w:rsidRPr="00146B5E">
              <w:rPr>
                <w:rFonts w:cs="Calibri"/>
                <w:bCs w:val="0"/>
                <w:szCs w:val="20"/>
              </w:rPr>
              <w:t>Market share 60% for first 6 years</w:t>
            </w:r>
          </w:p>
        </w:tc>
        <w:tc>
          <w:tcPr>
            <w:tcW w:w="2267" w:type="pct"/>
            <w:shd w:val="clear" w:color="auto" w:fill="auto"/>
            <w:vAlign w:val="center"/>
          </w:tcPr>
          <w:p w:rsidR="00DA7432" w:rsidRPr="00146B5E" w:rsidRDefault="00DA7432" w:rsidP="00186772">
            <w:pPr>
              <w:pStyle w:val="TableText0"/>
              <w:widowControl w:val="0"/>
              <w:jc w:val="center"/>
              <w:rPr>
                <w:rFonts w:cs="Calibri"/>
                <w:bCs w:val="0"/>
                <w:szCs w:val="20"/>
              </w:rPr>
            </w:pPr>
            <w:r w:rsidRPr="00146B5E">
              <w:rPr>
                <w:rFonts w:cs="Calibri"/>
                <w:bCs w:val="0"/>
                <w:szCs w:val="20"/>
              </w:rPr>
              <w:t>$</w:t>
            </w:r>
            <w:r w:rsidR="00823EE8">
              <w:rPr>
                <w:rFonts w:cs="Calibri"/>
                <w:bCs w:val="0"/>
                <w:noProof/>
                <w:color w:val="000000"/>
                <w:szCs w:val="20"/>
                <w:highlight w:val="black"/>
              </w:rPr>
              <w:t>'''''''</w:t>
            </w:r>
            <w:r w:rsidRPr="00146B5E">
              <w:rPr>
                <w:rFonts w:cs="Calibri"/>
                <w:bCs w:val="0"/>
                <w:szCs w:val="20"/>
              </w:rPr>
              <w:t xml:space="preserve"> 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iCs/>
                <w:szCs w:val="20"/>
              </w:rPr>
            </w:pPr>
            <w:r w:rsidRPr="00146B5E">
              <w:rPr>
                <w:rFonts w:cs="Calibri"/>
                <w:bCs w:val="0"/>
                <w:iCs/>
                <w:szCs w:val="20"/>
              </w:rPr>
              <w:t>Market growth 10%</w:t>
            </w:r>
          </w:p>
        </w:tc>
        <w:tc>
          <w:tcPr>
            <w:tcW w:w="2267" w:type="pct"/>
            <w:shd w:val="clear" w:color="auto" w:fill="auto"/>
            <w:vAlign w:val="center"/>
          </w:tcPr>
          <w:p w:rsidR="00DA7432" w:rsidRPr="00146B5E" w:rsidRDefault="00DA7432" w:rsidP="00186772">
            <w:pPr>
              <w:pStyle w:val="TableText0"/>
              <w:widowControl w:val="0"/>
              <w:ind w:hanging="22"/>
              <w:jc w:val="center"/>
              <w:rPr>
                <w:rFonts w:cs="Calibri"/>
                <w:bCs w:val="0"/>
                <w:iCs/>
                <w:szCs w:val="20"/>
              </w:rPr>
            </w:pPr>
            <w:r w:rsidRPr="00146B5E">
              <w:rPr>
                <w:rFonts w:cs="Calibri"/>
                <w:bCs w:val="0"/>
                <w:iCs/>
                <w:szCs w:val="20"/>
              </w:rPr>
              <w:t>$</w:t>
            </w:r>
            <w:r w:rsidR="00823EE8">
              <w:rPr>
                <w:rFonts w:cs="Calibri"/>
                <w:bCs w:val="0"/>
                <w:iCs/>
                <w:noProof/>
                <w:color w:val="000000"/>
                <w:szCs w:val="20"/>
                <w:highlight w:val="black"/>
              </w:rPr>
              <w:t>'''''''''</w:t>
            </w:r>
            <w:r w:rsidRPr="00146B5E">
              <w:rPr>
                <w:rFonts w:cs="Calibri"/>
                <w:bCs w:val="0"/>
                <w:iCs/>
                <w:szCs w:val="20"/>
              </w:rPr>
              <w:t>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iCs/>
                <w:szCs w:val="20"/>
              </w:rPr>
            </w:pPr>
            <w:r w:rsidRPr="00146B5E">
              <w:rPr>
                <w:rFonts w:cs="Calibri"/>
                <w:bCs w:val="0"/>
                <w:iCs/>
                <w:szCs w:val="20"/>
              </w:rPr>
              <w:t xml:space="preserve">Dose equivalence 2.5:1 and market share </w:t>
            </w:r>
            <w:r w:rsidR="00AB4F75" w:rsidRPr="00146B5E">
              <w:rPr>
                <w:rFonts w:cs="Calibri"/>
                <w:bCs w:val="0"/>
                <w:iCs/>
                <w:szCs w:val="20"/>
              </w:rPr>
              <w:t>40</w:t>
            </w:r>
            <w:r w:rsidRPr="00146B5E">
              <w:rPr>
                <w:rFonts w:cs="Calibri"/>
                <w:bCs w:val="0"/>
                <w:iCs/>
                <w:szCs w:val="20"/>
              </w:rPr>
              <w:t>%</w:t>
            </w:r>
          </w:p>
        </w:tc>
        <w:tc>
          <w:tcPr>
            <w:tcW w:w="2267" w:type="pct"/>
            <w:shd w:val="clear" w:color="auto" w:fill="auto"/>
            <w:vAlign w:val="center"/>
          </w:tcPr>
          <w:p w:rsidR="00DA7432" w:rsidRPr="00146B5E" w:rsidRDefault="00DA7432" w:rsidP="00186772">
            <w:pPr>
              <w:pStyle w:val="TableText0"/>
              <w:widowControl w:val="0"/>
              <w:ind w:hanging="22"/>
              <w:jc w:val="center"/>
              <w:rPr>
                <w:rFonts w:cs="Calibri"/>
                <w:bCs w:val="0"/>
                <w:iCs/>
                <w:szCs w:val="20"/>
              </w:rPr>
            </w:pPr>
            <w:r w:rsidRPr="00146B5E">
              <w:rPr>
                <w:rFonts w:cs="Calibri"/>
                <w:bCs w:val="0"/>
                <w:iCs/>
                <w:szCs w:val="20"/>
              </w:rPr>
              <w:t>$</w:t>
            </w:r>
            <w:r w:rsidR="00823EE8">
              <w:rPr>
                <w:rFonts w:cs="Calibri"/>
                <w:bCs w:val="0"/>
                <w:iCs/>
                <w:noProof/>
                <w:color w:val="000000"/>
                <w:szCs w:val="20"/>
                <w:highlight w:val="black"/>
              </w:rPr>
              <w:t>''''''''</w:t>
            </w:r>
            <w:r w:rsidRPr="00146B5E">
              <w:rPr>
                <w:rFonts w:cs="Calibri"/>
                <w:bCs w:val="0"/>
                <w:iCs/>
                <w:szCs w:val="20"/>
              </w:rPr>
              <w:t>M</w:t>
            </w:r>
          </w:p>
        </w:tc>
      </w:tr>
      <w:tr w:rsidR="00DA7432" w:rsidRPr="00146B5E" w:rsidTr="001B1319">
        <w:tc>
          <w:tcPr>
            <w:tcW w:w="2733" w:type="pct"/>
            <w:shd w:val="clear" w:color="auto" w:fill="auto"/>
            <w:vAlign w:val="center"/>
          </w:tcPr>
          <w:p w:rsidR="00DA7432" w:rsidRPr="00146B5E" w:rsidRDefault="00DA7432" w:rsidP="00186772">
            <w:pPr>
              <w:pStyle w:val="TableText0"/>
              <w:widowControl w:val="0"/>
              <w:rPr>
                <w:rFonts w:cs="Calibri"/>
                <w:bCs w:val="0"/>
                <w:iCs/>
                <w:szCs w:val="20"/>
              </w:rPr>
            </w:pPr>
            <w:r w:rsidRPr="00146B5E">
              <w:rPr>
                <w:rFonts w:cs="Calibri"/>
                <w:bCs w:val="0"/>
                <w:iCs/>
                <w:szCs w:val="20"/>
              </w:rPr>
              <w:t>Dose equivalence 2.5:1 and market growth 10%</w:t>
            </w:r>
          </w:p>
        </w:tc>
        <w:tc>
          <w:tcPr>
            <w:tcW w:w="2267" w:type="pct"/>
            <w:shd w:val="clear" w:color="auto" w:fill="auto"/>
            <w:vAlign w:val="center"/>
          </w:tcPr>
          <w:p w:rsidR="00DA7432" w:rsidRPr="00146B5E" w:rsidRDefault="00DA7432" w:rsidP="00186772">
            <w:pPr>
              <w:pStyle w:val="TableText0"/>
              <w:widowControl w:val="0"/>
              <w:ind w:hanging="22"/>
              <w:jc w:val="center"/>
              <w:rPr>
                <w:rFonts w:cs="Calibri"/>
                <w:bCs w:val="0"/>
                <w:iCs/>
                <w:szCs w:val="20"/>
              </w:rPr>
            </w:pPr>
            <w:r w:rsidRPr="00146B5E">
              <w:rPr>
                <w:rFonts w:cs="Calibri"/>
                <w:bCs w:val="0"/>
                <w:iCs/>
                <w:szCs w:val="20"/>
              </w:rPr>
              <w:t>$</w:t>
            </w:r>
            <w:r w:rsidR="00823EE8">
              <w:rPr>
                <w:rFonts w:cs="Calibri"/>
                <w:bCs w:val="0"/>
                <w:iCs/>
                <w:noProof/>
                <w:color w:val="000000"/>
                <w:szCs w:val="20"/>
                <w:highlight w:val="black"/>
              </w:rPr>
              <w:t>'''''''</w:t>
            </w:r>
            <w:r w:rsidRPr="00146B5E">
              <w:rPr>
                <w:rFonts w:cs="Calibri"/>
                <w:bCs w:val="0"/>
                <w:iCs/>
                <w:szCs w:val="20"/>
              </w:rPr>
              <w:t>M</w:t>
            </w:r>
          </w:p>
        </w:tc>
      </w:tr>
    </w:tbl>
    <w:p w:rsidR="00304346" w:rsidRPr="00146B5E" w:rsidRDefault="00AB4F75" w:rsidP="00A836B8">
      <w:pPr>
        <w:pStyle w:val="TableFigureFooter"/>
      </w:pPr>
      <w:r w:rsidRPr="00146B5E">
        <w:t>Source: Excel workbook ‘Ipsen Dysport Paediatric UL Section 4’.</w:t>
      </w:r>
    </w:p>
    <w:p w:rsidR="00D62633" w:rsidRPr="00146B5E" w:rsidRDefault="00D62633" w:rsidP="008312E5">
      <w:pPr>
        <w:pStyle w:val="3-BodyText"/>
        <w:ind w:left="720"/>
      </w:pPr>
      <w:r w:rsidRPr="00146B5E">
        <w:rPr>
          <w:iCs/>
        </w:rPr>
        <w:t>Increasing the market share</w:t>
      </w:r>
      <w:r w:rsidR="00DA7432" w:rsidRPr="00146B5E">
        <w:rPr>
          <w:iCs/>
        </w:rPr>
        <w:t xml:space="preserve"> to 60%</w:t>
      </w:r>
      <w:r w:rsidRPr="00146B5E">
        <w:rPr>
          <w:iCs/>
        </w:rPr>
        <w:t xml:space="preserve"> increases estimated net savings, but when market share was </w:t>
      </w:r>
      <w:r w:rsidR="007D72DF" w:rsidRPr="00146B5E">
        <w:rPr>
          <w:iCs/>
        </w:rPr>
        <w:t xml:space="preserve">decreased </w:t>
      </w:r>
      <w:r w:rsidRPr="00146B5E">
        <w:rPr>
          <w:iCs/>
        </w:rPr>
        <w:t xml:space="preserve">and dose equivalence altered to </w:t>
      </w:r>
      <w:r w:rsidRPr="002649A8">
        <w:rPr>
          <w:iCs/>
        </w:rPr>
        <w:t>2.5:1</w:t>
      </w:r>
      <w:r w:rsidRPr="00146B5E">
        <w:rPr>
          <w:iCs/>
        </w:rPr>
        <w:t>, the estimated net savings decreased.</w:t>
      </w:r>
      <w:r w:rsidR="00A87288" w:rsidRPr="00146B5E">
        <w:rPr>
          <w:iCs/>
        </w:rPr>
        <w:t xml:space="preserve"> </w:t>
      </w:r>
      <w:r w:rsidRPr="00146B5E">
        <w:rPr>
          <w:iCs/>
        </w:rPr>
        <w:t>When market growth was decreased from the submission’s estimate of 16.22% to 10%, estimated net savings over the first 6 years of listing decreased.</w:t>
      </w:r>
      <w:r w:rsidR="00A87288" w:rsidRPr="00146B5E">
        <w:rPr>
          <w:iCs/>
        </w:rPr>
        <w:t xml:space="preserve"> </w:t>
      </w:r>
      <w:r w:rsidRPr="00146B5E">
        <w:rPr>
          <w:iCs/>
        </w:rPr>
        <w:t xml:space="preserve">When dose equivalence was changed to </w:t>
      </w:r>
      <w:r w:rsidRPr="002649A8">
        <w:rPr>
          <w:iCs/>
        </w:rPr>
        <w:t>2.5:1</w:t>
      </w:r>
      <w:r w:rsidRPr="00146B5E">
        <w:rPr>
          <w:iCs/>
        </w:rPr>
        <w:t xml:space="preserve"> and market growth decreased to 10%, the estimated savings also decreased.</w:t>
      </w:r>
      <w:r w:rsidR="0030470B" w:rsidRPr="00146B5E">
        <w:rPr>
          <w:iCs/>
        </w:rPr>
        <w:t xml:space="preserve"> The PSCR noted that all analyses resulted in a cost saving.</w:t>
      </w:r>
    </w:p>
    <w:p w:rsidR="007D7A88" w:rsidRPr="00146B5E" w:rsidRDefault="007D7A88" w:rsidP="008312E5">
      <w:pPr>
        <w:pStyle w:val="3-BodyText"/>
        <w:ind w:left="720"/>
      </w:pPr>
      <w:r w:rsidRPr="00146B5E">
        <w:rPr>
          <w:iCs/>
        </w:rPr>
        <w:lastRenderedPageBreak/>
        <w:t>Overall, the equi-effective doses have considerable impact on the estimates, and following the recommendation of the PBAC in July 2019 for dose equivalence based on maximum quantities, the submission’s estimates should be lower by about 50%.</w:t>
      </w:r>
      <w:r w:rsidR="00A87288" w:rsidRPr="00146B5E">
        <w:rPr>
          <w:iCs/>
        </w:rPr>
        <w:t xml:space="preserve"> </w:t>
      </w:r>
      <w:r w:rsidRPr="00146B5E">
        <w:rPr>
          <w:iCs/>
        </w:rPr>
        <w:t xml:space="preserve">There </w:t>
      </w:r>
      <w:r w:rsidR="00DA7432" w:rsidRPr="00146B5E">
        <w:rPr>
          <w:iCs/>
        </w:rPr>
        <w:t>wa</w:t>
      </w:r>
      <w:r w:rsidRPr="00146B5E">
        <w:rPr>
          <w:iCs/>
        </w:rPr>
        <w:t>s considerable uncertainty around the financial estimates given the dose equivalence used, the assumed market share, the estimated market growth, and omission of MBS costs.</w:t>
      </w:r>
    </w:p>
    <w:p w:rsidR="00576972" w:rsidRPr="00146B5E" w:rsidRDefault="00576972" w:rsidP="00606FBA">
      <w:pPr>
        <w:pStyle w:val="4-SubsectionHeading"/>
      </w:pPr>
      <w:bookmarkStart w:id="27" w:name="_Toc22897649"/>
      <w:bookmarkStart w:id="28" w:name="_Toc40214632"/>
      <w:r w:rsidRPr="00146B5E">
        <w:t>Financial Management – Risk Sharing Arrangements</w:t>
      </w:r>
      <w:bookmarkEnd w:id="27"/>
      <w:bookmarkEnd w:id="28"/>
    </w:p>
    <w:p w:rsidR="00576972" w:rsidRPr="00146B5E" w:rsidRDefault="004A7CF1" w:rsidP="001B1319">
      <w:pPr>
        <w:pStyle w:val="3-BodyText"/>
        <w:ind w:left="720"/>
        <w:rPr>
          <w:iCs/>
        </w:rPr>
      </w:pPr>
      <w:r w:rsidRPr="001B1319">
        <w:rPr>
          <w:iCs/>
        </w:rPr>
        <w:t>The submission stated that no risk-sharing arrangements (RSA) are proposed for this requested listing.</w:t>
      </w:r>
      <w:r w:rsidR="00A87288" w:rsidRPr="001B1319">
        <w:rPr>
          <w:iCs/>
        </w:rPr>
        <w:t xml:space="preserve"> </w:t>
      </w:r>
      <w:r w:rsidRPr="00146B5E">
        <w:rPr>
          <w:iCs/>
        </w:rPr>
        <w:t xml:space="preserve">There </w:t>
      </w:r>
      <w:r w:rsidR="00DF7E3A" w:rsidRPr="00146B5E">
        <w:rPr>
          <w:iCs/>
        </w:rPr>
        <w:t xml:space="preserve">is a </w:t>
      </w:r>
      <w:r w:rsidRPr="00146B5E">
        <w:rPr>
          <w:iCs/>
        </w:rPr>
        <w:t>RSA for upper limb spasticity due to stroke or acute events.</w:t>
      </w:r>
      <w:r w:rsidR="00A87288" w:rsidRPr="00146B5E">
        <w:rPr>
          <w:iCs/>
        </w:rPr>
        <w:t xml:space="preserve"> </w:t>
      </w:r>
      <w:r w:rsidRPr="00146B5E">
        <w:rPr>
          <w:iCs/>
        </w:rPr>
        <w:t>The sponsor did not provide discussion of why an RSA was not proposed.</w:t>
      </w:r>
      <w:r w:rsidR="00A87288" w:rsidRPr="00146B5E">
        <w:rPr>
          <w:iCs/>
        </w:rPr>
        <w:t xml:space="preserve"> </w:t>
      </w:r>
      <w:r w:rsidRPr="00146B5E">
        <w:rPr>
          <w:iCs/>
        </w:rPr>
        <w:t xml:space="preserve">Given the uncertainty around the estimated </w:t>
      </w:r>
      <w:r w:rsidR="00A561BC" w:rsidRPr="00146B5E">
        <w:rPr>
          <w:iCs/>
        </w:rPr>
        <w:t xml:space="preserve">financial implications of PBS listing for </w:t>
      </w:r>
      <w:r w:rsidR="00A30D3F" w:rsidRPr="00146B5E">
        <w:rPr>
          <w:iCs/>
        </w:rPr>
        <w:t>Dysport®</w:t>
      </w:r>
      <w:r w:rsidRPr="00146B5E">
        <w:rPr>
          <w:iCs/>
        </w:rPr>
        <w:t>, an RSA may be appropriate.</w:t>
      </w:r>
      <w:r w:rsidR="00DF7E3A" w:rsidRPr="00146B5E">
        <w:rPr>
          <w:iCs/>
        </w:rPr>
        <w:t xml:space="preserve"> The pre-PBAC response noted that as all scenarios for the listing of Dysport were cost saving and as the patient population is well established, it was not appropriate to establish a RSA with this potential listing.</w:t>
      </w:r>
    </w:p>
    <w:p w:rsidR="009D74BB" w:rsidRPr="00146B5E" w:rsidRDefault="009D74BB" w:rsidP="009D74BB">
      <w:pPr>
        <w:pStyle w:val="3-BodyText"/>
        <w:numPr>
          <w:ilvl w:val="0"/>
          <w:numId w:val="0"/>
        </w:numPr>
        <w:spacing w:after="160"/>
        <w:ind w:left="720"/>
        <w:rPr>
          <w:i/>
        </w:rPr>
      </w:pPr>
      <w:r w:rsidRPr="00146B5E">
        <w:rPr>
          <w:i/>
        </w:rPr>
        <w:t>For more detail on PBAC’s view, see section 7 PBAC outcome.</w:t>
      </w:r>
    </w:p>
    <w:p w:rsidR="009D74BB" w:rsidRPr="00146B5E" w:rsidRDefault="009D74BB" w:rsidP="00417F50">
      <w:pPr>
        <w:pStyle w:val="2-SectionHeading"/>
      </w:pPr>
      <w:bookmarkStart w:id="29" w:name="_Toc40214634"/>
      <w:r w:rsidRPr="00146B5E">
        <w:t>PBAC Outcome</w:t>
      </w:r>
    </w:p>
    <w:p w:rsidR="009D74BB" w:rsidRPr="001B1319" w:rsidRDefault="009D74BB" w:rsidP="001B1319">
      <w:pPr>
        <w:pStyle w:val="3-BodyText"/>
        <w:ind w:left="720"/>
        <w:rPr>
          <w:iCs/>
        </w:rPr>
      </w:pPr>
      <w:r w:rsidRPr="001B1319">
        <w:rPr>
          <w:iCs/>
        </w:rPr>
        <w:t xml:space="preserve">The PBAC recommended the listing of </w:t>
      </w:r>
      <w:r w:rsidR="00382C67" w:rsidRPr="001B1319">
        <w:rPr>
          <w:iCs/>
        </w:rPr>
        <w:t>clostridium botulinum toxin (Dysport®)</w:t>
      </w:r>
      <w:r w:rsidRPr="001B1319">
        <w:rPr>
          <w:iCs/>
        </w:rPr>
        <w:t xml:space="preserve">, on the basis that it should be available only under special arrangements under Section 100 </w:t>
      </w:r>
      <w:r w:rsidR="00382C67" w:rsidRPr="001B1319">
        <w:rPr>
          <w:iCs/>
        </w:rPr>
        <w:t>(Botulinum Toxin Program), for the treatment of moderate to severe focal spasticity of the upper limb in patients with cerebral palsy</w:t>
      </w:r>
      <w:r w:rsidR="00146B5E" w:rsidRPr="001B1319">
        <w:rPr>
          <w:iCs/>
        </w:rPr>
        <w:t xml:space="preserve">. </w:t>
      </w:r>
    </w:p>
    <w:p w:rsidR="00382C67" w:rsidRPr="001B1319" w:rsidRDefault="009D74BB" w:rsidP="001B1319">
      <w:pPr>
        <w:pStyle w:val="3-BodyText"/>
        <w:ind w:left="720"/>
        <w:rPr>
          <w:iCs/>
        </w:rPr>
      </w:pPr>
      <w:r w:rsidRPr="001B1319">
        <w:rPr>
          <w:iCs/>
        </w:rPr>
        <w:t xml:space="preserve">The PBAC </w:t>
      </w:r>
      <w:r w:rsidR="00382C67" w:rsidRPr="001B1319">
        <w:rPr>
          <w:iCs/>
        </w:rPr>
        <w:t>was</w:t>
      </w:r>
      <w:r w:rsidRPr="001B1319">
        <w:rPr>
          <w:iCs/>
        </w:rPr>
        <w:t xml:space="preserve"> satisfied that </w:t>
      </w:r>
      <w:r w:rsidR="00382C67" w:rsidRPr="001B1319">
        <w:rPr>
          <w:iCs/>
        </w:rPr>
        <w:t>Dysport®</w:t>
      </w:r>
      <w:r w:rsidRPr="001B1319">
        <w:rPr>
          <w:iCs/>
        </w:rPr>
        <w:t xml:space="preserve"> </w:t>
      </w:r>
      <w:r w:rsidR="00382C67" w:rsidRPr="001B1319">
        <w:rPr>
          <w:iCs/>
        </w:rPr>
        <w:t>was non inferior to botulinum toxin type A (Botox®) in terms of comparative efficacy and safety.</w:t>
      </w:r>
    </w:p>
    <w:p w:rsidR="00382C67" w:rsidRPr="001B1319" w:rsidRDefault="00AD54E5" w:rsidP="001B1319">
      <w:pPr>
        <w:pStyle w:val="3-BodyText"/>
        <w:ind w:left="720"/>
        <w:rPr>
          <w:iCs/>
        </w:rPr>
      </w:pPr>
      <w:r w:rsidRPr="001B1319">
        <w:rPr>
          <w:iCs/>
        </w:rPr>
        <w:t>The PBAC considered that the Dysport® restriction should be consistent with the current Botox® restrictions</w:t>
      </w:r>
      <w:r w:rsidR="0087764E" w:rsidRPr="001B1319">
        <w:rPr>
          <w:iCs/>
        </w:rPr>
        <w:t xml:space="preserve"> for moderate to severe focal spasticity of the upper limb in patients with cerebral palsy</w:t>
      </w:r>
      <w:r w:rsidRPr="001B1319">
        <w:rPr>
          <w:iCs/>
        </w:rPr>
        <w:t>.</w:t>
      </w:r>
    </w:p>
    <w:p w:rsidR="00AD54E5" w:rsidRPr="001B1319" w:rsidRDefault="00AD54E5" w:rsidP="001B1319">
      <w:pPr>
        <w:pStyle w:val="3-BodyText"/>
        <w:ind w:left="720"/>
        <w:rPr>
          <w:iCs/>
        </w:rPr>
      </w:pPr>
      <w:r w:rsidRPr="001B1319">
        <w:rPr>
          <w:iCs/>
        </w:rPr>
        <w:t>The PBAC considered that Botox® was the appropriate comparator.</w:t>
      </w:r>
    </w:p>
    <w:p w:rsidR="00AD54E5" w:rsidRPr="001B1319" w:rsidRDefault="00AD54E5" w:rsidP="001B1319">
      <w:pPr>
        <w:pStyle w:val="3-BodyText"/>
        <w:ind w:left="720"/>
        <w:rPr>
          <w:iCs/>
        </w:rPr>
      </w:pPr>
      <w:r w:rsidRPr="001B1319">
        <w:rPr>
          <w:iCs/>
        </w:rPr>
        <w:t>The PBAC noted that</w:t>
      </w:r>
      <w:r w:rsidR="00C552A4" w:rsidRPr="001B1319">
        <w:rPr>
          <w:iCs/>
        </w:rPr>
        <w:t xml:space="preserve"> the submission was based on indirect comparisons between one Dysport® trial</w:t>
      </w:r>
      <w:r w:rsidR="00303AAA" w:rsidRPr="001B1319">
        <w:rPr>
          <w:iCs/>
        </w:rPr>
        <w:t xml:space="preserve"> (</w:t>
      </w:r>
      <w:r w:rsidR="00C552A4" w:rsidRPr="001B1319">
        <w:rPr>
          <w:iCs/>
        </w:rPr>
        <w:t>Study 153</w:t>
      </w:r>
      <w:r w:rsidR="00303AAA" w:rsidRPr="001B1319">
        <w:rPr>
          <w:iCs/>
        </w:rPr>
        <w:t>)</w:t>
      </w:r>
      <w:r w:rsidR="00C552A4" w:rsidRPr="001B1319">
        <w:rPr>
          <w:iCs/>
        </w:rPr>
        <w:t xml:space="preserve"> and five Botox® trials (Fehlings 2018; Fehlings 2000; Rameckers 2009/Speth 2005; Lowe 2006; Olesch 2010). The PBAC noted that Study 153 was a randomised, double-blind comparison of three Dysport doses (2</w:t>
      </w:r>
      <w:r w:rsidR="00D82CE2" w:rsidRPr="001B1319">
        <w:rPr>
          <w:iCs/>
        </w:rPr>
        <w:t xml:space="preserve"> </w:t>
      </w:r>
      <w:r w:rsidR="00C552A4" w:rsidRPr="001B1319">
        <w:rPr>
          <w:iCs/>
        </w:rPr>
        <w:t>U/kg, 8</w:t>
      </w:r>
      <w:r w:rsidR="00D82CE2" w:rsidRPr="001B1319">
        <w:rPr>
          <w:iCs/>
        </w:rPr>
        <w:t xml:space="preserve"> </w:t>
      </w:r>
      <w:r w:rsidR="00C552A4" w:rsidRPr="001B1319">
        <w:rPr>
          <w:iCs/>
        </w:rPr>
        <w:t>U/kg and 16</w:t>
      </w:r>
      <w:r w:rsidR="00D82CE2" w:rsidRPr="001B1319">
        <w:rPr>
          <w:iCs/>
        </w:rPr>
        <w:t xml:space="preserve"> </w:t>
      </w:r>
      <w:r w:rsidR="00C552A4" w:rsidRPr="001B1319">
        <w:rPr>
          <w:iCs/>
        </w:rPr>
        <w:t>U/kg) and did not have a placebo or ‘no intervention’ arm. The PBAC noted that the submission used the 2</w:t>
      </w:r>
      <w:r w:rsidR="00D82CE2" w:rsidRPr="001B1319">
        <w:rPr>
          <w:iCs/>
        </w:rPr>
        <w:t xml:space="preserve"> </w:t>
      </w:r>
      <w:r w:rsidR="00C552A4" w:rsidRPr="001B1319">
        <w:rPr>
          <w:iCs/>
        </w:rPr>
        <w:t xml:space="preserve">U/kg arm as the no intervention arm, which was </w:t>
      </w:r>
      <w:r w:rsidR="00553DC4" w:rsidRPr="001B1319">
        <w:rPr>
          <w:iCs/>
        </w:rPr>
        <w:t xml:space="preserve">considered to be </w:t>
      </w:r>
      <w:r w:rsidR="00C552A4" w:rsidRPr="001B1319">
        <w:rPr>
          <w:iCs/>
        </w:rPr>
        <w:t>appropriate.</w:t>
      </w:r>
    </w:p>
    <w:p w:rsidR="00553DC4" w:rsidRPr="001B1319" w:rsidRDefault="00553DC4" w:rsidP="001B1319">
      <w:pPr>
        <w:pStyle w:val="3-BodyText"/>
        <w:ind w:left="720"/>
        <w:rPr>
          <w:iCs/>
        </w:rPr>
      </w:pPr>
      <w:r w:rsidRPr="001B1319">
        <w:rPr>
          <w:iCs/>
        </w:rPr>
        <w:t xml:space="preserve">The PBAC noted that the Dysport® and Botox® trials were conducted in the paediatric population. The PBAC agreed with the ESC in considering that, provided fixed contractures had not developed, there would be no clinical reason to expect a lack of effectiveness in adults and noting that, given the nature of the therapy, treatment was unlikely to </w:t>
      </w:r>
      <w:r w:rsidR="00BA4942" w:rsidRPr="001B1319">
        <w:rPr>
          <w:iCs/>
        </w:rPr>
        <w:t xml:space="preserve">be </w:t>
      </w:r>
      <w:r w:rsidRPr="001B1319">
        <w:rPr>
          <w:iCs/>
        </w:rPr>
        <w:t>continue</w:t>
      </w:r>
      <w:r w:rsidR="00BA4942" w:rsidRPr="001B1319">
        <w:rPr>
          <w:iCs/>
        </w:rPr>
        <w:t>d</w:t>
      </w:r>
      <w:r w:rsidRPr="001B1319">
        <w:rPr>
          <w:iCs/>
        </w:rPr>
        <w:t xml:space="preserve"> if no effect was observed.</w:t>
      </w:r>
    </w:p>
    <w:p w:rsidR="00553DC4" w:rsidRPr="001B1319" w:rsidRDefault="00553DC4" w:rsidP="001B1319">
      <w:pPr>
        <w:pStyle w:val="3-BodyText"/>
        <w:ind w:left="720"/>
        <w:rPr>
          <w:iCs/>
        </w:rPr>
      </w:pPr>
      <w:r w:rsidRPr="001B1319">
        <w:rPr>
          <w:iCs/>
        </w:rPr>
        <w:lastRenderedPageBreak/>
        <w:t xml:space="preserve">The PBAC noted that the indirect comparisons were limited </w:t>
      </w:r>
      <w:r w:rsidR="00142DC2" w:rsidRPr="001B1319">
        <w:rPr>
          <w:iCs/>
        </w:rPr>
        <w:t>due to</w:t>
      </w:r>
      <w:r w:rsidRPr="001B1319">
        <w:rPr>
          <w:iCs/>
        </w:rPr>
        <w:t xml:space="preserve"> a number of issues, including small patient numbers in most of the Botox trials, heterogeneity in many of the comparisons, and wide confidence intervals and/or few or no events for many of the safety comparisons. However, overall, the PBAC considered that the evidence suggested that Dysport</w:t>
      </w:r>
      <w:r w:rsidR="00462BDC" w:rsidRPr="001B1319">
        <w:rPr>
          <w:iCs/>
        </w:rPr>
        <w:t>®</w:t>
      </w:r>
      <w:r w:rsidRPr="001B1319">
        <w:rPr>
          <w:iCs/>
        </w:rPr>
        <w:t xml:space="preserve"> was likely to be non-inferior to Botox</w:t>
      </w:r>
      <w:r w:rsidR="00462BDC" w:rsidRPr="001B1319">
        <w:rPr>
          <w:iCs/>
        </w:rPr>
        <w:t>®</w:t>
      </w:r>
      <w:r w:rsidRPr="001B1319">
        <w:rPr>
          <w:iCs/>
        </w:rPr>
        <w:t xml:space="preserve"> in terms of efficacy and safety</w:t>
      </w:r>
      <w:r w:rsidR="00462BDC" w:rsidRPr="001B1319">
        <w:rPr>
          <w:iCs/>
        </w:rPr>
        <w:t>.</w:t>
      </w:r>
    </w:p>
    <w:p w:rsidR="00462BDC" w:rsidRPr="001B1319" w:rsidRDefault="00462BDC" w:rsidP="001B1319">
      <w:pPr>
        <w:pStyle w:val="3-BodyText"/>
        <w:ind w:left="720"/>
        <w:rPr>
          <w:iCs/>
        </w:rPr>
      </w:pPr>
      <w:r w:rsidRPr="001B1319">
        <w:rPr>
          <w:iCs/>
        </w:rPr>
        <w:t xml:space="preserve">The PBAC noted that the submission presented a cost minimisation analysis between Dysport® and Botox® based on </w:t>
      </w:r>
      <w:r w:rsidR="00303AAA" w:rsidRPr="001B1319">
        <w:rPr>
          <w:iCs/>
        </w:rPr>
        <w:t>an equi</w:t>
      </w:r>
      <w:r w:rsidRPr="001B1319">
        <w:rPr>
          <w:iCs/>
        </w:rPr>
        <w:t xml:space="preserve">-effective dose </w:t>
      </w:r>
      <w:r w:rsidR="00303AAA" w:rsidRPr="001B1319">
        <w:rPr>
          <w:iCs/>
        </w:rPr>
        <w:t xml:space="preserve">derived </w:t>
      </w:r>
      <w:r w:rsidRPr="001B1319">
        <w:rPr>
          <w:iCs/>
        </w:rPr>
        <w:t>from Study 153 for Dysport</w:t>
      </w:r>
      <w:r w:rsidR="00303AAA" w:rsidRPr="001B1319">
        <w:rPr>
          <w:iCs/>
        </w:rPr>
        <w:t>®</w:t>
      </w:r>
      <w:r w:rsidRPr="001B1319">
        <w:rPr>
          <w:iCs/>
        </w:rPr>
        <w:t xml:space="preserve"> (the 8</w:t>
      </w:r>
      <w:r w:rsidR="00D82CE2" w:rsidRPr="001B1319">
        <w:rPr>
          <w:iCs/>
        </w:rPr>
        <w:t xml:space="preserve"> </w:t>
      </w:r>
      <w:r w:rsidRPr="001B1319">
        <w:rPr>
          <w:iCs/>
        </w:rPr>
        <w:t>U/kg and 16 U/kg data were pooled) and three of the Botox</w:t>
      </w:r>
      <w:r w:rsidR="00303AAA" w:rsidRPr="001B1319">
        <w:rPr>
          <w:iCs/>
        </w:rPr>
        <w:t>®</w:t>
      </w:r>
      <w:r w:rsidRPr="001B1319">
        <w:rPr>
          <w:iCs/>
        </w:rPr>
        <w:t xml:space="preserve"> trials (Fehlings 2000, Rameckets 2009/Speth 2005, and Lowe 2006)</w:t>
      </w:r>
      <w:r w:rsidR="00303AAA" w:rsidRPr="001B1319">
        <w:rPr>
          <w:iCs/>
        </w:rPr>
        <w:t>. The PBAC noted that the nominated equi-effective doses (2.1 U Dysport® was equivalent to 1.0 U Botox®) m</w:t>
      </w:r>
      <w:r w:rsidRPr="001B1319">
        <w:rPr>
          <w:iCs/>
        </w:rPr>
        <w:t xml:space="preserve">ay not have been representative of the actual equi-effective doses as the trials </w:t>
      </w:r>
      <w:r w:rsidR="00303AAA" w:rsidRPr="001B1319">
        <w:rPr>
          <w:iCs/>
        </w:rPr>
        <w:t xml:space="preserve">only </w:t>
      </w:r>
      <w:r w:rsidRPr="001B1319">
        <w:rPr>
          <w:iCs/>
        </w:rPr>
        <w:t>included paediatric patients.</w:t>
      </w:r>
    </w:p>
    <w:p w:rsidR="00462BDC" w:rsidRPr="001B1319" w:rsidRDefault="00462BDC" w:rsidP="001B1319">
      <w:pPr>
        <w:pStyle w:val="3-BodyText"/>
        <w:ind w:left="720"/>
        <w:rPr>
          <w:iCs/>
        </w:rPr>
      </w:pPr>
      <w:r w:rsidRPr="00146B5E">
        <w:rPr>
          <w:iCs/>
        </w:rPr>
        <w:t xml:space="preserve">Furthermore, in its consideration of Dysport® for lower limb spasticity due to an acute event in July 2019, the PBAC </w:t>
      </w:r>
      <w:r w:rsidRPr="001B1319">
        <w:rPr>
          <w:iCs/>
        </w:rPr>
        <w:t>considered that the equi-effective doses of Dysport® and Botox® should be based on the maximum dispensed quantities which would result in equivalent treatment costs per cycle (par</w:t>
      </w:r>
      <w:r w:rsidR="0036759C" w:rsidRPr="001B1319">
        <w:rPr>
          <w:iCs/>
        </w:rPr>
        <w:t>agraph 7.3, July 2019 Dysport® P</w:t>
      </w:r>
      <w:r w:rsidRPr="001B1319">
        <w:rPr>
          <w:iCs/>
        </w:rPr>
        <w:t>SD).</w:t>
      </w:r>
    </w:p>
    <w:p w:rsidR="00666AB2" w:rsidRPr="001B1319" w:rsidRDefault="00545063" w:rsidP="001B1319">
      <w:pPr>
        <w:pStyle w:val="3-BodyText"/>
        <w:ind w:left="720"/>
        <w:rPr>
          <w:iCs/>
        </w:rPr>
      </w:pPr>
      <w:r w:rsidRPr="001B1319">
        <w:rPr>
          <w:iCs/>
        </w:rPr>
        <w:t>T</w:t>
      </w:r>
      <w:r w:rsidR="00462BDC" w:rsidRPr="001B1319">
        <w:rPr>
          <w:iCs/>
        </w:rPr>
        <w:t>he PBAC considered that equi-effective doses based on maximum quantities dispensed should be used.</w:t>
      </w:r>
      <w:r w:rsidR="00666AB2" w:rsidRPr="001B1319">
        <w:rPr>
          <w:iCs/>
        </w:rPr>
        <w:t xml:space="preserve"> The PBAC considered that the maximum quantity of Dysport</w:t>
      </w:r>
      <w:r w:rsidR="0006647E" w:rsidRPr="001B1319">
        <w:rPr>
          <w:iCs/>
        </w:rPr>
        <w:t>®</w:t>
      </w:r>
      <w:r w:rsidR="00666AB2" w:rsidRPr="001B1319">
        <w:rPr>
          <w:iCs/>
        </w:rPr>
        <w:t xml:space="preserve"> would be 1000</w:t>
      </w:r>
      <w:r w:rsidR="00303AAA" w:rsidRPr="001B1319">
        <w:rPr>
          <w:iCs/>
        </w:rPr>
        <w:t xml:space="preserve"> </w:t>
      </w:r>
      <w:r w:rsidR="00666AB2" w:rsidRPr="001B1319">
        <w:rPr>
          <w:iCs/>
        </w:rPr>
        <w:t>U and the maximum quantity of Botox</w:t>
      </w:r>
      <w:r w:rsidR="0006647E" w:rsidRPr="001B1319">
        <w:rPr>
          <w:iCs/>
        </w:rPr>
        <w:t>®</w:t>
      </w:r>
      <w:r w:rsidR="00666AB2" w:rsidRPr="001B1319">
        <w:rPr>
          <w:iCs/>
        </w:rPr>
        <w:t xml:space="preserve"> would be 400</w:t>
      </w:r>
      <w:r w:rsidR="00303AAA" w:rsidRPr="001B1319">
        <w:rPr>
          <w:iCs/>
        </w:rPr>
        <w:t xml:space="preserve"> </w:t>
      </w:r>
      <w:r w:rsidR="00666AB2" w:rsidRPr="001B1319">
        <w:rPr>
          <w:iCs/>
        </w:rPr>
        <w:t>U, resulting in an equi-effective dose of:</w:t>
      </w:r>
    </w:p>
    <w:p w:rsidR="00462BDC" w:rsidRPr="00146B5E" w:rsidRDefault="00666AB2" w:rsidP="00666AB2">
      <w:pPr>
        <w:widowControl w:val="0"/>
        <w:spacing w:after="120"/>
        <w:ind w:left="1440"/>
        <w:rPr>
          <w:rFonts w:asciiTheme="minorHAnsi" w:hAnsiTheme="minorHAnsi" w:cs="Arial"/>
          <w:bCs/>
          <w:snapToGrid w:val="0"/>
        </w:rPr>
      </w:pPr>
      <w:r w:rsidRPr="00146B5E">
        <w:rPr>
          <w:bCs/>
          <w:iCs/>
        </w:rPr>
        <w:t>2.5 U Dy</w:t>
      </w:r>
      <w:r w:rsidR="0006647E" w:rsidRPr="00146B5E">
        <w:rPr>
          <w:bCs/>
          <w:iCs/>
        </w:rPr>
        <w:t>sport</w:t>
      </w:r>
      <w:r w:rsidR="0006647E" w:rsidRPr="00146B5E">
        <w:rPr>
          <w:rFonts w:cs="Calibri"/>
          <w:bCs/>
          <w:iCs/>
        </w:rPr>
        <w:t>®</w:t>
      </w:r>
      <w:r w:rsidR="0006647E" w:rsidRPr="00146B5E">
        <w:rPr>
          <w:bCs/>
          <w:iCs/>
        </w:rPr>
        <w:t xml:space="preserve"> = 1 U Botox</w:t>
      </w:r>
      <w:r w:rsidR="0006647E" w:rsidRPr="00146B5E">
        <w:rPr>
          <w:rFonts w:cs="Calibri"/>
          <w:bCs/>
          <w:iCs/>
        </w:rPr>
        <w:t>®</w:t>
      </w:r>
      <w:r w:rsidRPr="00146B5E">
        <w:rPr>
          <w:bCs/>
          <w:iCs/>
        </w:rPr>
        <w:t xml:space="preserve"> </w:t>
      </w:r>
    </w:p>
    <w:p w:rsidR="00303AAA" w:rsidRPr="001B1319" w:rsidRDefault="00303AAA" w:rsidP="001B1319">
      <w:pPr>
        <w:pStyle w:val="3-BodyText"/>
        <w:ind w:left="720"/>
        <w:rPr>
          <w:iCs/>
        </w:rPr>
      </w:pPr>
      <w:r w:rsidRPr="001B1319">
        <w:rPr>
          <w:iCs/>
        </w:rPr>
        <w:t xml:space="preserve">The PBAC </w:t>
      </w:r>
      <w:r w:rsidR="00275729" w:rsidRPr="001B1319">
        <w:rPr>
          <w:iCs/>
        </w:rPr>
        <w:t xml:space="preserve">considered that the assumed 50% uptake of Dysport® was overestimated, but </w:t>
      </w:r>
      <w:r w:rsidRPr="001B1319">
        <w:rPr>
          <w:iCs/>
        </w:rPr>
        <w:t>noted that the financial implication estimates for l</w:t>
      </w:r>
      <w:r w:rsidR="00275729" w:rsidRPr="001B1319">
        <w:rPr>
          <w:iCs/>
        </w:rPr>
        <w:t>is</w:t>
      </w:r>
      <w:r w:rsidR="00243CDA" w:rsidRPr="001B1319">
        <w:rPr>
          <w:iCs/>
        </w:rPr>
        <w:t>ting Dysp</w:t>
      </w:r>
      <w:r w:rsidRPr="001B1319">
        <w:rPr>
          <w:iCs/>
        </w:rPr>
        <w:t>ort</w:t>
      </w:r>
      <w:r w:rsidR="00275729" w:rsidRPr="001B1319">
        <w:rPr>
          <w:iCs/>
        </w:rPr>
        <w:t>® on</w:t>
      </w:r>
      <w:r w:rsidRPr="001B1319">
        <w:rPr>
          <w:iCs/>
        </w:rPr>
        <w:t xml:space="preserve"> the PBS were cost saving </w:t>
      </w:r>
      <w:r w:rsidR="00275729" w:rsidRPr="001B1319">
        <w:rPr>
          <w:iCs/>
        </w:rPr>
        <w:t>for all presented analyses</w:t>
      </w:r>
      <w:r w:rsidRPr="001B1319">
        <w:rPr>
          <w:iCs/>
        </w:rPr>
        <w:t xml:space="preserve">. </w:t>
      </w:r>
    </w:p>
    <w:p w:rsidR="0093781C" w:rsidRPr="001B1319" w:rsidRDefault="00B76C04" w:rsidP="0093781C">
      <w:pPr>
        <w:pStyle w:val="3-BodyText"/>
        <w:ind w:left="720"/>
        <w:rPr>
          <w:iCs/>
        </w:rPr>
      </w:pPr>
      <w:r w:rsidRPr="001B1319">
        <w:rPr>
          <w:iCs/>
        </w:rPr>
        <w:t xml:space="preserve">The PBAC noted that </w:t>
      </w:r>
      <w:r w:rsidR="00DF07A7" w:rsidRPr="001B1319">
        <w:rPr>
          <w:iCs/>
        </w:rPr>
        <w:t xml:space="preserve">supportive advice from the </w:t>
      </w:r>
      <w:r w:rsidRPr="001B1319">
        <w:rPr>
          <w:iCs/>
        </w:rPr>
        <w:t xml:space="preserve">Medical Services Advisory Committee (MSAC) </w:t>
      </w:r>
      <w:r w:rsidR="00DF07A7" w:rsidRPr="001B1319">
        <w:rPr>
          <w:iCs/>
        </w:rPr>
        <w:t xml:space="preserve">was foreshadowed to </w:t>
      </w:r>
      <w:r w:rsidRPr="001B1319">
        <w:rPr>
          <w:iCs/>
        </w:rPr>
        <w:t>request changes to the item descriptor of MBS item 18361, to include ‘Clostridium Botulinum Type A Toxin-Haemagglutinin Complex (Dysport)’ in the list of botulinum toxins associated with the item, as well as minor amendments to align the descriptor with the current PBS listing.</w:t>
      </w:r>
    </w:p>
    <w:p w:rsidR="00D82CE2" w:rsidRPr="0093781C" w:rsidRDefault="00D82CE2" w:rsidP="0093781C">
      <w:pPr>
        <w:pStyle w:val="3-BodyText"/>
        <w:ind w:left="720"/>
      </w:pPr>
      <w:r w:rsidRPr="001B1319">
        <w:rPr>
          <w:iCs/>
        </w:rPr>
        <w:t xml:space="preserve">The PBAC noted that its recommendation was on a cost-minimisation basis and advised that, because </w:t>
      </w:r>
      <w:r w:rsidR="00243CDA" w:rsidRPr="001B1319">
        <w:rPr>
          <w:iCs/>
        </w:rPr>
        <w:t>Dysport</w:t>
      </w:r>
      <w:r w:rsidR="0093781C" w:rsidRPr="001B1319">
        <w:rPr>
          <w:iCs/>
        </w:rPr>
        <w:t xml:space="preserve">® is </w:t>
      </w:r>
      <w:r w:rsidRPr="001B1319">
        <w:rPr>
          <w:iCs/>
        </w:rPr>
        <w:t xml:space="preserve">not expected to provide a substantial and clinically relevant improvement in efficacy, or reduction of toxicity, over </w:t>
      </w:r>
      <w:r w:rsidR="0093781C" w:rsidRPr="001B1319">
        <w:rPr>
          <w:iCs/>
        </w:rPr>
        <w:t>Botox®, and</w:t>
      </w:r>
      <w:r w:rsidRPr="001B1319">
        <w:rPr>
          <w:iCs/>
        </w:rPr>
        <w:t xml:space="preserve"> not expected to address a high and urgent unmet clinical need given the presence of an</w:t>
      </w:r>
      <w:r>
        <w:t xml:space="preserve"> alternative therapy, the criteria prescribed by the </w:t>
      </w:r>
      <w:r w:rsidRPr="0093781C">
        <w:rPr>
          <w:i/>
          <w:iCs/>
        </w:rPr>
        <w:t xml:space="preserve">National Health (Pharmaceuticals and Vaccines – Cost Recovery) Regulations 2009 </w:t>
      </w:r>
      <w:r>
        <w:t>for Pricing Pathway A were not met.</w:t>
      </w:r>
    </w:p>
    <w:p w:rsidR="00B460EF" w:rsidRPr="001B1319" w:rsidRDefault="009D74BB" w:rsidP="001B1319">
      <w:pPr>
        <w:pStyle w:val="3-BodyText"/>
        <w:ind w:left="720"/>
        <w:rPr>
          <w:iCs/>
        </w:rPr>
      </w:pPr>
      <w:r w:rsidRPr="001B1319">
        <w:rPr>
          <w:iCs/>
        </w:rPr>
        <w:t>The PBAC noted that this submission is not eligible for an Independent Review</w:t>
      </w:r>
      <w:r w:rsidR="00B460EF" w:rsidRPr="001B1319">
        <w:rPr>
          <w:iCs/>
        </w:rPr>
        <w:t xml:space="preserve"> as it received a positive recommendation</w:t>
      </w:r>
      <w:r w:rsidRPr="001B1319">
        <w:rPr>
          <w:iCs/>
        </w:rPr>
        <w:t xml:space="preserve">. </w:t>
      </w:r>
    </w:p>
    <w:p w:rsidR="009D74BB" w:rsidRPr="00146B5E" w:rsidRDefault="009D74BB" w:rsidP="009D74BB">
      <w:pPr>
        <w:spacing w:before="240"/>
        <w:rPr>
          <w:rFonts w:asciiTheme="minorHAnsi" w:hAnsiTheme="minorHAnsi" w:cs="Arial"/>
          <w:b/>
          <w:bCs/>
          <w:snapToGrid w:val="0"/>
        </w:rPr>
      </w:pPr>
      <w:r w:rsidRPr="00146B5E">
        <w:rPr>
          <w:rFonts w:asciiTheme="minorHAnsi" w:hAnsiTheme="minorHAnsi" w:cs="Arial"/>
          <w:b/>
          <w:bCs/>
          <w:snapToGrid w:val="0"/>
        </w:rPr>
        <w:t>Outcome:</w:t>
      </w:r>
    </w:p>
    <w:p w:rsidR="009D74BB" w:rsidRPr="0076612D" w:rsidRDefault="009D74BB" w:rsidP="0076612D">
      <w:pPr>
        <w:rPr>
          <w:rFonts w:asciiTheme="minorHAnsi" w:hAnsiTheme="minorHAnsi" w:cs="Arial"/>
          <w:bCs/>
          <w:snapToGrid w:val="0"/>
        </w:rPr>
      </w:pPr>
      <w:r w:rsidRPr="00146B5E">
        <w:rPr>
          <w:rFonts w:asciiTheme="minorHAnsi" w:hAnsiTheme="minorHAnsi" w:cs="Arial"/>
          <w:bCs/>
          <w:snapToGrid w:val="0"/>
        </w:rPr>
        <w:lastRenderedPageBreak/>
        <w:t xml:space="preserve">Recommended </w:t>
      </w:r>
    </w:p>
    <w:p w:rsidR="009D74BB" w:rsidRPr="00146B5E" w:rsidRDefault="009D74BB" w:rsidP="00417F50">
      <w:pPr>
        <w:pStyle w:val="2-SectionHeading"/>
        <w:rPr>
          <w:i/>
        </w:rPr>
      </w:pPr>
      <w:r w:rsidRPr="00146B5E">
        <w:t>Recommended listing</w:t>
      </w:r>
    </w:p>
    <w:p w:rsidR="005F6F77" w:rsidRPr="00A82A55" w:rsidRDefault="009448CA" w:rsidP="00A82A55">
      <w:pPr>
        <w:widowControl w:val="0"/>
        <w:numPr>
          <w:ilvl w:val="1"/>
          <w:numId w:val="1"/>
        </w:numPr>
        <w:spacing w:after="120"/>
        <w:ind w:left="720"/>
        <w:rPr>
          <w:rFonts w:asciiTheme="minorHAnsi" w:hAnsiTheme="minorHAnsi" w:cs="Arial"/>
          <w:b/>
          <w:bCs/>
          <w:snapToGrid w:val="0"/>
        </w:rPr>
      </w:pPr>
      <w:r w:rsidRPr="00146B5E">
        <w:rPr>
          <w:rFonts w:asciiTheme="minorHAnsi" w:hAnsiTheme="minorHAnsi" w:cs="Arial"/>
          <w:bCs/>
          <w:snapToGrid w:val="0"/>
        </w:rPr>
        <w:t xml:space="preserve">Amend existing listing as follows: </w:t>
      </w:r>
      <w:bookmarkEnd w:id="29"/>
    </w:p>
    <w:p w:rsidR="00E06914" w:rsidRPr="00146B5E" w:rsidRDefault="00E06914" w:rsidP="00E06914">
      <w:pPr>
        <w:rPr>
          <w:i/>
        </w:rPr>
      </w:pPr>
      <w:r w:rsidRPr="00146B5E">
        <w:rPr>
          <w:i/>
        </w:rPr>
        <w:t>Add indication (9102 – moderate to severe spasticity of the upper limb) as follows:</w:t>
      </w:r>
    </w:p>
    <w:tbl>
      <w:tblPr>
        <w:tblStyle w:val="TableGrid1"/>
        <w:tblW w:w="5000" w:type="pct"/>
        <w:tblLook w:val="04A0" w:firstRow="1" w:lastRow="0" w:firstColumn="1" w:lastColumn="0" w:noHBand="0" w:noVBand="1"/>
        <w:tblCaption w:val="Table"/>
      </w:tblPr>
      <w:tblGrid>
        <w:gridCol w:w="3313"/>
        <w:gridCol w:w="1307"/>
        <w:gridCol w:w="1049"/>
        <w:gridCol w:w="1208"/>
        <w:gridCol w:w="2150"/>
      </w:tblGrid>
      <w:tr w:rsidR="006F5C16" w:rsidRPr="00146B5E" w:rsidTr="00AC0F2C">
        <w:trPr>
          <w:tblHeader/>
        </w:trPr>
        <w:tc>
          <w:tcPr>
            <w:tcW w:w="1835" w:type="pct"/>
            <w:tcBorders>
              <w:left w:val="nil"/>
              <w:bottom w:val="single" w:sz="4" w:space="0" w:color="000000" w:themeColor="text1"/>
              <w:right w:val="nil"/>
            </w:tcBorders>
            <w:shd w:val="clear" w:color="auto" w:fill="auto"/>
          </w:tcPr>
          <w:p w:rsidR="006F5C16" w:rsidRPr="00146B5E" w:rsidRDefault="006F5C16" w:rsidP="00E06914">
            <w:pPr>
              <w:pStyle w:val="TableLeft"/>
              <w:jc w:val="left"/>
              <w:rPr>
                <w:rFonts w:ascii="Arial Narrow" w:hAnsi="Arial Narrow"/>
                <w:b/>
                <w:sz w:val="20"/>
                <w:szCs w:val="20"/>
                <w:lang w:val="en-AU"/>
              </w:rPr>
            </w:pPr>
            <w:bookmarkStart w:id="30" w:name="_Hlk34120757"/>
            <w:r w:rsidRPr="00146B5E">
              <w:rPr>
                <w:rFonts w:ascii="Arial Narrow" w:hAnsi="Arial Narrow"/>
                <w:b/>
                <w:sz w:val="20"/>
                <w:szCs w:val="20"/>
                <w:lang w:val="en-AU"/>
              </w:rPr>
              <w:t>Name, restriction, manner of administration, form</w:t>
            </w:r>
          </w:p>
        </w:tc>
        <w:tc>
          <w:tcPr>
            <w:tcW w:w="724" w:type="pct"/>
            <w:tcBorders>
              <w:left w:val="nil"/>
              <w:bottom w:val="single" w:sz="4" w:space="0" w:color="000000" w:themeColor="text1"/>
              <w:right w:val="nil"/>
            </w:tcBorders>
            <w:shd w:val="clear" w:color="auto" w:fill="auto"/>
          </w:tcPr>
          <w:p w:rsidR="006F5C16" w:rsidRPr="00146B5E" w:rsidRDefault="006F5C16" w:rsidP="00E06914">
            <w:pPr>
              <w:pStyle w:val="TableLeft"/>
              <w:jc w:val="center"/>
              <w:rPr>
                <w:rFonts w:ascii="Arial Narrow" w:hAnsi="Arial Narrow"/>
                <w:b/>
                <w:sz w:val="20"/>
                <w:szCs w:val="20"/>
                <w:lang w:val="en-AU"/>
              </w:rPr>
            </w:pPr>
            <w:r w:rsidRPr="00146B5E">
              <w:rPr>
                <w:rFonts w:ascii="Arial Narrow" w:hAnsi="Arial Narrow"/>
                <w:b/>
                <w:sz w:val="20"/>
                <w:szCs w:val="20"/>
                <w:lang w:val="en-AU"/>
              </w:rPr>
              <w:t>Max. Qty (packs)</w:t>
            </w:r>
          </w:p>
        </w:tc>
        <w:tc>
          <w:tcPr>
            <w:tcW w:w="581" w:type="pct"/>
            <w:tcBorders>
              <w:left w:val="nil"/>
              <w:bottom w:val="single" w:sz="4" w:space="0" w:color="000000" w:themeColor="text1"/>
              <w:right w:val="nil"/>
            </w:tcBorders>
            <w:shd w:val="clear" w:color="auto" w:fill="auto"/>
          </w:tcPr>
          <w:p w:rsidR="006F5C16" w:rsidRPr="00146B5E" w:rsidRDefault="006F5C16" w:rsidP="00E06914">
            <w:pPr>
              <w:pStyle w:val="TableLeft"/>
              <w:jc w:val="center"/>
              <w:rPr>
                <w:rFonts w:ascii="Arial Narrow" w:hAnsi="Arial Narrow"/>
                <w:b/>
                <w:sz w:val="20"/>
                <w:szCs w:val="20"/>
                <w:lang w:val="en-AU"/>
              </w:rPr>
            </w:pPr>
            <w:r w:rsidRPr="00146B5E">
              <w:rPr>
                <w:rFonts w:ascii="Arial Narrow" w:hAnsi="Arial Narrow"/>
                <w:b/>
                <w:sz w:val="20"/>
                <w:szCs w:val="20"/>
                <w:lang w:val="en-AU"/>
              </w:rPr>
              <w:t>Max. Qty (units)</w:t>
            </w:r>
          </w:p>
        </w:tc>
        <w:tc>
          <w:tcPr>
            <w:tcW w:w="669" w:type="pct"/>
            <w:tcBorders>
              <w:left w:val="nil"/>
              <w:bottom w:val="single" w:sz="4" w:space="0" w:color="000000" w:themeColor="text1"/>
              <w:right w:val="nil"/>
            </w:tcBorders>
            <w:shd w:val="clear" w:color="auto" w:fill="auto"/>
          </w:tcPr>
          <w:p w:rsidR="006F5C16" w:rsidRPr="00146B5E" w:rsidRDefault="006F5C16" w:rsidP="00E06914">
            <w:pPr>
              <w:pStyle w:val="TableLeft"/>
              <w:jc w:val="center"/>
              <w:rPr>
                <w:rFonts w:ascii="Arial Narrow" w:hAnsi="Arial Narrow"/>
                <w:b/>
                <w:sz w:val="20"/>
                <w:szCs w:val="20"/>
                <w:lang w:val="en-AU"/>
              </w:rPr>
            </w:pPr>
            <w:r w:rsidRPr="00146B5E">
              <w:rPr>
                <w:rFonts w:ascii="Arial Narrow" w:hAnsi="Arial Narrow"/>
                <w:b/>
                <w:sz w:val="20"/>
                <w:szCs w:val="20"/>
                <w:lang w:val="en-AU"/>
              </w:rPr>
              <w:t>No. of repeats</w:t>
            </w:r>
          </w:p>
        </w:tc>
        <w:tc>
          <w:tcPr>
            <w:tcW w:w="1191" w:type="pct"/>
            <w:tcBorders>
              <w:left w:val="nil"/>
              <w:bottom w:val="single" w:sz="4" w:space="0" w:color="000000" w:themeColor="text1"/>
              <w:right w:val="nil"/>
            </w:tcBorders>
            <w:shd w:val="clear" w:color="auto" w:fill="auto"/>
          </w:tcPr>
          <w:p w:rsidR="006F5C16" w:rsidRPr="00146B5E" w:rsidRDefault="006F5C16" w:rsidP="00E06914">
            <w:pPr>
              <w:pStyle w:val="TableLeft"/>
              <w:jc w:val="left"/>
              <w:rPr>
                <w:rFonts w:ascii="Arial Narrow" w:hAnsi="Arial Narrow"/>
                <w:b/>
                <w:sz w:val="20"/>
                <w:szCs w:val="20"/>
                <w:lang w:val="en-AU"/>
              </w:rPr>
            </w:pPr>
            <w:r w:rsidRPr="00146B5E">
              <w:rPr>
                <w:rFonts w:ascii="Arial Narrow" w:hAnsi="Arial Narrow"/>
                <w:b/>
                <w:sz w:val="20"/>
                <w:szCs w:val="20"/>
                <w:lang w:val="en-AU"/>
              </w:rPr>
              <w:t>Proprietary name and manufacturer</w:t>
            </w:r>
          </w:p>
        </w:tc>
      </w:tr>
      <w:tr w:rsidR="006F5C16" w:rsidRPr="00146B5E" w:rsidTr="006F5C16">
        <w:tc>
          <w:tcPr>
            <w:tcW w:w="1835" w:type="pct"/>
            <w:tcBorders>
              <w:left w:val="nil"/>
              <w:bottom w:val="nil"/>
              <w:right w:val="nil"/>
            </w:tcBorders>
          </w:tcPr>
          <w:p w:rsidR="006F5C16" w:rsidRPr="00146B5E" w:rsidRDefault="006F5C16" w:rsidP="00E06914">
            <w:pPr>
              <w:pStyle w:val="TableLeft"/>
              <w:jc w:val="left"/>
              <w:rPr>
                <w:rFonts w:ascii="Arial Narrow" w:hAnsi="Arial Narrow"/>
                <w:sz w:val="20"/>
                <w:szCs w:val="20"/>
                <w:lang w:val="en-AU"/>
              </w:rPr>
            </w:pPr>
            <w:r w:rsidRPr="00146B5E">
              <w:rPr>
                <w:rFonts w:ascii="Arial Narrow" w:hAnsi="Arial Narrow"/>
                <w:sz w:val="20"/>
                <w:szCs w:val="20"/>
                <w:lang w:val="en-AU"/>
              </w:rPr>
              <w:t>CLOSTRIDIUM BOTULINUM TYPE A TOXIN-HAEMAGGLUTININ COMPLEX</w:t>
            </w:r>
            <w:r w:rsidRPr="00146B5E">
              <w:rPr>
                <w:rFonts w:ascii="Arial Narrow" w:hAnsi="Arial Narrow"/>
                <w:sz w:val="20"/>
                <w:szCs w:val="20"/>
                <w:lang w:val="en-AU"/>
              </w:rPr>
              <w:br/>
              <w:t>clostridium botulinum type A toxin-haemagglutinin complex 300 units injection, 1 vial</w:t>
            </w:r>
          </w:p>
        </w:tc>
        <w:tc>
          <w:tcPr>
            <w:tcW w:w="724" w:type="pct"/>
            <w:tcBorders>
              <w:left w:val="nil"/>
              <w:bottom w:val="nil"/>
              <w:right w:val="nil"/>
            </w:tcBorders>
            <w:vAlign w:val="center"/>
          </w:tcPr>
          <w:p w:rsidR="006F5C16" w:rsidRPr="00146B5E" w:rsidRDefault="006F5C16" w:rsidP="00E06914">
            <w:pPr>
              <w:pStyle w:val="TableLeft"/>
              <w:jc w:val="center"/>
              <w:rPr>
                <w:rFonts w:ascii="Arial Narrow" w:hAnsi="Arial Narrow"/>
                <w:sz w:val="20"/>
                <w:szCs w:val="20"/>
                <w:lang w:val="en-AU"/>
              </w:rPr>
            </w:pPr>
          </w:p>
          <w:p w:rsidR="006F5C16" w:rsidRPr="00146B5E" w:rsidRDefault="006F5C16" w:rsidP="00E06914">
            <w:pPr>
              <w:pStyle w:val="TableLeft"/>
              <w:jc w:val="center"/>
              <w:rPr>
                <w:rFonts w:ascii="Arial Narrow" w:hAnsi="Arial Narrow"/>
                <w:sz w:val="20"/>
                <w:szCs w:val="20"/>
                <w:lang w:val="en-AU"/>
              </w:rPr>
            </w:pPr>
            <w:r w:rsidRPr="00146B5E">
              <w:rPr>
                <w:rFonts w:ascii="Arial Narrow" w:hAnsi="Arial Narrow"/>
                <w:sz w:val="20"/>
                <w:szCs w:val="20"/>
                <w:lang w:val="en-AU"/>
              </w:rPr>
              <w:t>4</w:t>
            </w:r>
          </w:p>
        </w:tc>
        <w:tc>
          <w:tcPr>
            <w:tcW w:w="581" w:type="pct"/>
            <w:tcBorders>
              <w:left w:val="nil"/>
              <w:bottom w:val="nil"/>
              <w:right w:val="nil"/>
            </w:tcBorders>
          </w:tcPr>
          <w:p w:rsidR="006F5C16" w:rsidRPr="00146B5E" w:rsidRDefault="006F5C16" w:rsidP="00E06914">
            <w:pPr>
              <w:pStyle w:val="TableLeft"/>
              <w:jc w:val="center"/>
              <w:rPr>
                <w:rFonts w:ascii="Arial Narrow" w:hAnsi="Arial Narrow"/>
                <w:sz w:val="20"/>
                <w:szCs w:val="20"/>
                <w:lang w:val="en-AU"/>
              </w:rPr>
            </w:pPr>
          </w:p>
          <w:p w:rsidR="006F5C16" w:rsidRPr="00146B5E" w:rsidRDefault="006F5C16" w:rsidP="00E06914">
            <w:pPr>
              <w:pStyle w:val="TableLeft"/>
              <w:jc w:val="center"/>
              <w:rPr>
                <w:rFonts w:ascii="Arial Narrow" w:hAnsi="Arial Narrow"/>
                <w:sz w:val="20"/>
                <w:szCs w:val="20"/>
                <w:lang w:val="en-AU"/>
              </w:rPr>
            </w:pPr>
          </w:p>
          <w:p w:rsidR="006F5C16" w:rsidRPr="00146B5E" w:rsidRDefault="006F5C16" w:rsidP="00E06914">
            <w:pPr>
              <w:pStyle w:val="TableLeft"/>
              <w:jc w:val="center"/>
              <w:rPr>
                <w:rFonts w:ascii="Arial Narrow" w:hAnsi="Arial Narrow"/>
                <w:sz w:val="20"/>
                <w:szCs w:val="20"/>
                <w:lang w:val="en-AU"/>
              </w:rPr>
            </w:pPr>
          </w:p>
          <w:p w:rsidR="006F5C16" w:rsidRPr="00146B5E" w:rsidRDefault="006F5C16" w:rsidP="00E06914">
            <w:pPr>
              <w:pStyle w:val="TableLeft"/>
              <w:jc w:val="center"/>
              <w:rPr>
                <w:rFonts w:ascii="Arial Narrow" w:hAnsi="Arial Narrow"/>
                <w:sz w:val="20"/>
                <w:szCs w:val="20"/>
                <w:lang w:val="en-AU"/>
              </w:rPr>
            </w:pPr>
            <w:r w:rsidRPr="00146B5E">
              <w:rPr>
                <w:rFonts w:ascii="Arial Narrow" w:hAnsi="Arial Narrow"/>
                <w:sz w:val="20"/>
                <w:szCs w:val="20"/>
                <w:lang w:val="en-AU"/>
              </w:rPr>
              <w:t>4</w:t>
            </w:r>
          </w:p>
        </w:tc>
        <w:tc>
          <w:tcPr>
            <w:tcW w:w="669" w:type="pct"/>
            <w:tcBorders>
              <w:left w:val="nil"/>
              <w:bottom w:val="nil"/>
              <w:right w:val="nil"/>
            </w:tcBorders>
            <w:vAlign w:val="center"/>
          </w:tcPr>
          <w:p w:rsidR="006F5C16" w:rsidRPr="00146B5E" w:rsidRDefault="006F5C16" w:rsidP="00E06914">
            <w:pPr>
              <w:pStyle w:val="TableLeft"/>
              <w:jc w:val="center"/>
              <w:rPr>
                <w:rFonts w:ascii="Arial Narrow" w:hAnsi="Arial Narrow"/>
                <w:sz w:val="20"/>
                <w:szCs w:val="20"/>
                <w:lang w:val="en-AU"/>
              </w:rPr>
            </w:pPr>
          </w:p>
          <w:p w:rsidR="006F5C16" w:rsidRPr="00146B5E" w:rsidRDefault="006F5C16" w:rsidP="00E06914">
            <w:pPr>
              <w:pStyle w:val="TableLeft"/>
              <w:jc w:val="center"/>
              <w:rPr>
                <w:rFonts w:ascii="Arial Narrow" w:hAnsi="Arial Narrow"/>
                <w:sz w:val="20"/>
                <w:szCs w:val="20"/>
                <w:lang w:val="en-AU"/>
              </w:rPr>
            </w:pPr>
            <w:r w:rsidRPr="00146B5E">
              <w:rPr>
                <w:rFonts w:ascii="Arial Narrow" w:hAnsi="Arial Narrow"/>
                <w:sz w:val="20"/>
                <w:szCs w:val="20"/>
                <w:lang w:val="en-AU"/>
              </w:rPr>
              <w:t>0</w:t>
            </w:r>
          </w:p>
        </w:tc>
        <w:tc>
          <w:tcPr>
            <w:tcW w:w="1191" w:type="pct"/>
            <w:vMerge w:val="restart"/>
            <w:tcBorders>
              <w:left w:val="nil"/>
              <w:bottom w:val="nil"/>
              <w:right w:val="nil"/>
            </w:tcBorders>
            <w:vAlign w:val="center"/>
          </w:tcPr>
          <w:p w:rsidR="006F5C16" w:rsidRPr="00146B5E" w:rsidRDefault="006F5C16" w:rsidP="00E06914">
            <w:pPr>
              <w:jc w:val="center"/>
              <w:rPr>
                <w:rFonts w:ascii="Arial Narrow" w:hAnsi="Arial Narrow"/>
                <w:sz w:val="20"/>
                <w:szCs w:val="20"/>
                <w:lang w:val="en-AU"/>
              </w:rPr>
            </w:pPr>
            <w:r w:rsidRPr="00146B5E">
              <w:rPr>
                <w:rFonts w:ascii="Arial Narrow" w:hAnsi="Arial Narrow"/>
                <w:sz w:val="20"/>
                <w:szCs w:val="20"/>
                <w:lang w:val="en-AU"/>
              </w:rPr>
              <w:t>Dysport</w:t>
            </w:r>
            <w:r w:rsidRPr="00146B5E">
              <w:rPr>
                <w:rFonts w:ascii="Arial Narrow" w:hAnsi="Arial Narrow"/>
                <w:sz w:val="20"/>
                <w:szCs w:val="20"/>
                <w:vertAlign w:val="superscript"/>
                <w:lang w:val="en-AU"/>
              </w:rPr>
              <w:t xml:space="preserve">® </w:t>
            </w:r>
            <w:r w:rsidRPr="00146B5E">
              <w:rPr>
                <w:rFonts w:ascii="Arial Narrow" w:hAnsi="Arial Narrow"/>
                <w:sz w:val="20"/>
                <w:szCs w:val="20"/>
                <w:lang w:val="en-AU"/>
              </w:rPr>
              <w:t>Ipsen Pty Ltd</w:t>
            </w:r>
          </w:p>
          <w:p w:rsidR="006F5C16" w:rsidRPr="00146B5E" w:rsidRDefault="006F5C16" w:rsidP="00E06914">
            <w:pPr>
              <w:jc w:val="center"/>
              <w:rPr>
                <w:rFonts w:ascii="Arial Narrow" w:hAnsi="Arial Narrow"/>
                <w:sz w:val="20"/>
                <w:szCs w:val="20"/>
                <w:lang w:val="en-AU"/>
              </w:rPr>
            </w:pPr>
          </w:p>
        </w:tc>
      </w:tr>
      <w:tr w:rsidR="006F5C16" w:rsidRPr="00146B5E" w:rsidTr="006F5C16">
        <w:tc>
          <w:tcPr>
            <w:tcW w:w="1835" w:type="pct"/>
            <w:tcBorders>
              <w:top w:val="nil"/>
              <w:left w:val="nil"/>
              <w:right w:val="nil"/>
            </w:tcBorders>
          </w:tcPr>
          <w:p w:rsidR="006F5C16" w:rsidRPr="00146B5E" w:rsidRDefault="006F5C16" w:rsidP="00E06914">
            <w:pPr>
              <w:pStyle w:val="TableLeft"/>
              <w:jc w:val="left"/>
              <w:rPr>
                <w:rFonts w:ascii="Arial Narrow" w:hAnsi="Arial Narrow"/>
                <w:sz w:val="20"/>
                <w:szCs w:val="20"/>
                <w:lang w:val="en-AU"/>
              </w:rPr>
            </w:pPr>
            <w:r w:rsidRPr="00146B5E">
              <w:rPr>
                <w:rFonts w:ascii="Arial Narrow" w:hAnsi="Arial Narrow"/>
                <w:sz w:val="20"/>
                <w:szCs w:val="20"/>
                <w:lang w:val="en-AU"/>
              </w:rPr>
              <w:t>clostridium botulinum type A toxin-haemagglutinin complex 500 units injection, 1 vial</w:t>
            </w:r>
          </w:p>
        </w:tc>
        <w:tc>
          <w:tcPr>
            <w:tcW w:w="724" w:type="pct"/>
            <w:tcBorders>
              <w:top w:val="nil"/>
              <w:left w:val="nil"/>
              <w:right w:val="nil"/>
            </w:tcBorders>
          </w:tcPr>
          <w:p w:rsidR="006F5C16" w:rsidRPr="00146B5E" w:rsidRDefault="006F5C16" w:rsidP="00E06914">
            <w:pPr>
              <w:pStyle w:val="TableLeft"/>
              <w:jc w:val="center"/>
              <w:rPr>
                <w:rFonts w:ascii="Arial Narrow" w:hAnsi="Arial Narrow"/>
                <w:sz w:val="20"/>
                <w:szCs w:val="20"/>
                <w:lang w:val="en-AU"/>
              </w:rPr>
            </w:pPr>
            <w:r w:rsidRPr="00146B5E">
              <w:rPr>
                <w:rFonts w:ascii="Arial Narrow" w:hAnsi="Arial Narrow"/>
                <w:sz w:val="20"/>
                <w:szCs w:val="20"/>
                <w:lang w:val="en-AU"/>
              </w:rPr>
              <w:t>2</w:t>
            </w:r>
          </w:p>
        </w:tc>
        <w:tc>
          <w:tcPr>
            <w:tcW w:w="581" w:type="pct"/>
            <w:tcBorders>
              <w:top w:val="nil"/>
              <w:left w:val="nil"/>
              <w:right w:val="nil"/>
            </w:tcBorders>
          </w:tcPr>
          <w:p w:rsidR="006F5C16" w:rsidRPr="00146B5E" w:rsidRDefault="006F5C16" w:rsidP="00E06914">
            <w:pPr>
              <w:pStyle w:val="TableLeft"/>
              <w:jc w:val="center"/>
              <w:rPr>
                <w:rFonts w:ascii="Arial Narrow" w:hAnsi="Arial Narrow"/>
                <w:sz w:val="20"/>
                <w:szCs w:val="20"/>
                <w:lang w:val="en-AU"/>
              </w:rPr>
            </w:pPr>
            <w:r w:rsidRPr="00146B5E">
              <w:rPr>
                <w:rFonts w:ascii="Arial Narrow" w:hAnsi="Arial Narrow"/>
                <w:sz w:val="20"/>
                <w:szCs w:val="20"/>
                <w:lang w:val="en-AU"/>
              </w:rPr>
              <w:t>2</w:t>
            </w:r>
          </w:p>
        </w:tc>
        <w:tc>
          <w:tcPr>
            <w:tcW w:w="669" w:type="pct"/>
            <w:tcBorders>
              <w:top w:val="nil"/>
              <w:left w:val="nil"/>
              <w:right w:val="nil"/>
            </w:tcBorders>
          </w:tcPr>
          <w:p w:rsidR="006F5C16" w:rsidRPr="00146B5E" w:rsidRDefault="006F5C16" w:rsidP="00E06914">
            <w:pPr>
              <w:pStyle w:val="TableLeft"/>
              <w:jc w:val="center"/>
              <w:rPr>
                <w:rFonts w:ascii="Arial Narrow" w:hAnsi="Arial Narrow"/>
                <w:sz w:val="20"/>
                <w:szCs w:val="20"/>
                <w:lang w:val="en-AU"/>
              </w:rPr>
            </w:pPr>
            <w:r w:rsidRPr="00146B5E">
              <w:rPr>
                <w:rFonts w:ascii="Arial Narrow" w:hAnsi="Arial Narrow"/>
                <w:sz w:val="20"/>
                <w:szCs w:val="20"/>
                <w:lang w:val="en-AU"/>
              </w:rPr>
              <w:t>0</w:t>
            </w:r>
          </w:p>
        </w:tc>
        <w:tc>
          <w:tcPr>
            <w:tcW w:w="1191" w:type="pct"/>
            <w:vMerge/>
            <w:tcBorders>
              <w:top w:val="nil"/>
              <w:left w:val="nil"/>
              <w:right w:val="nil"/>
            </w:tcBorders>
            <w:vAlign w:val="center"/>
          </w:tcPr>
          <w:p w:rsidR="006F5C16" w:rsidRPr="00146B5E" w:rsidRDefault="006F5C16" w:rsidP="00E06914">
            <w:pPr>
              <w:jc w:val="center"/>
              <w:rPr>
                <w:rFonts w:ascii="Arial Narrow" w:hAnsi="Arial Narrow"/>
                <w:sz w:val="20"/>
                <w:szCs w:val="20"/>
                <w:lang w:val="en-AU"/>
              </w:rPr>
            </w:pPr>
          </w:p>
        </w:tc>
      </w:tr>
      <w:bookmarkEnd w:id="30"/>
    </w:tbl>
    <w:p w:rsidR="00E06914" w:rsidRPr="00146B5E" w:rsidRDefault="00E06914" w:rsidP="00E06914">
      <w:pPr>
        <w:rPr>
          <w:rFonts w:ascii="Arial Narrow" w:hAnsi="Arial Narrow"/>
          <w:sz w:val="20"/>
          <w:szCs w:val="20"/>
        </w:rPr>
      </w:pPr>
    </w:p>
    <w:p w:rsidR="00E06914" w:rsidRPr="00146B5E" w:rsidRDefault="00E06914" w:rsidP="00E06914">
      <w:pPr>
        <w:rPr>
          <w:rFonts w:ascii="Arial Narrow" w:hAnsi="Arial Narrow"/>
          <w:b/>
          <w:sz w:val="20"/>
          <w:szCs w:val="20"/>
        </w:rPr>
      </w:pPr>
      <w:r w:rsidRPr="00146B5E">
        <w:rPr>
          <w:rFonts w:ascii="Arial Narrow" w:hAnsi="Arial Narrow"/>
          <w:b/>
          <w:sz w:val="20"/>
          <w:szCs w:val="20"/>
        </w:rPr>
        <w:t>Restriction Summary 8821 / ToC: 5178 (reverse/undo sponsor proposed changes back to original details):</w:t>
      </w:r>
    </w:p>
    <w:tbl>
      <w:tblPr>
        <w:tblW w:w="5000" w:type="pct"/>
        <w:tblLook w:val="0000" w:firstRow="0" w:lastRow="0" w:firstColumn="0" w:lastColumn="0" w:noHBand="0" w:noVBand="0"/>
      </w:tblPr>
      <w:tblGrid>
        <w:gridCol w:w="1129"/>
        <w:gridCol w:w="7888"/>
      </w:tblGrid>
      <w:tr w:rsidR="00E06914" w:rsidRPr="00146B5E" w:rsidTr="00B13C4C">
        <w:trPr>
          <w:cantSplit/>
          <w:trHeight w:val="147"/>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bookmarkStart w:id="31" w:name="_Hlk34120899"/>
            <w:r w:rsidRPr="00146B5E">
              <w:rPr>
                <w:rFonts w:ascii="Arial Narrow" w:hAnsi="Arial Narrow"/>
                <w:b/>
                <w:sz w:val="20"/>
                <w:szCs w:val="20"/>
              </w:rPr>
              <w:t>Concept ID</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 xml:space="preserve">Category / Program: </w:t>
            </w:r>
            <w:r w:rsidRPr="00146B5E">
              <w:rPr>
                <w:rFonts w:ascii="Arial Narrow" w:hAnsi="Arial Narrow"/>
                <w:sz w:val="20"/>
                <w:szCs w:val="20"/>
              </w:rPr>
              <w:t>Section 100 – Botulinum Toxin Program</w:t>
            </w:r>
          </w:p>
        </w:tc>
      </w:tr>
      <w:tr w:rsidR="00E06914" w:rsidRPr="00146B5E" w:rsidTr="00D82CE2">
        <w:trPr>
          <w:cantSplit/>
          <w:trHeight w:val="121"/>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sz w:val="20"/>
                <w:szCs w:val="20"/>
              </w:rPr>
            </w:pPr>
            <w:r w:rsidRPr="00146B5E">
              <w:rPr>
                <w:rFonts w:ascii="Arial Narrow" w:hAnsi="Arial Narrow"/>
                <w:b/>
                <w:sz w:val="20"/>
                <w:szCs w:val="20"/>
              </w:rPr>
              <w:t xml:space="preserve">Prescriber type: </w:t>
            </w:r>
            <w:r w:rsidRPr="00146B5E">
              <w:rPr>
                <w:rFonts w:ascii="Arial Narrow" w:hAnsi="Arial Narrow"/>
                <w:sz w:val="20"/>
                <w:szCs w:val="20"/>
              </w:rPr>
              <w:fldChar w:fldCharType="begin">
                <w:ffData>
                  <w:name w:val="Check1"/>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Dental</w:t>
            </w:r>
            <w:r w:rsidR="00A87288" w:rsidRPr="00146B5E">
              <w:rPr>
                <w:rFonts w:ascii="Arial Narrow" w:hAnsi="Arial Narrow"/>
                <w:sz w:val="20"/>
                <w:szCs w:val="20"/>
              </w:rPr>
              <w:t xml:space="preserve"> </w:t>
            </w:r>
            <w:r w:rsidRPr="00146B5E">
              <w:rPr>
                <w:rFonts w:ascii="Arial Narrow" w:hAnsi="Arial Narrow"/>
                <w:sz w:val="20"/>
                <w:szCs w:val="20"/>
              </w:rPr>
              <w:fldChar w:fldCharType="begin">
                <w:ffData>
                  <w:name w:val=""/>
                  <w:enabled/>
                  <w:calcOnExit w:val="0"/>
                  <w:checkBox>
                    <w:sizeAuto/>
                    <w:default w:val="1"/>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Medical Practitioners </w:t>
            </w:r>
            <w:r w:rsidRPr="00146B5E">
              <w:rPr>
                <w:rFonts w:ascii="Arial Narrow" w:hAnsi="Arial Narrow"/>
                <w:sz w:val="20"/>
                <w:szCs w:val="20"/>
              </w:rPr>
              <w:fldChar w:fldCharType="begin">
                <w:ffData>
                  <w:name w:val="Check3"/>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Nurse practitioners </w:t>
            </w:r>
            <w:r w:rsidRPr="00146B5E">
              <w:rPr>
                <w:rFonts w:ascii="Arial Narrow" w:hAnsi="Arial Narrow"/>
                <w:sz w:val="20"/>
                <w:szCs w:val="20"/>
              </w:rPr>
              <w:fldChar w:fldCharType="begin">
                <w:ffData>
                  <w:name w:val=""/>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Optometrists </w:t>
            </w:r>
            <w:r w:rsidRPr="00146B5E">
              <w:rPr>
                <w:rFonts w:ascii="Arial Narrow" w:hAnsi="Arial Narrow"/>
                <w:sz w:val="20"/>
                <w:szCs w:val="20"/>
              </w:rPr>
              <w:fldChar w:fldCharType="begin">
                <w:ffData>
                  <w:name w:val="Check5"/>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Midwives</w:t>
            </w:r>
          </w:p>
        </w:tc>
      </w:tr>
      <w:tr w:rsidR="00E06914" w:rsidRPr="00146B5E" w:rsidTr="00D82CE2">
        <w:trPr>
          <w:cantSplit/>
          <w:trHeight w:val="98"/>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263900">
            <w:pPr>
              <w:pStyle w:val="TableTextleftalign"/>
              <w:spacing w:after="0"/>
              <w:rPr>
                <w:rFonts w:ascii="Arial Narrow" w:hAnsi="Arial Narrow"/>
                <w:sz w:val="20"/>
                <w:szCs w:val="20"/>
              </w:rPr>
            </w:pPr>
            <w:r w:rsidRPr="00146B5E">
              <w:rPr>
                <w:rFonts w:ascii="Arial Narrow" w:hAnsi="Arial Narrow"/>
                <w:b/>
                <w:sz w:val="20"/>
                <w:szCs w:val="20"/>
              </w:rPr>
              <w:t xml:space="preserve">Restriction </w:t>
            </w:r>
            <w:r w:rsidR="00263900" w:rsidRPr="00146B5E">
              <w:rPr>
                <w:rFonts w:ascii="Arial Narrow" w:hAnsi="Arial Narrow"/>
                <w:b/>
                <w:sz w:val="20"/>
                <w:szCs w:val="20"/>
              </w:rPr>
              <w:t>Type</w:t>
            </w:r>
            <w:r w:rsidRPr="00146B5E">
              <w:rPr>
                <w:rFonts w:ascii="Arial Narrow" w:hAnsi="Arial Narrow"/>
                <w:b/>
                <w:sz w:val="20"/>
                <w:szCs w:val="20"/>
              </w:rPr>
              <w:t>/ Method:</w:t>
            </w:r>
            <w:r w:rsidRPr="00146B5E">
              <w:rPr>
                <w:rFonts w:ascii="Arial Narrow" w:hAnsi="Arial Narrow"/>
                <w:sz w:val="20"/>
                <w:szCs w:val="20"/>
              </w:rPr>
              <w:t xml:space="preserve"> </w:t>
            </w:r>
            <w:r w:rsidRPr="00146B5E">
              <w:rPr>
                <w:rFonts w:ascii="Arial Narrow" w:hAnsi="Arial Narrow"/>
                <w:sz w:val="20"/>
                <w:szCs w:val="20"/>
              </w:rPr>
              <w:fldChar w:fldCharType="begin">
                <w:ffData>
                  <w:name w:val="Check3"/>
                  <w:enabled/>
                  <w:calcOnExit w:val="0"/>
                  <w:checkBox>
                    <w:sizeAuto/>
                    <w:default w:val="1"/>
                  </w:checkBox>
                </w:ffData>
              </w:fldChar>
            </w:r>
            <w:bookmarkStart w:id="32" w:name="Check3"/>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bookmarkEnd w:id="32"/>
            <w:r w:rsidRPr="00146B5E">
              <w:rPr>
                <w:rFonts w:ascii="Arial Narrow" w:hAnsi="Arial Narrow"/>
                <w:sz w:val="20"/>
                <w:szCs w:val="20"/>
              </w:rPr>
              <w:t xml:space="preserve"> Authority Required – Streamlined (5178)</w:t>
            </w:r>
          </w:p>
        </w:tc>
      </w:tr>
      <w:tr w:rsidR="00E06914" w:rsidRPr="00146B5E" w:rsidTr="00B13C4C">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9448CA">
            <w:pPr>
              <w:pStyle w:val="TableTextleftalign"/>
              <w:spacing w:after="0"/>
              <w:rPr>
                <w:rFonts w:ascii="Arial Narrow" w:hAnsi="Arial Narrow"/>
                <w:strike/>
                <w:sz w:val="20"/>
                <w:szCs w:val="20"/>
              </w:rPr>
            </w:pPr>
            <w:r w:rsidRPr="00146B5E">
              <w:rPr>
                <w:rFonts w:ascii="Arial Narrow" w:hAnsi="Arial Narrow"/>
                <w:b/>
                <w:sz w:val="20"/>
                <w:szCs w:val="20"/>
              </w:rPr>
              <w:t xml:space="preserve">Episodicity: </w:t>
            </w:r>
            <w:r w:rsidRPr="00146B5E">
              <w:rPr>
                <w:rFonts w:ascii="Arial Narrow" w:hAnsi="Arial Narrow"/>
                <w:sz w:val="20"/>
                <w:szCs w:val="20"/>
              </w:rPr>
              <w:t>[nil]</w:t>
            </w:r>
          </w:p>
        </w:tc>
      </w:tr>
      <w:tr w:rsidR="00E06914" w:rsidRPr="00146B5E" w:rsidTr="00B13C4C">
        <w:trPr>
          <w:cantSplit/>
          <w:trHeight w:val="189"/>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 xml:space="preserve">Severity: </w:t>
            </w:r>
            <w:r w:rsidRPr="00146B5E">
              <w:rPr>
                <w:rFonts w:ascii="Arial Narrow" w:hAnsi="Arial Narrow"/>
                <w:sz w:val="20"/>
                <w:szCs w:val="20"/>
              </w:rPr>
              <w:t>Moderate to severe</w:t>
            </w:r>
          </w:p>
        </w:tc>
      </w:tr>
      <w:tr w:rsidR="00E06914" w:rsidRPr="00146B5E" w:rsidTr="00B13C4C">
        <w:trPr>
          <w:cantSplit/>
          <w:trHeight w:val="107"/>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9448CA">
            <w:pPr>
              <w:pStyle w:val="TableTextleftalign"/>
              <w:spacing w:after="0"/>
              <w:rPr>
                <w:rFonts w:ascii="Arial Narrow" w:hAnsi="Arial Narrow"/>
                <w:sz w:val="20"/>
                <w:szCs w:val="20"/>
              </w:rPr>
            </w:pPr>
            <w:r w:rsidRPr="00146B5E">
              <w:rPr>
                <w:rFonts w:ascii="Arial Narrow" w:hAnsi="Arial Narrow"/>
                <w:b/>
                <w:sz w:val="20"/>
                <w:szCs w:val="20"/>
              </w:rPr>
              <w:t>Condition:</w:t>
            </w:r>
            <w:r w:rsidRPr="00146B5E">
              <w:rPr>
                <w:rFonts w:ascii="Arial Narrow" w:hAnsi="Arial Narrow"/>
                <w:b/>
                <w:strike/>
                <w:sz w:val="20"/>
                <w:szCs w:val="20"/>
              </w:rPr>
              <w:t xml:space="preserve"> </w:t>
            </w:r>
            <w:r w:rsidRPr="00146B5E">
              <w:rPr>
                <w:rFonts w:ascii="Arial Narrow" w:hAnsi="Arial Narrow"/>
                <w:sz w:val="20"/>
                <w:szCs w:val="20"/>
              </w:rPr>
              <w:t xml:space="preserve">spasticity of the upper limb </w:t>
            </w:r>
          </w:p>
        </w:tc>
      </w:tr>
      <w:tr w:rsidR="00E06914" w:rsidRPr="00146B5E" w:rsidTr="00B13C4C">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9102</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 xml:space="preserve">PBS Indication: </w:t>
            </w:r>
            <w:r w:rsidRPr="00146B5E">
              <w:rPr>
                <w:rFonts w:ascii="Arial Narrow" w:hAnsi="Arial Narrow"/>
                <w:sz w:val="20"/>
                <w:szCs w:val="20"/>
              </w:rPr>
              <w:t>Moderate to severe spasticity of the upper limb</w:t>
            </w:r>
          </w:p>
        </w:tc>
      </w:tr>
      <w:tr w:rsidR="00E06914" w:rsidRPr="00146B5E" w:rsidTr="00B13C4C">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9104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i/>
                <w:sz w:val="20"/>
                <w:szCs w:val="20"/>
              </w:rPr>
            </w:pPr>
            <w:r w:rsidRPr="00146B5E">
              <w:rPr>
                <w:rFonts w:ascii="Arial Narrow" w:hAnsi="Arial Narrow"/>
                <w:b/>
                <w:sz w:val="20"/>
                <w:szCs w:val="20"/>
              </w:rPr>
              <w:t>Clinical criteria:</w:t>
            </w:r>
          </w:p>
        </w:tc>
      </w:tr>
      <w:tr w:rsidR="00E06914" w:rsidRPr="00146B5E" w:rsidTr="00B13C4C">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9103</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Patient must have cerebral palsy</w:t>
            </w:r>
          </w:p>
        </w:tc>
      </w:tr>
      <w:tr w:rsidR="00E06914" w:rsidRPr="00146B5E" w:rsidTr="00B13C4C">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sz w:val="20"/>
                <w:szCs w:val="20"/>
              </w:rPr>
            </w:pPr>
            <w:r w:rsidRPr="00146B5E">
              <w:rPr>
                <w:rFonts w:ascii="Arial Narrow" w:hAnsi="Arial Narrow"/>
                <w:b/>
                <w:sz w:val="20"/>
                <w:szCs w:val="20"/>
              </w:rPr>
              <w:t>Population criteria:</w:t>
            </w:r>
          </w:p>
        </w:tc>
      </w:tr>
      <w:tr w:rsidR="00E06914" w:rsidRPr="00146B5E" w:rsidTr="00B13C4C">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lang w:bidi="en-US"/>
              </w:rPr>
            </w:pPr>
            <w:r w:rsidRPr="00146B5E">
              <w:rPr>
                <w:rFonts w:ascii="Arial Narrow" w:hAnsi="Arial Narrow"/>
                <w:sz w:val="20"/>
                <w:szCs w:val="20"/>
                <w:lang w:bidi="en-US"/>
              </w:rPr>
              <w:t>Patient must be aged from 2 to 17 years inclusive;</w:t>
            </w:r>
            <w:r w:rsidRPr="00146B5E">
              <w:rPr>
                <w:rFonts w:ascii="Arial Narrow" w:hAnsi="Arial Narrow"/>
                <w:strike/>
                <w:sz w:val="20"/>
                <w:szCs w:val="20"/>
                <w:lang w:bidi="en-US"/>
              </w:rPr>
              <w:t xml:space="preserve"> or</w:t>
            </w:r>
          </w:p>
        </w:tc>
      </w:tr>
      <w:tr w:rsidR="00E06914" w:rsidRPr="00146B5E" w:rsidTr="00B13C4C">
        <w:trPr>
          <w:cantSplit/>
          <w:trHeight w:val="223"/>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15241</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i/>
                <w:sz w:val="20"/>
                <w:szCs w:val="20"/>
              </w:rPr>
            </w:pPr>
            <w:r w:rsidRPr="00146B5E">
              <w:rPr>
                <w:rFonts w:ascii="Arial Narrow" w:hAnsi="Arial Narrow"/>
                <w:b/>
                <w:sz w:val="20"/>
                <w:szCs w:val="20"/>
              </w:rPr>
              <w:t>Treatment criteria:</w:t>
            </w:r>
          </w:p>
        </w:tc>
      </w:tr>
      <w:tr w:rsidR="00E06914" w:rsidRPr="00146B5E" w:rsidTr="00B13C4C">
        <w:trPr>
          <w:cantSplit/>
          <w:trHeight w:val="95"/>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8656</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neurologist; or</w:t>
            </w:r>
          </w:p>
        </w:tc>
      </w:tr>
      <w:tr w:rsidR="00E06914" w:rsidRPr="00146B5E" w:rsidTr="00B13C4C">
        <w:trPr>
          <w:cantSplit/>
          <w:trHeight w:val="141"/>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15213</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an orthopaedic surgeon; or</w:t>
            </w:r>
          </w:p>
        </w:tc>
      </w:tr>
      <w:tr w:rsidR="00E06914" w:rsidRPr="00146B5E" w:rsidTr="00B13C4C">
        <w:trPr>
          <w:cantSplit/>
          <w:trHeight w:val="60"/>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10064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paediatrician; or</w:t>
            </w:r>
          </w:p>
        </w:tc>
      </w:tr>
      <w:tr w:rsidR="00E06914" w:rsidRPr="00146B5E" w:rsidTr="00B13C4C">
        <w:trPr>
          <w:cantSplit/>
          <w:trHeight w:val="219"/>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15214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rehabilitation specialist; or</w:t>
            </w:r>
          </w:p>
        </w:tc>
      </w:tr>
      <w:tr w:rsidR="00E06914" w:rsidRPr="00146B5E" w:rsidTr="00B13C4C">
        <w:trPr>
          <w:cantSplit/>
          <w:trHeight w:val="123"/>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15196</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plastic surgeon</w:t>
            </w:r>
          </w:p>
        </w:tc>
      </w:tr>
      <w:tr w:rsidR="00E06914" w:rsidRPr="00146B5E" w:rsidTr="00B13C4C">
        <w:trPr>
          <w:cantSplit/>
          <w:trHeight w:val="119"/>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15277</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Cautions:</w:t>
            </w:r>
            <w:r w:rsidRPr="00146B5E">
              <w:rPr>
                <w:rFonts w:ascii="Arial Narrow" w:hAnsi="Arial Narrow"/>
                <w:sz w:val="20"/>
                <w:szCs w:val="20"/>
              </w:rPr>
              <w:t xml:space="preserve"> Contraindications to treatment include known sensitivity to botulinum toxin</w:t>
            </w:r>
          </w:p>
        </w:tc>
      </w:tr>
      <w:tr w:rsidR="00E06914" w:rsidRPr="00146B5E" w:rsidTr="00B13C4C">
        <w:trPr>
          <w:cantSplit/>
          <w:trHeight w:val="360"/>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9806</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Administrative Advice:</w:t>
            </w:r>
            <w:r w:rsidRPr="00146B5E">
              <w:rPr>
                <w:rFonts w:ascii="Arial Narrow" w:hAnsi="Arial Narrow"/>
                <w:sz w:val="20"/>
                <w:szCs w:val="20"/>
              </w:rPr>
              <w:t xml:space="preserve"> The units used to express the potency of botulinum toxin preparations currently available for PBS subsidy are not equivalent</w:t>
            </w:r>
          </w:p>
        </w:tc>
      </w:tr>
      <w:bookmarkEnd w:id="31"/>
    </w:tbl>
    <w:p w:rsidR="00E06914" w:rsidRPr="00146B5E" w:rsidRDefault="00E06914" w:rsidP="00E06914">
      <w:pPr>
        <w:rPr>
          <w:rFonts w:ascii="Arial Narrow" w:hAnsi="Arial Narrow"/>
          <w:sz w:val="20"/>
          <w:szCs w:val="20"/>
        </w:rPr>
      </w:pPr>
    </w:p>
    <w:p w:rsidR="00E06914" w:rsidRPr="00146B5E" w:rsidRDefault="00E06914" w:rsidP="00E06914">
      <w:pPr>
        <w:rPr>
          <w:rFonts w:ascii="Arial Narrow" w:hAnsi="Arial Narrow"/>
          <w:b/>
          <w:sz w:val="20"/>
          <w:szCs w:val="20"/>
        </w:rPr>
      </w:pPr>
      <w:r w:rsidRPr="00146B5E">
        <w:rPr>
          <w:rFonts w:ascii="Arial Narrow" w:hAnsi="Arial Narrow"/>
          <w:b/>
          <w:sz w:val="20"/>
          <w:szCs w:val="20"/>
        </w:rPr>
        <w:t>Restriction Summary 8928 / ToC: 8929 edited:</w:t>
      </w:r>
    </w:p>
    <w:tbl>
      <w:tblPr>
        <w:tblW w:w="5000" w:type="pct"/>
        <w:tblLook w:val="0000" w:firstRow="0" w:lastRow="0" w:firstColumn="0" w:lastColumn="0" w:noHBand="0" w:noVBand="0"/>
      </w:tblPr>
      <w:tblGrid>
        <w:gridCol w:w="1129"/>
        <w:gridCol w:w="7888"/>
      </w:tblGrid>
      <w:tr w:rsidR="00E06914" w:rsidRPr="00146B5E" w:rsidTr="00E06914">
        <w:trPr>
          <w:cantSplit/>
          <w:trHeight w:val="147"/>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r w:rsidRPr="00146B5E">
              <w:rPr>
                <w:rFonts w:ascii="Arial Narrow" w:hAnsi="Arial Narrow"/>
                <w:b/>
                <w:sz w:val="20"/>
                <w:szCs w:val="20"/>
              </w:rPr>
              <w:t>Concept ID</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 xml:space="preserve">Category / Program: </w:t>
            </w:r>
            <w:r w:rsidRPr="00146B5E">
              <w:rPr>
                <w:rFonts w:ascii="Arial Narrow" w:hAnsi="Arial Narrow"/>
                <w:sz w:val="20"/>
                <w:szCs w:val="20"/>
              </w:rPr>
              <w:t>Section 100 – Botulinum Toxin Program</w:t>
            </w:r>
          </w:p>
        </w:tc>
      </w:tr>
      <w:tr w:rsidR="00E06914" w:rsidRPr="00146B5E" w:rsidTr="00D82CE2">
        <w:trPr>
          <w:cantSplit/>
          <w:trHeight w:val="53"/>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sz w:val="20"/>
                <w:szCs w:val="20"/>
              </w:rPr>
            </w:pPr>
            <w:r w:rsidRPr="00146B5E">
              <w:rPr>
                <w:rFonts w:ascii="Arial Narrow" w:hAnsi="Arial Narrow"/>
                <w:b/>
                <w:sz w:val="20"/>
                <w:szCs w:val="20"/>
              </w:rPr>
              <w:t xml:space="preserve">Prescriber type: </w:t>
            </w:r>
            <w:r w:rsidRPr="00146B5E">
              <w:rPr>
                <w:rFonts w:ascii="Arial Narrow" w:hAnsi="Arial Narrow"/>
                <w:sz w:val="20"/>
                <w:szCs w:val="20"/>
              </w:rPr>
              <w:fldChar w:fldCharType="begin">
                <w:ffData>
                  <w:name w:val="Check1"/>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Dental</w:t>
            </w:r>
            <w:r w:rsidR="00A87288" w:rsidRPr="00146B5E">
              <w:rPr>
                <w:rFonts w:ascii="Arial Narrow" w:hAnsi="Arial Narrow"/>
                <w:sz w:val="20"/>
                <w:szCs w:val="20"/>
              </w:rPr>
              <w:t xml:space="preserve"> </w:t>
            </w:r>
            <w:r w:rsidRPr="00146B5E">
              <w:rPr>
                <w:rFonts w:ascii="Arial Narrow" w:hAnsi="Arial Narrow"/>
                <w:sz w:val="20"/>
                <w:szCs w:val="20"/>
              </w:rPr>
              <w:fldChar w:fldCharType="begin">
                <w:ffData>
                  <w:name w:val=""/>
                  <w:enabled/>
                  <w:calcOnExit w:val="0"/>
                  <w:checkBox>
                    <w:sizeAuto/>
                    <w:default w:val="1"/>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Medical Practitioners </w:t>
            </w:r>
            <w:r w:rsidRPr="00146B5E">
              <w:rPr>
                <w:rFonts w:ascii="Arial Narrow" w:hAnsi="Arial Narrow"/>
                <w:sz w:val="20"/>
                <w:szCs w:val="20"/>
              </w:rPr>
              <w:fldChar w:fldCharType="begin">
                <w:ffData>
                  <w:name w:val="Check3"/>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Nurse practitioners </w:t>
            </w:r>
            <w:r w:rsidRPr="00146B5E">
              <w:rPr>
                <w:rFonts w:ascii="Arial Narrow" w:hAnsi="Arial Narrow"/>
                <w:sz w:val="20"/>
                <w:szCs w:val="20"/>
              </w:rPr>
              <w:fldChar w:fldCharType="begin">
                <w:ffData>
                  <w:name w:val=""/>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Optometrists </w:t>
            </w:r>
            <w:r w:rsidRPr="00146B5E">
              <w:rPr>
                <w:rFonts w:ascii="Arial Narrow" w:hAnsi="Arial Narrow"/>
                <w:sz w:val="20"/>
                <w:szCs w:val="20"/>
              </w:rPr>
              <w:fldChar w:fldCharType="begin">
                <w:ffData>
                  <w:name w:val="Check5"/>
                  <w:enabled/>
                  <w:calcOnExit w:val="0"/>
                  <w:checkBox>
                    <w:sizeAuto/>
                    <w:default w:val="0"/>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Midwives</w:t>
            </w:r>
          </w:p>
        </w:tc>
      </w:tr>
      <w:tr w:rsidR="00E06914" w:rsidRPr="00146B5E" w:rsidTr="00F26149">
        <w:trPr>
          <w:cantSplit/>
          <w:trHeight w:val="121"/>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b/>
                <w:sz w:val="20"/>
                <w:szCs w:val="20"/>
              </w:rPr>
            </w:pP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263900">
            <w:pPr>
              <w:pStyle w:val="TableTextleftalign"/>
              <w:spacing w:after="0"/>
              <w:rPr>
                <w:rFonts w:ascii="Arial Narrow" w:hAnsi="Arial Narrow"/>
                <w:sz w:val="20"/>
                <w:szCs w:val="20"/>
              </w:rPr>
            </w:pPr>
            <w:r w:rsidRPr="00146B5E">
              <w:rPr>
                <w:rFonts w:ascii="Arial Narrow" w:hAnsi="Arial Narrow"/>
                <w:b/>
                <w:sz w:val="20"/>
                <w:szCs w:val="20"/>
              </w:rPr>
              <w:t xml:space="preserve">Restriction </w:t>
            </w:r>
            <w:r w:rsidR="00263900" w:rsidRPr="00146B5E">
              <w:rPr>
                <w:rFonts w:ascii="Arial Narrow" w:hAnsi="Arial Narrow"/>
                <w:b/>
                <w:sz w:val="20"/>
                <w:szCs w:val="20"/>
              </w:rPr>
              <w:t xml:space="preserve">Type  </w:t>
            </w:r>
            <w:r w:rsidRPr="00146B5E">
              <w:rPr>
                <w:rFonts w:ascii="Arial Narrow" w:hAnsi="Arial Narrow"/>
                <w:b/>
                <w:sz w:val="20"/>
                <w:szCs w:val="20"/>
              </w:rPr>
              <w:t>/ Method:</w:t>
            </w:r>
            <w:r w:rsidRPr="00146B5E">
              <w:rPr>
                <w:rFonts w:ascii="Arial Narrow" w:hAnsi="Arial Narrow"/>
                <w:sz w:val="20"/>
                <w:szCs w:val="20"/>
              </w:rPr>
              <w:t xml:space="preserve"> </w:t>
            </w:r>
            <w:r w:rsidRPr="00146B5E">
              <w:rPr>
                <w:rFonts w:ascii="Arial Narrow" w:hAnsi="Arial Narrow"/>
                <w:sz w:val="20"/>
                <w:szCs w:val="20"/>
              </w:rPr>
              <w:fldChar w:fldCharType="begin">
                <w:ffData>
                  <w:name w:val="Check3"/>
                  <w:enabled/>
                  <w:calcOnExit w:val="0"/>
                  <w:checkBox>
                    <w:sizeAuto/>
                    <w:default w:val="1"/>
                  </w:checkBox>
                </w:ffData>
              </w:fldChar>
            </w:r>
            <w:r w:rsidRPr="00146B5E">
              <w:rPr>
                <w:rFonts w:ascii="Arial Narrow" w:hAnsi="Arial Narrow"/>
                <w:sz w:val="20"/>
                <w:szCs w:val="20"/>
              </w:rPr>
              <w:instrText xml:space="preserve"> FORMCHECKBOX </w:instrText>
            </w:r>
            <w:r w:rsidR="00AC0F2C">
              <w:rPr>
                <w:rFonts w:ascii="Arial Narrow" w:hAnsi="Arial Narrow"/>
                <w:sz w:val="20"/>
                <w:szCs w:val="20"/>
              </w:rPr>
            </w:r>
            <w:r w:rsidR="00AC0F2C">
              <w:rPr>
                <w:rFonts w:ascii="Arial Narrow" w:hAnsi="Arial Narrow"/>
                <w:sz w:val="20"/>
                <w:szCs w:val="20"/>
              </w:rPr>
              <w:fldChar w:fldCharType="separate"/>
            </w:r>
            <w:r w:rsidRPr="00146B5E">
              <w:rPr>
                <w:rFonts w:ascii="Arial Narrow" w:hAnsi="Arial Narrow"/>
                <w:sz w:val="20"/>
                <w:szCs w:val="20"/>
              </w:rPr>
              <w:fldChar w:fldCharType="end"/>
            </w:r>
            <w:r w:rsidRPr="00146B5E">
              <w:rPr>
                <w:rFonts w:ascii="Arial Narrow" w:hAnsi="Arial Narrow"/>
                <w:sz w:val="20"/>
                <w:szCs w:val="20"/>
              </w:rPr>
              <w:t xml:space="preserve"> Authority Required – Streamlined (8929)</w:t>
            </w:r>
          </w:p>
        </w:tc>
      </w:tr>
      <w:tr w:rsidR="00E06914" w:rsidRPr="00146B5E" w:rsidTr="00E06914">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9102</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 xml:space="preserve">PBS Indication: </w:t>
            </w:r>
            <w:r w:rsidRPr="00146B5E">
              <w:rPr>
                <w:rFonts w:ascii="Arial Narrow" w:hAnsi="Arial Narrow"/>
                <w:sz w:val="20"/>
                <w:szCs w:val="20"/>
              </w:rPr>
              <w:t>Moderate to severe spasticity of the upper limb</w:t>
            </w:r>
          </w:p>
        </w:tc>
      </w:tr>
      <w:tr w:rsidR="00E06914" w:rsidRPr="00146B5E" w:rsidTr="00E06914">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9104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i/>
                <w:sz w:val="20"/>
                <w:szCs w:val="20"/>
              </w:rPr>
            </w:pPr>
            <w:r w:rsidRPr="00146B5E">
              <w:rPr>
                <w:rFonts w:ascii="Arial Narrow" w:hAnsi="Arial Narrow"/>
                <w:b/>
                <w:sz w:val="20"/>
                <w:szCs w:val="20"/>
              </w:rPr>
              <w:t>Clinical criteria:</w:t>
            </w:r>
          </w:p>
        </w:tc>
      </w:tr>
      <w:tr w:rsidR="00E06914" w:rsidRPr="00146B5E" w:rsidTr="00E06914">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9103</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Patient must have cerebral palsy</w:t>
            </w:r>
          </w:p>
        </w:tc>
      </w:tr>
      <w:tr w:rsidR="00E06914" w:rsidRPr="00146B5E" w:rsidTr="00E06914">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8384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sz w:val="20"/>
                <w:szCs w:val="20"/>
              </w:rPr>
            </w:pPr>
            <w:r w:rsidRPr="00146B5E">
              <w:rPr>
                <w:rFonts w:ascii="Arial Narrow" w:hAnsi="Arial Narrow"/>
                <w:b/>
                <w:sz w:val="20"/>
                <w:szCs w:val="20"/>
              </w:rPr>
              <w:t>Population criteria:</w:t>
            </w:r>
          </w:p>
        </w:tc>
      </w:tr>
      <w:tr w:rsidR="00E06914" w:rsidRPr="00146B5E" w:rsidTr="00E06914">
        <w:trPr>
          <w:cantSplit/>
          <w:trHeight w:val="64"/>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8383</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lang w:bidi="en-US"/>
              </w:rPr>
            </w:pPr>
            <w:r w:rsidRPr="00146B5E">
              <w:rPr>
                <w:rFonts w:ascii="Arial Narrow" w:hAnsi="Arial Narrow"/>
                <w:sz w:val="20"/>
                <w:szCs w:val="20"/>
                <w:lang w:bidi="en-US"/>
              </w:rPr>
              <w:t>Patient must be aged 18 years or older</w:t>
            </w:r>
          </w:p>
        </w:tc>
      </w:tr>
      <w:tr w:rsidR="00E06914" w:rsidRPr="00146B5E" w:rsidTr="00E06914">
        <w:trPr>
          <w:cantSplit/>
          <w:trHeight w:val="223"/>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trike/>
                <w:sz w:val="20"/>
                <w:szCs w:val="20"/>
              </w:rPr>
            </w:pPr>
            <w:r w:rsidRPr="00146B5E">
              <w:rPr>
                <w:rFonts w:ascii="Arial Narrow" w:hAnsi="Arial Narrow"/>
                <w:strike/>
                <w:sz w:val="20"/>
                <w:szCs w:val="20"/>
              </w:rPr>
              <w:t>15241</w:t>
            </w:r>
          </w:p>
          <w:p w:rsidR="00E06914" w:rsidRPr="00146B5E" w:rsidRDefault="00E06914" w:rsidP="00E06914">
            <w:pPr>
              <w:pStyle w:val="TableTextleftalign"/>
              <w:spacing w:after="0"/>
              <w:jc w:val="center"/>
              <w:rPr>
                <w:rFonts w:ascii="Arial Narrow" w:hAnsi="Arial Narrow"/>
                <w:i/>
                <w:sz w:val="20"/>
                <w:szCs w:val="20"/>
              </w:rPr>
            </w:pPr>
            <w:r w:rsidRPr="00146B5E">
              <w:rPr>
                <w:rFonts w:ascii="Arial Narrow" w:hAnsi="Arial Narrow"/>
                <w:i/>
                <w:sz w:val="20"/>
                <w:szCs w:val="20"/>
              </w:rPr>
              <w:t>15273</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b/>
                <w:i/>
                <w:sz w:val="20"/>
                <w:szCs w:val="20"/>
              </w:rPr>
            </w:pPr>
            <w:r w:rsidRPr="00146B5E">
              <w:rPr>
                <w:rFonts w:ascii="Arial Narrow" w:hAnsi="Arial Narrow"/>
                <w:b/>
                <w:sz w:val="20"/>
                <w:szCs w:val="20"/>
              </w:rPr>
              <w:t>Treatment criteria:</w:t>
            </w:r>
          </w:p>
        </w:tc>
      </w:tr>
      <w:tr w:rsidR="00E06914" w:rsidRPr="00146B5E" w:rsidTr="00E06914">
        <w:trPr>
          <w:cantSplit/>
          <w:trHeight w:val="66"/>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8656</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neurologist; or</w:t>
            </w:r>
          </w:p>
        </w:tc>
      </w:tr>
      <w:tr w:rsidR="00E06914" w:rsidRPr="00146B5E" w:rsidTr="00E06914">
        <w:trPr>
          <w:cantSplit/>
          <w:trHeight w:val="60"/>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15213</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an orthopaedic surgeon; or</w:t>
            </w:r>
          </w:p>
        </w:tc>
      </w:tr>
      <w:tr w:rsidR="00E06914" w:rsidRPr="00146B5E" w:rsidTr="00E06914">
        <w:trPr>
          <w:cantSplit/>
          <w:trHeight w:val="60"/>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lastRenderedPageBreak/>
              <w:t>10064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paediatrician; or</w:t>
            </w:r>
          </w:p>
        </w:tc>
      </w:tr>
      <w:tr w:rsidR="00E06914" w:rsidRPr="00146B5E" w:rsidTr="00E06914">
        <w:trPr>
          <w:cantSplit/>
          <w:trHeight w:val="60"/>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15214</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sz w:val="20"/>
                <w:szCs w:val="20"/>
              </w:rPr>
              <w:t>Must be treated by a rehabilitation specialist; or</w:t>
            </w:r>
          </w:p>
        </w:tc>
      </w:tr>
      <w:tr w:rsidR="00E06914" w:rsidRPr="00146B5E" w:rsidTr="00E06914">
        <w:trPr>
          <w:cantSplit/>
          <w:trHeight w:val="93"/>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15196</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i/>
                <w:sz w:val="20"/>
                <w:szCs w:val="20"/>
              </w:rPr>
            </w:pPr>
            <w:r w:rsidRPr="00146B5E">
              <w:rPr>
                <w:rFonts w:ascii="Arial Narrow" w:hAnsi="Arial Narrow"/>
                <w:sz w:val="20"/>
                <w:szCs w:val="20"/>
              </w:rPr>
              <w:t>Must be treated by a plastic surgeon</w:t>
            </w:r>
            <w:r w:rsidRPr="00146B5E">
              <w:rPr>
                <w:rFonts w:ascii="Arial Narrow" w:hAnsi="Arial Narrow"/>
                <w:i/>
                <w:sz w:val="20"/>
                <w:szCs w:val="20"/>
              </w:rPr>
              <w:t>; or</w:t>
            </w:r>
          </w:p>
        </w:tc>
      </w:tr>
      <w:tr w:rsidR="00E06914" w:rsidRPr="00146B5E" w:rsidTr="00E06914">
        <w:trPr>
          <w:cantSplit/>
          <w:trHeight w:val="119"/>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15277</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Cautions:</w:t>
            </w:r>
            <w:r w:rsidRPr="00146B5E">
              <w:rPr>
                <w:rFonts w:ascii="Arial Narrow" w:hAnsi="Arial Narrow"/>
                <w:sz w:val="20"/>
                <w:szCs w:val="20"/>
              </w:rPr>
              <w:t xml:space="preserve"> Contraindications to treatment include known sensitivity to botulinum toxin</w:t>
            </w:r>
          </w:p>
        </w:tc>
      </w:tr>
      <w:tr w:rsidR="00E06914" w:rsidRPr="00146B5E" w:rsidTr="00E06914">
        <w:trPr>
          <w:cantSplit/>
          <w:trHeight w:val="360"/>
        </w:trPr>
        <w:tc>
          <w:tcPr>
            <w:tcW w:w="626"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jc w:val="center"/>
              <w:rPr>
                <w:rFonts w:ascii="Arial Narrow" w:hAnsi="Arial Narrow"/>
                <w:sz w:val="20"/>
                <w:szCs w:val="20"/>
              </w:rPr>
            </w:pPr>
            <w:r w:rsidRPr="00146B5E">
              <w:rPr>
                <w:rFonts w:ascii="Arial Narrow" w:hAnsi="Arial Narrow"/>
                <w:sz w:val="20"/>
                <w:szCs w:val="20"/>
              </w:rPr>
              <w:t>9806</w:t>
            </w:r>
          </w:p>
        </w:tc>
        <w:tc>
          <w:tcPr>
            <w:tcW w:w="4374" w:type="pct"/>
            <w:tcBorders>
              <w:top w:val="single" w:sz="4" w:space="0" w:color="auto"/>
              <w:left w:val="single" w:sz="4" w:space="0" w:color="auto"/>
              <w:bottom w:val="single" w:sz="4" w:space="0" w:color="auto"/>
              <w:right w:val="single" w:sz="4" w:space="0" w:color="auto"/>
            </w:tcBorders>
          </w:tcPr>
          <w:p w:rsidR="00E06914" w:rsidRPr="00146B5E" w:rsidRDefault="00E06914" w:rsidP="00E06914">
            <w:pPr>
              <w:pStyle w:val="TableTextleftalign"/>
              <w:spacing w:after="0"/>
              <w:rPr>
                <w:rFonts w:ascii="Arial Narrow" w:hAnsi="Arial Narrow"/>
                <w:sz w:val="20"/>
                <w:szCs w:val="20"/>
              </w:rPr>
            </w:pPr>
            <w:r w:rsidRPr="00146B5E">
              <w:rPr>
                <w:rFonts w:ascii="Arial Narrow" w:hAnsi="Arial Narrow"/>
                <w:b/>
                <w:sz w:val="20"/>
                <w:szCs w:val="20"/>
              </w:rPr>
              <w:t>Administrative Advice:</w:t>
            </w:r>
            <w:r w:rsidRPr="00146B5E">
              <w:rPr>
                <w:rFonts w:ascii="Arial Narrow" w:hAnsi="Arial Narrow"/>
                <w:sz w:val="20"/>
                <w:szCs w:val="20"/>
              </w:rPr>
              <w:t xml:space="preserve"> The units used to express the potency of botulinum toxin preparations currently available for PBS subsidy are not equivalent</w:t>
            </w:r>
          </w:p>
        </w:tc>
      </w:tr>
    </w:tbl>
    <w:p w:rsidR="00E16372" w:rsidRPr="00146B5E" w:rsidRDefault="00E16372" w:rsidP="00AB042A"/>
    <w:p w:rsidR="00263900" w:rsidRDefault="00263900" w:rsidP="000237F7">
      <w:pPr>
        <w:pStyle w:val="Bodytextitalics"/>
        <w:rPr>
          <w:b/>
        </w:rPr>
      </w:pPr>
      <w:r w:rsidRPr="00146B5E">
        <w:rPr>
          <w:b/>
        </w:rPr>
        <w:t>This restriction may be subject to further review. Should there be any changes made to the restriction the Sponsor will be informed.</w:t>
      </w:r>
    </w:p>
    <w:p w:rsidR="007D0466" w:rsidRDefault="007D0466" w:rsidP="007D0466">
      <w:pPr>
        <w:pStyle w:val="2-SectionHeading"/>
        <w:rPr>
          <w:color w:val="1F497D"/>
        </w:rPr>
      </w:pPr>
      <w:r w:rsidRPr="00C07617">
        <w:t>Context for Decision</w:t>
      </w:r>
    </w:p>
    <w:p w:rsidR="007D0466" w:rsidRPr="007129F2" w:rsidRDefault="007D0466" w:rsidP="007D0466">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7D0466" w:rsidRPr="007D0466" w:rsidRDefault="007D0466" w:rsidP="007D0466">
      <w:pPr>
        <w:pStyle w:val="2-SectionHeading"/>
      </w:pPr>
      <w:r w:rsidRPr="00C07617" w:rsidDel="007129F2">
        <w:t xml:space="preserve"> </w:t>
      </w:r>
      <w:r>
        <w:t>Sponsor’s Comment</w:t>
      </w:r>
    </w:p>
    <w:p w:rsidR="007D0466" w:rsidRPr="001179AC" w:rsidRDefault="007D0466" w:rsidP="007D0466">
      <w:pPr>
        <w:spacing w:after="120"/>
        <w:rPr>
          <w:rFonts w:asciiTheme="minorHAnsi" w:hAnsiTheme="minorHAnsi" w:cs="Arial"/>
          <w:bCs/>
        </w:rPr>
      </w:pPr>
      <w:r w:rsidRPr="00C07617">
        <w:rPr>
          <w:rFonts w:asciiTheme="minorHAnsi" w:hAnsiTheme="minorHAnsi" w:cs="Arial"/>
          <w:bCs/>
        </w:rPr>
        <w:t>The sponsor had no comment.</w:t>
      </w:r>
    </w:p>
    <w:p w:rsidR="007D0466" w:rsidRPr="00146B5E" w:rsidRDefault="007D0466" w:rsidP="000237F7">
      <w:pPr>
        <w:pStyle w:val="Bodytextitalics"/>
        <w:rPr>
          <w:b/>
          <w:color w:val="1F497D"/>
          <w:sz w:val="22"/>
        </w:rPr>
      </w:pPr>
    </w:p>
    <w:sectPr w:rsidR="007D0466" w:rsidRPr="00146B5E" w:rsidSect="002473C9">
      <w:headerReference w:type="default" r:id="rId10"/>
      <w:footerReference w:type="default" r:id="rId11"/>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081B" w16cex:dateUtc="2020-05-18T03:11:00Z"/>
  <w16cex:commentExtensible w16cex:durableId="226CC0CD" w16cex:dateUtc="2020-05-17T22:07:00Z"/>
  <w16cex:commentExtensible w16cex:durableId="226CC41A" w16cex:dateUtc="2020-05-17T22:21:00Z"/>
  <w16cex:commentExtensible w16cex:durableId="226CD50F" w16cex:dateUtc="2020-05-17T23:34:00Z"/>
  <w16cex:commentExtensible w16cex:durableId="226CD67D" w16cex:dateUtc="2020-05-17T23:40:00Z"/>
  <w16cex:commentExtensible w16cex:durableId="226CC736" w16cex:dateUtc="2020-05-17T22:35:00Z"/>
  <w16cex:commentExtensible w16cex:durableId="2266A1C8" w16cex:dateUtc="2020-05-13T06:41:00Z"/>
  <w16cex:commentExtensible w16cex:durableId="226CCCFC" w16cex:dateUtc="2020-05-17T22:59:00Z"/>
  <w16cex:commentExtensible w16cex:durableId="226CCD08" w16cex:dateUtc="2020-05-17T22:59:00Z"/>
  <w16cex:commentExtensible w16cex:durableId="226CCE0D" w16cex:dateUtc="2020-05-17T23:04:00Z"/>
  <w16cex:commentExtensible w16cex:durableId="226CCF35" w16cex:dateUtc="2020-05-17T23:09:00Z"/>
  <w16cex:commentExtensible w16cex:durableId="226CCF4E" w16cex:dateUtc="2020-05-17T23:09:00Z"/>
  <w16cex:commentExtensible w16cex:durableId="226CD29C" w16cex:dateUtc="2020-05-17T23:23:00Z"/>
  <w16cex:commentExtensible w16cex:durableId="226CD86F" w16cex:dateUtc="2020-05-17T23:48:00Z"/>
  <w16cex:commentExtensible w16cex:durableId="226CDE79" w16cex:dateUtc="2020-05-18T00:14:00Z"/>
  <w16cex:commentExtensible w16cex:durableId="226CDF4F" w16cex:dateUtc="2020-05-18T00:17:00Z"/>
  <w16cex:commentExtensible w16cex:durableId="226CEB3D" w16cex:dateUtc="2020-05-18T01:08:00Z"/>
  <w16cex:commentExtensible w16cex:durableId="226CEB29" w16cex:dateUtc="2020-05-18T01:08:00Z"/>
  <w16cex:commentExtensible w16cex:durableId="226CE0F8" w16cex:dateUtc="2020-05-18T00:24:00Z"/>
  <w16cex:commentExtensible w16cex:durableId="226CEBA2" w16cex:dateUtc="2020-05-18T01:10:00Z"/>
  <w16cex:commentExtensible w16cex:durableId="2266B273" w16cex:dateUtc="2020-05-13T07:52:00Z"/>
  <w16cex:commentExtensible w16cex:durableId="226CEC77" w16cex:dateUtc="2020-05-18T01:13:00Z"/>
  <w16cex:commentExtensible w16cex:durableId="226CF882" w16cex:dateUtc="2020-05-18T02:05:00Z"/>
  <w16cex:commentExtensible w16cex:durableId="226CF95D" w16cex:dateUtc="2020-05-18T02:09:00Z"/>
  <w16cex:commentExtensible w16cex:durableId="226CF9ED" w16cex:dateUtc="2020-05-18T02:11:00Z"/>
  <w16cex:commentExtensible w16cex:durableId="226D0C11" w16cex:dateUtc="2020-05-18T03:28:00Z"/>
  <w16cex:commentExtensible w16cex:durableId="226D0B60" w16cex:dateUtc="2020-05-18T03:25:00Z"/>
  <w16cex:commentExtensible w16cex:durableId="226CFDF4" w16cex:dateUtc="2020-05-18T02:28:00Z"/>
  <w16cex:commentExtensible w16cex:durableId="226D0ED8" w16cex:dateUtc="2020-05-18T03:40:00Z"/>
  <w16cex:commentExtensible w16cex:durableId="226D0E9B" w16cex:dateUtc="2020-05-18T03:39:00Z"/>
  <w16cex:commentExtensible w16cex:durableId="2266B667" w16cex:dateUtc="2020-05-13T08:09:00Z"/>
  <w16cex:commentExtensible w16cex:durableId="2266B6F4" w16cex:dateUtc="2020-05-13T08:12:00Z"/>
  <w16cex:commentExtensible w16cex:durableId="226CC322" w16cex:dateUtc="2020-05-17T22:17:00Z"/>
  <w16cex:commentExtensible w16cex:durableId="226CD162" w16cex:dateUtc="2020-05-17T23:18:00Z"/>
  <w16cex:commentExtensible w16cex:durableId="226CEFE9" w16cex:dateUtc="2020-05-18T01:08:00Z"/>
  <w16cex:commentExtensible w16cex:durableId="226D107F" w16cex:dateUtc="2020-05-18T0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EB8EC8" w16cid:durableId="2266A12C"/>
  <w16cid:commentId w16cid:paraId="58996B75" w16cid:durableId="226D081B"/>
  <w16cid:commentId w16cid:paraId="388BFBA5" w16cid:durableId="226CC0CD"/>
  <w16cid:commentId w16cid:paraId="4310796D" w16cid:durableId="2266A12D"/>
  <w16cid:commentId w16cid:paraId="736827B8" w16cid:durableId="226CC41A"/>
  <w16cid:commentId w16cid:paraId="488BAB73" w16cid:durableId="226CD50F"/>
  <w16cid:commentId w16cid:paraId="3B8E47A0" w16cid:durableId="226CD67D"/>
  <w16cid:commentId w16cid:paraId="77D2E4D0" w16cid:durableId="2266A12E"/>
  <w16cid:commentId w16cid:paraId="62269EBD" w16cid:durableId="226CC736"/>
  <w16cid:commentId w16cid:paraId="2BC70151" w16cid:durableId="2266A12F"/>
  <w16cid:commentId w16cid:paraId="5855C93D" w16cid:durableId="2266A1C8"/>
  <w16cid:commentId w16cid:paraId="686F2F70" w16cid:durableId="2266A130"/>
  <w16cid:commentId w16cid:paraId="705AA598" w16cid:durableId="2266A131"/>
  <w16cid:commentId w16cid:paraId="6DAFFB1D" w16cid:durableId="226CCCFC"/>
  <w16cid:commentId w16cid:paraId="434CA7D2" w16cid:durableId="226CCD08"/>
  <w16cid:commentId w16cid:paraId="3008F7BB" w16cid:durableId="2266A133"/>
  <w16cid:commentId w16cid:paraId="28441733" w16cid:durableId="226CCE0D"/>
  <w16cid:commentId w16cid:paraId="284C387D" w16cid:durableId="226CCF35"/>
  <w16cid:commentId w16cid:paraId="6C870301" w16cid:durableId="226CCF4E"/>
  <w16cid:commentId w16cid:paraId="40F99DA1" w16cid:durableId="2266A134"/>
  <w16cid:commentId w16cid:paraId="543178EA" w16cid:durableId="226CD283"/>
  <w16cid:commentId w16cid:paraId="4366F1FC" w16cid:durableId="226CD29C"/>
  <w16cid:commentId w16cid:paraId="0467DD49" w16cid:durableId="2266A136"/>
  <w16cid:commentId w16cid:paraId="0CDD55BD" w16cid:durableId="2266A137"/>
  <w16cid:commentId w16cid:paraId="621E374A" w16cid:durableId="226CD86F"/>
  <w16cid:commentId w16cid:paraId="230076BD" w16cid:durableId="2266A138"/>
  <w16cid:commentId w16cid:paraId="5FB8509F" w16cid:durableId="226CDE79"/>
  <w16cid:commentId w16cid:paraId="75560FAB" w16cid:durableId="226CDF4F"/>
  <w16cid:commentId w16cid:paraId="43F7C218" w16cid:durableId="226CEB3D"/>
  <w16cid:commentId w16cid:paraId="2C0A13F4" w16cid:durableId="2266A13B"/>
  <w16cid:commentId w16cid:paraId="08D80BC2" w16cid:durableId="226CEB29"/>
  <w16cid:commentId w16cid:paraId="71956971" w16cid:durableId="2266A13C"/>
  <w16cid:commentId w16cid:paraId="7A821B7B" w16cid:durableId="226CE0F8"/>
  <w16cid:commentId w16cid:paraId="4A912BBF" w16cid:durableId="2266A13D"/>
  <w16cid:commentId w16cid:paraId="6184668D" w16cid:durableId="226CEBA2"/>
  <w16cid:commentId w16cid:paraId="705D44E9" w16cid:durableId="2266A13E"/>
  <w16cid:commentId w16cid:paraId="73F65AE3" w16cid:durableId="2266A13F"/>
  <w16cid:commentId w16cid:paraId="540CD6C5" w16cid:durableId="2266B273"/>
  <w16cid:commentId w16cid:paraId="71678972" w16cid:durableId="2266A141"/>
  <w16cid:commentId w16cid:paraId="4C0A7960" w16cid:durableId="226CEC77"/>
  <w16cid:commentId w16cid:paraId="5F1435BD" w16cid:durableId="2266A142"/>
  <w16cid:commentId w16cid:paraId="0B4AAA9F" w16cid:durableId="226CF882"/>
  <w16cid:commentId w16cid:paraId="28663F67" w16cid:durableId="2266A143"/>
  <w16cid:commentId w16cid:paraId="0D2E684A" w16cid:durableId="226CF95D"/>
  <w16cid:commentId w16cid:paraId="19705D7A" w16cid:durableId="2266A144"/>
  <w16cid:commentId w16cid:paraId="25E6EC86" w16cid:durableId="226CF9ED"/>
  <w16cid:commentId w16cid:paraId="649854BC" w16cid:durableId="2266A145"/>
  <w16cid:commentId w16cid:paraId="4F4579B2" w16cid:durableId="226D0C11"/>
  <w16cid:commentId w16cid:paraId="4C12F0B2" w16cid:durableId="2266A146"/>
  <w16cid:commentId w16cid:paraId="6EF1BE95" w16cid:durableId="226D0B60"/>
  <w16cid:commentId w16cid:paraId="1BA86D7E" w16cid:durableId="2266A147"/>
  <w16cid:commentId w16cid:paraId="7CD011C7" w16cid:durableId="226CFDF4"/>
  <w16cid:commentId w16cid:paraId="2AB87737" w16cid:durableId="226D0ED8"/>
  <w16cid:commentId w16cid:paraId="53AB6BFC" w16cid:durableId="226D0E9B"/>
  <w16cid:commentId w16cid:paraId="7A52949A" w16cid:durableId="2266A148"/>
  <w16cid:commentId w16cid:paraId="4C9DED3B" w16cid:durableId="2266B667"/>
  <w16cid:commentId w16cid:paraId="43E37601" w16cid:durableId="2266B6F4"/>
  <w16cid:commentId w16cid:paraId="6EA1EFE5" w16cid:durableId="226CC322"/>
  <w16cid:commentId w16cid:paraId="0140BFC2" w16cid:durableId="226CD162"/>
  <w16cid:commentId w16cid:paraId="67891CF6" w16cid:durableId="226CEFE9"/>
  <w16cid:commentId w16cid:paraId="5307528E" w16cid:durableId="226D10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EE8" w:rsidRDefault="00823EE8" w:rsidP="00124A51">
      <w:r>
        <w:separator/>
      </w:r>
    </w:p>
    <w:p w:rsidR="00823EE8" w:rsidRDefault="00823EE8"/>
  </w:endnote>
  <w:endnote w:type="continuationSeparator" w:id="0">
    <w:p w:rsidR="00823EE8" w:rsidRDefault="00823EE8" w:rsidP="00124A51">
      <w:r>
        <w:continuationSeparator/>
      </w:r>
    </w:p>
    <w:p w:rsidR="00823EE8" w:rsidRDefault="0082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Liti">
    <w:charset w:val="86"/>
    <w:family w:val="auto"/>
    <w:pitch w:val="variable"/>
    <w:sig w:usb0="00000001" w:usb1="080F0000" w:usb2="00000010" w:usb3="00000000" w:csb0="00040000" w:csb1="00000000"/>
  </w:font>
  <w:font w:name="American Typewriter Condensed L">
    <w:charset w:val="4D"/>
    <w:family w:val="roman"/>
    <w:pitch w:val="variable"/>
    <w:sig w:usb0="A000006F" w:usb1="00000019" w:usb2="00000000" w:usb3="00000000" w:csb0="000001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D4" w:rsidRDefault="005B5AD4">
    <w:pPr>
      <w:pStyle w:val="Footer"/>
      <w:jc w:val="center"/>
    </w:pPr>
  </w:p>
  <w:p w:rsidR="005B5AD4" w:rsidRDefault="00AC0F2C" w:rsidP="003203CC">
    <w:pPr>
      <w:pStyle w:val="Footer"/>
      <w:jc w:val="center"/>
    </w:pPr>
    <w:sdt>
      <w:sdtPr>
        <w:id w:val="1127359425"/>
        <w:docPartObj>
          <w:docPartGallery w:val="Page Numbers (Bottom of Page)"/>
          <w:docPartUnique/>
        </w:docPartObj>
      </w:sdtPr>
      <w:sdtEndPr>
        <w:rPr>
          <w:noProof/>
        </w:rPr>
      </w:sdtEndPr>
      <w:sdtContent>
        <w:r w:rsidR="005B5AD4" w:rsidRPr="004F25CF">
          <w:rPr>
            <w:b/>
          </w:rPr>
          <w:fldChar w:fldCharType="begin"/>
        </w:r>
        <w:r w:rsidR="005B5AD4" w:rsidRPr="004F25CF">
          <w:rPr>
            <w:b/>
          </w:rPr>
          <w:instrText xml:space="preserve"> PAGE   \* MERGEFORMAT </w:instrText>
        </w:r>
        <w:r w:rsidR="005B5AD4" w:rsidRPr="004F25CF">
          <w:rPr>
            <w:b/>
          </w:rPr>
          <w:fldChar w:fldCharType="separate"/>
        </w:r>
        <w:r>
          <w:rPr>
            <w:b/>
            <w:noProof/>
          </w:rPr>
          <w:t>29</w:t>
        </w:r>
        <w:r w:rsidR="005B5AD4" w:rsidRPr="004F25CF">
          <w:rPr>
            <w:b/>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EE8" w:rsidRDefault="00823EE8" w:rsidP="00124A51">
      <w:r>
        <w:separator/>
      </w:r>
    </w:p>
    <w:p w:rsidR="00823EE8" w:rsidRDefault="00823EE8"/>
  </w:footnote>
  <w:footnote w:type="continuationSeparator" w:id="0">
    <w:p w:rsidR="00823EE8" w:rsidRDefault="00823EE8" w:rsidP="00124A51">
      <w:r>
        <w:continuationSeparator/>
      </w:r>
    </w:p>
    <w:p w:rsidR="00823EE8" w:rsidRDefault="00823E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AD4" w:rsidRPr="004F25CF" w:rsidRDefault="00B01E0C">
    <w:pPr>
      <w:pStyle w:val="Header"/>
      <w:rPr>
        <w:i/>
      </w:rPr>
    </w:pPr>
    <w:r>
      <w:rPr>
        <w:i/>
      </w:rPr>
      <w:t>Public Summary Document</w:t>
    </w:r>
    <w:r w:rsidR="005B5AD4" w:rsidRPr="004F25CF">
      <w:rPr>
        <w:i/>
      </w:rPr>
      <w:t xml:space="preserve"> – July </w:t>
    </w:r>
    <w:r w:rsidR="005B5AD4">
      <w:rPr>
        <w:i/>
      </w:rPr>
      <w:t>2020</w:t>
    </w:r>
    <w:r w:rsidR="005B5AD4" w:rsidRPr="004F25CF">
      <w:rPr>
        <w:i/>
      </w:rPr>
      <w:t xml:space="preserve"> PBAC Meeting</w:t>
    </w:r>
  </w:p>
  <w:p w:rsidR="005B5AD4" w:rsidRDefault="005B5AD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E2B2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D8496A"/>
    <w:multiLevelType w:val="hybridMultilevel"/>
    <w:tmpl w:val="5596B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D17AE"/>
    <w:multiLevelType w:val="hybridMultilevel"/>
    <w:tmpl w:val="3200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93E4D"/>
    <w:multiLevelType w:val="hybridMultilevel"/>
    <w:tmpl w:val="7D94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B26FD"/>
    <w:multiLevelType w:val="hybridMultilevel"/>
    <w:tmpl w:val="F0B4A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857DB"/>
    <w:multiLevelType w:val="hybridMultilevel"/>
    <w:tmpl w:val="5AC6ED9C"/>
    <w:lvl w:ilvl="0" w:tplc="A3741BDE">
      <w:start w:val="2"/>
      <w:numFmt w:val="decimal"/>
      <w:lvlText w:val="%1"/>
      <w:lvlJc w:val="left"/>
      <w:pPr>
        <w:ind w:left="360" w:firstLine="0"/>
      </w:pPr>
      <w:rPr>
        <w:rFonts w:ascii="Arial Narrow" w:hAnsi="Arial Narrow" w:cs="Arial" w:hint="default"/>
        <w:b w:val="0"/>
        <w:i/>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B76E05"/>
    <w:multiLevelType w:val="hybridMultilevel"/>
    <w:tmpl w:val="34F8551C"/>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C06EE7"/>
    <w:multiLevelType w:val="hybridMultilevel"/>
    <w:tmpl w:val="308E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4112F0"/>
    <w:multiLevelType w:val="hybridMultilevel"/>
    <w:tmpl w:val="1F72B5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2376C72"/>
    <w:multiLevelType w:val="hybridMultilevel"/>
    <w:tmpl w:val="24264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A609A8"/>
    <w:multiLevelType w:val="hybridMultilevel"/>
    <w:tmpl w:val="BC5A39C6"/>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B3749"/>
    <w:multiLevelType w:val="hybridMultilevel"/>
    <w:tmpl w:val="155A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45CDA"/>
    <w:multiLevelType w:val="multilevel"/>
    <w:tmpl w:val="CA9670AA"/>
    <w:lvl w:ilvl="0">
      <w:start w:val="3"/>
      <w:numFmt w:val="decimal"/>
      <w:lvlText w:val="%1"/>
      <w:lvlJc w:val="left"/>
      <w:pPr>
        <w:ind w:left="360" w:hanging="360"/>
      </w:pPr>
      <w:rPr>
        <w:rFonts w:ascii="Arial Narrow" w:eastAsiaTheme="majorEastAsia" w:hAnsi="Arial Narrow" w:cstheme="majorBidi" w:hint="default"/>
        <w:i w:val="0"/>
        <w:sz w:val="20"/>
      </w:rPr>
    </w:lvl>
    <w:lvl w:ilvl="1">
      <w:start w:val="4"/>
      <w:numFmt w:val="decimal"/>
      <w:lvlText w:val="%1.%2"/>
      <w:lvlJc w:val="left"/>
      <w:pPr>
        <w:ind w:left="360" w:hanging="360"/>
      </w:pPr>
      <w:rPr>
        <w:rFonts w:ascii="Arial Narrow" w:eastAsiaTheme="majorEastAsia" w:hAnsi="Arial Narrow" w:cstheme="majorBidi" w:hint="default"/>
        <w:i w:val="0"/>
        <w:sz w:val="20"/>
      </w:rPr>
    </w:lvl>
    <w:lvl w:ilvl="2">
      <w:start w:val="1"/>
      <w:numFmt w:val="decimal"/>
      <w:lvlText w:val="%1.%2.%3"/>
      <w:lvlJc w:val="left"/>
      <w:pPr>
        <w:ind w:left="360" w:hanging="360"/>
      </w:pPr>
      <w:rPr>
        <w:rFonts w:ascii="Arial Narrow" w:eastAsiaTheme="majorEastAsia" w:hAnsi="Arial Narrow" w:cstheme="majorBidi" w:hint="default"/>
        <w:i w:val="0"/>
        <w:sz w:val="20"/>
      </w:rPr>
    </w:lvl>
    <w:lvl w:ilvl="3">
      <w:start w:val="1"/>
      <w:numFmt w:val="decimal"/>
      <w:lvlText w:val="%1.%2.%3.%4"/>
      <w:lvlJc w:val="left"/>
      <w:pPr>
        <w:ind w:left="720" w:hanging="720"/>
      </w:pPr>
      <w:rPr>
        <w:rFonts w:ascii="Arial Narrow" w:eastAsiaTheme="majorEastAsia" w:hAnsi="Arial Narrow" w:cstheme="majorBidi" w:hint="default"/>
        <w:i w:val="0"/>
        <w:sz w:val="20"/>
      </w:rPr>
    </w:lvl>
    <w:lvl w:ilvl="4">
      <w:start w:val="1"/>
      <w:numFmt w:val="decimal"/>
      <w:lvlText w:val="%1.%2.%3.%4.%5"/>
      <w:lvlJc w:val="left"/>
      <w:pPr>
        <w:ind w:left="720" w:hanging="720"/>
      </w:pPr>
      <w:rPr>
        <w:rFonts w:ascii="Arial Narrow" w:eastAsiaTheme="majorEastAsia" w:hAnsi="Arial Narrow" w:cstheme="majorBidi" w:hint="default"/>
        <w:i w:val="0"/>
        <w:sz w:val="20"/>
      </w:rPr>
    </w:lvl>
    <w:lvl w:ilvl="5">
      <w:start w:val="1"/>
      <w:numFmt w:val="decimal"/>
      <w:lvlText w:val="%1.%2.%3.%4.%5.%6"/>
      <w:lvlJc w:val="left"/>
      <w:pPr>
        <w:ind w:left="720" w:hanging="720"/>
      </w:pPr>
      <w:rPr>
        <w:rFonts w:ascii="Arial Narrow" w:eastAsiaTheme="majorEastAsia" w:hAnsi="Arial Narrow" w:cstheme="majorBidi" w:hint="default"/>
        <w:i w:val="0"/>
        <w:sz w:val="20"/>
      </w:rPr>
    </w:lvl>
    <w:lvl w:ilvl="6">
      <w:start w:val="1"/>
      <w:numFmt w:val="decimal"/>
      <w:lvlText w:val="%1.%2.%3.%4.%5.%6.%7"/>
      <w:lvlJc w:val="left"/>
      <w:pPr>
        <w:ind w:left="1080" w:hanging="1080"/>
      </w:pPr>
      <w:rPr>
        <w:rFonts w:ascii="Arial Narrow" w:eastAsiaTheme="majorEastAsia" w:hAnsi="Arial Narrow" w:cstheme="majorBidi" w:hint="default"/>
        <w:i w:val="0"/>
        <w:sz w:val="20"/>
      </w:rPr>
    </w:lvl>
    <w:lvl w:ilvl="7">
      <w:start w:val="1"/>
      <w:numFmt w:val="decimal"/>
      <w:lvlText w:val="%1.%2.%3.%4.%5.%6.%7.%8"/>
      <w:lvlJc w:val="left"/>
      <w:pPr>
        <w:ind w:left="1080" w:hanging="1080"/>
      </w:pPr>
      <w:rPr>
        <w:rFonts w:ascii="Arial Narrow" w:eastAsiaTheme="majorEastAsia" w:hAnsi="Arial Narrow" w:cstheme="majorBidi" w:hint="default"/>
        <w:i w:val="0"/>
        <w:sz w:val="20"/>
      </w:rPr>
    </w:lvl>
    <w:lvl w:ilvl="8">
      <w:start w:val="1"/>
      <w:numFmt w:val="decimal"/>
      <w:lvlText w:val="%1.%2.%3.%4.%5.%6.%7.%8.%9"/>
      <w:lvlJc w:val="left"/>
      <w:pPr>
        <w:ind w:left="1080" w:hanging="1080"/>
      </w:pPr>
      <w:rPr>
        <w:rFonts w:ascii="Arial Narrow" w:eastAsiaTheme="majorEastAsia" w:hAnsi="Arial Narrow" w:cstheme="majorBidi" w:hint="default"/>
        <w:i w:val="0"/>
        <w:sz w:val="20"/>
      </w:rPr>
    </w:lvl>
  </w:abstractNum>
  <w:abstractNum w:abstractNumId="21" w15:restartNumberingAfterBreak="0">
    <w:nsid w:val="49091AF2"/>
    <w:multiLevelType w:val="multilevel"/>
    <w:tmpl w:val="EA5C8710"/>
    <w:lvl w:ilvl="0">
      <w:start w:val="3"/>
      <w:numFmt w:val="decimal"/>
      <w:lvlText w:val="%1"/>
      <w:lvlJc w:val="left"/>
      <w:pPr>
        <w:ind w:left="360" w:hanging="360"/>
      </w:pPr>
      <w:rPr>
        <w:rFonts w:ascii="Arial Narrow" w:eastAsiaTheme="majorEastAsia" w:hAnsi="Arial Narrow" w:cstheme="majorBidi" w:hint="default"/>
        <w:i w:val="0"/>
        <w:sz w:val="20"/>
      </w:rPr>
    </w:lvl>
    <w:lvl w:ilvl="1">
      <w:start w:val="4"/>
      <w:numFmt w:val="decimal"/>
      <w:lvlText w:val="%1.%2"/>
      <w:lvlJc w:val="left"/>
      <w:pPr>
        <w:ind w:left="360" w:hanging="360"/>
      </w:pPr>
      <w:rPr>
        <w:rFonts w:ascii="Arial Narrow" w:eastAsiaTheme="majorEastAsia" w:hAnsi="Arial Narrow" w:cstheme="majorBidi" w:hint="default"/>
        <w:i w:val="0"/>
        <w:sz w:val="20"/>
      </w:rPr>
    </w:lvl>
    <w:lvl w:ilvl="2">
      <w:start w:val="1"/>
      <w:numFmt w:val="decimal"/>
      <w:lvlText w:val="%1.%2.%3"/>
      <w:lvlJc w:val="left"/>
      <w:pPr>
        <w:ind w:left="360" w:hanging="360"/>
      </w:pPr>
      <w:rPr>
        <w:rFonts w:ascii="Arial Narrow" w:eastAsiaTheme="majorEastAsia" w:hAnsi="Arial Narrow" w:cstheme="majorBidi" w:hint="default"/>
        <w:i w:val="0"/>
        <w:sz w:val="20"/>
      </w:rPr>
    </w:lvl>
    <w:lvl w:ilvl="3">
      <w:start w:val="1"/>
      <w:numFmt w:val="decimal"/>
      <w:lvlText w:val="%1.%2.%3.%4"/>
      <w:lvlJc w:val="left"/>
      <w:pPr>
        <w:ind w:left="720" w:hanging="720"/>
      </w:pPr>
      <w:rPr>
        <w:rFonts w:ascii="Arial Narrow" w:eastAsiaTheme="majorEastAsia" w:hAnsi="Arial Narrow" w:cstheme="majorBidi" w:hint="default"/>
        <w:i w:val="0"/>
        <w:sz w:val="20"/>
      </w:rPr>
    </w:lvl>
    <w:lvl w:ilvl="4">
      <w:start w:val="1"/>
      <w:numFmt w:val="decimal"/>
      <w:lvlText w:val="%1.%2.%3.%4.%5"/>
      <w:lvlJc w:val="left"/>
      <w:pPr>
        <w:ind w:left="720" w:hanging="720"/>
      </w:pPr>
      <w:rPr>
        <w:rFonts w:ascii="Arial Narrow" w:eastAsiaTheme="majorEastAsia" w:hAnsi="Arial Narrow" w:cstheme="majorBidi" w:hint="default"/>
        <w:i w:val="0"/>
        <w:sz w:val="20"/>
      </w:rPr>
    </w:lvl>
    <w:lvl w:ilvl="5">
      <w:start w:val="1"/>
      <w:numFmt w:val="decimal"/>
      <w:lvlText w:val="%1.%2.%3.%4.%5.%6"/>
      <w:lvlJc w:val="left"/>
      <w:pPr>
        <w:ind w:left="720" w:hanging="720"/>
      </w:pPr>
      <w:rPr>
        <w:rFonts w:ascii="Arial Narrow" w:eastAsiaTheme="majorEastAsia" w:hAnsi="Arial Narrow" w:cstheme="majorBidi" w:hint="default"/>
        <w:i w:val="0"/>
        <w:sz w:val="20"/>
      </w:rPr>
    </w:lvl>
    <w:lvl w:ilvl="6">
      <w:start w:val="1"/>
      <w:numFmt w:val="decimal"/>
      <w:lvlText w:val="%1.%2.%3.%4.%5.%6.%7"/>
      <w:lvlJc w:val="left"/>
      <w:pPr>
        <w:ind w:left="1080" w:hanging="1080"/>
      </w:pPr>
      <w:rPr>
        <w:rFonts w:ascii="Arial Narrow" w:eastAsiaTheme="majorEastAsia" w:hAnsi="Arial Narrow" w:cstheme="majorBidi" w:hint="default"/>
        <w:i w:val="0"/>
        <w:sz w:val="20"/>
      </w:rPr>
    </w:lvl>
    <w:lvl w:ilvl="7">
      <w:start w:val="1"/>
      <w:numFmt w:val="decimal"/>
      <w:lvlText w:val="%1.%2.%3.%4.%5.%6.%7.%8"/>
      <w:lvlJc w:val="left"/>
      <w:pPr>
        <w:ind w:left="1080" w:hanging="1080"/>
      </w:pPr>
      <w:rPr>
        <w:rFonts w:ascii="Arial Narrow" w:eastAsiaTheme="majorEastAsia" w:hAnsi="Arial Narrow" w:cstheme="majorBidi" w:hint="default"/>
        <w:i w:val="0"/>
        <w:sz w:val="20"/>
      </w:rPr>
    </w:lvl>
    <w:lvl w:ilvl="8">
      <w:start w:val="1"/>
      <w:numFmt w:val="decimal"/>
      <w:lvlText w:val="%1.%2.%3.%4.%5.%6.%7.%8.%9"/>
      <w:lvlJc w:val="left"/>
      <w:pPr>
        <w:ind w:left="1080" w:hanging="1080"/>
      </w:pPr>
      <w:rPr>
        <w:rFonts w:ascii="Arial Narrow" w:eastAsiaTheme="majorEastAsia" w:hAnsi="Arial Narrow" w:cstheme="majorBidi" w:hint="default"/>
        <w:i w:val="0"/>
        <w:sz w:val="20"/>
      </w:rPr>
    </w:lvl>
  </w:abstractNum>
  <w:abstractNum w:abstractNumId="22" w15:restartNumberingAfterBreak="0">
    <w:nsid w:val="50ED4C1C"/>
    <w:multiLevelType w:val="hybridMultilevel"/>
    <w:tmpl w:val="0E228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133930"/>
    <w:multiLevelType w:val="multilevel"/>
    <w:tmpl w:val="671E5130"/>
    <w:lvl w:ilvl="0">
      <w:start w:val="3"/>
      <w:numFmt w:val="decimal"/>
      <w:lvlText w:val="%1"/>
      <w:lvlJc w:val="left"/>
      <w:pPr>
        <w:ind w:left="360" w:hanging="360"/>
      </w:pPr>
      <w:rPr>
        <w:rFonts w:ascii="Arial Narrow" w:eastAsiaTheme="majorEastAsia" w:hAnsi="Arial Narrow" w:cstheme="majorBidi" w:hint="default"/>
        <w:i w:val="0"/>
        <w:sz w:val="20"/>
      </w:rPr>
    </w:lvl>
    <w:lvl w:ilvl="1">
      <w:start w:val="4"/>
      <w:numFmt w:val="decimal"/>
      <w:lvlText w:val="%1.%2"/>
      <w:lvlJc w:val="left"/>
      <w:pPr>
        <w:ind w:left="360" w:hanging="360"/>
      </w:pPr>
      <w:rPr>
        <w:rFonts w:ascii="Arial Narrow" w:eastAsiaTheme="majorEastAsia" w:hAnsi="Arial Narrow" w:cstheme="majorBidi" w:hint="default"/>
        <w:i w:val="0"/>
        <w:sz w:val="20"/>
      </w:rPr>
    </w:lvl>
    <w:lvl w:ilvl="2">
      <w:start w:val="1"/>
      <w:numFmt w:val="decimal"/>
      <w:lvlText w:val="%1.%2.%3"/>
      <w:lvlJc w:val="left"/>
      <w:pPr>
        <w:ind w:left="360" w:hanging="360"/>
      </w:pPr>
      <w:rPr>
        <w:rFonts w:ascii="Arial Narrow" w:eastAsiaTheme="majorEastAsia" w:hAnsi="Arial Narrow" w:cstheme="majorBidi" w:hint="default"/>
        <w:i w:val="0"/>
        <w:sz w:val="20"/>
      </w:rPr>
    </w:lvl>
    <w:lvl w:ilvl="3">
      <w:start w:val="1"/>
      <w:numFmt w:val="decimal"/>
      <w:lvlText w:val="%1.%2.%3.%4"/>
      <w:lvlJc w:val="left"/>
      <w:pPr>
        <w:ind w:left="720" w:hanging="720"/>
      </w:pPr>
      <w:rPr>
        <w:rFonts w:ascii="Arial Narrow" w:eastAsiaTheme="majorEastAsia" w:hAnsi="Arial Narrow" w:cstheme="majorBidi" w:hint="default"/>
        <w:i w:val="0"/>
        <w:sz w:val="20"/>
      </w:rPr>
    </w:lvl>
    <w:lvl w:ilvl="4">
      <w:start w:val="1"/>
      <w:numFmt w:val="decimal"/>
      <w:lvlText w:val="%1.%2.%3.%4.%5"/>
      <w:lvlJc w:val="left"/>
      <w:pPr>
        <w:ind w:left="720" w:hanging="720"/>
      </w:pPr>
      <w:rPr>
        <w:rFonts w:ascii="Arial Narrow" w:eastAsiaTheme="majorEastAsia" w:hAnsi="Arial Narrow" w:cstheme="majorBidi" w:hint="default"/>
        <w:i w:val="0"/>
        <w:sz w:val="20"/>
      </w:rPr>
    </w:lvl>
    <w:lvl w:ilvl="5">
      <w:start w:val="1"/>
      <w:numFmt w:val="decimal"/>
      <w:lvlText w:val="%1.%2.%3.%4.%5.%6"/>
      <w:lvlJc w:val="left"/>
      <w:pPr>
        <w:ind w:left="720" w:hanging="720"/>
      </w:pPr>
      <w:rPr>
        <w:rFonts w:ascii="Arial Narrow" w:eastAsiaTheme="majorEastAsia" w:hAnsi="Arial Narrow" w:cstheme="majorBidi" w:hint="default"/>
        <w:i w:val="0"/>
        <w:sz w:val="20"/>
      </w:rPr>
    </w:lvl>
    <w:lvl w:ilvl="6">
      <w:start w:val="1"/>
      <w:numFmt w:val="decimal"/>
      <w:lvlText w:val="%1.%2.%3.%4.%5.%6.%7"/>
      <w:lvlJc w:val="left"/>
      <w:pPr>
        <w:ind w:left="1080" w:hanging="1080"/>
      </w:pPr>
      <w:rPr>
        <w:rFonts w:ascii="Arial Narrow" w:eastAsiaTheme="majorEastAsia" w:hAnsi="Arial Narrow" w:cstheme="majorBidi" w:hint="default"/>
        <w:i w:val="0"/>
        <w:sz w:val="20"/>
      </w:rPr>
    </w:lvl>
    <w:lvl w:ilvl="7">
      <w:start w:val="1"/>
      <w:numFmt w:val="decimal"/>
      <w:lvlText w:val="%1.%2.%3.%4.%5.%6.%7.%8"/>
      <w:lvlJc w:val="left"/>
      <w:pPr>
        <w:ind w:left="1080" w:hanging="1080"/>
      </w:pPr>
      <w:rPr>
        <w:rFonts w:ascii="Arial Narrow" w:eastAsiaTheme="majorEastAsia" w:hAnsi="Arial Narrow" w:cstheme="majorBidi" w:hint="default"/>
        <w:i w:val="0"/>
        <w:sz w:val="20"/>
      </w:rPr>
    </w:lvl>
    <w:lvl w:ilvl="8">
      <w:start w:val="1"/>
      <w:numFmt w:val="decimal"/>
      <w:lvlText w:val="%1.%2.%3.%4.%5.%6.%7.%8.%9"/>
      <w:lvlJc w:val="left"/>
      <w:pPr>
        <w:ind w:left="1080" w:hanging="1080"/>
      </w:pPr>
      <w:rPr>
        <w:rFonts w:ascii="Arial Narrow" w:eastAsiaTheme="majorEastAsia" w:hAnsi="Arial Narrow" w:cstheme="majorBidi" w:hint="default"/>
        <w:i w:val="0"/>
        <w:sz w:val="20"/>
      </w:rPr>
    </w:lvl>
  </w:abstractNum>
  <w:abstractNum w:abstractNumId="26" w15:restartNumberingAfterBreak="0">
    <w:nsid w:val="5B406F1A"/>
    <w:multiLevelType w:val="hybridMultilevel"/>
    <w:tmpl w:val="2B001FC2"/>
    <w:lvl w:ilvl="0" w:tplc="08090001">
      <w:start w:val="1"/>
      <w:numFmt w:val="bullet"/>
      <w:lvlText w:val=""/>
      <w:lvlJc w:val="left"/>
      <w:pPr>
        <w:ind w:left="829" w:hanging="360"/>
      </w:pPr>
      <w:rPr>
        <w:rFonts w:ascii="Symbol" w:hAnsi="Symbol" w:hint="default"/>
      </w:rPr>
    </w:lvl>
    <w:lvl w:ilvl="1" w:tplc="08090003" w:tentative="1">
      <w:start w:val="1"/>
      <w:numFmt w:val="bullet"/>
      <w:lvlText w:val="o"/>
      <w:lvlJc w:val="left"/>
      <w:pPr>
        <w:ind w:left="1549" w:hanging="360"/>
      </w:pPr>
      <w:rPr>
        <w:rFonts w:ascii="Courier New" w:hAnsi="Courier New" w:cs="Courier New" w:hint="default"/>
      </w:rPr>
    </w:lvl>
    <w:lvl w:ilvl="2" w:tplc="08090005" w:tentative="1">
      <w:start w:val="1"/>
      <w:numFmt w:val="bullet"/>
      <w:lvlText w:val=""/>
      <w:lvlJc w:val="left"/>
      <w:pPr>
        <w:ind w:left="2269" w:hanging="360"/>
      </w:pPr>
      <w:rPr>
        <w:rFonts w:ascii="Wingdings" w:hAnsi="Wingdings" w:hint="default"/>
      </w:rPr>
    </w:lvl>
    <w:lvl w:ilvl="3" w:tplc="08090001" w:tentative="1">
      <w:start w:val="1"/>
      <w:numFmt w:val="bullet"/>
      <w:lvlText w:val=""/>
      <w:lvlJc w:val="left"/>
      <w:pPr>
        <w:ind w:left="2989" w:hanging="360"/>
      </w:pPr>
      <w:rPr>
        <w:rFonts w:ascii="Symbol" w:hAnsi="Symbol" w:hint="default"/>
      </w:rPr>
    </w:lvl>
    <w:lvl w:ilvl="4" w:tplc="08090003" w:tentative="1">
      <w:start w:val="1"/>
      <w:numFmt w:val="bullet"/>
      <w:lvlText w:val="o"/>
      <w:lvlJc w:val="left"/>
      <w:pPr>
        <w:ind w:left="3709" w:hanging="360"/>
      </w:pPr>
      <w:rPr>
        <w:rFonts w:ascii="Courier New" w:hAnsi="Courier New" w:cs="Courier New" w:hint="default"/>
      </w:rPr>
    </w:lvl>
    <w:lvl w:ilvl="5" w:tplc="08090005" w:tentative="1">
      <w:start w:val="1"/>
      <w:numFmt w:val="bullet"/>
      <w:lvlText w:val=""/>
      <w:lvlJc w:val="left"/>
      <w:pPr>
        <w:ind w:left="4429" w:hanging="360"/>
      </w:pPr>
      <w:rPr>
        <w:rFonts w:ascii="Wingdings" w:hAnsi="Wingdings" w:hint="default"/>
      </w:rPr>
    </w:lvl>
    <w:lvl w:ilvl="6" w:tplc="08090001" w:tentative="1">
      <w:start w:val="1"/>
      <w:numFmt w:val="bullet"/>
      <w:lvlText w:val=""/>
      <w:lvlJc w:val="left"/>
      <w:pPr>
        <w:ind w:left="5149" w:hanging="360"/>
      </w:pPr>
      <w:rPr>
        <w:rFonts w:ascii="Symbol" w:hAnsi="Symbol" w:hint="default"/>
      </w:rPr>
    </w:lvl>
    <w:lvl w:ilvl="7" w:tplc="08090003" w:tentative="1">
      <w:start w:val="1"/>
      <w:numFmt w:val="bullet"/>
      <w:lvlText w:val="o"/>
      <w:lvlJc w:val="left"/>
      <w:pPr>
        <w:ind w:left="5869" w:hanging="360"/>
      </w:pPr>
      <w:rPr>
        <w:rFonts w:ascii="Courier New" w:hAnsi="Courier New" w:cs="Courier New" w:hint="default"/>
      </w:rPr>
    </w:lvl>
    <w:lvl w:ilvl="8" w:tplc="08090005" w:tentative="1">
      <w:start w:val="1"/>
      <w:numFmt w:val="bullet"/>
      <w:lvlText w:val=""/>
      <w:lvlJc w:val="left"/>
      <w:pPr>
        <w:ind w:left="6589" w:hanging="360"/>
      </w:pPr>
      <w:rPr>
        <w:rFonts w:ascii="Wingdings" w:hAnsi="Wingdings" w:hint="default"/>
      </w:rPr>
    </w:lvl>
  </w:abstractNum>
  <w:abstractNum w:abstractNumId="27" w15:restartNumberingAfterBreak="0">
    <w:nsid w:val="6BCE7D73"/>
    <w:multiLevelType w:val="hybridMultilevel"/>
    <w:tmpl w:val="D548D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66D42"/>
    <w:multiLevelType w:val="hybridMultilevel"/>
    <w:tmpl w:val="A1086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576DDB"/>
    <w:multiLevelType w:val="hybridMultilevel"/>
    <w:tmpl w:val="DE82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D033C"/>
    <w:multiLevelType w:val="multilevel"/>
    <w:tmpl w:val="A2728400"/>
    <w:lvl w:ilvl="0">
      <w:start w:val="1"/>
      <w:numFmt w:val="decimal"/>
      <w:pStyle w:val="2-SectionHeading"/>
      <w:lvlText w:val="%1"/>
      <w:lvlJc w:val="left"/>
      <w:pPr>
        <w:ind w:left="720" w:hanging="720"/>
      </w:pPr>
      <w:rPr>
        <w:rFonts w:hint="default"/>
        <w:b/>
        <w:i w:val="0"/>
        <w:color w:val="auto"/>
      </w:rPr>
    </w:lvl>
    <w:lvl w:ilvl="1">
      <w:start w:val="1"/>
      <w:numFmt w:val="decimal"/>
      <w:pStyle w:val="3-BodyText"/>
      <w:lvlText w:val="%1.%2"/>
      <w:lvlJc w:val="left"/>
      <w:pPr>
        <w:ind w:left="862"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C9564A"/>
    <w:multiLevelType w:val="hybridMultilevel"/>
    <w:tmpl w:val="5D0AC6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EC272B"/>
    <w:multiLevelType w:val="hybridMultilevel"/>
    <w:tmpl w:val="72F0D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DB446F4"/>
    <w:multiLevelType w:val="hybridMultilevel"/>
    <w:tmpl w:val="944EDE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14688"/>
    <w:multiLevelType w:val="hybridMultilevel"/>
    <w:tmpl w:val="36B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257F1C"/>
    <w:multiLevelType w:val="hybridMultilevel"/>
    <w:tmpl w:val="60F8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9"/>
  </w:num>
  <w:num w:numId="4">
    <w:abstractNumId w:val="0"/>
  </w:num>
  <w:num w:numId="5">
    <w:abstractNumId w:val="3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5"/>
  </w:num>
  <w:num w:numId="9">
    <w:abstractNumId w:val="31"/>
  </w:num>
  <w:num w:numId="10">
    <w:abstractNumId w:val="18"/>
  </w:num>
  <w:num w:numId="11">
    <w:abstractNumId w:val="27"/>
  </w:num>
  <w:num w:numId="12">
    <w:abstractNumId w:val="6"/>
  </w:num>
  <w:num w:numId="13">
    <w:abstractNumId w:val="2"/>
  </w:num>
  <w:num w:numId="14">
    <w:abstractNumId w:val="33"/>
  </w:num>
  <w:num w:numId="15">
    <w:abstractNumId w:val="5"/>
  </w:num>
  <w:num w:numId="16">
    <w:abstractNumId w:val="9"/>
  </w:num>
  <w:num w:numId="17">
    <w:abstractNumId w:val="29"/>
  </w:num>
  <w:num w:numId="18">
    <w:abstractNumId w:val="12"/>
  </w:num>
  <w:num w:numId="19">
    <w:abstractNumId w:val="16"/>
  </w:num>
  <w:num w:numId="20">
    <w:abstractNumId w:val="26"/>
  </w:num>
  <w:num w:numId="21">
    <w:abstractNumId w:val="35"/>
  </w:num>
  <w:num w:numId="22">
    <w:abstractNumId w:val="34"/>
  </w:num>
  <w:num w:numId="23">
    <w:abstractNumId w:val="22"/>
  </w:num>
  <w:num w:numId="24">
    <w:abstractNumId w:val="7"/>
  </w:num>
  <w:num w:numId="25">
    <w:abstractNumId w:val="28"/>
  </w:num>
  <w:num w:numId="26">
    <w:abstractNumId w:val="13"/>
  </w:num>
  <w:num w:numId="27">
    <w:abstractNumId w:val="20"/>
  </w:num>
  <w:num w:numId="28">
    <w:abstractNumId w:val="25"/>
  </w:num>
  <w:num w:numId="29">
    <w:abstractNumId w:val="21"/>
  </w:num>
  <w:num w:numId="30">
    <w:abstractNumId w:val="8"/>
  </w:num>
  <w:num w:numId="31">
    <w:abstractNumId w:val="3"/>
  </w:num>
  <w:num w:numId="32">
    <w:abstractNumId w:val="23"/>
  </w:num>
  <w:num w:numId="33">
    <w:abstractNumId w:val="24"/>
  </w:num>
  <w:num w:numId="34">
    <w:abstractNumId w:val="4"/>
  </w:num>
  <w:num w:numId="35">
    <w:abstractNumId w:val="1"/>
  </w:num>
  <w:num w:numId="36">
    <w:abstractNumId w:val="11"/>
  </w:num>
  <w:num w:numId="37">
    <w:abstractNumId w:val="14"/>
  </w:num>
  <w:num w:numId="38">
    <w:abstractNumId w:val="10"/>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 w:numId="46">
    <w:abstractNumId w:val="30"/>
  </w:num>
  <w:num w:numId="47">
    <w:abstractNumId w:val="30"/>
  </w:num>
  <w:num w:numId="48">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hideSpellingError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A87"/>
    <w:rsid w:val="0000110B"/>
    <w:rsid w:val="0000181B"/>
    <w:rsid w:val="00003499"/>
    <w:rsid w:val="000039B7"/>
    <w:rsid w:val="00003AE7"/>
    <w:rsid w:val="0000639A"/>
    <w:rsid w:val="00011AF5"/>
    <w:rsid w:val="0001215F"/>
    <w:rsid w:val="00013247"/>
    <w:rsid w:val="00013640"/>
    <w:rsid w:val="00014963"/>
    <w:rsid w:val="0001516D"/>
    <w:rsid w:val="00015886"/>
    <w:rsid w:val="0001602F"/>
    <w:rsid w:val="000162EF"/>
    <w:rsid w:val="00017497"/>
    <w:rsid w:val="000207C9"/>
    <w:rsid w:val="0002225F"/>
    <w:rsid w:val="00023397"/>
    <w:rsid w:val="00023763"/>
    <w:rsid w:val="000237F7"/>
    <w:rsid w:val="00025457"/>
    <w:rsid w:val="00025593"/>
    <w:rsid w:val="00025E27"/>
    <w:rsid w:val="00026E37"/>
    <w:rsid w:val="000274B8"/>
    <w:rsid w:val="000305D5"/>
    <w:rsid w:val="00031B5E"/>
    <w:rsid w:val="00032AC9"/>
    <w:rsid w:val="00033863"/>
    <w:rsid w:val="00035DC0"/>
    <w:rsid w:val="000364BF"/>
    <w:rsid w:val="000367E3"/>
    <w:rsid w:val="00036829"/>
    <w:rsid w:val="00037C11"/>
    <w:rsid w:val="0004032F"/>
    <w:rsid w:val="00040895"/>
    <w:rsid w:val="00041094"/>
    <w:rsid w:val="000435EE"/>
    <w:rsid w:val="00043C37"/>
    <w:rsid w:val="00045017"/>
    <w:rsid w:val="000457FB"/>
    <w:rsid w:val="00045A2B"/>
    <w:rsid w:val="0004698F"/>
    <w:rsid w:val="000471D0"/>
    <w:rsid w:val="00050C46"/>
    <w:rsid w:val="00051576"/>
    <w:rsid w:val="000515F8"/>
    <w:rsid w:val="000539D0"/>
    <w:rsid w:val="00053EA8"/>
    <w:rsid w:val="00054621"/>
    <w:rsid w:val="000546D7"/>
    <w:rsid w:val="00054885"/>
    <w:rsid w:val="00056ECF"/>
    <w:rsid w:val="000604DF"/>
    <w:rsid w:val="0006102E"/>
    <w:rsid w:val="000624D6"/>
    <w:rsid w:val="00062D1A"/>
    <w:rsid w:val="00063647"/>
    <w:rsid w:val="000653B5"/>
    <w:rsid w:val="00066360"/>
    <w:rsid w:val="0006647E"/>
    <w:rsid w:val="00066AF8"/>
    <w:rsid w:val="00067981"/>
    <w:rsid w:val="00071248"/>
    <w:rsid w:val="000720B9"/>
    <w:rsid w:val="00072461"/>
    <w:rsid w:val="000737F7"/>
    <w:rsid w:val="00074839"/>
    <w:rsid w:val="00074E09"/>
    <w:rsid w:val="0007672F"/>
    <w:rsid w:val="00076965"/>
    <w:rsid w:val="00076B54"/>
    <w:rsid w:val="000774F0"/>
    <w:rsid w:val="00077CEC"/>
    <w:rsid w:val="00080909"/>
    <w:rsid w:val="000812CA"/>
    <w:rsid w:val="00081E63"/>
    <w:rsid w:val="0008258D"/>
    <w:rsid w:val="00083ADE"/>
    <w:rsid w:val="00083E99"/>
    <w:rsid w:val="000844BA"/>
    <w:rsid w:val="00084FA8"/>
    <w:rsid w:val="000856C5"/>
    <w:rsid w:val="00085C31"/>
    <w:rsid w:val="00086150"/>
    <w:rsid w:val="00087D9C"/>
    <w:rsid w:val="00090159"/>
    <w:rsid w:val="000902D9"/>
    <w:rsid w:val="00090484"/>
    <w:rsid w:val="00090C7E"/>
    <w:rsid w:val="00092600"/>
    <w:rsid w:val="0009262B"/>
    <w:rsid w:val="00093310"/>
    <w:rsid w:val="00093EFD"/>
    <w:rsid w:val="0009445C"/>
    <w:rsid w:val="00095200"/>
    <w:rsid w:val="00095FE5"/>
    <w:rsid w:val="00096284"/>
    <w:rsid w:val="00097D51"/>
    <w:rsid w:val="000A14CB"/>
    <w:rsid w:val="000A1BC0"/>
    <w:rsid w:val="000A3929"/>
    <w:rsid w:val="000A417C"/>
    <w:rsid w:val="000A6039"/>
    <w:rsid w:val="000A7453"/>
    <w:rsid w:val="000A7D08"/>
    <w:rsid w:val="000B0121"/>
    <w:rsid w:val="000B0670"/>
    <w:rsid w:val="000B0E75"/>
    <w:rsid w:val="000B2C28"/>
    <w:rsid w:val="000B2DCB"/>
    <w:rsid w:val="000B4AC9"/>
    <w:rsid w:val="000B5CE0"/>
    <w:rsid w:val="000B5F8C"/>
    <w:rsid w:val="000B6CAC"/>
    <w:rsid w:val="000B7612"/>
    <w:rsid w:val="000B78AE"/>
    <w:rsid w:val="000C0FD9"/>
    <w:rsid w:val="000C19E6"/>
    <w:rsid w:val="000C1EAC"/>
    <w:rsid w:val="000C35E3"/>
    <w:rsid w:val="000C3DF9"/>
    <w:rsid w:val="000C4F6B"/>
    <w:rsid w:val="000C6713"/>
    <w:rsid w:val="000D00DA"/>
    <w:rsid w:val="000D1BFC"/>
    <w:rsid w:val="000D1D5D"/>
    <w:rsid w:val="000D281A"/>
    <w:rsid w:val="000D2848"/>
    <w:rsid w:val="000D326A"/>
    <w:rsid w:val="000D3BBA"/>
    <w:rsid w:val="000D505D"/>
    <w:rsid w:val="000D51FB"/>
    <w:rsid w:val="000D5A88"/>
    <w:rsid w:val="000D60FB"/>
    <w:rsid w:val="000E0640"/>
    <w:rsid w:val="000E0CE9"/>
    <w:rsid w:val="000E135D"/>
    <w:rsid w:val="000E207A"/>
    <w:rsid w:val="000E5039"/>
    <w:rsid w:val="000E61F8"/>
    <w:rsid w:val="000E6DFA"/>
    <w:rsid w:val="000F00BA"/>
    <w:rsid w:val="000F0BEB"/>
    <w:rsid w:val="000F17CD"/>
    <w:rsid w:val="000F2AB2"/>
    <w:rsid w:val="000F316A"/>
    <w:rsid w:val="000F3413"/>
    <w:rsid w:val="000F3C74"/>
    <w:rsid w:val="000F3DF8"/>
    <w:rsid w:val="000F3F91"/>
    <w:rsid w:val="000F425B"/>
    <w:rsid w:val="000F4BB8"/>
    <w:rsid w:val="000F4FA9"/>
    <w:rsid w:val="000F53FB"/>
    <w:rsid w:val="000F5C05"/>
    <w:rsid w:val="000F6EB0"/>
    <w:rsid w:val="000F7127"/>
    <w:rsid w:val="000F7515"/>
    <w:rsid w:val="000F7895"/>
    <w:rsid w:val="000F7B54"/>
    <w:rsid w:val="00100F8A"/>
    <w:rsid w:val="001027AB"/>
    <w:rsid w:val="00102FC9"/>
    <w:rsid w:val="0010433E"/>
    <w:rsid w:val="0010452E"/>
    <w:rsid w:val="00105AE2"/>
    <w:rsid w:val="001060C6"/>
    <w:rsid w:val="0010669D"/>
    <w:rsid w:val="0010699B"/>
    <w:rsid w:val="00106B80"/>
    <w:rsid w:val="0010789D"/>
    <w:rsid w:val="00107DCB"/>
    <w:rsid w:val="0011032E"/>
    <w:rsid w:val="00111C6F"/>
    <w:rsid w:val="00112B2B"/>
    <w:rsid w:val="0011348B"/>
    <w:rsid w:val="0011496D"/>
    <w:rsid w:val="00114FA6"/>
    <w:rsid w:val="00115982"/>
    <w:rsid w:val="00116C53"/>
    <w:rsid w:val="00121799"/>
    <w:rsid w:val="00121CE4"/>
    <w:rsid w:val="001222FC"/>
    <w:rsid w:val="00122F33"/>
    <w:rsid w:val="00123027"/>
    <w:rsid w:val="00123902"/>
    <w:rsid w:val="00124A51"/>
    <w:rsid w:val="00126621"/>
    <w:rsid w:val="00126A54"/>
    <w:rsid w:val="00126B1D"/>
    <w:rsid w:val="00127057"/>
    <w:rsid w:val="0012790F"/>
    <w:rsid w:val="001301E9"/>
    <w:rsid w:val="00131D82"/>
    <w:rsid w:val="00132B22"/>
    <w:rsid w:val="001330D9"/>
    <w:rsid w:val="00133D36"/>
    <w:rsid w:val="00134F85"/>
    <w:rsid w:val="00135239"/>
    <w:rsid w:val="00135A4F"/>
    <w:rsid w:val="00135BD7"/>
    <w:rsid w:val="00137645"/>
    <w:rsid w:val="0014015A"/>
    <w:rsid w:val="00140E99"/>
    <w:rsid w:val="00142DC2"/>
    <w:rsid w:val="00143F67"/>
    <w:rsid w:val="00145540"/>
    <w:rsid w:val="001456B0"/>
    <w:rsid w:val="00146B5E"/>
    <w:rsid w:val="0014726A"/>
    <w:rsid w:val="00150037"/>
    <w:rsid w:val="00152EA2"/>
    <w:rsid w:val="001555F4"/>
    <w:rsid w:val="00156CEA"/>
    <w:rsid w:val="00156F8F"/>
    <w:rsid w:val="00157130"/>
    <w:rsid w:val="001576B1"/>
    <w:rsid w:val="0016047B"/>
    <w:rsid w:val="00160A4C"/>
    <w:rsid w:val="00162913"/>
    <w:rsid w:val="00163EFF"/>
    <w:rsid w:val="00163F66"/>
    <w:rsid w:val="00164A4E"/>
    <w:rsid w:val="001661FB"/>
    <w:rsid w:val="001671A0"/>
    <w:rsid w:val="0016767F"/>
    <w:rsid w:val="001720D7"/>
    <w:rsid w:val="00173565"/>
    <w:rsid w:val="00173B07"/>
    <w:rsid w:val="001751FA"/>
    <w:rsid w:val="00180202"/>
    <w:rsid w:val="00181D9C"/>
    <w:rsid w:val="00182E4E"/>
    <w:rsid w:val="00184356"/>
    <w:rsid w:val="00184B0E"/>
    <w:rsid w:val="00185795"/>
    <w:rsid w:val="00186772"/>
    <w:rsid w:val="00187318"/>
    <w:rsid w:val="0018752F"/>
    <w:rsid w:val="00187BA1"/>
    <w:rsid w:val="00190368"/>
    <w:rsid w:val="00190600"/>
    <w:rsid w:val="00190B63"/>
    <w:rsid w:val="00190C3B"/>
    <w:rsid w:val="0019207A"/>
    <w:rsid w:val="00192C59"/>
    <w:rsid w:val="00193838"/>
    <w:rsid w:val="00194AD8"/>
    <w:rsid w:val="00195222"/>
    <w:rsid w:val="00195457"/>
    <w:rsid w:val="001975D8"/>
    <w:rsid w:val="001A178E"/>
    <w:rsid w:val="001A2881"/>
    <w:rsid w:val="001A43FA"/>
    <w:rsid w:val="001A47C5"/>
    <w:rsid w:val="001A59FB"/>
    <w:rsid w:val="001A5E9E"/>
    <w:rsid w:val="001A6354"/>
    <w:rsid w:val="001A6366"/>
    <w:rsid w:val="001A7AE8"/>
    <w:rsid w:val="001B1319"/>
    <w:rsid w:val="001B1A5C"/>
    <w:rsid w:val="001B204E"/>
    <w:rsid w:val="001B2372"/>
    <w:rsid w:val="001B3443"/>
    <w:rsid w:val="001B36F6"/>
    <w:rsid w:val="001B4D20"/>
    <w:rsid w:val="001B6018"/>
    <w:rsid w:val="001B63AD"/>
    <w:rsid w:val="001B7048"/>
    <w:rsid w:val="001C1EEC"/>
    <w:rsid w:val="001C2A9B"/>
    <w:rsid w:val="001C4299"/>
    <w:rsid w:val="001C4874"/>
    <w:rsid w:val="001C5F51"/>
    <w:rsid w:val="001C5F94"/>
    <w:rsid w:val="001C6E66"/>
    <w:rsid w:val="001C7EB6"/>
    <w:rsid w:val="001D1100"/>
    <w:rsid w:val="001D1391"/>
    <w:rsid w:val="001D1BBA"/>
    <w:rsid w:val="001D1C1F"/>
    <w:rsid w:val="001D25D7"/>
    <w:rsid w:val="001D50B2"/>
    <w:rsid w:val="001D6A55"/>
    <w:rsid w:val="001D7645"/>
    <w:rsid w:val="001D7DC3"/>
    <w:rsid w:val="001E0B73"/>
    <w:rsid w:val="001E1E86"/>
    <w:rsid w:val="001E238E"/>
    <w:rsid w:val="001E2483"/>
    <w:rsid w:val="001E2B1E"/>
    <w:rsid w:val="001E2CFF"/>
    <w:rsid w:val="001E2F24"/>
    <w:rsid w:val="001E30D4"/>
    <w:rsid w:val="001E34DF"/>
    <w:rsid w:val="001E3681"/>
    <w:rsid w:val="001E3FE9"/>
    <w:rsid w:val="001E4914"/>
    <w:rsid w:val="001E50C0"/>
    <w:rsid w:val="001E52EB"/>
    <w:rsid w:val="001E5C5E"/>
    <w:rsid w:val="001E61D2"/>
    <w:rsid w:val="001E740C"/>
    <w:rsid w:val="001F0416"/>
    <w:rsid w:val="001F1235"/>
    <w:rsid w:val="001F1CB3"/>
    <w:rsid w:val="001F1D65"/>
    <w:rsid w:val="001F38B5"/>
    <w:rsid w:val="001F3FF4"/>
    <w:rsid w:val="001F4081"/>
    <w:rsid w:val="001F48AF"/>
    <w:rsid w:val="001F7361"/>
    <w:rsid w:val="002011B0"/>
    <w:rsid w:val="002013A0"/>
    <w:rsid w:val="00201971"/>
    <w:rsid w:val="00202218"/>
    <w:rsid w:val="00203181"/>
    <w:rsid w:val="00203783"/>
    <w:rsid w:val="0020385F"/>
    <w:rsid w:val="0020566F"/>
    <w:rsid w:val="002068A0"/>
    <w:rsid w:val="00206B89"/>
    <w:rsid w:val="00207021"/>
    <w:rsid w:val="0020732F"/>
    <w:rsid w:val="00207D00"/>
    <w:rsid w:val="002100A0"/>
    <w:rsid w:val="002105C1"/>
    <w:rsid w:val="0021146E"/>
    <w:rsid w:val="00213EF5"/>
    <w:rsid w:val="00214151"/>
    <w:rsid w:val="00216BF5"/>
    <w:rsid w:val="00216EDB"/>
    <w:rsid w:val="00222DF4"/>
    <w:rsid w:val="00223B49"/>
    <w:rsid w:val="00223D5A"/>
    <w:rsid w:val="00224DD4"/>
    <w:rsid w:val="00225026"/>
    <w:rsid w:val="0022691B"/>
    <w:rsid w:val="00226997"/>
    <w:rsid w:val="00227668"/>
    <w:rsid w:val="002278A0"/>
    <w:rsid w:val="002309CC"/>
    <w:rsid w:val="00231BAC"/>
    <w:rsid w:val="0023209F"/>
    <w:rsid w:val="00232830"/>
    <w:rsid w:val="00233205"/>
    <w:rsid w:val="0023374C"/>
    <w:rsid w:val="00233C01"/>
    <w:rsid w:val="00233E93"/>
    <w:rsid w:val="0023413C"/>
    <w:rsid w:val="002346F0"/>
    <w:rsid w:val="00234A80"/>
    <w:rsid w:val="0023629D"/>
    <w:rsid w:val="00237255"/>
    <w:rsid w:val="0023770E"/>
    <w:rsid w:val="0024220D"/>
    <w:rsid w:val="002424AF"/>
    <w:rsid w:val="002439DC"/>
    <w:rsid w:val="00243AF6"/>
    <w:rsid w:val="00243CDA"/>
    <w:rsid w:val="002441D2"/>
    <w:rsid w:val="002447F5"/>
    <w:rsid w:val="00244DC8"/>
    <w:rsid w:val="002458BA"/>
    <w:rsid w:val="00245CE9"/>
    <w:rsid w:val="0024636C"/>
    <w:rsid w:val="002473C9"/>
    <w:rsid w:val="00247925"/>
    <w:rsid w:val="00251006"/>
    <w:rsid w:val="002524D5"/>
    <w:rsid w:val="00252847"/>
    <w:rsid w:val="0025292A"/>
    <w:rsid w:val="002539EC"/>
    <w:rsid w:val="00253B1D"/>
    <w:rsid w:val="00254DCF"/>
    <w:rsid w:val="0025534B"/>
    <w:rsid w:val="00255BB7"/>
    <w:rsid w:val="00256434"/>
    <w:rsid w:val="00257541"/>
    <w:rsid w:val="00257A39"/>
    <w:rsid w:val="00257AC4"/>
    <w:rsid w:val="002616F8"/>
    <w:rsid w:val="00261875"/>
    <w:rsid w:val="00261EEF"/>
    <w:rsid w:val="00262A1A"/>
    <w:rsid w:val="00262A87"/>
    <w:rsid w:val="00263900"/>
    <w:rsid w:val="002649A8"/>
    <w:rsid w:val="00264D26"/>
    <w:rsid w:val="0026586B"/>
    <w:rsid w:val="00266565"/>
    <w:rsid w:val="00266DE6"/>
    <w:rsid w:val="00267642"/>
    <w:rsid w:val="00267AEA"/>
    <w:rsid w:val="002700E6"/>
    <w:rsid w:val="0027014B"/>
    <w:rsid w:val="0027015B"/>
    <w:rsid w:val="0027294B"/>
    <w:rsid w:val="00272EB5"/>
    <w:rsid w:val="00273EB4"/>
    <w:rsid w:val="00274682"/>
    <w:rsid w:val="00275729"/>
    <w:rsid w:val="00275C5A"/>
    <w:rsid w:val="002765DE"/>
    <w:rsid w:val="0027690E"/>
    <w:rsid w:val="00280CB6"/>
    <w:rsid w:val="00281014"/>
    <w:rsid w:val="0028368A"/>
    <w:rsid w:val="002855C2"/>
    <w:rsid w:val="0028665D"/>
    <w:rsid w:val="002870BC"/>
    <w:rsid w:val="00287172"/>
    <w:rsid w:val="00287B8B"/>
    <w:rsid w:val="00290532"/>
    <w:rsid w:val="0029085D"/>
    <w:rsid w:val="002917D2"/>
    <w:rsid w:val="00292F95"/>
    <w:rsid w:val="002935E0"/>
    <w:rsid w:val="002937E0"/>
    <w:rsid w:val="002A14AB"/>
    <w:rsid w:val="002A2ADE"/>
    <w:rsid w:val="002A2F50"/>
    <w:rsid w:val="002A4492"/>
    <w:rsid w:val="002A5073"/>
    <w:rsid w:val="002A5836"/>
    <w:rsid w:val="002B05A1"/>
    <w:rsid w:val="002B09A4"/>
    <w:rsid w:val="002B1C1F"/>
    <w:rsid w:val="002B27A1"/>
    <w:rsid w:val="002B2AC3"/>
    <w:rsid w:val="002B432F"/>
    <w:rsid w:val="002B62B3"/>
    <w:rsid w:val="002B6754"/>
    <w:rsid w:val="002B6A90"/>
    <w:rsid w:val="002B6CCE"/>
    <w:rsid w:val="002B7E22"/>
    <w:rsid w:val="002B7F49"/>
    <w:rsid w:val="002B7FE8"/>
    <w:rsid w:val="002C2510"/>
    <w:rsid w:val="002C26D9"/>
    <w:rsid w:val="002C2775"/>
    <w:rsid w:val="002C27C1"/>
    <w:rsid w:val="002C44BE"/>
    <w:rsid w:val="002C5099"/>
    <w:rsid w:val="002C5889"/>
    <w:rsid w:val="002C5D94"/>
    <w:rsid w:val="002C6984"/>
    <w:rsid w:val="002C71CE"/>
    <w:rsid w:val="002C782B"/>
    <w:rsid w:val="002D0024"/>
    <w:rsid w:val="002D08F8"/>
    <w:rsid w:val="002D0C71"/>
    <w:rsid w:val="002D297F"/>
    <w:rsid w:val="002D36E0"/>
    <w:rsid w:val="002D4711"/>
    <w:rsid w:val="002D4D72"/>
    <w:rsid w:val="002D52D0"/>
    <w:rsid w:val="002D577C"/>
    <w:rsid w:val="002D6147"/>
    <w:rsid w:val="002D67FE"/>
    <w:rsid w:val="002E1071"/>
    <w:rsid w:val="002E12AB"/>
    <w:rsid w:val="002E15B9"/>
    <w:rsid w:val="002E15E3"/>
    <w:rsid w:val="002E1B51"/>
    <w:rsid w:val="002E1F74"/>
    <w:rsid w:val="002E2158"/>
    <w:rsid w:val="002E3D83"/>
    <w:rsid w:val="002E4F02"/>
    <w:rsid w:val="002E5AA0"/>
    <w:rsid w:val="002E6685"/>
    <w:rsid w:val="002E7722"/>
    <w:rsid w:val="002F07BA"/>
    <w:rsid w:val="002F0DA9"/>
    <w:rsid w:val="002F1014"/>
    <w:rsid w:val="002F153B"/>
    <w:rsid w:val="002F3609"/>
    <w:rsid w:val="002F5FA6"/>
    <w:rsid w:val="002F643C"/>
    <w:rsid w:val="002F71C0"/>
    <w:rsid w:val="002F74F1"/>
    <w:rsid w:val="00301017"/>
    <w:rsid w:val="0030155F"/>
    <w:rsid w:val="003025C4"/>
    <w:rsid w:val="003035FD"/>
    <w:rsid w:val="00303AAA"/>
    <w:rsid w:val="00304346"/>
    <w:rsid w:val="0030470B"/>
    <w:rsid w:val="0030587B"/>
    <w:rsid w:val="00306111"/>
    <w:rsid w:val="00306D5B"/>
    <w:rsid w:val="00306D98"/>
    <w:rsid w:val="0030786C"/>
    <w:rsid w:val="00307FA6"/>
    <w:rsid w:val="0031031A"/>
    <w:rsid w:val="00310981"/>
    <w:rsid w:val="00311602"/>
    <w:rsid w:val="003116B4"/>
    <w:rsid w:val="003124D9"/>
    <w:rsid w:val="00312594"/>
    <w:rsid w:val="00313A90"/>
    <w:rsid w:val="00314477"/>
    <w:rsid w:val="00315498"/>
    <w:rsid w:val="00316474"/>
    <w:rsid w:val="003203CC"/>
    <w:rsid w:val="00321986"/>
    <w:rsid w:val="003220D1"/>
    <w:rsid w:val="00322107"/>
    <w:rsid w:val="00322355"/>
    <w:rsid w:val="00322846"/>
    <w:rsid w:val="00322C0D"/>
    <w:rsid w:val="003233DB"/>
    <w:rsid w:val="00325F89"/>
    <w:rsid w:val="00326B77"/>
    <w:rsid w:val="00326DA7"/>
    <w:rsid w:val="003270E4"/>
    <w:rsid w:val="003308CB"/>
    <w:rsid w:val="00330DAA"/>
    <w:rsid w:val="00330F5C"/>
    <w:rsid w:val="00332E6C"/>
    <w:rsid w:val="0033392A"/>
    <w:rsid w:val="00334631"/>
    <w:rsid w:val="003366C9"/>
    <w:rsid w:val="003371B0"/>
    <w:rsid w:val="00337FC9"/>
    <w:rsid w:val="00340DF1"/>
    <w:rsid w:val="003415F3"/>
    <w:rsid w:val="003470C1"/>
    <w:rsid w:val="0035108C"/>
    <w:rsid w:val="003517F9"/>
    <w:rsid w:val="00351BA9"/>
    <w:rsid w:val="0035230F"/>
    <w:rsid w:val="00354F64"/>
    <w:rsid w:val="0035620E"/>
    <w:rsid w:val="003564BB"/>
    <w:rsid w:val="00360345"/>
    <w:rsid w:val="00360684"/>
    <w:rsid w:val="00360D09"/>
    <w:rsid w:val="00361561"/>
    <w:rsid w:val="00361A05"/>
    <w:rsid w:val="003624C4"/>
    <w:rsid w:val="0036294C"/>
    <w:rsid w:val="003632F5"/>
    <w:rsid w:val="00363B00"/>
    <w:rsid w:val="003654AC"/>
    <w:rsid w:val="0036759C"/>
    <w:rsid w:val="00370701"/>
    <w:rsid w:val="003710CF"/>
    <w:rsid w:val="0037190A"/>
    <w:rsid w:val="003720D1"/>
    <w:rsid w:val="003732E9"/>
    <w:rsid w:val="0037358A"/>
    <w:rsid w:val="00374F6F"/>
    <w:rsid w:val="003750F6"/>
    <w:rsid w:val="003758D9"/>
    <w:rsid w:val="003760FC"/>
    <w:rsid w:val="003772F3"/>
    <w:rsid w:val="0037742E"/>
    <w:rsid w:val="00382C67"/>
    <w:rsid w:val="0038365C"/>
    <w:rsid w:val="0038369B"/>
    <w:rsid w:val="00383B78"/>
    <w:rsid w:val="00384C89"/>
    <w:rsid w:val="00385A9D"/>
    <w:rsid w:val="00387917"/>
    <w:rsid w:val="003902B1"/>
    <w:rsid w:val="0039179C"/>
    <w:rsid w:val="003945F5"/>
    <w:rsid w:val="00395DDE"/>
    <w:rsid w:val="00396896"/>
    <w:rsid w:val="00396FD0"/>
    <w:rsid w:val="00397BFD"/>
    <w:rsid w:val="003A1A7A"/>
    <w:rsid w:val="003A2392"/>
    <w:rsid w:val="003A2831"/>
    <w:rsid w:val="003A2BD3"/>
    <w:rsid w:val="003A2BE3"/>
    <w:rsid w:val="003A3CB6"/>
    <w:rsid w:val="003A3ED1"/>
    <w:rsid w:val="003A44DB"/>
    <w:rsid w:val="003A590C"/>
    <w:rsid w:val="003B2389"/>
    <w:rsid w:val="003B2C8A"/>
    <w:rsid w:val="003B2C97"/>
    <w:rsid w:val="003B2DA5"/>
    <w:rsid w:val="003B3971"/>
    <w:rsid w:val="003B55D1"/>
    <w:rsid w:val="003B5B61"/>
    <w:rsid w:val="003B6B8F"/>
    <w:rsid w:val="003C079F"/>
    <w:rsid w:val="003C100D"/>
    <w:rsid w:val="003C1654"/>
    <w:rsid w:val="003C171C"/>
    <w:rsid w:val="003C2333"/>
    <w:rsid w:val="003C2DD1"/>
    <w:rsid w:val="003C337A"/>
    <w:rsid w:val="003C53EF"/>
    <w:rsid w:val="003C5542"/>
    <w:rsid w:val="003C6474"/>
    <w:rsid w:val="003C7D19"/>
    <w:rsid w:val="003C7D2F"/>
    <w:rsid w:val="003D1828"/>
    <w:rsid w:val="003D19A1"/>
    <w:rsid w:val="003D1DE4"/>
    <w:rsid w:val="003D1E9A"/>
    <w:rsid w:val="003D2422"/>
    <w:rsid w:val="003D32CD"/>
    <w:rsid w:val="003D39A1"/>
    <w:rsid w:val="003D3FBF"/>
    <w:rsid w:val="003D4039"/>
    <w:rsid w:val="003D4A30"/>
    <w:rsid w:val="003D7452"/>
    <w:rsid w:val="003D79BB"/>
    <w:rsid w:val="003D7C98"/>
    <w:rsid w:val="003D7D9D"/>
    <w:rsid w:val="003E0543"/>
    <w:rsid w:val="003E2ECF"/>
    <w:rsid w:val="003E3DDA"/>
    <w:rsid w:val="003E749E"/>
    <w:rsid w:val="003F2099"/>
    <w:rsid w:val="003F4156"/>
    <w:rsid w:val="003F5ADF"/>
    <w:rsid w:val="003F6B62"/>
    <w:rsid w:val="003F7266"/>
    <w:rsid w:val="00400B29"/>
    <w:rsid w:val="00402CF3"/>
    <w:rsid w:val="0040504B"/>
    <w:rsid w:val="004059F4"/>
    <w:rsid w:val="00407FE5"/>
    <w:rsid w:val="004101B0"/>
    <w:rsid w:val="00410326"/>
    <w:rsid w:val="00410708"/>
    <w:rsid w:val="00410EC7"/>
    <w:rsid w:val="00410ECF"/>
    <w:rsid w:val="00411B39"/>
    <w:rsid w:val="004127A7"/>
    <w:rsid w:val="00413A1E"/>
    <w:rsid w:val="00413FC4"/>
    <w:rsid w:val="00414476"/>
    <w:rsid w:val="004149C3"/>
    <w:rsid w:val="00414C2E"/>
    <w:rsid w:val="004151CF"/>
    <w:rsid w:val="00416364"/>
    <w:rsid w:val="00417F50"/>
    <w:rsid w:val="0042047F"/>
    <w:rsid w:val="004206D2"/>
    <w:rsid w:val="00420AA6"/>
    <w:rsid w:val="00420B9F"/>
    <w:rsid w:val="0042151A"/>
    <w:rsid w:val="0042192C"/>
    <w:rsid w:val="00421A56"/>
    <w:rsid w:val="004221A5"/>
    <w:rsid w:val="00422260"/>
    <w:rsid w:val="00423269"/>
    <w:rsid w:val="0042413F"/>
    <w:rsid w:val="00425D05"/>
    <w:rsid w:val="0043118D"/>
    <w:rsid w:val="00431711"/>
    <w:rsid w:val="004319F8"/>
    <w:rsid w:val="00431E55"/>
    <w:rsid w:val="004321F6"/>
    <w:rsid w:val="00433044"/>
    <w:rsid w:val="00433C88"/>
    <w:rsid w:val="00434088"/>
    <w:rsid w:val="00436969"/>
    <w:rsid w:val="004375B9"/>
    <w:rsid w:val="00437B31"/>
    <w:rsid w:val="004413F5"/>
    <w:rsid w:val="004428D0"/>
    <w:rsid w:val="00442AF3"/>
    <w:rsid w:val="00443876"/>
    <w:rsid w:val="00443D83"/>
    <w:rsid w:val="00444185"/>
    <w:rsid w:val="004443A7"/>
    <w:rsid w:val="0044442C"/>
    <w:rsid w:val="00444C85"/>
    <w:rsid w:val="00445539"/>
    <w:rsid w:val="00445941"/>
    <w:rsid w:val="004464EB"/>
    <w:rsid w:val="00447D26"/>
    <w:rsid w:val="00447DFC"/>
    <w:rsid w:val="004503A0"/>
    <w:rsid w:val="004505CD"/>
    <w:rsid w:val="004559E3"/>
    <w:rsid w:val="00455D45"/>
    <w:rsid w:val="00457607"/>
    <w:rsid w:val="00460C50"/>
    <w:rsid w:val="00462BDC"/>
    <w:rsid w:val="004637E6"/>
    <w:rsid w:val="00464595"/>
    <w:rsid w:val="004658B5"/>
    <w:rsid w:val="00466478"/>
    <w:rsid w:val="004671B8"/>
    <w:rsid w:val="00471EA5"/>
    <w:rsid w:val="00472A79"/>
    <w:rsid w:val="00473F19"/>
    <w:rsid w:val="00474147"/>
    <w:rsid w:val="004745A1"/>
    <w:rsid w:val="00474F08"/>
    <w:rsid w:val="00475E22"/>
    <w:rsid w:val="0048088E"/>
    <w:rsid w:val="00480F2B"/>
    <w:rsid w:val="00480F34"/>
    <w:rsid w:val="00481353"/>
    <w:rsid w:val="00481381"/>
    <w:rsid w:val="00482720"/>
    <w:rsid w:val="004835E7"/>
    <w:rsid w:val="00484797"/>
    <w:rsid w:val="004867E2"/>
    <w:rsid w:val="00486ED3"/>
    <w:rsid w:val="0048773C"/>
    <w:rsid w:val="00490B17"/>
    <w:rsid w:val="00491ABA"/>
    <w:rsid w:val="00491B3A"/>
    <w:rsid w:val="00492CFD"/>
    <w:rsid w:val="00494207"/>
    <w:rsid w:val="004943D1"/>
    <w:rsid w:val="00494DD5"/>
    <w:rsid w:val="00495A25"/>
    <w:rsid w:val="004962D2"/>
    <w:rsid w:val="004976BE"/>
    <w:rsid w:val="004A0DA1"/>
    <w:rsid w:val="004A0DA2"/>
    <w:rsid w:val="004A13D6"/>
    <w:rsid w:val="004A178E"/>
    <w:rsid w:val="004A1871"/>
    <w:rsid w:val="004A434C"/>
    <w:rsid w:val="004A52E9"/>
    <w:rsid w:val="004A6040"/>
    <w:rsid w:val="004A614B"/>
    <w:rsid w:val="004A6597"/>
    <w:rsid w:val="004A771A"/>
    <w:rsid w:val="004A7848"/>
    <w:rsid w:val="004A7CF1"/>
    <w:rsid w:val="004B0341"/>
    <w:rsid w:val="004B04A1"/>
    <w:rsid w:val="004B1CB4"/>
    <w:rsid w:val="004B1E3A"/>
    <w:rsid w:val="004B2F18"/>
    <w:rsid w:val="004B3DDB"/>
    <w:rsid w:val="004B44FD"/>
    <w:rsid w:val="004B4B06"/>
    <w:rsid w:val="004B55A8"/>
    <w:rsid w:val="004B5BD8"/>
    <w:rsid w:val="004B5CFC"/>
    <w:rsid w:val="004B6E21"/>
    <w:rsid w:val="004B6F79"/>
    <w:rsid w:val="004B774D"/>
    <w:rsid w:val="004C07A5"/>
    <w:rsid w:val="004C0FA8"/>
    <w:rsid w:val="004C1ABB"/>
    <w:rsid w:val="004C4AED"/>
    <w:rsid w:val="004D26A0"/>
    <w:rsid w:val="004D288E"/>
    <w:rsid w:val="004D2C2D"/>
    <w:rsid w:val="004D2CAE"/>
    <w:rsid w:val="004D2E98"/>
    <w:rsid w:val="004D5005"/>
    <w:rsid w:val="004D69B5"/>
    <w:rsid w:val="004D7227"/>
    <w:rsid w:val="004E0E7F"/>
    <w:rsid w:val="004E0EB8"/>
    <w:rsid w:val="004E1857"/>
    <w:rsid w:val="004E18E9"/>
    <w:rsid w:val="004E2ADC"/>
    <w:rsid w:val="004E30FD"/>
    <w:rsid w:val="004E43B2"/>
    <w:rsid w:val="004E4E56"/>
    <w:rsid w:val="004E5E9B"/>
    <w:rsid w:val="004E7D66"/>
    <w:rsid w:val="004F0A36"/>
    <w:rsid w:val="004F1D02"/>
    <w:rsid w:val="004F25CF"/>
    <w:rsid w:val="004F2679"/>
    <w:rsid w:val="004F2F21"/>
    <w:rsid w:val="004F3512"/>
    <w:rsid w:val="004F3DE5"/>
    <w:rsid w:val="004F3FA1"/>
    <w:rsid w:val="004F6913"/>
    <w:rsid w:val="004F6C9D"/>
    <w:rsid w:val="004F7865"/>
    <w:rsid w:val="005004C2"/>
    <w:rsid w:val="0050174E"/>
    <w:rsid w:val="00501854"/>
    <w:rsid w:val="0050219B"/>
    <w:rsid w:val="00503F17"/>
    <w:rsid w:val="00505586"/>
    <w:rsid w:val="0050579B"/>
    <w:rsid w:val="00506928"/>
    <w:rsid w:val="005077EF"/>
    <w:rsid w:val="00510714"/>
    <w:rsid w:val="00510E9D"/>
    <w:rsid w:val="00511AD5"/>
    <w:rsid w:val="00511DC7"/>
    <w:rsid w:val="0051393F"/>
    <w:rsid w:val="005142C5"/>
    <w:rsid w:val="00514534"/>
    <w:rsid w:val="0051501B"/>
    <w:rsid w:val="005152B5"/>
    <w:rsid w:val="00516FE4"/>
    <w:rsid w:val="00517916"/>
    <w:rsid w:val="0052009C"/>
    <w:rsid w:val="0052123C"/>
    <w:rsid w:val="00521319"/>
    <w:rsid w:val="0052282F"/>
    <w:rsid w:val="00522BC8"/>
    <w:rsid w:val="00523C28"/>
    <w:rsid w:val="00527BCC"/>
    <w:rsid w:val="005304EE"/>
    <w:rsid w:val="0053176B"/>
    <w:rsid w:val="00531ADA"/>
    <w:rsid w:val="0053494A"/>
    <w:rsid w:val="00536F42"/>
    <w:rsid w:val="00537182"/>
    <w:rsid w:val="00537257"/>
    <w:rsid w:val="00537CB4"/>
    <w:rsid w:val="00541EDD"/>
    <w:rsid w:val="00542743"/>
    <w:rsid w:val="0054297F"/>
    <w:rsid w:val="00542C2D"/>
    <w:rsid w:val="00545063"/>
    <w:rsid w:val="005478BD"/>
    <w:rsid w:val="005479E3"/>
    <w:rsid w:val="00551312"/>
    <w:rsid w:val="00551985"/>
    <w:rsid w:val="005519F7"/>
    <w:rsid w:val="00552BD3"/>
    <w:rsid w:val="005532A0"/>
    <w:rsid w:val="00553DC4"/>
    <w:rsid w:val="00554543"/>
    <w:rsid w:val="005548F9"/>
    <w:rsid w:val="00555109"/>
    <w:rsid w:val="00556B35"/>
    <w:rsid w:val="0055741A"/>
    <w:rsid w:val="00560499"/>
    <w:rsid w:val="00560D1C"/>
    <w:rsid w:val="005611B7"/>
    <w:rsid w:val="005618D4"/>
    <w:rsid w:val="0056353A"/>
    <w:rsid w:val="00565DF0"/>
    <w:rsid w:val="0056696F"/>
    <w:rsid w:val="00572049"/>
    <w:rsid w:val="00572269"/>
    <w:rsid w:val="0057244A"/>
    <w:rsid w:val="00572F26"/>
    <w:rsid w:val="00573CAC"/>
    <w:rsid w:val="005750C5"/>
    <w:rsid w:val="005752DE"/>
    <w:rsid w:val="00575491"/>
    <w:rsid w:val="005759D5"/>
    <w:rsid w:val="00575D8D"/>
    <w:rsid w:val="00576972"/>
    <w:rsid w:val="00576E2A"/>
    <w:rsid w:val="0057723D"/>
    <w:rsid w:val="0057743E"/>
    <w:rsid w:val="00581B02"/>
    <w:rsid w:val="00583699"/>
    <w:rsid w:val="00585CDD"/>
    <w:rsid w:val="00586C02"/>
    <w:rsid w:val="00587058"/>
    <w:rsid w:val="00591957"/>
    <w:rsid w:val="00592CE3"/>
    <w:rsid w:val="00593961"/>
    <w:rsid w:val="00594D81"/>
    <w:rsid w:val="00597BF9"/>
    <w:rsid w:val="005A0C16"/>
    <w:rsid w:val="005A1922"/>
    <w:rsid w:val="005A309A"/>
    <w:rsid w:val="005A373D"/>
    <w:rsid w:val="005A3929"/>
    <w:rsid w:val="005A3C48"/>
    <w:rsid w:val="005A452B"/>
    <w:rsid w:val="005B0B58"/>
    <w:rsid w:val="005B2FE3"/>
    <w:rsid w:val="005B49D5"/>
    <w:rsid w:val="005B4E53"/>
    <w:rsid w:val="005B5857"/>
    <w:rsid w:val="005B5AD4"/>
    <w:rsid w:val="005B7C7E"/>
    <w:rsid w:val="005C1B83"/>
    <w:rsid w:val="005C25FF"/>
    <w:rsid w:val="005C2D55"/>
    <w:rsid w:val="005C3347"/>
    <w:rsid w:val="005C346B"/>
    <w:rsid w:val="005C459F"/>
    <w:rsid w:val="005C4A54"/>
    <w:rsid w:val="005C6D9B"/>
    <w:rsid w:val="005D044D"/>
    <w:rsid w:val="005D0ABD"/>
    <w:rsid w:val="005D0E52"/>
    <w:rsid w:val="005D1180"/>
    <w:rsid w:val="005D18AD"/>
    <w:rsid w:val="005D26B4"/>
    <w:rsid w:val="005D5763"/>
    <w:rsid w:val="005E0D33"/>
    <w:rsid w:val="005E31F7"/>
    <w:rsid w:val="005E34C8"/>
    <w:rsid w:val="005E6CBC"/>
    <w:rsid w:val="005E72FF"/>
    <w:rsid w:val="005E73C0"/>
    <w:rsid w:val="005E73FE"/>
    <w:rsid w:val="005F1F99"/>
    <w:rsid w:val="005F2706"/>
    <w:rsid w:val="005F6A8F"/>
    <w:rsid w:val="005F6BB7"/>
    <w:rsid w:val="005F6F77"/>
    <w:rsid w:val="005F7588"/>
    <w:rsid w:val="006036D8"/>
    <w:rsid w:val="00603DB9"/>
    <w:rsid w:val="00604437"/>
    <w:rsid w:val="00605C13"/>
    <w:rsid w:val="0060652A"/>
    <w:rsid w:val="006069BE"/>
    <w:rsid w:val="00606FBA"/>
    <w:rsid w:val="00607669"/>
    <w:rsid w:val="006076F4"/>
    <w:rsid w:val="00607AFD"/>
    <w:rsid w:val="006113B6"/>
    <w:rsid w:val="00612620"/>
    <w:rsid w:val="00612F97"/>
    <w:rsid w:val="0061345D"/>
    <w:rsid w:val="00613C22"/>
    <w:rsid w:val="00613DFA"/>
    <w:rsid w:val="0061549B"/>
    <w:rsid w:val="00615BD6"/>
    <w:rsid w:val="00616802"/>
    <w:rsid w:val="00617E12"/>
    <w:rsid w:val="00620C25"/>
    <w:rsid w:val="00621477"/>
    <w:rsid w:val="00621ADA"/>
    <w:rsid w:val="00621D7A"/>
    <w:rsid w:val="00623F7B"/>
    <w:rsid w:val="0062506B"/>
    <w:rsid w:val="00625646"/>
    <w:rsid w:val="00625A66"/>
    <w:rsid w:val="00625FF8"/>
    <w:rsid w:val="0063158F"/>
    <w:rsid w:val="00631D6B"/>
    <w:rsid w:val="00632183"/>
    <w:rsid w:val="006330A1"/>
    <w:rsid w:val="0063479F"/>
    <w:rsid w:val="00635088"/>
    <w:rsid w:val="006353F0"/>
    <w:rsid w:val="006357B5"/>
    <w:rsid w:val="006364A1"/>
    <w:rsid w:val="0063678E"/>
    <w:rsid w:val="0063679E"/>
    <w:rsid w:val="0063700F"/>
    <w:rsid w:val="00637BFD"/>
    <w:rsid w:val="00641C4E"/>
    <w:rsid w:val="00641FB3"/>
    <w:rsid w:val="006428D9"/>
    <w:rsid w:val="0064434C"/>
    <w:rsid w:val="00644B0D"/>
    <w:rsid w:val="006462F0"/>
    <w:rsid w:val="00646A5B"/>
    <w:rsid w:val="006471CC"/>
    <w:rsid w:val="00647A29"/>
    <w:rsid w:val="0065079F"/>
    <w:rsid w:val="00652612"/>
    <w:rsid w:val="006526D9"/>
    <w:rsid w:val="00652A28"/>
    <w:rsid w:val="00653367"/>
    <w:rsid w:val="0065379F"/>
    <w:rsid w:val="00655720"/>
    <w:rsid w:val="00656188"/>
    <w:rsid w:val="0065715A"/>
    <w:rsid w:val="006610F1"/>
    <w:rsid w:val="00661C6B"/>
    <w:rsid w:val="0066483A"/>
    <w:rsid w:val="00666AB2"/>
    <w:rsid w:val="00666E6B"/>
    <w:rsid w:val="006678BB"/>
    <w:rsid w:val="00671004"/>
    <w:rsid w:val="00672646"/>
    <w:rsid w:val="00672D34"/>
    <w:rsid w:val="00674E42"/>
    <w:rsid w:val="006767FB"/>
    <w:rsid w:val="006813F8"/>
    <w:rsid w:val="00682112"/>
    <w:rsid w:val="00682BA6"/>
    <w:rsid w:val="00683332"/>
    <w:rsid w:val="00685395"/>
    <w:rsid w:val="0068609C"/>
    <w:rsid w:val="006866AC"/>
    <w:rsid w:val="00686957"/>
    <w:rsid w:val="006872BA"/>
    <w:rsid w:val="00690795"/>
    <w:rsid w:val="00690AAE"/>
    <w:rsid w:val="00690C73"/>
    <w:rsid w:val="00691648"/>
    <w:rsid w:val="006917D7"/>
    <w:rsid w:val="0069434C"/>
    <w:rsid w:val="00694F44"/>
    <w:rsid w:val="00696F51"/>
    <w:rsid w:val="006979A5"/>
    <w:rsid w:val="006A270A"/>
    <w:rsid w:val="006A2EF2"/>
    <w:rsid w:val="006A6464"/>
    <w:rsid w:val="006A6AB2"/>
    <w:rsid w:val="006A6B99"/>
    <w:rsid w:val="006A7E5F"/>
    <w:rsid w:val="006B234C"/>
    <w:rsid w:val="006B261B"/>
    <w:rsid w:val="006B2C90"/>
    <w:rsid w:val="006B35E6"/>
    <w:rsid w:val="006B4573"/>
    <w:rsid w:val="006B465A"/>
    <w:rsid w:val="006B6DD0"/>
    <w:rsid w:val="006C0399"/>
    <w:rsid w:val="006C1A02"/>
    <w:rsid w:val="006C22A0"/>
    <w:rsid w:val="006C23C2"/>
    <w:rsid w:val="006C2A8E"/>
    <w:rsid w:val="006C2DDB"/>
    <w:rsid w:val="006C3255"/>
    <w:rsid w:val="006C3F26"/>
    <w:rsid w:val="006C4365"/>
    <w:rsid w:val="006C4BD7"/>
    <w:rsid w:val="006C50CB"/>
    <w:rsid w:val="006C6BE4"/>
    <w:rsid w:val="006D0D17"/>
    <w:rsid w:val="006D1A2B"/>
    <w:rsid w:val="006D3C7D"/>
    <w:rsid w:val="006D41AF"/>
    <w:rsid w:val="006D4659"/>
    <w:rsid w:val="006D5D5F"/>
    <w:rsid w:val="006D62C1"/>
    <w:rsid w:val="006D66CB"/>
    <w:rsid w:val="006D68FB"/>
    <w:rsid w:val="006E0D11"/>
    <w:rsid w:val="006E1CB7"/>
    <w:rsid w:val="006E2868"/>
    <w:rsid w:val="006E3EC7"/>
    <w:rsid w:val="006E59D9"/>
    <w:rsid w:val="006E5D06"/>
    <w:rsid w:val="006E62DE"/>
    <w:rsid w:val="006F1D78"/>
    <w:rsid w:val="006F306C"/>
    <w:rsid w:val="006F3146"/>
    <w:rsid w:val="006F33D7"/>
    <w:rsid w:val="006F5A03"/>
    <w:rsid w:val="006F5C16"/>
    <w:rsid w:val="006F63A5"/>
    <w:rsid w:val="0070142B"/>
    <w:rsid w:val="00701D29"/>
    <w:rsid w:val="0070276E"/>
    <w:rsid w:val="00702F8F"/>
    <w:rsid w:val="007079C6"/>
    <w:rsid w:val="007079FC"/>
    <w:rsid w:val="0071056A"/>
    <w:rsid w:val="00711A36"/>
    <w:rsid w:val="00712674"/>
    <w:rsid w:val="00714C26"/>
    <w:rsid w:val="0071529C"/>
    <w:rsid w:val="007170DA"/>
    <w:rsid w:val="007172AD"/>
    <w:rsid w:val="0071744F"/>
    <w:rsid w:val="007200DE"/>
    <w:rsid w:val="00720801"/>
    <w:rsid w:val="007209AB"/>
    <w:rsid w:val="00721AB0"/>
    <w:rsid w:val="00722B1B"/>
    <w:rsid w:val="0072416F"/>
    <w:rsid w:val="007266B3"/>
    <w:rsid w:val="00727C94"/>
    <w:rsid w:val="007309AC"/>
    <w:rsid w:val="00731B0A"/>
    <w:rsid w:val="00731EAE"/>
    <w:rsid w:val="00731FC1"/>
    <w:rsid w:val="00732344"/>
    <w:rsid w:val="00733073"/>
    <w:rsid w:val="00733730"/>
    <w:rsid w:val="00734103"/>
    <w:rsid w:val="00734479"/>
    <w:rsid w:val="00735033"/>
    <w:rsid w:val="00735328"/>
    <w:rsid w:val="007360F5"/>
    <w:rsid w:val="0073685B"/>
    <w:rsid w:val="00737AA1"/>
    <w:rsid w:val="00740493"/>
    <w:rsid w:val="00743D75"/>
    <w:rsid w:val="007449BF"/>
    <w:rsid w:val="007452C0"/>
    <w:rsid w:val="00746731"/>
    <w:rsid w:val="00746BC0"/>
    <w:rsid w:val="007510B4"/>
    <w:rsid w:val="00751D10"/>
    <w:rsid w:val="00752142"/>
    <w:rsid w:val="007523F9"/>
    <w:rsid w:val="00752751"/>
    <w:rsid w:val="0075357E"/>
    <w:rsid w:val="00755CF1"/>
    <w:rsid w:val="00756DEE"/>
    <w:rsid w:val="00756F68"/>
    <w:rsid w:val="007573E8"/>
    <w:rsid w:val="0076069C"/>
    <w:rsid w:val="00760C4E"/>
    <w:rsid w:val="00760F9E"/>
    <w:rsid w:val="0076233F"/>
    <w:rsid w:val="007627BE"/>
    <w:rsid w:val="00764F03"/>
    <w:rsid w:val="007657A6"/>
    <w:rsid w:val="00765B1A"/>
    <w:rsid w:val="00765CE9"/>
    <w:rsid w:val="0076612D"/>
    <w:rsid w:val="0076754D"/>
    <w:rsid w:val="007704BE"/>
    <w:rsid w:val="00773419"/>
    <w:rsid w:val="00773CAC"/>
    <w:rsid w:val="00773D82"/>
    <w:rsid w:val="007755E9"/>
    <w:rsid w:val="00777335"/>
    <w:rsid w:val="00780B2A"/>
    <w:rsid w:val="007843F2"/>
    <w:rsid w:val="00784541"/>
    <w:rsid w:val="00785A9F"/>
    <w:rsid w:val="007866F5"/>
    <w:rsid w:val="007925DF"/>
    <w:rsid w:val="007934D9"/>
    <w:rsid w:val="00794565"/>
    <w:rsid w:val="00795406"/>
    <w:rsid w:val="007A08AA"/>
    <w:rsid w:val="007A0A12"/>
    <w:rsid w:val="007A0CD0"/>
    <w:rsid w:val="007A132D"/>
    <w:rsid w:val="007A1345"/>
    <w:rsid w:val="007A2DDB"/>
    <w:rsid w:val="007A5629"/>
    <w:rsid w:val="007A70BA"/>
    <w:rsid w:val="007B0D68"/>
    <w:rsid w:val="007B15FC"/>
    <w:rsid w:val="007B187E"/>
    <w:rsid w:val="007B1A21"/>
    <w:rsid w:val="007B251D"/>
    <w:rsid w:val="007B44AA"/>
    <w:rsid w:val="007B4F58"/>
    <w:rsid w:val="007B528D"/>
    <w:rsid w:val="007B5644"/>
    <w:rsid w:val="007B63CA"/>
    <w:rsid w:val="007B77D1"/>
    <w:rsid w:val="007B7A54"/>
    <w:rsid w:val="007C002B"/>
    <w:rsid w:val="007C07C7"/>
    <w:rsid w:val="007C1C00"/>
    <w:rsid w:val="007C1CD9"/>
    <w:rsid w:val="007C2FB8"/>
    <w:rsid w:val="007C32EF"/>
    <w:rsid w:val="007C34DB"/>
    <w:rsid w:val="007C351E"/>
    <w:rsid w:val="007C361D"/>
    <w:rsid w:val="007C4B84"/>
    <w:rsid w:val="007C5329"/>
    <w:rsid w:val="007C70FF"/>
    <w:rsid w:val="007C7C25"/>
    <w:rsid w:val="007D004F"/>
    <w:rsid w:val="007D0466"/>
    <w:rsid w:val="007D0AA5"/>
    <w:rsid w:val="007D0B38"/>
    <w:rsid w:val="007D2656"/>
    <w:rsid w:val="007D307B"/>
    <w:rsid w:val="007D3961"/>
    <w:rsid w:val="007D3E61"/>
    <w:rsid w:val="007D5440"/>
    <w:rsid w:val="007D60A4"/>
    <w:rsid w:val="007D632F"/>
    <w:rsid w:val="007D69EB"/>
    <w:rsid w:val="007D72DF"/>
    <w:rsid w:val="007D7A88"/>
    <w:rsid w:val="007E128F"/>
    <w:rsid w:val="007E4B7D"/>
    <w:rsid w:val="007F1017"/>
    <w:rsid w:val="007F269F"/>
    <w:rsid w:val="007F4984"/>
    <w:rsid w:val="007F4A3F"/>
    <w:rsid w:val="007F4A61"/>
    <w:rsid w:val="007F5255"/>
    <w:rsid w:val="007F56CC"/>
    <w:rsid w:val="007F5D53"/>
    <w:rsid w:val="007F5D61"/>
    <w:rsid w:val="007F61C2"/>
    <w:rsid w:val="007F7B09"/>
    <w:rsid w:val="00802A1B"/>
    <w:rsid w:val="00804832"/>
    <w:rsid w:val="00805142"/>
    <w:rsid w:val="00805FCE"/>
    <w:rsid w:val="00807A8B"/>
    <w:rsid w:val="00811383"/>
    <w:rsid w:val="00811A03"/>
    <w:rsid w:val="00811E9C"/>
    <w:rsid w:val="00812149"/>
    <w:rsid w:val="00812CAC"/>
    <w:rsid w:val="00813BDD"/>
    <w:rsid w:val="008149AA"/>
    <w:rsid w:val="00816361"/>
    <w:rsid w:val="008166EF"/>
    <w:rsid w:val="00816DBD"/>
    <w:rsid w:val="00816FEF"/>
    <w:rsid w:val="00820A4B"/>
    <w:rsid w:val="00820A8C"/>
    <w:rsid w:val="008215FB"/>
    <w:rsid w:val="00822DC3"/>
    <w:rsid w:val="00823174"/>
    <w:rsid w:val="00823EE8"/>
    <w:rsid w:val="008255A4"/>
    <w:rsid w:val="008255B2"/>
    <w:rsid w:val="00825751"/>
    <w:rsid w:val="008264EB"/>
    <w:rsid w:val="00826B52"/>
    <w:rsid w:val="00830814"/>
    <w:rsid w:val="00830C02"/>
    <w:rsid w:val="008312E5"/>
    <w:rsid w:val="008329C8"/>
    <w:rsid w:val="00833B05"/>
    <w:rsid w:val="008349FE"/>
    <w:rsid w:val="008362B4"/>
    <w:rsid w:val="00837A3C"/>
    <w:rsid w:val="008406F5"/>
    <w:rsid w:val="00840CA2"/>
    <w:rsid w:val="0084374F"/>
    <w:rsid w:val="0084461C"/>
    <w:rsid w:val="00844A22"/>
    <w:rsid w:val="00844F8E"/>
    <w:rsid w:val="00846276"/>
    <w:rsid w:val="0084674D"/>
    <w:rsid w:val="00847703"/>
    <w:rsid w:val="00847DF5"/>
    <w:rsid w:val="00847FD3"/>
    <w:rsid w:val="00852A5B"/>
    <w:rsid w:val="0085309D"/>
    <w:rsid w:val="0085525E"/>
    <w:rsid w:val="00856897"/>
    <w:rsid w:val="00856E9A"/>
    <w:rsid w:val="0085779B"/>
    <w:rsid w:val="008606C5"/>
    <w:rsid w:val="0086075D"/>
    <w:rsid w:val="008607E3"/>
    <w:rsid w:val="00861BFF"/>
    <w:rsid w:val="00862257"/>
    <w:rsid w:val="00862502"/>
    <w:rsid w:val="00862CC1"/>
    <w:rsid w:val="008651DE"/>
    <w:rsid w:val="008656FD"/>
    <w:rsid w:val="008660D4"/>
    <w:rsid w:val="00871321"/>
    <w:rsid w:val="00871FA9"/>
    <w:rsid w:val="00872209"/>
    <w:rsid w:val="008728E9"/>
    <w:rsid w:val="00874A32"/>
    <w:rsid w:val="00874C35"/>
    <w:rsid w:val="0087764E"/>
    <w:rsid w:val="00877A4E"/>
    <w:rsid w:val="00877F57"/>
    <w:rsid w:val="00882874"/>
    <w:rsid w:val="00882E3C"/>
    <w:rsid w:val="00883787"/>
    <w:rsid w:val="008843EF"/>
    <w:rsid w:val="008855E4"/>
    <w:rsid w:val="00886CD2"/>
    <w:rsid w:val="008874EC"/>
    <w:rsid w:val="00887BF2"/>
    <w:rsid w:val="00891A25"/>
    <w:rsid w:val="00891E6F"/>
    <w:rsid w:val="0089275D"/>
    <w:rsid w:val="00892A36"/>
    <w:rsid w:val="00893239"/>
    <w:rsid w:val="00893C72"/>
    <w:rsid w:val="00894489"/>
    <w:rsid w:val="0089482E"/>
    <w:rsid w:val="00894C08"/>
    <w:rsid w:val="00894C60"/>
    <w:rsid w:val="00894E54"/>
    <w:rsid w:val="008963A5"/>
    <w:rsid w:val="00896D5D"/>
    <w:rsid w:val="00897DB5"/>
    <w:rsid w:val="00897F56"/>
    <w:rsid w:val="008A144B"/>
    <w:rsid w:val="008A1BCA"/>
    <w:rsid w:val="008A3363"/>
    <w:rsid w:val="008A3371"/>
    <w:rsid w:val="008A3C3E"/>
    <w:rsid w:val="008A607F"/>
    <w:rsid w:val="008A72F5"/>
    <w:rsid w:val="008A7505"/>
    <w:rsid w:val="008A79DE"/>
    <w:rsid w:val="008B0974"/>
    <w:rsid w:val="008B1757"/>
    <w:rsid w:val="008B1FAC"/>
    <w:rsid w:val="008B308F"/>
    <w:rsid w:val="008B3F64"/>
    <w:rsid w:val="008B4F1A"/>
    <w:rsid w:val="008B7604"/>
    <w:rsid w:val="008B7992"/>
    <w:rsid w:val="008B7D7E"/>
    <w:rsid w:val="008C0E96"/>
    <w:rsid w:val="008C5610"/>
    <w:rsid w:val="008C5739"/>
    <w:rsid w:val="008C5BC2"/>
    <w:rsid w:val="008C65DD"/>
    <w:rsid w:val="008C703B"/>
    <w:rsid w:val="008C7ECB"/>
    <w:rsid w:val="008D134F"/>
    <w:rsid w:val="008D1B1E"/>
    <w:rsid w:val="008D203B"/>
    <w:rsid w:val="008D2825"/>
    <w:rsid w:val="008D3B86"/>
    <w:rsid w:val="008D4755"/>
    <w:rsid w:val="008D478C"/>
    <w:rsid w:val="008D4C3D"/>
    <w:rsid w:val="008D5CFE"/>
    <w:rsid w:val="008D5DBE"/>
    <w:rsid w:val="008D743C"/>
    <w:rsid w:val="008D79BA"/>
    <w:rsid w:val="008E020B"/>
    <w:rsid w:val="008E0D3C"/>
    <w:rsid w:val="008E1B9E"/>
    <w:rsid w:val="008E2B5B"/>
    <w:rsid w:val="008E341D"/>
    <w:rsid w:val="008E55AB"/>
    <w:rsid w:val="008E728C"/>
    <w:rsid w:val="008F120A"/>
    <w:rsid w:val="008F1F97"/>
    <w:rsid w:val="008F27E0"/>
    <w:rsid w:val="008F42F9"/>
    <w:rsid w:val="008F48EB"/>
    <w:rsid w:val="008F4A3E"/>
    <w:rsid w:val="008F4F0B"/>
    <w:rsid w:val="008F51F6"/>
    <w:rsid w:val="008F6B9F"/>
    <w:rsid w:val="00900373"/>
    <w:rsid w:val="00901596"/>
    <w:rsid w:val="00901F3B"/>
    <w:rsid w:val="00903812"/>
    <w:rsid w:val="009042CC"/>
    <w:rsid w:val="009046C4"/>
    <w:rsid w:val="009062A5"/>
    <w:rsid w:val="009103DB"/>
    <w:rsid w:val="00910FA7"/>
    <w:rsid w:val="00911184"/>
    <w:rsid w:val="00911272"/>
    <w:rsid w:val="00911308"/>
    <w:rsid w:val="0091336A"/>
    <w:rsid w:val="009135D6"/>
    <w:rsid w:val="00914B0C"/>
    <w:rsid w:val="00914C77"/>
    <w:rsid w:val="009151A6"/>
    <w:rsid w:val="009153B3"/>
    <w:rsid w:val="0091760A"/>
    <w:rsid w:val="009211A7"/>
    <w:rsid w:val="00921ACB"/>
    <w:rsid w:val="0092369B"/>
    <w:rsid w:val="00924349"/>
    <w:rsid w:val="0092452D"/>
    <w:rsid w:val="009271C2"/>
    <w:rsid w:val="00930B16"/>
    <w:rsid w:val="00934731"/>
    <w:rsid w:val="00934988"/>
    <w:rsid w:val="00937089"/>
    <w:rsid w:val="00937413"/>
    <w:rsid w:val="0093781C"/>
    <w:rsid w:val="0094025C"/>
    <w:rsid w:val="00940794"/>
    <w:rsid w:val="00942591"/>
    <w:rsid w:val="00942884"/>
    <w:rsid w:val="00943D6A"/>
    <w:rsid w:val="009448CA"/>
    <w:rsid w:val="00944F8A"/>
    <w:rsid w:val="009506E7"/>
    <w:rsid w:val="00950EB9"/>
    <w:rsid w:val="009510A2"/>
    <w:rsid w:val="00953257"/>
    <w:rsid w:val="0095474C"/>
    <w:rsid w:val="00954FE9"/>
    <w:rsid w:val="00956238"/>
    <w:rsid w:val="00956E33"/>
    <w:rsid w:val="009626D1"/>
    <w:rsid w:val="00962CB9"/>
    <w:rsid w:val="009638B1"/>
    <w:rsid w:val="0096421F"/>
    <w:rsid w:val="00964312"/>
    <w:rsid w:val="00965B8A"/>
    <w:rsid w:val="00965FB4"/>
    <w:rsid w:val="009678A8"/>
    <w:rsid w:val="0097071F"/>
    <w:rsid w:val="009717AC"/>
    <w:rsid w:val="009751C1"/>
    <w:rsid w:val="00975C72"/>
    <w:rsid w:val="00980D9A"/>
    <w:rsid w:val="009811F1"/>
    <w:rsid w:val="00983E57"/>
    <w:rsid w:val="0098402D"/>
    <w:rsid w:val="009842C6"/>
    <w:rsid w:val="00985DE2"/>
    <w:rsid w:val="0098675D"/>
    <w:rsid w:val="009926B9"/>
    <w:rsid w:val="009926E0"/>
    <w:rsid w:val="0099451E"/>
    <w:rsid w:val="00994921"/>
    <w:rsid w:val="009966C0"/>
    <w:rsid w:val="00996B1A"/>
    <w:rsid w:val="00997945"/>
    <w:rsid w:val="009A2DCC"/>
    <w:rsid w:val="009A401B"/>
    <w:rsid w:val="009A5ABC"/>
    <w:rsid w:val="009A7F10"/>
    <w:rsid w:val="009B3E26"/>
    <w:rsid w:val="009B6A30"/>
    <w:rsid w:val="009B7E24"/>
    <w:rsid w:val="009C3706"/>
    <w:rsid w:val="009C37BA"/>
    <w:rsid w:val="009C3A3A"/>
    <w:rsid w:val="009C4E37"/>
    <w:rsid w:val="009C6CEA"/>
    <w:rsid w:val="009C799C"/>
    <w:rsid w:val="009C7B85"/>
    <w:rsid w:val="009D0254"/>
    <w:rsid w:val="009D1A64"/>
    <w:rsid w:val="009D21AA"/>
    <w:rsid w:val="009D36C8"/>
    <w:rsid w:val="009D595A"/>
    <w:rsid w:val="009D5B91"/>
    <w:rsid w:val="009D6E6B"/>
    <w:rsid w:val="009D74BB"/>
    <w:rsid w:val="009D792E"/>
    <w:rsid w:val="009E0DFE"/>
    <w:rsid w:val="009E2003"/>
    <w:rsid w:val="009E31F6"/>
    <w:rsid w:val="009E4C07"/>
    <w:rsid w:val="009E5A00"/>
    <w:rsid w:val="009F13E0"/>
    <w:rsid w:val="009F3D7D"/>
    <w:rsid w:val="00A01184"/>
    <w:rsid w:val="00A01D1F"/>
    <w:rsid w:val="00A037C2"/>
    <w:rsid w:val="00A03D43"/>
    <w:rsid w:val="00A04380"/>
    <w:rsid w:val="00A05472"/>
    <w:rsid w:val="00A05C32"/>
    <w:rsid w:val="00A0653F"/>
    <w:rsid w:val="00A1088F"/>
    <w:rsid w:val="00A11CD0"/>
    <w:rsid w:val="00A13948"/>
    <w:rsid w:val="00A1555B"/>
    <w:rsid w:val="00A155C5"/>
    <w:rsid w:val="00A15F73"/>
    <w:rsid w:val="00A16929"/>
    <w:rsid w:val="00A16AD8"/>
    <w:rsid w:val="00A21C95"/>
    <w:rsid w:val="00A21CF3"/>
    <w:rsid w:val="00A23C93"/>
    <w:rsid w:val="00A24813"/>
    <w:rsid w:val="00A25364"/>
    <w:rsid w:val="00A25F4E"/>
    <w:rsid w:val="00A276B5"/>
    <w:rsid w:val="00A27AEC"/>
    <w:rsid w:val="00A30D3F"/>
    <w:rsid w:val="00A320DB"/>
    <w:rsid w:val="00A32236"/>
    <w:rsid w:val="00A334F4"/>
    <w:rsid w:val="00A33B24"/>
    <w:rsid w:val="00A33B6F"/>
    <w:rsid w:val="00A35D16"/>
    <w:rsid w:val="00A37BCD"/>
    <w:rsid w:val="00A41689"/>
    <w:rsid w:val="00A42592"/>
    <w:rsid w:val="00A43C59"/>
    <w:rsid w:val="00A451C1"/>
    <w:rsid w:val="00A50ECD"/>
    <w:rsid w:val="00A518F3"/>
    <w:rsid w:val="00A52729"/>
    <w:rsid w:val="00A53675"/>
    <w:rsid w:val="00A55D38"/>
    <w:rsid w:val="00A561BC"/>
    <w:rsid w:val="00A564D7"/>
    <w:rsid w:val="00A56B6A"/>
    <w:rsid w:val="00A578DC"/>
    <w:rsid w:val="00A6077E"/>
    <w:rsid w:val="00A61639"/>
    <w:rsid w:val="00A6247B"/>
    <w:rsid w:val="00A640E2"/>
    <w:rsid w:val="00A64136"/>
    <w:rsid w:val="00A64D65"/>
    <w:rsid w:val="00A655E8"/>
    <w:rsid w:val="00A658F0"/>
    <w:rsid w:val="00A665B8"/>
    <w:rsid w:val="00A6725B"/>
    <w:rsid w:val="00A70605"/>
    <w:rsid w:val="00A71076"/>
    <w:rsid w:val="00A73134"/>
    <w:rsid w:val="00A76001"/>
    <w:rsid w:val="00A777B2"/>
    <w:rsid w:val="00A81DE5"/>
    <w:rsid w:val="00A81FC0"/>
    <w:rsid w:val="00A825D4"/>
    <w:rsid w:val="00A828F6"/>
    <w:rsid w:val="00A82A55"/>
    <w:rsid w:val="00A82B73"/>
    <w:rsid w:val="00A836B8"/>
    <w:rsid w:val="00A86E8B"/>
    <w:rsid w:val="00A87164"/>
    <w:rsid w:val="00A87288"/>
    <w:rsid w:val="00A87821"/>
    <w:rsid w:val="00A90043"/>
    <w:rsid w:val="00A9009D"/>
    <w:rsid w:val="00A9202A"/>
    <w:rsid w:val="00A922D9"/>
    <w:rsid w:val="00A92734"/>
    <w:rsid w:val="00A93072"/>
    <w:rsid w:val="00A938BD"/>
    <w:rsid w:val="00A93953"/>
    <w:rsid w:val="00A959D8"/>
    <w:rsid w:val="00A96580"/>
    <w:rsid w:val="00AA113D"/>
    <w:rsid w:val="00AA1446"/>
    <w:rsid w:val="00AA1AF4"/>
    <w:rsid w:val="00AA3949"/>
    <w:rsid w:val="00AA5276"/>
    <w:rsid w:val="00AA5FB1"/>
    <w:rsid w:val="00AA6BD5"/>
    <w:rsid w:val="00AA6BD8"/>
    <w:rsid w:val="00AA6C7D"/>
    <w:rsid w:val="00AA7FD6"/>
    <w:rsid w:val="00AB042A"/>
    <w:rsid w:val="00AB19EF"/>
    <w:rsid w:val="00AB2D34"/>
    <w:rsid w:val="00AB3430"/>
    <w:rsid w:val="00AB37B9"/>
    <w:rsid w:val="00AB41E6"/>
    <w:rsid w:val="00AB4AD1"/>
    <w:rsid w:val="00AB4F75"/>
    <w:rsid w:val="00AB5E07"/>
    <w:rsid w:val="00AB779D"/>
    <w:rsid w:val="00AB7CFA"/>
    <w:rsid w:val="00AC0F2C"/>
    <w:rsid w:val="00AC237C"/>
    <w:rsid w:val="00AC2D9C"/>
    <w:rsid w:val="00AC5B48"/>
    <w:rsid w:val="00AD08CE"/>
    <w:rsid w:val="00AD1450"/>
    <w:rsid w:val="00AD54E5"/>
    <w:rsid w:val="00AD55C0"/>
    <w:rsid w:val="00AD59B4"/>
    <w:rsid w:val="00AD5D49"/>
    <w:rsid w:val="00AD6502"/>
    <w:rsid w:val="00AD784D"/>
    <w:rsid w:val="00AD7FC7"/>
    <w:rsid w:val="00AE0695"/>
    <w:rsid w:val="00AE097A"/>
    <w:rsid w:val="00AE1E83"/>
    <w:rsid w:val="00AE27FB"/>
    <w:rsid w:val="00AE3E7E"/>
    <w:rsid w:val="00AE6519"/>
    <w:rsid w:val="00AE696B"/>
    <w:rsid w:val="00AF1315"/>
    <w:rsid w:val="00AF19BF"/>
    <w:rsid w:val="00AF2DC3"/>
    <w:rsid w:val="00AF4F7E"/>
    <w:rsid w:val="00AF7079"/>
    <w:rsid w:val="00AF77EF"/>
    <w:rsid w:val="00B00AF5"/>
    <w:rsid w:val="00B01B4F"/>
    <w:rsid w:val="00B01E0C"/>
    <w:rsid w:val="00B02C62"/>
    <w:rsid w:val="00B033E5"/>
    <w:rsid w:val="00B03A63"/>
    <w:rsid w:val="00B06A7A"/>
    <w:rsid w:val="00B06B81"/>
    <w:rsid w:val="00B0788E"/>
    <w:rsid w:val="00B12CD5"/>
    <w:rsid w:val="00B13C4C"/>
    <w:rsid w:val="00B1566D"/>
    <w:rsid w:val="00B201A4"/>
    <w:rsid w:val="00B201AE"/>
    <w:rsid w:val="00B201D1"/>
    <w:rsid w:val="00B213A6"/>
    <w:rsid w:val="00B235B0"/>
    <w:rsid w:val="00B24DF6"/>
    <w:rsid w:val="00B25512"/>
    <w:rsid w:val="00B26D3C"/>
    <w:rsid w:val="00B27F04"/>
    <w:rsid w:val="00B27FD3"/>
    <w:rsid w:val="00B31BC0"/>
    <w:rsid w:val="00B33118"/>
    <w:rsid w:val="00B34FE2"/>
    <w:rsid w:val="00B35166"/>
    <w:rsid w:val="00B357D8"/>
    <w:rsid w:val="00B360F4"/>
    <w:rsid w:val="00B36A00"/>
    <w:rsid w:val="00B37301"/>
    <w:rsid w:val="00B3778F"/>
    <w:rsid w:val="00B37BFC"/>
    <w:rsid w:val="00B37E66"/>
    <w:rsid w:val="00B40358"/>
    <w:rsid w:val="00B41614"/>
    <w:rsid w:val="00B4188E"/>
    <w:rsid w:val="00B426D9"/>
    <w:rsid w:val="00B42851"/>
    <w:rsid w:val="00B42F80"/>
    <w:rsid w:val="00B435CB"/>
    <w:rsid w:val="00B43B01"/>
    <w:rsid w:val="00B45912"/>
    <w:rsid w:val="00B460EF"/>
    <w:rsid w:val="00B470FF"/>
    <w:rsid w:val="00B473E6"/>
    <w:rsid w:val="00B502B8"/>
    <w:rsid w:val="00B505C8"/>
    <w:rsid w:val="00B50696"/>
    <w:rsid w:val="00B50B0C"/>
    <w:rsid w:val="00B50DB8"/>
    <w:rsid w:val="00B522C8"/>
    <w:rsid w:val="00B53654"/>
    <w:rsid w:val="00B53905"/>
    <w:rsid w:val="00B54213"/>
    <w:rsid w:val="00B54B5B"/>
    <w:rsid w:val="00B5562E"/>
    <w:rsid w:val="00B558D3"/>
    <w:rsid w:val="00B55D65"/>
    <w:rsid w:val="00B56722"/>
    <w:rsid w:val="00B57000"/>
    <w:rsid w:val="00B60939"/>
    <w:rsid w:val="00B60AFD"/>
    <w:rsid w:val="00B62715"/>
    <w:rsid w:val="00B6351E"/>
    <w:rsid w:val="00B63652"/>
    <w:rsid w:val="00B643C7"/>
    <w:rsid w:val="00B65611"/>
    <w:rsid w:val="00B65905"/>
    <w:rsid w:val="00B65E0D"/>
    <w:rsid w:val="00B665FF"/>
    <w:rsid w:val="00B6721C"/>
    <w:rsid w:val="00B70E8E"/>
    <w:rsid w:val="00B720DC"/>
    <w:rsid w:val="00B73884"/>
    <w:rsid w:val="00B76C04"/>
    <w:rsid w:val="00B76C92"/>
    <w:rsid w:val="00B818A4"/>
    <w:rsid w:val="00B82822"/>
    <w:rsid w:val="00B84117"/>
    <w:rsid w:val="00B8444C"/>
    <w:rsid w:val="00B845CF"/>
    <w:rsid w:val="00B858F0"/>
    <w:rsid w:val="00B85AA2"/>
    <w:rsid w:val="00B85B6D"/>
    <w:rsid w:val="00B86149"/>
    <w:rsid w:val="00B8649C"/>
    <w:rsid w:val="00B8695D"/>
    <w:rsid w:val="00B8763F"/>
    <w:rsid w:val="00B87DD2"/>
    <w:rsid w:val="00B87F0A"/>
    <w:rsid w:val="00B918DA"/>
    <w:rsid w:val="00B9272F"/>
    <w:rsid w:val="00B92D0B"/>
    <w:rsid w:val="00B934F2"/>
    <w:rsid w:val="00B935D5"/>
    <w:rsid w:val="00B94295"/>
    <w:rsid w:val="00B943A9"/>
    <w:rsid w:val="00B9464F"/>
    <w:rsid w:val="00B94945"/>
    <w:rsid w:val="00B94DD6"/>
    <w:rsid w:val="00B96A26"/>
    <w:rsid w:val="00B96F7F"/>
    <w:rsid w:val="00BA322D"/>
    <w:rsid w:val="00BA3411"/>
    <w:rsid w:val="00BA36AA"/>
    <w:rsid w:val="00BA41E5"/>
    <w:rsid w:val="00BA4942"/>
    <w:rsid w:val="00BA4FD2"/>
    <w:rsid w:val="00BA552C"/>
    <w:rsid w:val="00BA5CFF"/>
    <w:rsid w:val="00BA5FDD"/>
    <w:rsid w:val="00BA63FA"/>
    <w:rsid w:val="00BA7F70"/>
    <w:rsid w:val="00BB00B3"/>
    <w:rsid w:val="00BB05EC"/>
    <w:rsid w:val="00BB0BDD"/>
    <w:rsid w:val="00BB176C"/>
    <w:rsid w:val="00BB1988"/>
    <w:rsid w:val="00BB2A73"/>
    <w:rsid w:val="00BB3722"/>
    <w:rsid w:val="00BB3A45"/>
    <w:rsid w:val="00BB4A29"/>
    <w:rsid w:val="00BB4ACC"/>
    <w:rsid w:val="00BB4B53"/>
    <w:rsid w:val="00BB703E"/>
    <w:rsid w:val="00BB732D"/>
    <w:rsid w:val="00BB7405"/>
    <w:rsid w:val="00BC3631"/>
    <w:rsid w:val="00BC497B"/>
    <w:rsid w:val="00BC591F"/>
    <w:rsid w:val="00BC7D6D"/>
    <w:rsid w:val="00BD2108"/>
    <w:rsid w:val="00BD6161"/>
    <w:rsid w:val="00BD68A3"/>
    <w:rsid w:val="00BD6938"/>
    <w:rsid w:val="00BD6CF3"/>
    <w:rsid w:val="00BD7F0C"/>
    <w:rsid w:val="00BE0ECA"/>
    <w:rsid w:val="00BE1B1D"/>
    <w:rsid w:val="00BE2180"/>
    <w:rsid w:val="00BE21F2"/>
    <w:rsid w:val="00BE4275"/>
    <w:rsid w:val="00BE53D8"/>
    <w:rsid w:val="00BE6471"/>
    <w:rsid w:val="00BE70B2"/>
    <w:rsid w:val="00BF04E1"/>
    <w:rsid w:val="00BF06AE"/>
    <w:rsid w:val="00BF0F95"/>
    <w:rsid w:val="00BF1A55"/>
    <w:rsid w:val="00BF218D"/>
    <w:rsid w:val="00BF2200"/>
    <w:rsid w:val="00BF2433"/>
    <w:rsid w:val="00BF24FA"/>
    <w:rsid w:val="00BF61C9"/>
    <w:rsid w:val="00BF6C94"/>
    <w:rsid w:val="00C00424"/>
    <w:rsid w:val="00C007BA"/>
    <w:rsid w:val="00C009FF"/>
    <w:rsid w:val="00C0109C"/>
    <w:rsid w:val="00C02B0E"/>
    <w:rsid w:val="00C04523"/>
    <w:rsid w:val="00C050ED"/>
    <w:rsid w:val="00C07473"/>
    <w:rsid w:val="00C07800"/>
    <w:rsid w:val="00C10F4A"/>
    <w:rsid w:val="00C1179F"/>
    <w:rsid w:val="00C12C14"/>
    <w:rsid w:val="00C14BF2"/>
    <w:rsid w:val="00C15F04"/>
    <w:rsid w:val="00C179B3"/>
    <w:rsid w:val="00C17E3F"/>
    <w:rsid w:val="00C200AA"/>
    <w:rsid w:val="00C213C0"/>
    <w:rsid w:val="00C234A8"/>
    <w:rsid w:val="00C237ED"/>
    <w:rsid w:val="00C24151"/>
    <w:rsid w:val="00C24632"/>
    <w:rsid w:val="00C25418"/>
    <w:rsid w:val="00C25D9C"/>
    <w:rsid w:val="00C2778B"/>
    <w:rsid w:val="00C27D58"/>
    <w:rsid w:val="00C31649"/>
    <w:rsid w:val="00C31739"/>
    <w:rsid w:val="00C3207C"/>
    <w:rsid w:val="00C33A70"/>
    <w:rsid w:val="00C3434C"/>
    <w:rsid w:val="00C34537"/>
    <w:rsid w:val="00C37E1B"/>
    <w:rsid w:val="00C37EBB"/>
    <w:rsid w:val="00C40385"/>
    <w:rsid w:val="00C41768"/>
    <w:rsid w:val="00C436AF"/>
    <w:rsid w:val="00C475AA"/>
    <w:rsid w:val="00C5111B"/>
    <w:rsid w:val="00C52ADC"/>
    <w:rsid w:val="00C53C98"/>
    <w:rsid w:val="00C53DF2"/>
    <w:rsid w:val="00C552A4"/>
    <w:rsid w:val="00C56FCF"/>
    <w:rsid w:val="00C57B6C"/>
    <w:rsid w:val="00C62856"/>
    <w:rsid w:val="00C628A6"/>
    <w:rsid w:val="00C62C6E"/>
    <w:rsid w:val="00C62FE7"/>
    <w:rsid w:val="00C64344"/>
    <w:rsid w:val="00C65108"/>
    <w:rsid w:val="00C65161"/>
    <w:rsid w:val="00C65576"/>
    <w:rsid w:val="00C66165"/>
    <w:rsid w:val="00C66A80"/>
    <w:rsid w:val="00C66B8F"/>
    <w:rsid w:val="00C674FA"/>
    <w:rsid w:val="00C7060A"/>
    <w:rsid w:val="00C7151A"/>
    <w:rsid w:val="00C717E3"/>
    <w:rsid w:val="00C71F60"/>
    <w:rsid w:val="00C72241"/>
    <w:rsid w:val="00C734DD"/>
    <w:rsid w:val="00C73C19"/>
    <w:rsid w:val="00C74298"/>
    <w:rsid w:val="00C74471"/>
    <w:rsid w:val="00C750AB"/>
    <w:rsid w:val="00C750C8"/>
    <w:rsid w:val="00C7560F"/>
    <w:rsid w:val="00C80737"/>
    <w:rsid w:val="00C80A0E"/>
    <w:rsid w:val="00C8213F"/>
    <w:rsid w:val="00C85154"/>
    <w:rsid w:val="00C85405"/>
    <w:rsid w:val="00C8797A"/>
    <w:rsid w:val="00C900B8"/>
    <w:rsid w:val="00C90C71"/>
    <w:rsid w:val="00C91FD1"/>
    <w:rsid w:val="00C931CF"/>
    <w:rsid w:val="00C938CF"/>
    <w:rsid w:val="00C94053"/>
    <w:rsid w:val="00C943EE"/>
    <w:rsid w:val="00C9624D"/>
    <w:rsid w:val="00C969DA"/>
    <w:rsid w:val="00CA000A"/>
    <w:rsid w:val="00CA253A"/>
    <w:rsid w:val="00CA2C77"/>
    <w:rsid w:val="00CA36AA"/>
    <w:rsid w:val="00CA444F"/>
    <w:rsid w:val="00CA5245"/>
    <w:rsid w:val="00CA525D"/>
    <w:rsid w:val="00CA6B24"/>
    <w:rsid w:val="00CA6D44"/>
    <w:rsid w:val="00CA71F4"/>
    <w:rsid w:val="00CA7B09"/>
    <w:rsid w:val="00CB0BE3"/>
    <w:rsid w:val="00CB12A5"/>
    <w:rsid w:val="00CB1CAC"/>
    <w:rsid w:val="00CB2F2A"/>
    <w:rsid w:val="00CB5A62"/>
    <w:rsid w:val="00CB5B1A"/>
    <w:rsid w:val="00CB5E55"/>
    <w:rsid w:val="00CB6B22"/>
    <w:rsid w:val="00CB712E"/>
    <w:rsid w:val="00CB7F5F"/>
    <w:rsid w:val="00CC1B39"/>
    <w:rsid w:val="00CC21FD"/>
    <w:rsid w:val="00CC35EA"/>
    <w:rsid w:val="00CC3848"/>
    <w:rsid w:val="00CC4024"/>
    <w:rsid w:val="00CD0BF8"/>
    <w:rsid w:val="00CD290A"/>
    <w:rsid w:val="00CD33C8"/>
    <w:rsid w:val="00CD3AB7"/>
    <w:rsid w:val="00CD3F77"/>
    <w:rsid w:val="00CD6ADC"/>
    <w:rsid w:val="00CD7193"/>
    <w:rsid w:val="00CE1A90"/>
    <w:rsid w:val="00CE3155"/>
    <w:rsid w:val="00CE323C"/>
    <w:rsid w:val="00CE38C8"/>
    <w:rsid w:val="00CE5500"/>
    <w:rsid w:val="00CE6274"/>
    <w:rsid w:val="00CE77B6"/>
    <w:rsid w:val="00CF2177"/>
    <w:rsid w:val="00CF2B8D"/>
    <w:rsid w:val="00CF456B"/>
    <w:rsid w:val="00CF5A22"/>
    <w:rsid w:val="00D0012A"/>
    <w:rsid w:val="00D01000"/>
    <w:rsid w:val="00D0262E"/>
    <w:rsid w:val="00D05E3D"/>
    <w:rsid w:val="00D06139"/>
    <w:rsid w:val="00D110BD"/>
    <w:rsid w:val="00D13675"/>
    <w:rsid w:val="00D141E1"/>
    <w:rsid w:val="00D14247"/>
    <w:rsid w:val="00D143C7"/>
    <w:rsid w:val="00D15314"/>
    <w:rsid w:val="00D15FA4"/>
    <w:rsid w:val="00D16ECC"/>
    <w:rsid w:val="00D17D6C"/>
    <w:rsid w:val="00D2155B"/>
    <w:rsid w:val="00D231E2"/>
    <w:rsid w:val="00D23C73"/>
    <w:rsid w:val="00D23D11"/>
    <w:rsid w:val="00D244B6"/>
    <w:rsid w:val="00D26ADD"/>
    <w:rsid w:val="00D2754D"/>
    <w:rsid w:val="00D27B27"/>
    <w:rsid w:val="00D33BE9"/>
    <w:rsid w:val="00D33F93"/>
    <w:rsid w:val="00D3519B"/>
    <w:rsid w:val="00D357FF"/>
    <w:rsid w:val="00D36D4F"/>
    <w:rsid w:val="00D371CE"/>
    <w:rsid w:val="00D410F1"/>
    <w:rsid w:val="00D424C7"/>
    <w:rsid w:val="00D43444"/>
    <w:rsid w:val="00D43B2A"/>
    <w:rsid w:val="00D43D83"/>
    <w:rsid w:val="00D448CF"/>
    <w:rsid w:val="00D47184"/>
    <w:rsid w:val="00D47575"/>
    <w:rsid w:val="00D47ACE"/>
    <w:rsid w:val="00D505F6"/>
    <w:rsid w:val="00D5144B"/>
    <w:rsid w:val="00D5243B"/>
    <w:rsid w:val="00D5296D"/>
    <w:rsid w:val="00D533EC"/>
    <w:rsid w:val="00D55BC0"/>
    <w:rsid w:val="00D56A95"/>
    <w:rsid w:val="00D60301"/>
    <w:rsid w:val="00D60AED"/>
    <w:rsid w:val="00D6169C"/>
    <w:rsid w:val="00D62633"/>
    <w:rsid w:val="00D62860"/>
    <w:rsid w:val="00D62ABD"/>
    <w:rsid w:val="00D644B2"/>
    <w:rsid w:val="00D65368"/>
    <w:rsid w:val="00D6799D"/>
    <w:rsid w:val="00D67A44"/>
    <w:rsid w:val="00D67E46"/>
    <w:rsid w:val="00D702E7"/>
    <w:rsid w:val="00D70F16"/>
    <w:rsid w:val="00D72F57"/>
    <w:rsid w:val="00D735F5"/>
    <w:rsid w:val="00D75222"/>
    <w:rsid w:val="00D76A44"/>
    <w:rsid w:val="00D77F39"/>
    <w:rsid w:val="00D8092D"/>
    <w:rsid w:val="00D815EF"/>
    <w:rsid w:val="00D81F26"/>
    <w:rsid w:val="00D81F60"/>
    <w:rsid w:val="00D82CE2"/>
    <w:rsid w:val="00D84F38"/>
    <w:rsid w:val="00D86231"/>
    <w:rsid w:val="00D917D0"/>
    <w:rsid w:val="00D91923"/>
    <w:rsid w:val="00D91C30"/>
    <w:rsid w:val="00D9256D"/>
    <w:rsid w:val="00D93753"/>
    <w:rsid w:val="00D94047"/>
    <w:rsid w:val="00D96530"/>
    <w:rsid w:val="00D973C3"/>
    <w:rsid w:val="00D97BAF"/>
    <w:rsid w:val="00DA122E"/>
    <w:rsid w:val="00DA14B3"/>
    <w:rsid w:val="00DA3167"/>
    <w:rsid w:val="00DA44AD"/>
    <w:rsid w:val="00DA4DC3"/>
    <w:rsid w:val="00DA7432"/>
    <w:rsid w:val="00DA77A5"/>
    <w:rsid w:val="00DB02A5"/>
    <w:rsid w:val="00DB3DBF"/>
    <w:rsid w:val="00DB484F"/>
    <w:rsid w:val="00DB58BF"/>
    <w:rsid w:val="00DC04F6"/>
    <w:rsid w:val="00DC0690"/>
    <w:rsid w:val="00DC0CCD"/>
    <w:rsid w:val="00DC16F9"/>
    <w:rsid w:val="00DC1D65"/>
    <w:rsid w:val="00DC2769"/>
    <w:rsid w:val="00DC378E"/>
    <w:rsid w:val="00DC3C57"/>
    <w:rsid w:val="00DC5501"/>
    <w:rsid w:val="00DC55E9"/>
    <w:rsid w:val="00DC7154"/>
    <w:rsid w:val="00DC7E8A"/>
    <w:rsid w:val="00DD0F78"/>
    <w:rsid w:val="00DD1B54"/>
    <w:rsid w:val="00DD220E"/>
    <w:rsid w:val="00DD273C"/>
    <w:rsid w:val="00DD27F1"/>
    <w:rsid w:val="00DD2EB8"/>
    <w:rsid w:val="00DD37A7"/>
    <w:rsid w:val="00DD3F28"/>
    <w:rsid w:val="00DD4537"/>
    <w:rsid w:val="00DD4710"/>
    <w:rsid w:val="00DD4E15"/>
    <w:rsid w:val="00DD5058"/>
    <w:rsid w:val="00DD5100"/>
    <w:rsid w:val="00DD615C"/>
    <w:rsid w:val="00DD63B6"/>
    <w:rsid w:val="00DD6801"/>
    <w:rsid w:val="00DE008D"/>
    <w:rsid w:val="00DE2304"/>
    <w:rsid w:val="00DE2467"/>
    <w:rsid w:val="00DE3138"/>
    <w:rsid w:val="00DE37F8"/>
    <w:rsid w:val="00DE3E26"/>
    <w:rsid w:val="00DE4FCB"/>
    <w:rsid w:val="00DE5BBF"/>
    <w:rsid w:val="00DE5D07"/>
    <w:rsid w:val="00DE6679"/>
    <w:rsid w:val="00DE6B8D"/>
    <w:rsid w:val="00DE72A7"/>
    <w:rsid w:val="00DE7832"/>
    <w:rsid w:val="00DE7AFB"/>
    <w:rsid w:val="00DF07A7"/>
    <w:rsid w:val="00DF18FC"/>
    <w:rsid w:val="00DF3A63"/>
    <w:rsid w:val="00DF4CF3"/>
    <w:rsid w:val="00DF5D2B"/>
    <w:rsid w:val="00DF6553"/>
    <w:rsid w:val="00DF6F6E"/>
    <w:rsid w:val="00DF7E3A"/>
    <w:rsid w:val="00E004CF"/>
    <w:rsid w:val="00E00E8E"/>
    <w:rsid w:val="00E04BAE"/>
    <w:rsid w:val="00E05630"/>
    <w:rsid w:val="00E06914"/>
    <w:rsid w:val="00E06DBB"/>
    <w:rsid w:val="00E10149"/>
    <w:rsid w:val="00E11340"/>
    <w:rsid w:val="00E122A1"/>
    <w:rsid w:val="00E1369E"/>
    <w:rsid w:val="00E13DFE"/>
    <w:rsid w:val="00E154E6"/>
    <w:rsid w:val="00E16372"/>
    <w:rsid w:val="00E1760C"/>
    <w:rsid w:val="00E20E4D"/>
    <w:rsid w:val="00E20ED6"/>
    <w:rsid w:val="00E21358"/>
    <w:rsid w:val="00E21C92"/>
    <w:rsid w:val="00E2249B"/>
    <w:rsid w:val="00E22A0D"/>
    <w:rsid w:val="00E244F6"/>
    <w:rsid w:val="00E26FED"/>
    <w:rsid w:val="00E27135"/>
    <w:rsid w:val="00E2771E"/>
    <w:rsid w:val="00E30D3B"/>
    <w:rsid w:val="00E311EF"/>
    <w:rsid w:val="00E32180"/>
    <w:rsid w:val="00E34213"/>
    <w:rsid w:val="00E34948"/>
    <w:rsid w:val="00E37569"/>
    <w:rsid w:val="00E37641"/>
    <w:rsid w:val="00E401B2"/>
    <w:rsid w:val="00E40C4E"/>
    <w:rsid w:val="00E41E30"/>
    <w:rsid w:val="00E42F73"/>
    <w:rsid w:val="00E43C60"/>
    <w:rsid w:val="00E43D70"/>
    <w:rsid w:val="00E466F3"/>
    <w:rsid w:val="00E47B2C"/>
    <w:rsid w:val="00E51560"/>
    <w:rsid w:val="00E532F7"/>
    <w:rsid w:val="00E53FC8"/>
    <w:rsid w:val="00E540FD"/>
    <w:rsid w:val="00E54347"/>
    <w:rsid w:val="00E55424"/>
    <w:rsid w:val="00E55915"/>
    <w:rsid w:val="00E55BB5"/>
    <w:rsid w:val="00E55D5D"/>
    <w:rsid w:val="00E56EE2"/>
    <w:rsid w:val="00E60141"/>
    <w:rsid w:val="00E609EC"/>
    <w:rsid w:val="00E62344"/>
    <w:rsid w:val="00E63162"/>
    <w:rsid w:val="00E65C4A"/>
    <w:rsid w:val="00E65CAE"/>
    <w:rsid w:val="00E65E79"/>
    <w:rsid w:val="00E66BA2"/>
    <w:rsid w:val="00E67416"/>
    <w:rsid w:val="00E7165A"/>
    <w:rsid w:val="00E718B6"/>
    <w:rsid w:val="00E71F5D"/>
    <w:rsid w:val="00E723BA"/>
    <w:rsid w:val="00E73581"/>
    <w:rsid w:val="00E740B1"/>
    <w:rsid w:val="00E749D9"/>
    <w:rsid w:val="00E7566E"/>
    <w:rsid w:val="00E76166"/>
    <w:rsid w:val="00E76AAC"/>
    <w:rsid w:val="00E777B7"/>
    <w:rsid w:val="00E8259E"/>
    <w:rsid w:val="00E833F7"/>
    <w:rsid w:val="00E83BDF"/>
    <w:rsid w:val="00E83C26"/>
    <w:rsid w:val="00E83F65"/>
    <w:rsid w:val="00E87A1D"/>
    <w:rsid w:val="00E905A3"/>
    <w:rsid w:val="00E9094A"/>
    <w:rsid w:val="00E91D35"/>
    <w:rsid w:val="00E926A5"/>
    <w:rsid w:val="00EA0B4F"/>
    <w:rsid w:val="00EA17C3"/>
    <w:rsid w:val="00EA2CAA"/>
    <w:rsid w:val="00EA3864"/>
    <w:rsid w:val="00EA7F1C"/>
    <w:rsid w:val="00EB058C"/>
    <w:rsid w:val="00EB15B6"/>
    <w:rsid w:val="00EB28AF"/>
    <w:rsid w:val="00EB3D06"/>
    <w:rsid w:val="00EB42FC"/>
    <w:rsid w:val="00EB4916"/>
    <w:rsid w:val="00EB7C0E"/>
    <w:rsid w:val="00EC00C9"/>
    <w:rsid w:val="00EC0DD9"/>
    <w:rsid w:val="00EC0F70"/>
    <w:rsid w:val="00EC2649"/>
    <w:rsid w:val="00EC31ED"/>
    <w:rsid w:val="00EC4ADA"/>
    <w:rsid w:val="00EC5836"/>
    <w:rsid w:val="00EC60D4"/>
    <w:rsid w:val="00EC688C"/>
    <w:rsid w:val="00EC6FEE"/>
    <w:rsid w:val="00ED04B3"/>
    <w:rsid w:val="00ED1777"/>
    <w:rsid w:val="00ED3D3E"/>
    <w:rsid w:val="00ED57EA"/>
    <w:rsid w:val="00ED5BD4"/>
    <w:rsid w:val="00ED74E2"/>
    <w:rsid w:val="00EE07D3"/>
    <w:rsid w:val="00EE1996"/>
    <w:rsid w:val="00EE1C01"/>
    <w:rsid w:val="00EE22AF"/>
    <w:rsid w:val="00EE2A29"/>
    <w:rsid w:val="00EE3E07"/>
    <w:rsid w:val="00EE54A1"/>
    <w:rsid w:val="00EE5A64"/>
    <w:rsid w:val="00EE76C6"/>
    <w:rsid w:val="00EF0171"/>
    <w:rsid w:val="00EF02BC"/>
    <w:rsid w:val="00EF04A9"/>
    <w:rsid w:val="00EF09F4"/>
    <w:rsid w:val="00EF1B25"/>
    <w:rsid w:val="00EF1DA0"/>
    <w:rsid w:val="00EF3386"/>
    <w:rsid w:val="00EF3E3B"/>
    <w:rsid w:val="00EF4747"/>
    <w:rsid w:val="00EF4BF8"/>
    <w:rsid w:val="00EF5CE2"/>
    <w:rsid w:val="00EF5E09"/>
    <w:rsid w:val="00EF66AB"/>
    <w:rsid w:val="00F02253"/>
    <w:rsid w:val="00F03C2E"/>
    <w:rsid w:val="00F04A66"/>
    <w:rsid w:val="00F04B4B"/>
    <w:rsid w:val="00F0516C"/>
    <w:rsid w:val="00F05639"/>
    <w:rsid w:val="00F067A2"/>
    <w:rsid w:val="00F07B9E"/>
    <w:rsid w:val="00F1116F"/>
    <w:rsid w:val="00F1263A"/>
    <w:rsid w:val="00F13983"/>
    <w:rsid w:val="00F14D1B"/>
    <w:rsid w:val="00F15B77"/>
    <w:rsid w:val="00F15DD7"/>
    <w:rsid w:val="00F1642B"/>
    <w:rsid w:val="00F20D7D"/>
    <w:rsid w:val="00F24837"/>
    <w:rsid w:val="00F2575F"/>
    <w:rsid w:val="00F26149"/>
    <w:rsid w:val="00F2685B"/>
    <w:rsid w:val="00F27565"/>
    <w:rsid w:val="00F3060A"/>
    <w:rsid w:val="00F310D4"/>
    <w:rsid w:val="00F31D5A"/>
    <w:rsid w:val="00F325D0"/>
    <w:rsid w:val="00F33975"/>
    <w:rsid w:val="00F33DE9"/>
    <w:rsid w:val="00F358BB"/>
    <w:rsid w:val="00F35E6D"/>
    <w:rsid w:val="00F3619A"/>
    <w:rsid w:val="00F40AAA"/>
    <w:rsid w:val="00F40BA7"/>
    <w:rsid w:val="00F40F9D"/>
    <w:rsid w:val="00F41ACD"/>
    <w:rsid w:val="00F41C3C"/>
    <w:rsid w:val="00F42849"/>
    <w:rsid w:val="00F42D7A"/>
    <w:rsid w:val="00F462A3"/>
    <w:rsid w:val="00F46CB6"/>
    <w:rsid w:val="00F4756D"/>
    <w:rsid w:val="00F47DE8"/>
    <w:rsid w:val="00F50EC5"/>
    <w:rsid w:val="00F51514"/>
    <w:rsid w:val="00F52C49"/>
    <w:rsid w:val="00F53BCB"/>
    <w:rsid w:val="00F542C1"/>
    <w:rsid w:val="00F55E73"/>
    <w:rsid w:val="00F55EDA"/>
    <w:rsid w:val="00F56C58"/>
    <w:rsid w:val="00F56C80"/>
    <w:rsid w:val="00F60092"/>
    <w:rsid w:val="00F610C8"/>
    <w:rsid w:val="00F61386"/>
    <w:rsid w:val="00F61C18"/>
    <w:rsid w:val="00F649CF"/>
    <w:rsid w:val="00F65985"/>
    <w:rsid w:val="00F65F4B"/>
    <w:rsid w:val="00F67A69"/>
    <w:rsid w:val="00F70BFF"/>
    <w:rsid w:val="00F70C9D"/>
    <w:rsid w:val="00F71537"/>
    <w:rsid w:val="00F727E3"/>
    <w:rsid w:val="00F74CD9"/>
    <w:rsid w:val="00F7509B"/>
    <w:rsid w:val="00F766C2"/>
    <w:rsid w:val="00F776D0"/>
    <w:rsid w:val="00F77C25"/>
    <w:rsid w:val="00F80A7B"/>
    <w:rsid w:val="00F80E5D"/>
    <w:rsid w:val="00F81BFF"/>
    <w:rsid w:val="00F81E78"/>
    <w:rsid w:val="00F823CA"/>
    <w:rsid w:val="00F834C4"/>
    <w:rsid w:val="00F851CE"/>
    <w:rsid w:val="00F8670D"/>
    <w:rsid w:val="00F8758A"/>
    <w:rsid w:val="00F90D06"/>
    <w:rsid w:val="00F91219"/>
    <w:rsid w:val="00F91E9C"/>
    <w:rsid w:val="00F92030"/>
    <w:rsid w:val="00F92444"/>
    <w:rsid w:val="00F9393E"/>
    <w:rsid w:val="00F95B89"/>
    <w:rsid w:val="00F96FD0"/>
    <w:rsid w:val="00F97A78"/>
    <w:rsid w:val="00FA0B20"/>
    <w:rsid w:val="00FA0DB6"/>
    <w:rsid w:val="00FA24E7"/>
    <w:rsid w:val="00FA351B"/>
    <w:rsid w:val="00FA3D74"/>
    <w:rsid w:val="00FA4284"/>
    <w:rsid w:val="00FA5EE6"/>
    <w:rsid w:val="00FA6E12"/>
    <w:rsid w:val="00FA7956"/>
    <w:rsid w:val="00FB2FCB"/>
    <w:rsid w:val="00FB3CBE"/>
    <w:rsid w:val="00FB7514"/>
    <w:rsid w:val="00FB7C55"/>
    <w:rsid w:val="00FC1074"/>
    <w:rsid w:val="00FC14CB"/>
    <w:rsid w:val="00FC1884"/>
    <w:rsid w:val="00FC214B"/>
    <w:rsid w:val="00FC227C"/>
    <w:rsid w:val="00FC23C0"/>
    <w:rsid w:val="00FC371D"/>
    <w:rsid w:val="00FC5F0B"/>
    <w:rsid w:val="00FD08EB"/>
    <w:rsid w:val="00FD0C86"/>
    <w:rsid w:val="00FD1D9E"/>
    <w:rsid w:val="00FD2100"/>
    <w:rsid w:val="00FD36E9"/>
    <w:rsid w:val="00FD436C"/>
    <w:rsid w:val="00FD446D"/>
    <w:rsid w:val="00FD4F2C"/>
    <w:rsid w:val="00FD6394"/>
    <w:rsid w:val="00FE0CAA"/>
    <w:rsid w:val="00FE0CE6"/>
    <w:rsid w:val="00FE0E6C"/>
    <w:rsid w:val="00FE1570"/>
    <w:rsid w:val="00FE1CDC"/>
    <w:rsid w:val="00FE21CA"/>
    <w:rsid w:val="00FE2687"/>
    <w:rsid w:val="00FE30BE"/>
    <w:rsid w:val="00FE4CC5"/>
    <w:rsid w:val="00FE6426"/>
    <w:rsid w:val="00FE70C3"/>
    <w:rsid w:val="00FF098C"/>
    <w:rsid w:val="00FF2AD9"/>
    <w:rsid w:val="00FF359F"/>
    <w:rsid w:val="00FF3DCF"/>
    <w:rsid w:val="00FF3EF6"/>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2EB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37"/>
    <w:pPr>
      <w:jc w:val="both"/>
    </w:pPr>
    <w:rPr>
      <w:rFonts w:ascii="Calibri" w:hAnsi="Calibri"/>
      <w:sz w:val="24"/>
      <w:szCs w:val="24"/>
      <w:lang w:eastAsia="en-GB"/>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Bayer Caption,IB Caption,Medical Caption,- H17,CSR Caption,Char,Caption2,Caption Char1 Char Char Char,Caption Char Char Char Char Char,Caption Char Char1 Char,Caption Char1 Char1,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Bayer Caption Char,IB Caption Char,Medical Caption Char,- H17 Char,CSR Caption Char,Char Char,Caption2 Char,Caption Char1 Char Char Char Char,Caption Char Char Char Char Char Char"/>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Styl moj,Akapit z listą1,Akapit z listą11,ES Paragraph,PBAC ES Paragraph,Bullet Lis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Styl moj Char,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8F42F9"/>
    <w:pPr>
      <w:spacing w:after="160"/>
      <w:contextualSpacing/>
    </w:pPr>
    <w:rPr>
      <w:rFonts w:ascii="Arial Narrow" w:hAnsi="Arial Narrow"/>
      <w:snapToGrid w:val="0"/>
      <w:sz w:val="18"/>
      <w:szCs w:val="22"/>
    </w:rPr>
  </w:style>
  <w:style w:type="character" w:customStyle="1" w:styleId="TableFigureFooterChar">
    <w:name w:val="Table/Figure Footer Char"/>
    <w:link w:val="TableFigureFooter"/>
    <w:rsid w:val="008F42F9"/>
    <w:rPr>
      <w:rFonts w:ascii="Arial Narrow" w:hAnsi="Arial Narrow"/>
      <w:snapToGrid w:val="0"/>
      <w:sz w:val="18"/>
      <w:szCs w:val="22"/>
      <w:lang w:eastAsia="en-GB"/>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360684"/>
    <w:rPr>
      <w:sz w:val="20"/>
      <w:szCs w:val="20"/>
    </w:rPr>
  </w:style>
  <w:style w:type="character" w:customStyle="1" w:styleId="FootnoteTextChar">
    <w:name w:val="Footnote Text Char"/>
    <w:basedOn w:val="DefaultParagraphFont"/>
    <w:link w:val="FootnoteText"/>
    <w:semiHidden/>
    <w:rsid w:val="00360684"/>
    <w:rPr>
      <w:rFonts w:ascii="Calibri" w:hAnsi="Calibri" w:cs="Arial"/>
    </w:rPr>
  </w:style>
  <w:style w:type="character" w:styleId="FootnoteReference">
    <w:name w:val="footnote reference"/>
    <w:basedOn w:val="DefaultParagraphFont"/>
    <w:semiHidden/>
    <w:unhideWhenUsed/>
    <w:rsid w:val="00360684"/>
    <w:rPr>
      <w:vertAlign w:val="superscript"/>
    </w:rPr>
  </w:style>
  <w:style w:type="character" w:customStyle="1" w:styleId="SmallItalics">
    <w:name w:val="Small Italics"/>
    <w:basedOn w:val="DefaultParagraphFont"/>
    <w:uiPriority w:val="4"/>
    <w:qFormat/>
    <w:rsid w:val="002C5D94"/>
    <w:rPr>
      <w:rFonts w:ascii="Calibri" w:hAnsi="Calibri"/>
      <w:i/>
      <w:sz w:val="20"/>
    </w:rPr>
  </w:style>
  <w:style w:type="character" w:customStyle="1" w:styleId="SmallBold">
    <w:name w:val="Small Bold"/>
    <w:basedOn w:val="DefaultParagraphFont"/>
    <w:uiPriority w:val="4"/>
    <w:qFormat/>
    <w:rsid w:val="00894C60"/>
    <w:rPr>
      <w:rFonts w:ascii="Calibri" w:hAnsi="Calibri"/>
      <w:b/>
      <w:sz w:val="20"/>
      <w:lang w:val="en-AU"/>
    </w:rPr>
  </w:style>
  <w:style w:type="paragraph" w:customStyle="1" w:styleId="TableLeft">
    <w:name w:val="Table Left"/>
    <w:basedOn w:val="Normal"/>
    <w:link w:val="TableLeftChar"/>
    <w:uiPriority w:val="99"/>
    <w:qFormat/>
    <w:rsid w:val="00A01D1F"/>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A01D1F"/>
    <w:rPr>
      <w:rFonts w:ascii="Calibri" w:eastAsiaTheme="majorEastAsia" w:hAnsi="Calibri" w:cstheme="majorBidi"/>
      <w:sz w:val="18"/>
      <w:szCs w:val="22"/>
      <w:lang w:eastAsia="en-US" w:bidi="en-US"/>
    </w:rPr>
  </w:style>
  <w:style w:type="paragraph" w:customStyle="1" w:styleId="V50Instructions">
    <w:name w:val="V5.0 Instructions"/>
    <w:basedOn w:val="Normal"/>
    <w:link w:val="V50InstructionsChar"/>
    <w:qFormat/>
    <w:rsid w:val="000F3DF8"/>
    <w:pPr>
      <w:spacing w:before="120" w:after="160"/>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0F3DF8"/>
    <w:rPr>
      <w:rFonts w:asciiTheme="minorHAnsi" w:eastAsiaTheme="minorHAnsi" w:hAnsiTheme="minorHAnsi" w:cstheme="minorBidi"/>
      <w:color w:val="4BACC6" w:themeColor="accent5"/>
      <w:sz w:val="24"/>
      <w:szCs w:val="22"/>
      <w:lang w:eastAsia="en-US"/>
    </w:rPr>
  </w:style>
  <w:style w:type="character" w:customStyle="1" w:styleId="Small">
    <w:name w:val="Small"/>
    <w:basedOn w:val="DefaultParagraphFont"/>
    <w:uiPriority w:val="4"/>
    <w:qFormat/>
    <w:rsid w:val="00BE53D8"/>
    <w:rPr>
      <w:rFonts w:ascii="Calibri" w:hAnsi="Calibri"/>
      <w:sz w:val="20"/>
    </w:rPr>
  </w:style>
  <w:style w:type="paragraph" w:customStyle="1" w:styleId="TableCentre">
    <w:name w:val="Table Centre"/>
    <w:basedOn w:val="Normal"/>
    <w:qFormat/>
    <w:rsid w:val="00BE53D8"/>
    <w:pPr>
      <w:jc w:val="center"/>
    </w:pPr>
    <w:rPr>
      <w:rFonts w:eastAsiaTheme="majorEastAsia" w:cstheme="majorBidi"/>
      <w:sz w:val="18"/>
      <w:szCs w:val="22"/>
      <w:lang w:eastAsia="en-US" w:bidi="en-US"/>
    </w:rPr>
  </w:style>
  <w:style w:type="table" w:customStyle="1" w:styleId="Submissionstandard1">
    <w:name w:val="Submission standard1"/>
    <w:basedOn w:val="TableNormal"/>
    <w:uiPriority w:val="99"/>
    <w:qFormat/>
    <w:rsid w:val="00AB41E6"/>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STLiti" w:hAnsi="STLiti"/>
        <w:b/>
        <w:sz w:val="20"/>
      </w:rPr>
      <w:tblPr/>
      <w:tcPr>
        <w:shd w:val="clear" w:color="auto" w:fill="BFBFBF" w:themeFill="background1" w:themeFillShade="BF"/>
      </w:tcPr>
    </w:tblStylePr>
  </w:style>
  <w:style w:type="character" w:customStyle="1" w:styleId="CaptionFootnoteChar">
    <w:name w:val="Caption Footnote Char"/>
    <w:basedOn w:val="DefaultParagraphFont"/>
    <w:link w:val="CaptionFootnote"/>
    <w:rsid w:val="00E43C60"/>
    <w:rPr>
      <w:rFonts w:asciiTheme="minorHAnsi" w:hAnsiTheme="minorHAnsi"/>
      <w:kern w:val="28"/>
      <w:sz w:val="16"/>
      <w:szCs w:val="24"/>
      <w:lang w:eastAsia="en-GB"/>
    </w:rPr>
  </w:style>
  <w:style w:type="paragraph" w:customStyle="1" w:styleId="CaptionFootnote">
    <w:name w:val="Caption Footnote"/>
    <w:basedOn w:val="Normal"/>
    <w:link w:val="CaptionFootnoteChar"/>
    <w:rsid w:val="00E43C60"/>
    <w:rPr>
      <w:rFonts w:asciiTheme="minorHAnsi" w:hAnsiTheme="minorHAnsi"/>
      <w:kern w:val="28"/>
      <w:sz w:val="16"/>
    </w:rPr>
  </w:style>
  <w:style w:type="paragraph" w:customStyle="1" w:styleId="Tablebodytext">
    <w:name w:val="Table body text"/>
    <w:basedOn w:val="Normal"/>
    <w:rsid w:val="00E43C60"/>
    <w:pPr>
      <w:widowControl w:val="0"/>
      <w:jc w:val="left"/>
    </w:pPr>
    <w:rPr>
      <w:rFonts w:asciiTheme="minorHAnsi" w:hAnsiTheme="minorHAnsi"/>
      <w:sz w:val="18"/>
      <w:lang w:val="en-GB"/>
    </w:rPr>
  </w:style>
  <w:style w:type="character" w:customStyle="1" w:styleId="apple-converted-space">
    <w:name w:val="apple-converted-space"/>
    <w:basedOn w:val="DefaultParagraphFont"/>
    <w:rsid w:val="003564BB"/>
  </w:style>
  <w:style w:type="table" w:customStyle="1" w:styleId="Summarybox2">
    <w:name w:val="Summary box2"/>
    <w:basedOn w:val="TableNormal"/>
    <w:uiPriority w:val="59"/>
    <w:rsid w:val="002855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bmissionstandard">
    <w:name w:val="Submission standard"/>
    <w:basedOn w:val="TableNormal"/>
    <w:uiPriority w:val="99"/>
    <w:qFormat/>
    <w:rsid w:val="004413F5"/>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merican Typewriter Condensed L" w:hAnsi="American Typewriter Condensed L"/>
        <w:b/>
        <w:sz w:val="20"/>
      </w:rPr>
      <w:tblPr/>
      <w:tcPr>
        <w:shd w:val="clear" w:color="auto" w:fill="BFBFBF" w:themeFill="background1" w:themeFillShade="BF"/>
      </w:tcPr>
    </w:tblStylePr>
  </w:style>
  <w:style w:type="character" w:customStyle="1" w:styleId="TableTextleftalignChar">
    <w:name w:val="Table Text left align Char"/>
    <w:basedOn w:val="DefaultParagraphFont"/>
    <w:link w:val="TableTextleftalign"/>
    <w:locked/>
    <w:rsid w:val="004413F5"/>
    <w:rPr>
      <w:rFonts w:ascii="Calibri" w:eastAsia="Batang" w:hAnsi="Calibri" w:cs="Calibri"/>
      <w:sz w:val="18"/>
      <w:szCs w:val="18"/>
    </w:rPr>
  </w:style>
  <w:style w:type="paragraph" w:customStyle="1" w:styleId="TableTextleftalign">
    <w:name w:val="Table Text left align"/>
    <w:basedOn w:val="Normal"/>
    <w:link w:val="TableTextleftalignChar"/>
    <w:qFormat/>
    <w:rsid w:val="004413F5"/>
    <w:pPr>
      <w:spacing w:after="200"/>
      <w:jc w:val="left"/>
    </w:pPr>
    <w:rPr>
      <w:rFonts w:eastAsia="Batang" w:cs="Calibri"/>
      <w:sz w:val="18"/>
      <w:szCs w:val="18"/>
      <w:lang w:eastAsia="en-AU"/>
    </w:rPr>
  </w:style>
  <w:style w:type="character" w:customStyle="1" w:styleId="SmallHighlight">
    <w:name w:val="Small Highlight"/>
    <w:basedOn w:val="Small"/>
    <w:uiPriority w:val="1"/>
    <w:qFormat/>
    <w:rsid w:val="00DE6B8D"/>
    <w:rPr>
      <w:rFonts w:ascii="Calibri" w:hAnsi="Calibri"/>
      <w:sz w:val="20"/>
      <w:bdr w:val="none" w:sz="0" w:space="0" w:color="auto"/>
      <w:shd w:val="clear" w:color="auto" w:fill="FFFF00"/>
    </w:rPr>
  </w:style>
  <w:style w:type="paragraph" w:customStyle="1" w:styleId="Title1">
    <w:name w:val="Title1"/>
    <w:basedOn w:val="Normal"/>
    <w:rsid w:val="00DC378E"/>
    <w:pPr>
      <w:spacing w:before="100" w:beforeAutospacing="1" w:after="100" w:afterAutospacing="1"/>
      <w:jc w:val="left"/>
    </w:pPr>
    <w:rPr>
      <w:rFonts w:ascii="Times New Roman" w:hAnsi="Times New Roman"/>
      <w:lang w:eastAsia="en-AU"/>
    </w:rPr>
  </w:style>
  <w:style w:type="paragraph" w:customStyle="1" w:styleId="desc">
    <w:name w:val="desc"/>
    <w:basedOn w:val="Normal"/>
    <w:rsid w:val="00DC378E"/>
    <w:pPr>
      <w:spacing w:before="100" w:beforeAutospacing="1" w:after="100" w:afterAutospacing="1"/>
      <w:jc w:val="left"/>
    </w:pPr>
    <w:rPr>
      <w:rFonts w:ascii="Times New Roman" w:hAnsi="Times New Roman"/>
      <w:lang w:eastAsia="en-AU"/>
    </w:rPr>
  </w:style>
  <w:style w:type="character" w:customStyle="1" w:styleId="UnresolvedMention1">
    <w:name w:val="Unresolved Mention1"/>
    <w:basedOn w:val="DefaultParagraphFont"/>
    <w:uiPriority w:val="99"/>
    <w:semiHidden/>
    <w:unhideWhenUsed/>
    <w:rsid w:val="002B6A90"/>
    <w:rPr>
      <w:color w:val="605E5C"/>
      <w:shd w:val="clear" w:color="auto" w:fill="E1DFDD"/>
    </w:rPr>
  </w:style>
  <w:style w:type="table" w:customStyle="1" w:styleId="CMATableTemplate1">
    <w:name w:val="CMA Table Template1"/>
    <w:basedOn w:val="TableNormal"/>
    <w:next w:val="TableGrid"/>
    <w:uiPriority w:val="39"/>
    <w:rsid w:val="00484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E1570"/>
    <w:rPr>
      <w:rFonts w:eastAsia="Batang"/>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BACTableText">
    <w:name w:val="PBAC Table Text"/>
    <w:basedOn w:val="Normal"/>
    <w:link w:val="PBACTableTextChar"/>
    <w:qFormat/>
    <w:rsid w:val="00F56C58"/>
    <w:pPr>
      <w:spacing w:before="40" w:after="40"/>
      <w:jc w:val="left"/>
    </w:pPr>
    <w:rPr>
      <w:rFonts w:ascii="Arial Narrow" w:hAnsi="Arial Narrow"/>
      <w:sz w:val="20"/>
      <w:szCs w:val="20"/>
      <w:lang w:eastAsia="en-US"/>
    </w:rPr>
  </w:style>
  <w:style w:type="character" w:customStyle="1" w:styleId="PBACTableTextChar">
    <w:name w:val="PBAC Table Text Char"/>
    <w:basedOn w:val="DefaultParagraphFont"/>
    <w:link w:val="PBACTableText"/>
    <w:rsid w:val="00F56C58"/>
    <w:rPr>
      <w:rFonts w:ascii="Arial Narrow" w:hAnsi="Arial Narrow"/>
      <w:lang w:eastAsia="en-US"/>
    </w:rPr>
  </w:style>
  <w:style w:type="paragraph" w:customStyle="1" w:styleId="2Sections">
    <w:name w:val="2. Sections"/>
    <w:qFormat/>
    <w:rsid w:val="00275729"/>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275729"/>
    <w:pPr>
      <w:numPr>
        <w:numId w:val="0"/>
      </w:numPr>
      <w:ind w:left="720" w:hanging="720"/>
    </w:pPr>
    <w:rPr>
      <w:rFonts w:eastAsiaTheme="minorHAnsi" w:cstheme="minorBidi"/>
      <w:snapToGrid/>
      <w:szCs w:val="22"/>
      <w:lang w:eastAsia="en-US"/>
    </w:rPr>
  </w:style>
  <w:style w:type="character" w:customStyle="1" w:styleId="3BodytextChar">
    <w:name w:val="3. Body text Char"/>
    <w:basedOn w:val="DefaultParagraphFont"/>
    <w:link w:val="3Bodytext"/>
    <w:rsid w:val="00275729"/>
    <w:rPr>
      <w:rFonts w:asciiTheme="minorHAnsi" w:eastAsiaTheme="minorHAnsi" w:hAnsiTheme="minorHAnsi" w:cstheme="minorBidi"/>
      <w:sz w:val="24"/>
      <w:szCs w:val="22"/>
      <w:lang w:eastAsia="en-US"/>
    </w:rPr>
  </w:style>
  <w:style w:type="paragraph" w:customStyle="1" w:styleId="Bodytextitalics">
    <w:name w:val="Body text italics"/>
    <w:basedOn w:val="BodyText"/>
    <w:qFormat/>
    <w:rsid w:val="00263900"/>
    <w:pPr>
      <w:spacing w:after="120"/>
      <w:jc w:val="both"/>
    </w:pPr>
    <w:rPr>
      <w:rFonts w:asciiTheme="minorHAnsi" w:eastAsiaTheme="minorHAnsi" w:hAnsiTheme="minorHAnsi" w:cstheme="minorBidi"/>
      <w: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798">
      <w:bodyDiv w:val="1"/>
      <w:marLeft w:val="0"/>
      <w:marRight w:val="0"/>
      <w:marTop w:val="0"/>
      <w:marBottom w:val="0"/>
      <w:divBdr>
        <w:top w:val="none" w:sz="0" w:space="0" w:color="auto"/>
        <w:left w:val="none" w:sz="0" w:space="0" w:color="auto"/>
        <w:bottom w:val="none" w:sz="0" w:space="0" w:color="auto"/>
        <w:right w:val="none" w:sz="0" w:space="0" w:color="auto"/>
      </w:divBdr>
      <w:divsChild>
        <w:div w:id="291448211">
          <w:marLeft w:val="0"/>
          <w:marRight w:val="0"/>
          <w:marTop w:val="0"/>
          <w:marBottom w:val="0"/>
          <w:divBdr>
            <w:top w:val="none" w:sz="0" w:space="0" w:color="auto"/>
            <w:left w:val="none" w:sz="0" w:space="0" w:color="auto"/>
            <w:bottom w:val="none" w:sz="0" w:space="0" w:color="auto"/>
            <w:right w:val="none" w:sz="0" w:space="0" w:color="auto"/>
          </w:divBdr>
          <w:divsChild>
            <w:div w:id="1752198345">
              <w:marLeft w:val="0"/>
              <w:marRight w:val="0"/>
              <w:marTop w:val="0"/>
              <w:marBottom w:val="0"/>
              <w:divBdr>
                <w:top w:val="none" w:sz="0" w:space="0" w:color="auto"/>
                <w:left w:val="none" w:sz="0" w:space="0" w:color="auto"/>
                <w:bottom w:val="none" w:sz="0" w:space="0" w:color="auto"/>
                <w:right w:val="none" w:sz="0" w:space="0" w:color="auto"/>
              </w:divBdr>
              <w:divsChild>
                <w:div w:id="458693476">
                  <w:marLeft w:val="0"/>
                  <w:marRight w:val="0"/>
                  <w:marTop w:val="0"/>
                  <w:marBottom w:val="0"/>
                  <w:divBdr>
                    <w:top w:val="none" w:sz="0" w:space="0" w:color="auto"/>
                    <w:left w:val="none" w:sz="0" w:space="0" w:color="auto"/>
                    <w:bottom w:val="none" w:sz="0" w:space="0" w:color="auto"/>
                    <w:right w:val="none" w:sz="0" w:space="0" w:color="auto"/>
                  </w:divBdr>
                  <w:divsChild>
                    <w:div w:id="4768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401">
      <w:bodyDiv w:val="1"/>
      <w:marLeft w:val="0"/>
      <w:marRight w:val="0"/>
      <w:marTop w:val="0"/>
      <w:marBottom w:val="0"/>
      <w:divBdr>
        <w:top w:val="none" w:sz="0" w:space="0" w:color="auto"/>
        <w:left w:val="none" w:sz="0" w:space="0" w:color="auto"/>
        <w:bottom w:val="none" w:sz="0" w:space="0" w:color="auto"/>
        <w:right w:val="none" w:sz="0" w:space="0" w:color="auto"/>
      </w:divBdr>
    </w:div>
    <w:div w:id="23405899">
      <w:bodyDiv w:val="1"/>
      <w:marLeft w:val="0"/>
      <w:marRight w:val="0"/>
      <w:marTop w:val="0"/>
      <w:marBottom w:val="0"/>
      <w:divBdr>
        <w:top w:val="none" w:sz="0" w:space="0" w:color="auto"/>
        <w:left w:val="none" w:sz="0" w:space="0" w:color="auto"/>
        <w:bottom w:val="none" w:sz="0" w:space="0" w:color="auto"/>
        <w:right w:val="none" w:sz="0" w:space="0" w:color="auto"/>
      </w:divBdr>
    </w:div>
    <w:div w:id="7690395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67605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0316491">
      <w:bodyDiv w:val="1"/>
      <w:marLeft w:val="0"/>
      <w:marRight w:val="0"/>
      <w:marTop w:val="0"/>
      <w:marBottom w:val="0"/>
      <w:divBdr>
        <w:top w:val="none" w:sz="0" w:space="0" w:color="auto"/>
        <w:left w:val="none" w:sz="0" w:space="0" w:color="auto"/>
        <w:bottom w:val="none" w:sz="0" w:space="0" w:color="auto"/>
        <w:right w:val="none" w:sz="0" w:space="0" w:color="auto"/>
      </w:divBdr>
      <w:divsChild>
        <w:div w:id="22051252">
          <w:marLeft w:val="0"/>
          <w:marRight w:val="0"/>
          <w:marTop w:val="0"/>
          <w:marBottom w:val="0"/>
          <w:divBdr>
            <w:top w:val="none" w:sz="0" w:space="0" w:color="auto"/>
            <w:left w:val="none" w:sz="0" w:space="0" w:color="auto"/>
            <w:bottom w:val="none" w:sz="0" w:space="0" w:color="auto"/>
            <w:right w:val="none" w:sz="0" w:space="0" w:color="auto"/>
          </w:divBdr>
          <w:divsChild>
            <w:div w:id="936331195">
              <w:marLeft w:val="0"/>
              <w:marRight w:val="0"/>
              <w:marTop w:val="0"/>
              <w:marBottom w:val="0"/>
              <w:divBdr>
                <w:top w:val="none" w:sz="0" w:space="0" w:color="auto"/>
                <w:left w:val="none" w:sz="0" w:space="0" w:color="auto"/>
                <w:bottom w:val="none" w:sz="0" w:space="0" w:color="auto"/>
                <w:right w:val="none" w:sz="0" w:space="0" w:color="auto"/>
              </w:divBdr>
              <w:divsChild>
                <w:div w:id="46623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084">
      <w:bodyDiv w:val="1"/>
      <w:marLeft w:val="0"/>
      <w:marRight w:val="0"/>
      <w:marTop w:val="0"/>
      <w:marBottom w:val="0"/>
      <w:divBdr>
        <w:top w:val="none" w:sz="0" w:space="0" w:color="auto"/>
        <w:left w:val="none" w:sz="0" w:space="0" w:color="auto"/>
        <w:bottom w:val="none" w:sz="0" w:space="0" w:color="auto"/>
        <w:right w:val="none" w:sz="0" w:space="0" w:color="auto"/>
      </w:divBdr>
      <w:divsChild>
        <w:div w:id="587078815">
          <w:marLeft w:val="0"/>
          <w:marRight w:val="0"/>
          <w:marTop w:val="0"/>
          <w:marBottom w:val="0"/>
          <w:divBdr>
            <w:top w:val="none" w:sz="0" w:space="0" w:color="auto"/>
            <w:left w:val="none" w:sz="0" w:space="0" w:color="auto"/>
            <w:bottom w:val="none" w:sz="0" w:space="0" w:color="auto"/>
            <w:right w:val="none" w:sz="0" w:space="0" w:color="auto"/>
          </w:divBdr>
          <w:divsChild>
            <w:div w:id="881013234">
              <w:marLeft w:val="0"/>
              <w:marRight w:val="0"/>
              <w:marTop w:val="0"/>
              <w:marBottom w:val="0"/>
              <w:divBdr>
                <w:top w:val="none" w:sz="0" w:space="0" w:color="auto"/>
                <w:left w:val="none" w:sz="0" w:space="0" w:color="auto"/>
                <w:bottom w:val="none" w:sz="0" w:space="0" w:color="auto"/>
                <w:right w:val="none" w:sz="0" w:space="0" w:color="auto"/>
              </w:divBdr>
              <w:divsChild>
                <w:div w:id="13935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0665">
      <w:bodyDiv w:val="1"/>
      <w:marLeft w:val="0"/>
      <w:marRight w:val="0"/>
      <w:marTop w:val="0"/>
      <w:marBottom w:val="0"/>
      <w:divBdr>
        <w:top w:val="none" w:sz="0" w:space="0" w:color="auto"/>
        <w:left w:val="none" w:sz="0" w:space="0" w:color="auto"/>
        <w:bottom w:val="none" w:sz="0" w:space="0" w:color="auto"/>
        <w:right w:val="none" w:sz="0" w:space="0" w:color="auto"/>
      </w:divBdr>
    </w:div>
    <w:div w:id="233272908">
      <w:bodyDiv w:val="1"/>
      <w:marLeft w:val="0"/>
      <w:marRight w:val="0"/>
      <w:marTop w:val="0"/>
      <w:marBottom w:val="0"/>
      <w:divBdr>
        <w:top w:val="none" w:sz="0" w:space="0" w:color="auto"/>
        <w:left w:val="none" w:sz="0" w:space="0" w:color="auto"/>
        <w:bottom w:val="none" w:sz="0" w:space="0" w:color="auto"/>
        <w:right w:val="none" w:sz="0" w:space="0" w:color="auto"/>
      </w:divBdr>
      <w:divsChild>
        <w:div w:id="1884709001">
          <w:marLeft w:val="0"/>
          <w:marRight w:val="0"/>
          <w:marTop w:val="0"/>
          <w:marBottom w:val="0"/>
          <w:divBdr>
            <w:top w:val="none" w:sz="0" w:space="0" w:color="auto"/>
            <w:left w:val="none" w:sz="0" w:space="0" w:color="auto"/>
            <w:bottom w:val="none" w:sz="0" w:space="0" w:color="auto"/>
            <w:right w:val="none" w:sz="0" w:space="0" w:color="auto"/>
          </w:divBdr>
          <w:divsChild>
            <w:div w:id="1513182544">
              <w:marLeft w:val="0"/>
              <w:marRight w:val="0"/>
              <w:marTop w:val="0"/>
              <w:marBottom w:val="0"/>
              <w:divBdr>
                <w:top w:val="none" w:sz="0" w:space="0" w:color="auto"/>
                <w:left w:val="none" w:sz="0" w:space="0" w:color="auto"/>
                <w:bottom w:val="none" w:sz="0" w:space="0" w:color="auto"/>
                <w:right w:val="none" w:sz="0" w:space="0" w:color="auto"/>
              </w:divBdr>
              <w:divsChild>
                <w:div w:id="18058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3480">
      <w:bodyDiv w:val="1"/>
      <w:marLeft w:val="0"/>
      <w:marRight w:val="0"/>
      <w:marTop w:val="0"/>
      <w:marBottom w:val="0"/>
      <w:divBdr>
        <w:top w:val="none" w:sz="0" w:space="0" w:color="auto"/>
        <w:left w:val="none" w:sz="0" w:space="0" w:color="auto"/>
        <w:bottom w:val="none" w:sz="0" w:space="0" w:color="auto"/>
        <w:right w:val="none" w:sz="0" w:space="0" w:color="auto"/>
      </w:divBdr>
      <w:divsChild>
        <w:div w:id="201669330">
          <w:marLeft w:val="0"/>
          <w:marRight w:val="0"/>
          <w:marTop w:val="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44748451">
      <w:bodyDiv w:val="1"/>
      <w:marLeft w:val="0"/>
      <w:marRight w:val="0"/>
      <w:marTop w:val="0"/>
      <w:marBottom w:val="0"/>
      <w:divBdr>
        <w:top w:val="none" w:sz="0" w:space="0" w:color="auto"/>
        <w:left w:val="none" w:sz="0" w:space="0" w:color="auto"/>
        <w:bottom w:val="none" w:sz="0" w:space="0" w:color="auto"/>
        <w:right w:val="none" w:sz="0" w:space="0" w:color="auto"/>
      </w:divBdr>
      <w:divsChild>
        <w:div w:id="1490485966">
          <w:marLeft w:val="0"/>
          <w:marRight w:val="0"/>
          <w:marTop w:val="0"/>
          <w:marBottom w:val="0"/>
          <w:divBdr>
            <w:top w:val="none" w:sz="0" w:space="0" w:color="auto"/>
            <w:left w:val="none" w:sz="0" w:space="0" w:color="auto"/>
            <w:bottom w:val="none" w:sz="0" w:space="0" w:color="auto"/>
            <w:right w:val="none" w:sz="0" w:space="0" w:color="auto"/>
          </w:divBdr>
          <w:divsChild>
            <w:div w:id="1983727760">
              <w:marLeft w:val="0"/>
              <w:marRight w:val="0"/>
              <w:marTop w:val="0"/>
              <w:marBottom w:val="0"/>
              <w:divBdr>
                <w:top w:val="none" w:sz="0" w:space="0" w:color="auto"/>
                <w:left w:val="none" w:sz="0" w:space="0" w:color="auto"/>
                <w:bottom w:val="none" w:sz="0" w:space="0" w:color="auto"/>
                <w:right w:val="none" w:sz="0" w:space="0" w:color="auto"/>
              </w:divBdr>
              <w:divsChild>
                <w:div w:id="9055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5287">
      <w:bodyDiv w:val="1"/>
      <w:marLeft w:val="0"/>
      <w:marRight w:val="0"/>
      <w:marTop w:val="0"/>
      <w:marBottom w:val="0"/>
      <w:divBdr>
        <w:top w:val="none" w:sz="0" w:space="0" w:color="auto"/>
        <w:left w:val="none" w:sz="0" w:space="0" w:color="auto"/>
        <w:bottom w:val="none" w:sz="0" w:space="0" w:color="auto"/>
        <w:right w:val="none" w:sz="0" w:space="0" w:color="auto"/>
      </w:divBdr>
      <w:divsChild>
        <w:div w:id="1027413071">
          <w:marLeft w:val="0"/>
          <w:marRight w:val="0"/>
          <w:marTop w:val="0"/>
          <w:marBottom w:val="0"/>
          <w:divBdr>
            <w:top w:val="none" w:sz="0" w:space="0" w:color="auto"/>
            <w:left w:val="none" w:sz="0" w:space="0" w:color="auto"/>
            <w:bottom w:val="none" w:sz="0" w:space="0" w:color="auto"/>
            <w:right w:val="none" w:sz="0" w:space="0" w:color="auto"/>
          </w:divBdr>
          <w:divsChild>
            <w:div w:id="204101723">
              <w:marLeft w:val="0"/>
              <w:marRight w:val="0"/>
              <w:marTop w:val="0"/>
              <w:marBottom w:val="0"/>
              <w:divBdr>
                <w:top w:val="none" w:sz="0" w:space="0" w:color="auto"/>
                <w:left w:val="none" w:sz="0" w:space="0" w:color="auto"/>
                <w:bottom w:val="none" w:sz="0" w:space="0" w:color="auto"/>
                <w:right w:val="none" w:sz="0" w:space="0" w:color="auto"/>
              </w:divBdr>
              <w:divsChild>
                <w:div w:id="13686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29023">
      <w:bodyDiv w:val="1"/>
      <w:marLeft w:val="0"/>
      <w:marRight w:val="0"/>
      <w:marTop w:val="0"/>
      <w:marBottom w:val="0"/>
      <w:divBdr>
        <w:top w:val="none" w:sz="0" w:space="0" w:color="auto"/>
        <w:left w:val="none" w:sz="0" w:space="0" w:color="auto"/>
        <w:bottom w:val="none" w:sz="0" w:space="0" w:color="auto"/>
        <w:right w:val="none" w:sz="0" w:space="0" w:color="auto"/>
      </w:divBdr>
    </w:div>
    <w:div w:id="449134054">
      <w:bodyDiv w:val="1"/>
      <w:marLeft w:val="0"/>
      <w:marRight w:val="0"/>
      <w:marTop w:val="0"/>
      <w:marBottom w:val="0"/>
      <w:divBdr>
        <w:top w:val="none" w:sz="0" w:space="0" w:color="auto"/>
        <w:left w:val="none" w:sz="0" w:space="0" w:color="auto"/>
        <w:bottom w:val="none" w:sz="0" w:space="0" w:color="auto"/>
        <w:right w:val="none" w:sz="0" w:space="0" w:color="auto"/>
      </w:divBdr>
    </w:div>
    <w:div w:id="533427448">
      <w:bodyDiv w:val="1"/>
      <w:marLeft w:val="0"/>
      <w:marRight w:val="0"/>
      <w:marTop w:val="0"/>
      <w:marBottom w:val="0"/>
      <w:divBdr>
        <w:top w:val="none" w:sz="0" w:space="0" w:color="auto"/>
        <w:left w:val="none" w:sz="0" w:space="0" w:color="auto"/>
        <w:bottom w:val="none" w:sz="0" w:space="0" w:color="auto"/>
        <w:right w:val="none" w:sz="0" w:space="0" w:color="auto"/>
      </w:divBdr>
      <w:divsChild>
        <w:div w:id="821309527">
          <w:marLeft w:val="0"/>
          <w:marRight w:val="0"/>
          <w:marTop w:val="0"/>
          <w:marBottom w:val="0"/>
          <w:divBdr>
            <w:top w:val="none" w:sz="0" w:space="0" w:color="auto"/>
            <w:left w:val="none" w:sz="0" w:space="0" w:color="auto"/>
            <w:bottom w:val="none" w:sz="0" w:space="0" w:color="auto"/>
            <w:right w:val="none" w:sz="0" w:space="0" w:color="auto"/>
          </w:divBdr>
          <w:divsChild>
            <w:div w:id="2097551453">
              <w:marLeft w:val="0"/>
              <w:marRight w:val="0"/>
              <w:marTop w:val="0"/>
              <w:marBottom w:val="0"/>
              <w:divBdr>
                <w:top w:val="none" w:sz="0" w:space="0" w:color="auto"/>
                <w:left w:val="none" w:sz="0" w:space="0" w:color="auto"/>
                <w:bottom w:val="none" w:sz="0" w:space="0" w:color="auto"/>
                <w:right w:val="none" w:sz="0" w:space="0" w:color="auto"/>
              </w:divBdr>
              <w:divsChild>
                <w:div w:id="1188374681">
                  <w:marLeft w:val="0"/>
                  <w:marRight w:val="0"/>
                  <w:marTop w:val="0"/>
                  <w:marBottom w:val="0"/>
                  <w:divBdr>
                    <w:top w:val="none" w:sz="0" w:space="0" w:color="auto"/>
                    <w:left w:val="none" w:sz="0" w:space="0" w:color="auto"/>
                    <w:bottom w:val="none" w:sz="0" w:space="0" w:color="auto"/>
                    <w:right w:val="none" w:sz="0" w:space="0" w:color="auto"/>
                  </w:divBdr>
                  <w:divsChild>
                    <w:div w:id="47141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6955">
      <w:bodyDiv w:val="1"/>
      <w:marLeft w:val="0"/>
      <w:marRight w:val="0"/>
      <w:marTop w:val="0"/>
      <w:marBottom w:val="0"/>
      <w:divBdr>
        <w:top w:val="none" w:sz="0" w:space="0" w:color="auto"/>
        <w:left w:val="none" w:sz="0" w:space="0" w:color="auto"/>
        <w:bottom w:val="none" w:sz="0" w:space="0" w:color="auto"/>
        <w:right w:val="none" w:sz="0" w:space="0" w:color="auto"/>
      </w:divBdr>
    </w:div>
    <w:div w:id="684289402">
      <w:bodyDiv w:val="1"/>
      <w:marLeft w:val="0"/>
      <w:marRight w:val="0"/>
      <w:marTop w:val="0"/>
      <w:marBottom w:val="0"/>
      <w:divBdr>
        <w:top w:val="none" w:sz="0" w:space="0" w:color="auto"/>
        <w:left w:val="none" w:sz="0" w:space="0" w:color="auto"/>
        <w:bottom w:val="none" w:sz="0" w:space="0" w:color="auto"/>
        <w:right w:val="none" w:sz="0" w:space="0" w:color="auto"/>
      </w:divBdr>
      <w:divsChild>
        <w:div w:id="320625124">
          <w:marLeft w:val="0"/>
          <w:marRight w:val="0"/>
          <w:marTop w:val="225"/>
          <w:marBottom w:val="225"/>
          <w:divBdr>
            <w:top w:val="none" w:sz="0" w:space="0" w:color="auto"/>
            <w:left w:val="none" w:sz="0" w:space="0" w:color="auto"/>
            <w:bottom w:val="none" w:sz="0" w:space="0" w:color="auto"/>
            <w:right w:val="none" w:sz="0" w:space="0" w:color="auto"/>
          </w:divBdr>
          <w:divsChild>
            <w:div w:id="1053312191">
              <w:marLeft w:val="0"/>
              <w:marRight w:val="0"/>
              <w:marTop w:val="0"/>
              <w:marBottom w:val="0"/>
              <w:divBdr>
                <w:top w:val="none" w:sz="0" w:space="0" w:color="auto"/>
                <w:left w:val="none" w:sz="0" w:space="0" w:color="auto"/>
                <w:bottom w:val="none" w:sz="0" w:space="0" w:color="auto"/>
                <w:right w:val="none" w:sz="0" w:space="0" w:color="auto"/>
              </w:divBdr>
            </w:div>
            <w:div w:id="1718434644">
              <w:marLeft w:val="0"/>
              <w:marRight w:val="0"/>
              <w:marTop w:val="0"/>
              <w:marBottom w:val="0"/>
              <w:divBdr>
                <w:top w:val="none" w:sz="0" w:space="0" w:color="auto"/>
                <w:left w:val="none" w:sz="0" w:space="0" w:color="auto"/>
                <w:bottom w:val="none" w:sz="0" w:space="0" w:color="auto"/>
                <w:right w:val="none" w:sz="0" w:space="0" w:color="auto"/>
              </w:divBdr>
            </w:div>
          </w:divsChild>
        </w:div>
        <w:div w:id="754671710">
          <w:marLeft w:val="0"/>
          <w:marRight w:val="0"/>
          <w:marTop w:val="225"/>
          <w:marBottom w:val="225"/>
          <w:divBdr>
            <w:top w:val="none" w:sz="0" w:space="0" w:color="auto"/>
            <w:left w:val="none" w:sz="0" w:space="0" w:color="auto"/>
            <w:bottom w:val="none" w:sz="0" w:space="0" w:color="auto"/>
            <w:right w:val="none" w:sz="0" w:space="0" w:color="auto"/>
          </w:divBdr>
        </w:div>
        <w:div w:id="1879466733">
          <w:marLeft w:val="0"/>
          <w:marRight w:val="0"/>
          <w:marTop w:val="225"/>
          <w:marBottom w:val="225"/>
          <w:divBdr>
            <w:top w:val="none" w:sz="0" w:space="0" w:color="auto"/>
            <w:left w:val="none" w:sz="0" w:space="0" w:color="auto"/>
            <w:bottom w:val="none" w:sz="0" w:space="0" w:color="auto"/>
            <w:right w:val="none" w:sz="0" w:space="0" w:color="auto"/>
          </w:divBdr>
          <w:divsChild>
            <w:div w:id="1181704505">
              <w:marLeft w:val="0"/>
              <w:marRight w:val="0"/>
              <w:marTop w:val="0"/>
              <w:marBottom w:val="0"/>
              <w:divBdr>
                <w:top w:val="none" w:sz="0" w:space="0" w:color="auto"/>
                <w:left w:val="none" w:sz="0" w:space="0" w:color="auto"/>
                <w:bottom w:val="none" w:sz="0" w:space="0" w:color="auto"/>
                <w:right w:val="none" w:sz="0" w:space="0" w:color="auto"/>
              </w:divBdr>
              <w:divsChild>
                <w:div w:id="1922521319">
                  <w:marLeft w:val="0"/>
                  <w:marRight w:val="0"/>
                  <w:marTop w:val="0"/>
                  <w:marBottom w:val="0"/>
                  <w:divBdr>
                    <w:top w:val="none" w:sz="0" w:space="0" w:color="auto"/>
                    <w:left w:val="none" w:sz="0" w:space="0" w:color="auto"/>
                    <w:bottom w:val="none" w:sz="0" w:space="0" w:color="auto"/>
                    <w:right w:val="none" w:sz="0" w:space="0" w:color="auto"/>
                  </w:divBdr>
                  <w:divsChild>
                    <w:div w:id="80371038">
                      <w:marLeft w:val="0"/>
                      <w:marRight w:val="0"/>
                      <w:marTop w:val="0"/>
                      <w:marBottom w:val="0"/>
                      <w:divBdr>
                        <w:top w:val="none" w:sz="0" w:space="0" w:color="auto"/>
                        <w:left w:val="none" w:sz="0" w:space="0" w:color="auto"/>
                        <w:bottom w:val="none" w:sz="0" w:space="0" w:color="auto"/>
                        <w:right w:val="none" w:sz="0" w:space="0" w:color="auto"/>
                      </w:divBdr>
                    </w:div>
                    <w:div w:id="439953427">
                      <w:marLeft w:val="0"/>
                      <w:marRight w:val="0"/>
                      <w:marTop w:val="0"/>
                      <w:marBottom w:val="0"/>
                      <w:divBdr>
                        <w:top w:val="none" w:sz="0" w:space="0" w:color="auto"/>
                        <w:left w:val="none" w:sz="0" w:space="0" w:color="auto"/>
                        <w:bottom w:val="none" w:sz="0" w:space="0" w:color="auto"/>
                        <w:right w:val="none" w:sz="0" w:space="0" w:color="auto"/>
                      </w:divBdr>
                    </w:div>
                    <w:div w:id="2072579313">
                      <w:marLeft w:val="0"/>
                      <w:marRight w:val="0"/>
                      <w:marTop w:val="0"/>
                      <w:marBottom w:val="0"/>
                      <w:divBdr>
                        <w:top w:val="none" w:sz="0" w:space="0" w:color="auto"/>
                        <w:left w:val="none" w:sz="0" w:space="0" w:color="auto"/>
                        <w:bottom w:val="none" w:sz="0" w:space="0" w:color="auto"/>
                        <w:right w:val="none" w:sz="0" w:space="0" w:color="auto"/>
                      </w:divBdr>
                    </w:div>
                    <w:div w:id="21366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86347">
      <w:bodyDiv w:val="1"/>
      <w:marLeft w:val="0"/>
      <w:marRight w:val="0"/>
      <w:marTop w:val="0"/>
      <w:marBottom w:val="0"/>
      <w:divBdr>
        <w:top w:val="none" w:sz="0" w:space="0" w:color="auto"/>
        <w:left w:val="none" w:sz="0" w:space="0" w:color="auto"/>
        <w:bottom w:val="none" w:sz="0" w:space="0" w:color="auto"/>
        <w:right w:val="none" w:sz="0" w:space="0" w:color="auto"/>
      </w:divBdr>
      <w:divsChild>
        <w:div w:id="1236553464">
          <w:marLeft w:val="0"/>
          <w:marRight w:val="0"/>
          <w:marTop w:val="0"/>
          <w:marBottom w:val="0"/>
          <w:divBdr>
            <w:top w:val="none" w:sz="0" w:space="0" w:color="auto"/>
            <w:left w:val="none" w:sz="0" w:space="0" w:color="auto"/>
            <w:bottom w:val="none" w:sz="0" w:space="0" w:color="auto"/>
            <w:right w:val="none" w:sz="0" w:space="0" w:color="auto"/>
          </w:divBdr>
          <w:divsChild>
            <w:div w:id="1972788172">
              <w:marLeft w:val="0"/>
              <w:marRight w:val="0"/>
              <w:marTop w:val="0"/>
              <w:marBottom w:val="0"/>
              <w:divBdr>
                <w:top w:val="none" w:sz="0" w:space="0" w:color="auto"/>
                <w:left w:val="none" w:sz="0" w:space="0" w:color="auto"/>
                <w:bottom w:val="none" w:sz="0" w:space="0" w:color="auto"/>
                <w:right w:val="none" w:sz="0" w:space="0" w:color="auto"/>
              </w:divBdr>
              <w:divsChild>
                <w:div w:id="27268154">
                  <w:marLeft w:val="0"/>
                  <w:marRight w:val="0"/>
                  <w:marTop w:val="0"/>
                  <w:marBottom w:val="0"/>
                  <w:divBdr>
                    <w:top w:val="none" w:sz="0" w:space="0" w:color="auto"/>
                    <w:left w:val="none" w:sz="0" w:space="0" w:color="auto"/>
                    <w:bottom w:val="none" w:sz="0" w:space="0" w:color="auto"/>
                    <w:right w:val="none" w:sz="0" w:space="0" w:color="auto"/>
                  </w:divBdr>
                  <w:divsChild>
                    <w:div w:id="3013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7323">
      <w:bodyDiv w:val="1"/>
      <w:marLeft w:val="0"/>
      <w:marRight w:val="0"/>
      <w:marTop w:val="0"/>
      <w:marBottom w:val="0"/>
      <w:divBdr>
        <w:top w:val="none" w:sz="0" w:space="0" w:color="auto"/>
        <w:left w:val="none" w:sz="0" w:space="0" w:color="auto"/>
        <w:bottom w:val="none" w:sz="0" w:space="0" w:color="auto"/>
        <w:right w:val="none" w:sz="0" w:space="0" w:color="auto"/>
      </w:divBdr>
      <w:divsChild>
        <w:div w:id="1746760333">
          <w:marLeft w:val="0"/>
          <w:marRight w:val="0"/>
          <w:marTop w:val="0"/>
          <w:marBottom w:val="0"/>
          <w:divBdr>
            <w:top w:val="none" w:sz="0" w:space="0" w:color="auto"/>
            <w:left w:val="none" w:sz="0" w:space="0" w:color="auto"/>
            <w:bottom w:val="none" w:sz="0" w:space="0" w:color="auto"/>
            <w:right w:val="none" w:sz="0" w:space="0" w:color="auto"/>
          </w:divBdr>
          <w:divsChild>
            <w:div w:id="1839884968">
              <w:marLeft w:val="0"/>
              <w:marRight w:val="0"/>
              <w:marTop w:val="0"/>
              <w:marBottom w:val="0"/>
              <w:divBdr>
                <w:top w:val="none" w:sz="0" w:space="0" w:color="auto"/>
                <w:left w:val="none" w:sz="0" w:space="0" w:color="auto"/>
                <w:bottom w:val="none" w:sz="0" w:space="0" w:color="auto"/>
                <w:right w:val="none" w:sz="0" w:space="0" w:color="auto"/>
              </w:divBdr>
              <w:divsChild>
                <w:div w:id="192576927">
                  <w:marLeft w:val="0"/>
                  <w:marRight w:val="0"/>
                  <w:marTop w:val="0"/>
                  <w:marBottom w:val="0"/>
                  <w:divBdr>
                    <w:top w:val="none" w:sz="0" w:space="0" w:color="auto"/>
                    <w:left w:val="none" w:sz="0" w:space="0" w:color="auto"/>
                    <w:bottom w:val="none" w:sz="0" w:space="0" w:color="auto"/>
                    <w:right w:val="none" w:sz="0" w:space="0" w:color="auto"/>
                  </w:divBdr>
                  <w:divsChild>
                    <w:div w:id="9147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23686">
      <w:bodyDiv w:val="1"/>
      <w:marLeft w:val="0"/>
      <w:marRight w:val="0"/>
      <w:marTop w:val="0"/>
      <w:marBottom w:val="0"/>
      <w:divBdr>
        <w:top w:val="none" w:sz="0" w:space="0" w:color="auto"/>
        <w:left w:val="none" w:sz="0" w:space="0" w:color="auto"/>
        <w:bottom w:val="none" w:sz="0" w:space="0" w:color="auto"/>
        <w:right w:val="none" w:sz="0" w:space="0" w:color="auto"/>
      </w:divBdr>
      <w:divsChild>
        <w:div w:id="1866089078">
          <w:marLeft w:val="0"/>
          <w:marRight w:val="0"/>
          <w:marTop w:val="0"/>
          <w:marBottom w:val="0"/>
          <w:divBdr>
            <w:top w:val="none" w:sz="0" w:space="0" w:color="auto"/>
            <w:left w:val="none" w:sz="0" w:space="0" w:color="auto"/>
            <w:bottom w:val="none" w:sz="0" w:space="0" w:color="auto"/>
            <w:right w:val="none" w:sz="0" w:space="0" w:color="auto"/>
          </w:divBdr>
        </w:div>
      </w:divsChild>
    </w:div>
    <w:div w:id="868253003">
      <w:bodyDiv w:val="1"/>
      <w:marLeft w:val="0"/>
      <w:marRight w:val="0"/>
      <w:marTop w:val="0"/>
      <w:marBottom w:val="0"/>
      <w:divBdr>
        <w:top w:val="none" w:sz="0" w:space="0" w:color="auto"/>
        <w:left w:val="none" w:sz="0" w:space="0" w:color="auto"/>
        <w:bottom w:val="none" w:sz="0" w:space="0" w:color="auto"/>
        <w:right w:val="none" w:sz="0" w:space="0" w:color="auto"/>
      </w:divBdr>
      <w:divsChild>
        <w:div w:id="561139055">
          <w:marLeft w:val="0"/>
          <w:marRight w:val="0"/>
          <w:marTop w:val="0"/>
          <w:marBottom w:val="0"/>
          <w:divBdr>
            <w:top w:val="none" w:sz="0" w:space="0" w:color="auto"/>
            <w:left w:val="none" w:sz="0" w:space="0" w:color="auto"/>
            <w:bottom w:val="none" w:sz="0" w:space="0" w:color="auto"/>
            <w:right w:val="none" w:sz="0" w:space="0" w:color="auto"/>
          </w:divBdr>
          <w:divsChild>
            <w:div w:id="66003241">
              <w:marLeft w:val="0"/>
              <w:marRight w:val="0"/>
              <w:marTop w:val="0"/>
              <w:marBottom w:val="0"/>
              <w:divBdr>
                <w:top w:val="none" w:sz="0" w:space="0" w:color="auto"/>
                <w:left w:val="none" w:sz="0" w:space="0" w:color="auto"/>
                <w:bottom w:val="none" w:sz="0" w:space="0" w:color="auto"/>
                <w:right w:val="none" w:sz="0" w:space="0" w:color="auto"/>
              </w:divBdr>
              <w:divsChild>
                <w:div w:id="1551189601">
                  <w:marLeft w:val="0"/>
                  <w:marRight w:val="0"/>
                  <w:marTop w:val="0"/>
                  <w:marBottom w:val="0"/>
                  <w:divBdr>
                    <w:top w:val="none" w:sz="0" w:space="0" w:color="auto"/>
                    <w:left w:val="none" w:sz="0" w:space="0" w:color="auto"/>
                    <w:bottom w:val="none" w:sz="0" w:space="0" w:color="auto"/>
                    <w:right w:val="none" w:sz="0" w:space="0" w:color="auto"/>
                  </w:divBdr>
                  <w:divsChild>
                    <w:div w:id="15543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14904">
      <w:bodyDiv w:val="1"/>
      <w:marLeft w:val="0"/>
      <w:marRight w:val="0"/>
      <w:marTop w:val="0"/>
      <w:marBottom w:val="0"/>
      <w:divBdr>
        <w:top w:val="none" w:sz="0" w:space="0" w:color="auto"/>
        <w:left w:val="none" w:sz="0" w:space="0" w:color="auto"/>
        <w:bottom w:val="none" w:sz="0" w:space="0" w:color="auto"/>
        <w:right w:val="none" w:sz="0" w:space="0" w:color="auto"/>
      </w:divBdr>
    </w:div>
    <w:div w:id="944073527">
      <w:bodyDiv w:val="1"/>
      <w:marLeft w:val="0"/>
      <w:marRight w:val="0"/>
      <w:marTop w:val="0"/>
      <w:marBottom w:val="0"/>
      <w:divBdr>
        <w:top w:val="none" w:sz="0" w:space="0" w:color="auto"/>
        <w:left w:val="none" w:sz="0" w:space="0" w:color="auto"/>
        <w:bottom w:val="none" w:sz="0" w:space="0" w:color="auto"/>
        <w:right w:val="none" w:sz="0" w:space="0" w:color="auto"/>
      </w:divBdr>
      <w:divsChild>
        <w:div w:id="76942211">
          <w:marLeft w:val="0"/>
          <w:marRight w:val="0"/>
          <w:marTop w:val="0"/>
          <w:marBottom w:val="0"/>
          <w:divBdr>
            <w:top w:val="none" w:sz="0" w:space="0" w:color="auto"/>
            <w:left w:val="none" w:sz="0" w:space="0" w:color="auto"/>
            <w:bottom w:val="none" w:sz="0" w:space="0" w:color="auto"/>
            <w:right w:val="none" w:sz="0" w:space="0" w:color="auto"/>
          </w:divBdr>
          <w:divsChild>
            <w:div w:id="1480071340">
              <w:marLeft w:val="0"/>
              <w:marRight w:val="0"/>
              <w:marTop w:val="0"/>
              <w:marBottom w:val="0"/>
              <w:divBdr>
                <w:top w:val="none" w:sz="0" w:space="0" w:color="auto"/>
                <w:left w:val="none" w:sz="0" w:space="0" w:color="auto"/>
                <w:bottom w:val="none" w:sz="0" w:space="0" w:color="auto"/>
                <w:right w:val="none" w:sz="0" w:space="0" w:color="auto"/>
              </w:divBdr>
              <w:divsChild>
                <w:div w:id="84975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362">
      <w:bodyDiv w:val="1"/>
      <w:marLeft w:val="0"/>
      <w:marRight w:val="0"/>
      <w:marTop w:val="0"/>
      <w:marBottom w:val="0"/>
      <w:divBdr>
        <w:top w:val="none" w:sz="0" w:space="0" w:color="auto"/>
        <w:left w:val="none" w:sz="0" w:space="0" w:color="auto"/>
        <w:bottom w:val="none" w:sz="0" w:space="0" w:color="auto"/>
        <w:right w:val="none" w:sz="0" w:space="0" w:color="auto"/>
      </w:divBdr>
      <w:divsChild>
        <w:div w:id="1235310576">
          <w:marLeft w:val="0"/>
          <w:marRight w:val="0"/>
          <w:marTop w:val="0"/>
          <w:marBottom w:val="0"/>
          <w:divBdr>
            <w:top w:val="none" w:sz="0" w:space="0" w:color="auto"/>
            <w:left w:val="none" w:sz="0" w:space="0" w:color="auto"/>
            <w:bottom w:val="none" w:sz="0" w:space="0" w:color="auto"/>
            <w:right w:val="none" w:sz="0" w:space="0" w:color="auto"/>
          </w:divBdr>
          <w:divsChild>
            <w:div w:id="815412593">
              <w:marLeft w:val="0"/>
              <w:marRight w:val="0"/>
              <w:marTop w:val="0"/>
              <w:marBottom w:val="0"/>
              <w:divBdr>
                <w:top w:val="none" w:sz="0" w:space="0" w:color="auto"/>
                <w:left w:val="none" w:sz="0" w:space="0" w:color="auto"/>
                <w:bottom w:val="none" w:sz="0" w:space="0" w:color="auto"/>
                <w:right w:val="none" w:sz="0" w:space="0" w:color="auto"/>
              </w:divBdr>
              <w:divsChild>
                <w:div w:id="954167842">
                  <w:marLeft w:val="0"/>
                  <w:marRight w:val="0"/>
                  <w:marTop w:val="0"/>
                  <w:marBottom w:val="0"/>
                  <w:divBdr>
                    <w:top w:val="none" w:sz="0" w:space="0" w:color="auto"/>
                    <w:left w:val="none" w:sz="0" w:space="0" w:color="auto"/>
                    <w:bottom w:val="none" w:sz="0" w:space="0" w:color="auto"/>
                    <w:right w:val="none" w:sz="0" w:space="0" w:color="auto"/>
                  </w:divBdr>
                  <w:divsChild>
                    <w:div w:id="17002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401141">
      <w:bodyDiv w:val="1"/>
      <w:marLeft w:val="0"/>
      <w:marRight w:val="0"/>
      <w:marTop w:val="0"/>
      <w:marBottom w:val="0"/>
      <w:divBdr>
        <w:top w:val="none" w:sz="0" w:space="0" w:color="auto"/>
        <w:left w:val="none" w:sz="0" w:space="0" w:color="auto"/>
        <w:bottom w:val="none" w:sz="0" w:space="0" w:color="auto"/>
        <w:right w:val="none" w:sz="0" w:space="0" w:color="auto"/>
      </w:divBdr>
      <w:divsChild>
        <w:div w:id="1096946547">
          <w:marLeft w:val="0"/>
          <w:marRight w:val="0"/>
          <w:marTop w:val="0"/>
          <w:marBottom w:val="0"/>
          <w:divBdr>
            <w:top w:val="none" w:sz="0" w:space="0" w:color="auto"/>
            <w:left w:val="none" w:sz="0" w:space="0" w:color="auto"/>
            <w:bottom w:val="none" w:sz="0" w:space="0" w:color="auto"/>
            <w:right w:val="none" w:sz="0" w:space="0" w:color="auto"/>
          </w:divBdr>
        </w:div>
      </w:divsChild>
    </w:div>
    <w:div w:id="1062563998">
      <w:bodyDiv w:val="1"/>
      <w:marLeft w:val="0"/>
      <w:marRight w:val="0"/>
      <w:marTop w:val="0"/>
      <w:marBottom w:val="0"/>
      <w:divBdr>
        <w:top w:val="none" w:sz="0" w:space="0" w:color="auto"/>
        <w:left w:val="none" w:sz="0" w:space="0" w:color="auto"/>
        <w:bottom w:val="none" w:sz="0" w:space="0" w:color="auto"/>
        <w:right w:val="none" w:sz="0" w:space="0" w:color="auto"/>
      </w:divBdr>
      <w:divsChild>
        <w:div w:id="1964262373">
          <w:marLeft w:val="0"/>
          <w:marRight w:val="0"/>
          <w:marTop w:val="0"/>
          <w:marBottom w:val="0"/>
          <w:divBdr>
            <w:top w:val="none" w:sz="0" w:space="0" w:color="auto"/>
            <w:left w:val="none" w:sz="0" w:space="0" w:color="auto"/>
            <w:bottom w:val="none" w:sz="0" w:space="0" w:color="auto"/>
            <w:right w:val="none" w:sz="0" w:space="0" w:color="auto"/>
          </w:divBdr>
          <w:divsChild>
            <w:div w:id="1306277801">
              <w:marLeft w:val="0"/>
              <w:marRight w:val="0"/>
              <w:marTop w:val="0"/>
              <w:marBottom w:val="0"/>
              <w:divBdr>
                <w:top w:val="none" w:sz="0" w:space="0" w:color="auto"/>
                <w:left w:val="none" w:sz="0" w:space="0" w:color="auto"/>
                <w:bottom w:val="none" w:sz="0" w:space="0" w:color="auto"/>
                <w:right w:val="none" w:sz="0" w:space="0" w:color="auto"/>
              </w:divBdr>
              <w:divsChild>
                <w:div w:id="179709249">
                  <w:marLeft w:val="0"/>
                  <w:marRight w:val="0"/>
                  <w:marTop w:val="0"/>
                  <w:marBottom w:val="0"/>
                  <w:divBdr>
                    <w:top w:val="none" w:sz="0" w:space="0" w:color="auto"/>
                    <w:left w:val="none" w:sz="0" w:space="0" w:color="auto"/>
                    <w:bottom w:val="none" w:sz="0" w:space="0" w:color="auto"/>
                    <w:right w:val="none" w:sz="0" w:space="0" w:color="auto"/>
                  </w:divBdr>
                  <w:divsChild>
                    <w:div w:id="13976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320907">
      <w:bodyDiv w:val="1"/>
      <w:marLeft w:val="0"/>
      <w:marRight w:val="0"/>
      <w:marTop w:val="0"/>
      <w:marBottom w:val="0"/>
      <w:divBdr>
        <w:top w:val="none" w:sz="0" w:space="0" w:color="auto"/>
        <w:left w:val="none" w:sz="0" w:space="0" w:color="auto"/>
        <w:bottom w:val="none" w:sz="0" w:space="0" w:color="auto"/>
        <w:right w:val="none" w:sz="0" w:space="0" w:color="auto"/>
      </w:divBdr>
      <w:divsChild>
        <w:div w:id="686250322">
          <w:marLeft w:val="0"/>
          <w:marRight w:val="0"/>
          <w:marTop w:val="0"/>
          <w:marBottom w:val="0"/>
          <w:divBdr>
            <w:top w:val="none" w:sz="0" w:space="0" w:color="auto"/>
            <w:left w:val="none" w:sz="0" w:space="0" w:color="auto"/>
            <w:bottom w:val="none" w:sz="0" w:space="0" w:color="auto"/>
            <w:right w:val="none" w:sz="0" w:space="0" w:color="auto"/>
          </w:divBdr>
          <w:divsChild>
            <w:div w:id="475728047">
              <w:marLeft w:val="0"/>
              <w:marRight w:val="0"/>
              <w:marTop w:val="0"/>
              <w:marBottom w:val="0"/>
              <w:divBdr>
                <w:top w:val="none" w:sz="0" w:space="0" w:color="auto"/>
                <w:left w:val="none" w:sz="0" w:space="0" w:color="auto"/>
                <w:bottom w:val="none" w:sz="0" w:space="0" w:color="auto"/>
                <w:right w:val="none" w:sz="0" w:space="0" w:color="auto"/>
              </w:divBdr>
              <w:divsChild>
                <w:div w:id="7393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31092">
      <w:bodyDiv w:val="1"/>
      <w:marLeft w:val="0"/>
      <w:marRight w:val="0"/>
      <w:marTop w:val="0"/>
      <w:marBottom w:val="0"/>
      <w:divBdr>
        <w:top w:val="none" w:sz="0" w:space="0" w:color="auto"/>
        <w:left w:val="none" w:sz="0" w:space="0" w:color="auto"/>
        <w:bottom w:val="none" w:sz="0" w:space="0" w:color="auto"/>
        <w:right w:val="none" w:sz="0" w:space="0" w:color="auto"/>
      </w:divBdr>
      <w:divsChild>
        <w:div w:id="1625503729">
          <w:marLeft w:val="0"/>
          <w:marRight w:val="0"/>
          <w:marTop w:val="0"/>
          <w:marBottom w:val="0"/>
          <w:divBdr>
            <w:top w:val="none" w:sz="0" w:space="0" w:color="auto"/>
            <w:left w:val="none" w:sz="0" w:space="0" w:color="auto"/>
            <w:bottom w:val="none" w:sz="0" w:space="0" w:color="auto"/>
            <w:right w:val="none" w:sz="0" w:space="0" w:color="auto"/>
          </w:divBdr>
          <w:divsChild>
            <w:div w:id="42557102">
              <w:marLeft w:val="0"/>
              <w:marRight w:val="0"/>
              <w:marTop w:val="0"/>
              <w:marBottom w:val="0"/>
              <w:divBdr>
                <w:top w:val="none" w:sz="0" w:space="0" w:color="auto"/>
                <w:left w:val="none" w:sz="0" w:space="0" w:color="auto"/>
                <w:bottom w:val="none" w:sz="0" w:space="0" w:color="auto"/>
                <w:right w:val="none" w:sz="0" w:space="0" w:color="auto"/>
              </w:divBdr>
              <w:divsChild>
                <w:div w:id="101130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4768">
      <w:bodyDiv w:val="1"/>
      <w:marLeft w:val="0"/>
      <w:marRight w:val="0"/>
      <w:marTop w:val="0"/>
      <w:marBottom w:val="0"/>
      <w:divBdr>
        <w:top w:val="none" w:sz="0" w:space="0" w:color="auto"/>
        <w:left w:val="none" w:sz="0" w:space="0" w:color="auto"/>
        <w:bottom w:val="none" w:sz="0" w:space="0" w:color="auto"/>
        <w:right w:val="none" w:sz="0" w:space="0" w:color="auto"/>
      </w:divBdr>
    </w:div>
    <w:div w:id="1138105537">
      <w:bodyDiv w:val="1"/>
      <w:marLeft w:val="0"/>
      <w:marRight w:val="0"/>
      <w:marTop w:val="0"/>
      <w:marBottom w:val="0"/>
      <w:divBdr>
        <w:top w:val="none" w:sz="0" w:space="0" w:color="auto"/>
        <w:left w:val="none" w:sz="0" w:space="0" w:color="auto"/>
        <w:bottom w:val="none" w:sz="0" w:space="0" w:color="auto"/>
        <w:right w:val="none" w:sz="0" w:space="0" w:color="auto"/>
      </w:divBdr>
      <w:divsChild>
        <w:div w:id="880551196">
          <w:marLeft w:val="0"/>
          <w:marRight w:val="0"/>
          <w:marTop w:val="0"/>
          <w:marBottom w:val="0"/>
          <w:divBdr>
            <w:top w:val="none" w:sz="0" w:space="0" w:color="auto"/>
            <w:left w:val="none" w:sz="0" w:space="0" w:color="auto"/>
            <w:bottom w:val="none" w:sz="0" w:space="0" w:color="auto"/>
            <w:right w:val="none" w:sz="0" w:space="0" w:color="auto"/>
          </w:divBdr>
          <w:divsChild>
            <w:div w:id="1695227944">
              <w:marLeft w:val="0"/>
              <w:marRight w:val="0"/>
              <w:marTop w:val="0"/>
              <w:marBottom w:val="0"/>
              <w:divBdr>
                <w:top w:val="none" w:sz="0" w:space="0" w:color="auto"/>
                <w:left w:val="none" w:sz="0" w:space="0" w:color="auto"/>
                <w:bottom w:val="none" w:sz="0" w:space="0" w:color="auto"/>
                <w:right w:val="none" w:sz="0" w:space="0" w:color="auto"/>
              </w:divBdr>
              <w:divsChild>
                <w:div w:id="203759467">
                  <w:marLeft w:val="0"/>
                  <w:marRight w:val="0"/>
                  <w:marTop w:val="0"/>
                  <w:marBottom w:val="0"/>
                  <w:divBdr>
                    <w:top w:val="none" w:sz="0" w:space="0" w:color="auto"/>
                    <w:left w:val="none" w:sz="0" w:space="0" w:color="auto"/>
                    <w:bottom w:val="none" w:sz="0" w:space="0" w:color="auto"/>
                    <w:right w:val="none" w:sz="0" w:space="0" w:color="auto"/>
                  </w:divBdr>
                  <w:divsChild>
                    <w:div w:id="926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19646">
      <w:bodyDiv w:val="1"/>
      <w:marLeft w:val="0"/>
      <w:marRight w:val="0"/>
      <w:marTop w:val="0"/>
      <w:marBottom w:val="0"/>
      <w:divBdr>
        <w:top w:val="none" w:sz="0" w:space="0" w:color="auto"/>
        <w:left w:val="none" w:sz="0" w:space="0" w:color="auto"/>
        <w:bottom w:val="none" w:sz="0" w:space="0" w:color="auto"/>
        <w:right w:val="none" w:sz="0" w:space="0" w:color="auto"/>
      </w:divBdr>
      <w:divsChild>
        <w:div w:id="1130319519">
          <w:marLeft w:val="0"/>
          <w:marRight w:val="0"/>
          <w:marTop w:val="0"/>
          <w:marBottom w:val="0"/>
          <w:divBdr>
            <w:top w:val="none" w:sz="0" w:space="0" w:color="auto"/>
            <w:left w:val="none" w:sz="0" w:space="0" w:color="auto"/>
            <w:bottom w:val="none" w:sz="0" w:space="0" w:color="auto"/>
            <w:right w:val="none" w:sz="0" w:space="0" w:color="auto"/>
          </w:divBdr>
        </w:div>
      </w:divsChild>
    </w:div>
    <w:div w:id="1153252467">
      <w:bodyDiv w:val="1"/>
      <w:marLeft w:val="0"/>
      <w:marRight w:val="0"/>
      <w:marTop w:val="0"/>
      <w:marBottom w:val="0"/>
      <w:divBdr>
        <w:top w:val="none" w:sz="0" w:space="0" w:color="auto"/>
        <w:left w:val="none" w:sz="0" w:space="0" w:color="auto"/>
        <w:bottom w:val="none" w:sz="0" w:space="0" w:color="auto"/>
        <w:right w:val="none" w:sz="0" w:space="0" w:color="auto"/>
      </w:divBdr>
      <w:divsChild>
        <w:div w:id="1799254653">
          <w:marLeft w:val="0"/>
          <w:marRight w:val="0"/>
          <w:marTop w:val="0"/>
          <w:marBottom w:val="0"/>
          <w:divBdr>
            <w:top w:val="none" w:sz="0" w:space="0" w:color="auto"/>
            <w:left w:val="none" w:sz="0" w:space="0" w:color="auto"/>
            <w:bottom w:val="none" w:sz="0" w:space="0" w:color="auto"/>
            <w:right w:val="none" w:sz="0" w:space="0" w:color="auto"/>
          </w:divBdr>
          <w:divsChild>
            <w:div w:id="990792065">
              <w:marLeft w:val="0"/>
              <w:marRight w:val="0"/>
              <w:marTop w:val="0"/>
              <w:marBottom w:val="0"/>
              <w:divBdr>
                <w:top w:val="none" w:sz="0" w:space="0" w:color="auto"/>
                <w:left w:val="none" w:sz="0" w:space="0" w:color="auto"/>
                <w:bottom w:val="none" w:sz="0" w:space="0" w:color="auto"/>
                <w:right w:val="none" w:sz="0" w:space="0" w:color="auto"/>
              </w:divBdr>
              <w:divsChild>
                <w:div w:id="18291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7193">
      <w:bodyDiv w:val="1"/>
      <w:marLeft w:val="0"/>
      <w:marRight w:val="0"/>
      <w:marTop w:val="0"/>
      <w:marBottom w:val="0"/>
      <w:divBdr>
        <w:top w:val="none" w:sz="0" w:space="0" w:color="auto"/>
        <w:left w:val="none" w:sz="0" w:space="0" w:color="auto"/>
        <w:bottom w:val="none" w:sz="0" w:space="0" w:color="auto"/>
        <w:right w:val="none" w:sz="0" w:space="0" w:color="auto"/>
      </w:divBdr>
    </w:div>
    <w:div w:id="1333024696">
      <w:bodyDiv w:val="1"/>
      <w:marLeft w:val="0"/>
      <w:marRight w:val="0"/>
      <w:marTop w:val="0"/>
      <w:marBottom w:val="0"/>
      <w:divBdr>
        <w:top w:val="none" w:sz="0" w:space="0" w:color="auto"/>
        <w:left w:val="none" w:sz="0" w:space="0" w:color="auto"/>
        <w:bottom w:val="none" w:sz="0" w:space="0" w:color="auto"/>
        <w:right w:val="none" w:sz="0" w:space="0" w:color="auto"/>
      </w:divBdr>
      <w:divsChild>
        <w:div w:id="1031029380">
          <w:marLeft w:val="0"/>
          <w:marRight w:val="0"/>
          <w:marTop w:val="0"/>
          <w:marBottom w:val="0"/>
          <w:divBdr>
            <w:top w:val="none" w:sz="0" w:space="0" w:color="auto"/>
            <w:left w:val="none" w:sz="0" w:space="0" w:color="auto"/>
            <w:bottom w:val="none" w:sz="0" w:space="0" w:color="auto"/>
            <w:right w:val="none" w:sz="0" w:space="0" w:color="auto"/>
          </w:divBdr>
          <w:divsChild>
            <w:div w:id="843283740">
              <w:marLeft w:val="0"/>
              <w:marRight w:val="0"/>
              <w:marTop w:val="0"/>
              <w:marBottom w:val="0"/>
              <w:divBdr>
                <w:top w:val="none" w:sz="0" w:space="0" w:color="auto"/>
                <w:left w:val="none" w:sz="0" w:space="0" w:color="auto"/>
                <w:bottom w:val="none" w:sz="0" w:space="0" w:color="auto"/>
                <w:right w:val="none" w:sz="0" w:space="0" w:color="auto"/>
              </w:divBdr>
              <w:divsChild>
                <w:div w:id="6507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5667">
      <w:bodyDiv w:val="1"/>
      <w:marLeft w:val="0"/>
      <w:marRight w:val="0"/>
      <w:marTop w:val="0"/>
      <w:marBottom w:val="0"/>
      <w:divBdr>
        <w:top w:val="none" w:sz="0" w:space="0" w:color="auto"/>
        <w:left w:val="none" w:sz="0" w:space="0" w:color="auto"/>
        <w:bottom w:val="none" w:sz="0" w:space="0" w:color="auto"/>
        <w:right w:val="none" w:sz="0" w:space="0" w:color="auto"/>
      </w:divBdr>
      <w:divsChild>
        <w:div w:id="546531997">
          <w:marLeft w:val="0"/>
          <w:marRight w:val="0"/>
          <w:marTop w:val="0"/>
          <w:marBottom w:val="0"/>
          <w:divBdr>
            <w:top w:val="none" w:sz="0" w:space="0" w:color="auto"/>
            <w:left w:val="none" w:sz="0" w:space="0" w:color="auto"/>
            <w:bottom w:val="none" w:sz="0" w:space="0" w:color="auto"/>
            <w:right w:val="none" w:sz="0" w:space="0" w:color="auto"/>
          </w:divBdr>
          <w:divsChild>
            <w:div w:id="1704019867">
              <w:marLeft w:val="0"/>
              <w:marRight w:val="0"/>
              <w:marTop w:val="0"/>
              <w:marBottom w:val="0"/>
              <w:divBdr>
                <w:top w:val="none" w:sz="0" w:space="0" w:color="auto"/>
                <w:left w:val="none" w:sz="0" w:space="0" w:color="auto"/>
                <w:bottom w:val="none" w:sz="0" w:space="0" w:color="auto"/>
                <w:right w:val="none" w:sz="0" w:space="0" w:color="auto"/>
              </w:divBdr>
              <w:divsChild>
                <w:div w:id="1082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4129">
          <w:marLeft w:val="0"/>
          <w:marRight w:val="0"/>
          <w:marTop w:val="0"/>
          <w:marBottom w:val="0"/>
          <w:divBdr>
            <w:top w:val="none" w:sz="0" w:space="0" w:color="auto"/>
            <w:left w:val="none" w:sz="0" w:space="0" w:color="auto"/>
            <w:bottom w:val="none" w:sz="0" w:space="0" w:color="auto"/>
            <w:right w:val="none" w:sz="0" w:space="0" w:color="auto"/>
          </w:divBdr>
          <w:divsChild>
            <w:div w:id="192966985">
              <w:marLeft w:val="0"/>
              <w:marRight w:val="0"/>
              <w:marTop w:val="0"/>
              <w:marBottom w:val="0"/>
              <w:divBdr>
                <w:top w:val="none" w:sz="0" w:space="0" w:color="auto"/>
                <w:left w:val="none" w:sz="0" w:space="0" w:color="auto"/>
                <w:bottom w:val="none" w:sz="0" w:space="0" w:color="auto"/>
                <w:right w:val="none" w:sz="0" w:space="0" w:color="auto"/>
              </w:divBdr>
              <w:divsChild>
                <w:div w:id="11803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2259">
      <w:bodyDiv w:val="1"/>
      <w:marLeft w:val="0"/>
      <w:marRight w:val="0"/>
      <w:marTop w:val="0"/>
      <w:marBottom w:val="0"/>
      <w:divBdr>
        <w:top w:val="none" w:sz="0" w:space="0" w:color="auto"/>
        <w:left w:val="none" w:sz="0" w:space="0" w:color="auto"/>
        <w:bottom w:val="none" w:sz="0" w:space="0" w:color="auto"/>
        <w:right w:val="none" w:sz="0" w:space="0" w:color="auto"/>
      </w:divBdr>
      <w:divsChild>
        <w:div w:id="1047414764">
          <w:marLeft w:val="0"/>
          <w:marRight w:val="0"/>
          <w:marTop w:val="0"/>
          <w:marBottom w:val="0"/>
          <w:divBdr>
            <w:top w:val="none" w:sz="0" w:space="0" w:color="auto"/>
            <w:left w:val="none" w:sz="0" w:space="0" w:color="auto"/>
            <w:bottom w:val="none" w:sz="0" w:space="0" w:color="auto"/>
            <w:right w:val="none" w:sz="0" w:space="0" w:color="auto"/>
          </w:divBdr>
          <w:divsChild>
            <w:div w:id="1011179211">
              <w:marLeft w:val="0"/>
              <w:marRight w:val="0"/>
              <w:marTop w:val="0"/>
              <w:marBottom w:val="0"/>
              <w:divBdr>
                <w:top w:val="none" w:sz="0" w:space="0" w:color="auto"/>
                <w:left w:val="none" w:sz="0" w:space="0" w:color="auto"/>
                <w:bottom w:val="none" w:sz="0" w:space="0" w:color="auto"/>
                <w:right w:val="none" w:sz="0" w:space="0" w:color="auto"/>
              </w:divBdr>
              <w:divsChild>
                <w:div w:id="1450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5456">
      <w:bodyDiv w:val="1"/>
      <w:marLeft w:val="0"/>
      <w:marRight w:val="0"/>
      <w:marTop w:val="0"/>
      <w:marBottom w:val="0"/>
      <w:divBdr>
        <w:top w:val="none" w:sz="0" w:space="0" w:color="auto"/>
        <w:left w:val="none" w:sz="0" w:space="0" w:color="auto"/>
        <w:bottom w:val="none" w:sz="0" w:space="0" w:color="auto"/>
        <w:right w:val="none" w:sz="0" w:space="0" w:color="auto"/>
      </w:divBdr>
      <w:divsChild>
        <w:div w:id="998196378">
          <w:marLeft w:val="0"/>
          <w:marRight w:val="0"/>
          <w:marTop w:val="0"/>
          <w:marBottom w:val="0"/>
          <w:divBdr>
            <w:top w:val="none" w:sz="0" w:space="0" w:color="auto"/>
            <w:left w:val="none" w:sz="0" w:space="0" w:color="auto"/>
            <w:bottom w:val="none" w:sz="0" w:space="0" w:color="auto"/>
            <w:right w:val="none" w:sz="0" w:space="0" w:color="auto"/>
          </w:divBdr>
          <w:divsChild>
            <w:div w:id="379715712">
              <w:marLeft w:val="0"/>
              <w:marRight w:val="0"/>
              <w:marTop w:val="0"/>
              <w:marBottom w:val="0"/>
              <w:divBdr>
                <w:top w:val="none" w:sz="0" w:space="0" w:color="auto"/>
                <w:left w:val="none" w:sz="0" w:space="0" w:color="auto"/>
                <w:bottom w:val="none" w:sz="0" w:space="0" w:color="auto"/>
                <w:right w:val="none" w:sz="0" w:space="0" w:color="auto"/>
              </w:divBdr>
              <w:divsChild>
                <w:div w:id="17760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1378">
      <w:bodyDiv w:val="1"/>
      <w:marLeft w:val="0"/>
      <w:marRight w:val="0"/>
      <w:marTop w:val="0"/>
      <w:marBottom w:val="0"/>
      <w:divBdr>
        <w:top w:val="none" w:sz="0" w:space="0" w:color="auto"/>
        <w:left w:val="none" w:sz="0" w:space="0" w:color="auto"/>
        <w:bottom w:val="none" w:sz="0" w:space="0" w:color="auto"/>
        <w:right w:val="none" w:sz="0" w:space="0" w:color="auto"/>
      </w:divBdr>
    </w:div>
    <w:div w:id="1470433930">
      <w:bodyDiv w:val="1"/>
      <w:marLeft w:val="0"/>
      <w:marRight w:val="0"/>
      <w:marTop w:val="0"/>
      <w:marBottom w:val="0"/>
      <w:divBdr>
        <w:top w:val="none" w:sz="0" w:space="0" w:color="auto"/>
        <w:left w:val="none" w:sz="0" w:space="0" w:color="auto"/>
        <w:bottom w:val="none" w:sz="0" w:space="0" w:color="auto"/>
        <w:right w:val="none" w:sz="0" w:space="0" w:color="auto"/>
      </w:divBdr>
      <w:divsChild>
        <w:div w:id="1087577996">
          <w:marLeft w:val="0"/>
          <w:marRight w:val="0"/>
          <w:marTop w:val="0"/>
          <w:marBottom w:val="0"/>
          <w:divBdr>
            <w:top w:val="none" w:sz="0" w:space="0" w:color="auto"/>
            <w:left w:val="none" w:sz="0" w:space="0" w:color="auto"/>
            <w:bottom w:val="none" w:sz="0" w:space="0" w:color="auto"/>
            <w:right w:val="none" w:sz="0" w:space="0" w:color="auto"/>
          </w:divBdr>
          <w:divsChild>
            <w:div w:id="869532320">
              <w:marLeft w:val="0"/>
              <w:marRight w:val="0"/>
              <w:marTop w:val="0"/>
              <w:marBottom w:val="0"/>
              <w:divBdr>
                <w:top w:val="none" w:sz="0" w:space="0" w:color="auto"/>
                <w:left w:val="none" w:sz="0" w:space="0" w:color="auto"/>
                <w:bottom w:val="none" w:sz="0" w:space="0" w:color="auto"/>
                <w:right w:val="none" w:sz="0" w:space="0" w:color="auto"/>
              </w:divBdr>
              <w:divsChild>
                <w:div w:id="2134858630">
                  <w:marLeft w:val="0"/>
                  <w:marRight w:val="0"/>
                  <w:marTop w:val="0"/>
                  <w:marBottom w:val="0"/>
                  <w:divBdr>
                    <w:top w:val="none" w:sz="0" w:space="0" w:color="auto"/>
                    <w:left w:val="none" w:sz="0" w:space="0" w:color="auto"/>
                    <w:bottom w:val="none" w:sz="0" w:space="0" w:color="auto"/>
                    <w:right w:val="none" w:sz="0" w:space="0" w:color="auto"/>
                  </w:divBdr>
                  <w:divsChild>
                    <w:div w:id="19064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7521">
      <w:bodyDiv w:val="1"/>
      <w:marLeft w:val="0"/>
      <w:marRight w:val="0"/>
      <w:marTop w:val="0"/>
      <w:marBottom w:val="0"/>
      <w:divBdr>
        <w:top w:val="none" w:sz="0" w:space="0" w:color="auto"/>
        <w:left w:val="none" w:sz="0" w:space="0" w:color="auto"/>
        <w:bottom w:val="none" w:sz="0" w:space="0" w:color="auto"/>
        <w:right w:val="none" w:sz="0" w:space="0" w:color="auto"/>
      </w:divBdr>
    </w:div>
    <w:div w:id="1603105132">
      <w:bodyDiv w:val="1"/>
      <w:marLeft w:val="0"/>
      <w:marRight w:val="0"/>
      <w:marTop w:val="0"/>
      <w:marBottom w:val="0"/>
      <w:divBdr>
        <w:top w:val="none" w:sz="0" w:space="0" w:color="auto"/>
        <w:left w:val="none" w:sz="0" w:space="0" w:color="auto"/>
        <w:bottom w:val="none" w:sz="0" w:space="0" w:color="auto"/>
        <w:right w:val="none" w:sz="0" w:space="0" w:color="auto"/>
      </w:divBdr>
      <w:divsChild>
        <w:div w:id="1394696925">
          <w:marLeft w:val="0"/>
          <w:marRight w:val="0"/>
          <w:marTop w:val="0"/>
          <w:marBottom w:val="0"/>
          <w:divBdr>
            <w:top w:val="none" w:sz="0" w:space="0" w:color="auto"/>
            <w:left w:val="none" w:sz="0" w:space="0" w:color="auto"/>
            <w:bottom w:val="none" w:sz="0" w:space="0" w:color="auto"/>
            <w:right w:val="none" w:sz="0" w:space="0" w:color="auto"/>
          </w:divBdr>
          <w:divsChild>
            <w:div w:id="420293497">
              <w:marLeft w:val="0"/>
              <w:marRight w:val="0"/>
              <w:marTop w:val="0"/>
              <w:marBottom w:val="0"/>
              <w:divBdr>
                <w:top w:val="none" w:sz="0" w:space="0" w:color="auto"/>
                <w:left w:val="none" w:sz="0" w:space="0" w:color="auto"/>
                <w:bottom w:val="none" w:sz="0" w:space="0" w:color="auto"/>
                <w:right w:val="none" w:sz="0" w:space="0" w:color="auto"/>
              </w:divBdr>
              <w:divsChild>
                <w:div w:id="360788833">
                  <w:marLeft w:val="0"/>
                  <w:marRight w:val="0"/>
                  <w:marTop w:val="0"/>
                  <w:marBottom w:val="0"/>
                  <w:divBdr>
                    <w:top w:val="none" w:sz="0" w:space="0" w:color="auto"/>
                    <w:left w:val="none" w:sz="0" w:space="0" w:color="auto"/>
                    <w:bottom w:val="none" w:sz="0" w:space="0" w:color="auto"/>
                    <w:right w:val="none" w:sz="0" w:space="0" w:color="auto"/>
                  </w:divBdr>
                  <w:divsChild>
                    <w:div w:id="144449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564726">
      <w:bodyDiv w:val="1"/>
      <w:marLeft w:val="0"/>
      <w:marRight w:val="0"/>
      <w:marTop w:val="0"/>
      <w:marBottom w:val="0"/>
      <w:divBdr>
        <w:top w:val="none" w:sz="0" w:space="0" w:color="auto"/>
        <w:left w:val="none" w:sz="0" w:space="0" w:color="auto"/>
        <w:bottom w:val="none" w:sz="0" w:space="0" w:color="auto"/>
        <w:right w:val="none" w:sz="0" w:space="0" w:color="auto"/>
      </w:divBdr>
      <w:divsChild>
        <w:div w:id="1761830208">
          <w:marLeft w:val="0"/>
          <w:marRight w:val="0"/>
          <w:marTop w:val="0"/>
          <w:marBottom w:val="0"/>
          <w:divBdr>
            <w:top w:val="none" w:sz="0" w:space="0" w:color="auto"/>
            <w:left w:val="none" w:sz="0" w:space="0" w:color="auto"/>
            <w:bottom w:val="none" w:sz="0" w:space="0" w:color="auto"/>
            <w:right w:val="none" w:sz="0" w:space="0" w:color="auto"/>
          </w:divBdr>
          <w:divsChild>
            <w:div w:id="111749279">
              <w:marLeft w:val="0"/>
              <w:marRight w:val="0"/>
              <w:marTop w:val="0"/>
              <w:marBottom w:val="0"/>
              <w:divBdr>
                <w:top w:val="none" w:sz="0" w:space="0" w:color="auto"/>
                <w:left w:val="none" w:sz="0" w:space="0" w:color="auto"/>
                <w:bottom w:val="none" w:sz="0" w:space="0" w:color="auto"/>
                <w:right w:val="none" w:sz="0" w:space="0" w:color="auto"/>
              </w:divBdr>
              <w:divsChild>
                <w:div w:id="567963606">
                  <w:marLeft w:val="0"/>
                  <w:marRight w:val="0"/>
                  <w:marTop w:val="0"/>
                  <w:marBottom w:val="0"/>
                  <w:divBdr>
                    <w:top w:val="none" w:sz="0" w:space="0" w:color="auto"/>
                    <w:left w:val="none" w:sz="0" w:space="0" w:color="auto"/>
                    <w:bottom w:val="none" w:sz="0" w:space="0" w:color="auto"/>
                    <w:right w:val="none" w:sz="0" w:space="0" w:color="auto"/>
                  </w:divBdr>
                  <w:divsChild>
                    <w:div w:id="3365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776572">
      <w:bodyDiv w:val="1"/>
      <w:marLeft w:val="0"/>
      <w:marRight w:val="0"/>
      <w:marTop w:val="0"/>
      <w:marBottom w:val="0"/>
      <w:divBdr>
        <w:top w:val="none" w:sz="0" w:space="0" w:color="auto"/>
        <w:left w:val="none" w:sz="0" w:space="0" w:color="auto"/>
        <w:bottom w:val="none" w:sz="0" w:space="0" w:color="auto"/>
        <w:right w:val="none" w:sz="0" w:space="0" w:color="auto"/>
      </w:divBdr>
    </w:div>
    <w:div w:id="1660766125">
      <w:bodyDiv w:val="1"/>
      <w:marLeft w:val="0"/>
      <w:marRight w:val="0"/>
      <w:marTop w:val="0"/>
      <w:marBottom w:val="0"/>
      <w:divBdr>
        <w:top w:val="none" w:sz="0" w:space="0" w:color="auto"/>
        <w:left w:val="none" w:sz="0" w:space="0" w:color="auto"/>
        <w:bottom w:val="none" w:sz="0" w:space="0" w:color="auto"/>
        <w:right w:val="none" w:sz="0" w:space="0" w:color="auto"/>
      </w:divBdr>
      <w:divsChild>
        <w:div w:id="2088261193">
          <w:marLeft w:val="0"/>
          <w:marRight w:val="0"/>
          <w:marTop w:val="0"/>
          <w:marBottom w:val="0"/>
          <w:divBdr>
            <w:top w:val="none" w:sz="0" w:space="0" w:color="auto"/>
            <w:left w:val="none" w:sz="0" w:space="0" w:color="auto"/>
            <w:bottom w:val="none" w:sz="0" w:space="0" w:color="auto"/>
            <w:right w:val="none" w:sz="0" w:space="0" w:color="auto"/>
          </w:divBdr>
          <w:divsChild>
            <w:div w:id="721448090">
              <w:marLeft w:val="0"/>
              <w:marRight w:val="0"/>
              <w:marTop w:val="0"/>
              <w:marBottom w:val="0"/>
              <w:divBdr>
                <w:top w:val="none" w:sz="0" w:space="0" w:color="auto"/>
                <w:left w:val="none" w:sz="0" w:space="0" w:color="auto"/>
                <w:bottom w:val="none" w:sz="0" w:space="0" w:color="auto"/>
                <w:right w:val="none" w:sz="0" w:space="0" w:color="auto"/>
              </w:divBdr>
              <w:divsChild>
                <w:div w:id="114859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86131">
      <w:bodyDiv w:val="1"/>
      <w:marLeft w:val="0"/>
      <w:marRight w:val="0"/>
      <w:marTop w:val="0"/>
      <w:marBottom w:val="0"/>
      <w:divBdr>
        <w:top w:val="none" w:sz="0" w:space="0" w:color="auto"/>
        <w:left w:val="none" w:sz="0" w:space="0" w:color="auto"/>
        <w:bottom w:val="none" w:sz="0" w:space="0" w:color="auto"/>
        <w:right w:val="none" w:sz="0" w:space="0" w:color="auto"/>
      </w:divBdr>
      <w:divsChild>
        <w:div w:id="983579885">
          <w:marLeft w:val="0"/>
          <w:marRight w:val="0"/>
          <w:marTop w:val="0"/>
          <w:marBottom w:val="0"/>
          <w:divBdr>
            <w:top w:val="none" w:sz="0" w:space="0" w:color="auto"/>
            <w:left w:val="none" w:sz="0" w:space="0" w:color="auto"/>
            <w:bottom w:val="none" w:sz="0" w:space="0" w:color="auto"/>
            <w:right w:val="none" w:sz="0" w:space="0" w:color="auto"/>
          </w:divBdr>
          <w:divsChild>
            <w:div w:id="472336444">
              <w:marLeft w:val="0"/>
              <w:marRight w:val="0"/>
              <w:marTop w:val="0"/>
              <w:marBottom w:val="0"/>
              <w:divBdr>
                <w:top w:val="none" w:sz="0" w:space="0" w:color="auto"/>
                <w:left w:val="none" w:sz="0" w:space="0" w:color="auto"/>
                <w:bottom w:val="none" w:sz="0" w:space="0" w:color="auto"/>
                <w:right w:val="none" w:sz="0" w:space="0" w:color="auto"/>
              </w:divBdr>
              <w:divsChild>
                <w:div w:id="958416158">
                  <w:marLeft w:val="0"/>
                  <w:marRight w:val="0"/>
                  <w:marTop w:val="0"/>
                  <w:marBottom w:val="0"/>
                  <w:divBdr>
                    <w:top w:val="none" w:sz="0" w:space="0" w:color="auto"/>
                    <w:left w:val="none" w:sz="0" w:space="0" w:color="auto"/>
                    <w:bottom w:val="none" w:sz="0" w:space="0" w:color="auto"/>
                    <w:right w:val="none" w:sz="0" w:space="0" w:color="auto"/>
                  </w:divBdr>
                  <w:divsChild>
                    <w:div w:id="14009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95727">
      <w:bodyDiv w:val="1"/>
      <w:marLeft w:val="0"/>
      <w:marRight w:val="0"/>
      <w:marTop w:val="0"/>
      <w:marBottom w:val="0"/>
      <w:divBdr>
        <w:top w:val="none" w:sz="0" w:space="0" w:color="auto"/>
        <w:left w:val="none" w:sz="0" w:space="0" w:color="auto"/>
        <w:bottom w:val="none" w:sz="0" w:space="0" w:color="auto"/>
        <w:right w:val="none" w:sz="0" w:space="0" w:color="auto"/>
      </w:divBdr>
      <w:divsChild>
        <w:div w:id="1866015055">
          <w:marLeft w:val="0"/>
          <w:marRight w:val="0"/>
          <w:marTop w:val="0"/>
          <w:marBottom w:val="0"/>
          <w:divBdr>
            <w:top w:val="none" w:sz="0" w:space="0" w:color="auto"/>
            <w:left w:val="none" w:sz="0" w:space="0" w:color="auto"/>
            <w:bottom w:val="none" w:sz="0" w:space="0" w:color="auto"/>
            <w:right w:val="none" w:sz="0" w:space="0" w:color="auto"/>
          </w:divBdr>
          <w:divsChild>
            <w:div w:id="2054498873">
              <w:marLeft w:val="0"/>
              <w:marRight w:val="0"/>
              <w:marTop w:val="0"/>
              <w:marBottom w:val="0"/>
              <w:divBdr>
                <w:top w:val="none" w:sz="0" w:space="0" w:color="auto"/>
                <w:left w:val="none" w:sz="0" w:space="0" w:color="auto"/>
                <w:bottom w:val="none" w:sz="0" w:space="0" w:color="auto"/>
                <w:right w:val="none" w:sz="0" w:space="0" w:color="auto"/>
              </w:divBdr>
              <w:divsChild>
                <w:div w:id="10413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7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6430">
          <w:marLeft w:val="0"/>
          <w:marRight w:val="0"/>
          <w:marTop w:val="0"/>
          <w:marBottom w:val="0"/>
          <w:divBdr>
            <w:top w:val="none" w:sz="0" w:space="0" w:color="auto"/>
            <w:left w:val="none" w:sz="0" w:space="0" w:color="auto"/>
            <w:bottom w:val="none" w:sz="0" w:space="0" w:color="auto"/>
            <w:right w:val="none" w:sz="0" w:space="0" w:color="auto"/>
          </w:divBdr>
          <w:divsChild>
            <w:div w:id="1407073470">
              <w:marLeft w:val="0"/>
              <w:marRight w:val="0"/>
              <w:marTop w:val="0"/>
              <w:marBottom w:val="0"/>
              <w:divBdr>
                <w:top w:val="none" w:sz="0" w:space="0" w:color="auto"/>
                <w:left w:val="none" w:sz="0" w:space="0" w:color="auto"/>
                <w:bottom w:val="none" w:sz="0" w:space="0" w:color="auto"/>
                <w:right w:val="none" w:sz="0" w:space="0" w:color="auto"/>
              </w:divBdr>
              <w:divsChild>
                <w:div w:id="14740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59558">
      <w:bodyDiv w:val="1"/>
      <w:marLeft w:val="0"/>
      <w:marRight w:val="0"/>
      <w:marTop w:val="0"/>
      <w:marBottom w:val="0"/>
      <w:divBdr>
        <w:top w:val="none" w:sz="0" w:space="0" w:color="auto"/>
        <w:left w:val="none" w:sz="0" w:space="0" w:color="auto"/>
        <w:bottom w:val="none" w:sz="0" w:space="0" w:color="auto"/>
        <w:right w:val="none" w:sz="0" w:space="0" w:color="auto"/>
      </w:divBdr>
      <w:divsChild>
        <w:div w:id="495538715">
          <w:marLeft w:val="0"/>
          <w:marRight w:val="0"/>
          <w:marTop w:val="0"/>
          <w:marBottom w:val="0"/>
          <w:divBdr>
            <w:top w:val="none" w:sz="0" w:space="0" w:color="auto"/>
            <w:left w:val="none" w:sz="0" w:space="0" w:color="auto"/>
            <w:bottom w:val="none" w:sz="0" w:space="0" w:color="auto"/>
            <w:right w:val="none" w:sz="0" w:space="0" w:color="auto"/>
          </w:divBdr>
          <w:divsChild>
            <w:div w:id="1912352912">
              <w:marLeft w:val="0"/>
              <w:marRight w:val="0"/>
              <w:marTop w:val="0"/>
              <w:marBottom w:val="0"/>
              <w:divBdr>
                <w:top w:val="none" w:sz="0" w:space="0" w:color="auto"/>
                <w:left w:val="none" w:sz="0" w:space="0" w:color="auto"/>
                <w:bottom w:val="none" w:sz="0" w:space="0" w:color="auto"/>
                <w:right w:val="none" w:sz="0" w:space="0" w:color="auto"/>
              </w:divBdr>
              <w:divsChild>
                <w:div w:id="13068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3651">
      <w:bodyDiv w:val="1"/>
      <w:marLeft w:val="0"/>
      <w:marRight w:val="0"/>
      <w:marTop w:val="0"/>
      <w:marBottom w:val="0"/>
      <w:divBdr>
        <w:top w:val="none" w:sz="0" w:space="0" w:color="auto"/>
        <w:left w:val="none" w:sz="0" w:space="0" w:color="auto"/>
        <w:bottom w:val="none" w:sz="0" w:space="0" w:color="auto"/>
        <w:right w:val="none" w:sz="0" w:space="0" w:color="auto"/>
      </w:divBdr>
      <w:divsChild>
        <w:div w:id="228464221">
          <w:marLeft w:val="0"/>
          <w:marRight w:val="0"/>
          <w:marTop w:val="0"/>
          <w:marBottom w:val="0"/>
          <w:divBdr>
            <w:top w:val="none" w:sz="0" w:space="0" w:color="auto"/>
            <w:left w:val="none" w:sz="0" w:space="0" w:color="auto"/>
            <w:bottom w:val="none" w:sz="0" w:space="0" w:color="auto"/>
            <w:right w:val="none" w:sz="0" w:space="0" w:color="auto"/>
          </w:divBdr>
          <w:divsChild>
            <w:div w:id="1168643087">
              <w:marLeft w:val="0"/>
              <w:marRight w:val="0"/>
              <w:marTop w:val="0"/>
              <w:marBottom w:val="0"/>
              <w:divBdr>
                <w:top w:val="none" w:sz="0" w:space="0" w:color="auto"/>
                <w:left w:val="none" w:sz="0" w:space="0" w:color="auto"/>
                <w:bottom w:val="none" w:sz="0" w:space="0" w:color="auto"/>
                <w:right w:val="none" w:sz="0" w:space="0" w:color="auto"/>
              </w:divBdr>
              <w:divsChild>
                <w:div w:id="816721144">
                  <w:marLeft w:val="0"/>
                  <w:marRight w:val="0"/>
                  <w:marTop w:val="0"/>
                  <w:marBottom w:val="0"/>
                  <w:divBdr>
                    <w:top w:val="none" w:sz="0" w:space="0" w:color="auto"/>
                    <w:left w:val="none" w:sz="0" w:space="0" w:color="auto"/>
                    <w:bottom w:val="none" w:sz="0" w:space="0" w:color="auto"/>
                    <w:right w:val="none" w:sz="0" w:space="0" w:color="auto"/>
                  </w:divBdr>
                  <w:divsChild>
                    <w:div w:id="3031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9682240">
      <w:bodyDiv w:val="1"/>
      <w:marLeft w:val="0"/>
      <w:marRight w:val="0"/>
      <w:marTop w:val="0"/>
      <w:marBottom w:val="0"/>
      <w:divBdr>
        <w:top w:val="none" w:sz="0" w:space="0" w:color="auto"/>
        <w:left w:val="none" w:sz="0" w:space="0" w:color="auto"/>
        <w:bottom w:val="none" w:sz="0" w:space="0" w:color="auto"/>
        <w:right w:val="none" w:sz="0" w:space="0" w:color="auto"/>
      </w:divBdr>
      <w:divsChild>
        <w:div w:id="562713429">
          <w:marLeft w:val="0"/>
          <w:marRight w:val="0"/>
          <w:marTop w:val="0"/>
          <w:marBottom w:val="0"/>
          <w:divBdr>
            <w:top w:val="none" w:sz="0" w:space="0" w:color="auto"/>
            <w:left w:val="none" w:sz="0" w:space="0" w:color="auto"/>
            <w:bottom w:val="none" w:sz="0" w:space="0" w:color="auto"/>
            <w:right w:val="none" w:sz="0" w:space="0" w:color="auto"/>
          </w:divBdr>
          <w:divsChild>
            <w:div w:id="142478518">
              <w:marLeft w:val="0"/>
              <w:marRight w:val="0"/>
              <w:marTop w:val="0"/>
              <w:marBottom w:val="0"/>
              <w:divBdr>
                <w:top w:val="none" w:sz="0" w:space="0" w:color="auto"/>
                <w:left w:val="none" w:sz="0" w:space="0" w:color="auto"/>
                <w:bottom w:val="none" w:sz="0" w:space="0" w:color="auto"/>
                <w:right w:val="none" w:sz="0" w:space="0" w:color="auto"/>
              </w:divBdr>
              <w:divsChild>
                <w:div w:id="34209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28369">
      <w:bodyDiv w:val="1"/>
      <w:marLeft w:val="0"/>
      <w:marRight w:val="0"/>
      <w:marTop w:val="0"/>
      <w:marBottom w:val="0"/>
      <w:divBdr>
        <w:top w:val="none" w:sz="0" w:space="0" w:color="auto"/>
        <w:left w:val="none" w:sz="0" w:space="0" w:color="auto"/>
        <w:bottom w:val="none" w:sz="0" w:space="0" w:color="auto"/>
        <w:right w:val="none" w:sz="0" w:space="0" w:color="auto"/>
      </w:divBdr>
      <w:divsChild>
        <w:div w:id="591164020">
          <w:marLeft w:val="0"/>
          <w:marRight w:val="0"/>
          <w:marTop w:val="0"/>
          <w:marBottom w:val="0"/>
          <w:divBdr>
            <w:top w:val="none" w:sz="0" w:space="0" w:color="auto"/>
            <w:left w:val="none" w:sz="0" w:space="0" w:color="auto"/>
            <w:bottom w:val="none" w:sz="0" w:space="0" w:color="auto"/>
            <w:right w:val="none" w:sz="0" w:space="0" w:color="auto"/>
          </w:divBdr>
          <w:divsChild>
            <w:div w:id="1544756203">
              <w:marLeft w:val="0"/>
              <w:marRight w:val="0"/>
              <w:marTop w:val="0"/>
              <w:marBottom w:val="0"/>
              <w:divBdr>
                <w:top w:val="none" w:sz="0" w:space="0" w:color="auto"/>
                <w:left w:val="none" w:sz="0" w:space="0" w:color="auto"/>
                <w:bottom w:val="none" w:sz="0" w:space="0" w:color="auto"/>
                <w:right w:val="none" w:sz="0" w:space="0" w:color="auto"/>
              </w:divBdr>
              <w:divsChild>
                <w:div w:id="20651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332FA-2EB9-485A-878C-0E987F3B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11196</Words>
  <Characters>60687</Characters>
  <Application>Microsoft Office Word</Application>
  <DocSecurity>0</DocSecurity>
  <Lines>505</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2020-10-27T04:15:00Z</dcterms:created>
  <dcterms:modified xsi:type="dcterms:W3CDTF">2020-10-27T04:19:00Z</dcterms:modified>
</cp:coreProperties>
</file>