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90" w:rsidRPr="00DE02FA" w:rsidRDefault="00664EB9" w:rsidP="00870890">
      <w:pPr>
        <w:pStyle w:val="1MainTitle"/>
        <w:spacing w:after="120"/>
        <w:jc w:val="left"/>
        <w:rPr>
          <w:rFonts w:eastAsia="Calibri"/>
          <w:lang w:eastAsia="en-US"/>
        </w:rPr>
      </w:pPr>
      <w:r w:rsidRPr="00DE02FA">
        <w:rPr>
          <w:rFonts w:eastAsia="Calibri"/>
          <w:lang w:eastAsia="en-US"/>
        </w:rPr>
        <w:t>5.16</w:t>
      </w:r>
      <w:r w:rsidRPr="00DE02FA">
        <w:rPr>
          <w:rFonts w:eastAsia="Calibri"/>
          <w:lang w:eastAsia="en-US"/>
        </w:rPr>
        <w:tab/>
        <w:t>CATIONIC OP</w:t>
      </w:r>
      <w:r w:rsidR="005071BC" w:rsidRPr="00DE02FA">
        <w:rPr>
          <w:rFonts w:eastAsia="Calibri"/>
          <w:lang w:eastAsia="en-US"/>
        </w:rPr>
        <w:t>H</w:t>
      </w:r>
      <w:r w:rsidRPr="00DE02FA">
        <w:rPr>
          <w:rFonts w:eastAsia="Calibri"/>
          <w:lang w:eastAsia="en-US"/>
        </w:rPr>
        <w:t xml:space="preserve">THALMIC EMULSION, PRESERVATIVE FREE, </w:t>
      </w:r>
      <w:r w:rsidRPr="00DE02FA">
        <w:rPr>
          <w:rFonts w:eastAsia="Calibri"/>
          <w:lang w:eastAsia="en-US"/>
        </w:rPr>
        <w:br/>
        <w:t>Eye drops c</w:t>
      </w:r>
      <w:r w:rsidR="008F1A99" w:rsidRPr="00DE02FA">
        <w:rPr>
          <w:rFonts w:eastAsia="Calibri"/>
          <w:lang w:eastAsia="en-US"/>
        </w:rPr>
        <w:t xml:space="preserve">ontaining </w:t>
      </w:r>
      <w:r w:rsidR="006319A0" w:rsidRPr="00DE02FA">
        <w:rPr>
          <w:rFonts w:eastAsia="Calibri"/>
          <w:lang w:eastAsia="en-US"/>
        </w:rPr>
        <w:t>heavy</w:t>
      </w:r>
      <w:r w:rsidR="008F1A99" w:rsidRPr="00DE02FA">
        <w:rPr>
          <w:rFonts w:eastAsia="Calibri"/>
          <w:lang w:eastAsia="en-US"/>
        </w:rPr>
        <w:t xml:space="preserve"> mineral oil </w:t>
      </w:r>
      <w:r w:rsidR="0067795A" w:rsidRPr="00DE02FA">
        <w:rPr>
          <w:rFonts w:eastAsia="Calibri"/>
          <w:lang w:eastAsia="en-US"/>
        </w:rPr>
        <w:t xml:space="preserve">0.5% </w:t>
      </w:r>
      <w:r w:rsidR="002E5C53" w:rsidRPr="00DE02FA">
        <w:rPr>
          <w:rFonts w:eastAsia="Calibri"/>
          <w:lang w:eastAsia="en-US"/>
        </w:rPr>
        <w:t xml:space="preserve">and </w:t>
      </w:r>
      <w:r w:rsidR="006319A0" w:rsidRPr="00DE02FA">
        <w:rPr>
          <w:rFonts w:eastAsia="Calibri"/>
          <w:lang w:eastAsia="en-US"/>
        </w:rPr>
        <w:t xml:space="preserve">light </w:t>
      </w:r>
      <w:r w:rsidR="002E5C53" w:rsidRPr="00DE02FA">
        <w:rPr>
          <w:rFonts w:eastAsia="Calibri"/>
          <w:lang w:eastAsia="en-US"/>
        </w:rPr>
        <w:t>mineral oil 0.5%</w:t>
      </w:r>
      <w:r w:rsidRPr="00DE02FA">
        <w:rPr>
          <w:rFonts w:eastAsia="Calibri"/>
          <w:lang w:eastAsia="en-US"/>
        </w:rPr>
        <w:t>, 10 mL,</w:t>
      </w:r>
      <w:r w:rsidRPr="00DE02FA">
        <w:rPr>
          <w:rFonts w:eastAsia="Calibri"/>
          <w:lang w:eastAsia="en-US"/>
        </w:rPr>
        <w:br/>
        <w:t>Cationorm®,</w:t>
      </w:r>
      <w:r w:rsidRPr="00DE02FA">
        <w:rPr>
          <w:rFonts w:eastAsia="Calibri"/>
          <w:lang w:eastAsia="en-US"/>
        </w:rPr>
        <w:br/>
        <w:t>Seqirus (Australia) Pty Ltd</w:t>
      </w:r>
    </w:p>
    <w:p w:rsidR="008A50F1" w:rsidRPr="00DE02FA" w:rsidRDefault="00CE10C4" w:rsidP="008F0213">
      <w:pPr>
        <w:pStyle w:val="2-SectionHeading"/>
      </w:pPr>
      <w:r w:rsidRPr="00DE02FA">
        <w:t xml:space="preserve">Purpose of </w:t>
      </w:r>
      <w:r w:rsidR="0004240E" w:rsidRPr="00DE02FA">
        <w:t>Application</w:t>
      </w:r>
      <w:r w:rsidR="00034905" w:rsidRPr="00DE02FA">
        <w:t xml:space="preserve"> </w:t>
      </w:r>
    </w:p>
    <w:p w:rsidR="00106D26" w:rsidRPr="00870890" w:rsidRDefault="00106D26" w:rsidP="00870890">
      <w:pPr>
        <w:pStyle w:val="3Bodytext"/>
      </w:pPr>
      <w:r w:rsidRPr="00870890">
        <w:t>The minor submission requested a General Schedule, Authority Required (STREAMLINED) listing of cationic op</w:t>
      </w:r>
      <w:r w:rsidR="00305BC2" w:rsidRPr="00870890">
        <w:t>h</w:t>
      </w:r>
      <w:r w:rsidRPr="00870890">
        <w:t xml:space="preserve">thalmic emulsion, preservative free (Cationorm®, hereafter referred to as </w:t>
      </w:r>
      <w:r w:rsidR="00540417" w:rsidRPr="00870890">
        <w:t>C</w:t>
      </w:r>
      <w:r w:rsidRPr="00870890">
        <w:t xml:space="preserve">ationorm) for the treatment of severe dry eye syndrome in patients who are sensitive to preservatives in multi-dose eye drops. </w:t>
      </w:r>
    </w:p>
    <w:p w:rsidR="00106D26" w:rsidRPr="00DE02FA" w:rsidRDefault="00FC7832" w:rsidP="00870890">
      <w:pPr>
        <w:pStyle w:val="3Bodytext"/>
      </w:pPr>
      <w:r w:rsidRPr="00DE02FA">
        <w:t xml:space="preserve">The requested listing was </w:t>
      </w:r>
      <w:r w:rsidR="00C53887" w:rsidRPr="00DE02FA">
        <w:t xml:space="preserve">based </w:t>
      </w:r>
      <w:r w:rsidRPr="00DE02FA">
        <w:t xml:space="preserve">on </w:t>
      </w:r>
      <w:r w:rsidR="00106D26" w:rsidRPr="00DE02FA">
        <w:t xml:space="preserve">a cost-minimisation </w:t>
      </w:r>
      <w:r w:rsidRPr="00DE02FA">
        <w:t xml:space="preserve">approach </w:t>
      </w:r>
      <w:r w:rsidR="00106D26" w:rsidRPr="00DE02FA">
        <w:t xml:space="preserve">compared </w:t>
      </w:r>
      <w:r w:rsidRPr="00DE02FA">
        <w:t xml:space="preserve">with </w:t>
      </w:r>
      <w:r w:rsidR="00BD7703" w:rsidRPr="00DE02FA">
        <w:t xml:space="preserve">the lowest cost PBS-listed </w:t>
      </w:r>
      <w:r w:rsidR="00E6300B" w:rsidRPr="00DE02FA">
        <w:t xml:space="preserve">preservative-free, </w:t>
      </w:r>
      <w:r w:rsidR="00BD7703" w:rsidRPr="00DE02FA">
        <w:t>multi-dose eye drop</w:t>
      </w:r>
      <w:r w:rsidR="00462135" w:rsidRPr="00DE02FA">
        <w:t>s</w:t>
      </w:r>
      <w:r w:rsidR="00013D40" w:rsidRPr="00DE02FA">
        <w:t xml:space="preserve">. </w:t>
      </w:r>
    </w:p>
    <w:p w:rsidR="00A01432" w:rsidRPr="00DE02FA" w:rsidRDefault="00A01432" w:rsidP="006F0A71">
      <w:pPr>
        <w:pStyle w:val="2-SectionHeading"/>
      </w:pPr>
      <w:r w:rsidRPr="00DE02FA">
        <w:t xml:space="preserve">Background </w:t>
      </w:r>
    </w:p>
    <w:p w:rsidR="00A01432" w:rsidRPr="00DE02FA" w:rsidRDefault="00A01432" w:rsidP="00B16273">
      <w:pPr>
        <w:pStyle w:val="4-SubsectionHeading"/>
      </w:pPr>
      <w:r w:rsidRPr="00DE02FA">
        <w:t>Registration status</w:t>
      </w:r>
    </w:p>
    <w:p w:rsidR="00A01432" w:rsidRPr="00DE02FA" w:rsidRDefault="00106D26" w:rsidP="00870890">
      <w:pPr>
        <w:pStyle w:val="3Bodytext"/>
      </w:pPr>
      <w:r w:rsidRPr="00DE02FA">
        <w:t>Cationorm was TGA registered in July 2019 as a Medical Device Class IIb, hydrating and lubricating emulsion</w:t>
      </w:r>
      <w:r w:rsidR="00FF1325" w:rsidRPr="00DE02FA">
        <w:t>,</w:t>
      </w:r>
      <w:r w:rsidRPr="00DE02FA">
        <w:t xml:space="preserve"> which protects the ocular surface and relieves the discomfort and irritation due to dry eye caused by prolonged use of contact lenses or environmental condition. </w:t>
      </w:r>
    </w:p>
    <w:p w:rsidR="00A01432" w:rsidRPr="00DE02FA" w:rsidRDefault="00A01432" w:rsidP="00B16273">
      <w:pPr>
        <w:pStyle w:val="4-SubsectionHeading"/>
      </w:pPr>
      <w:r w:rsidRPr="00DE02FA">
        <w:t xml:space="preserve">Previous PBAC consideration </w:t>
      </w:r>
    </w:p>
    <w:p w:rsidR="001D2689" w:rsidRPr="00DE02FA" w:rsidRDefault="00B67767" w:rsidP="00870890">
      <w:pPr>
        <w:pStyle w:val="3Bodytext"/>
      </w:pPr>
      <w:r w:rsidRPr="00DE02FA">
        <w:t>Cationorm</w:t>
      </w:r>
      <w:r w:rsidRPr="00DE02FA">
        <w:rPr>
          <w:lang w:eastAsia="en-US"/>
        </w:rPr>
        <w:t xml:space="preserve"> </w:t>
      </w:r>
      <w:r w:rsidR="00A01432" w:rsidRPr="00DE02FA">
        <w:rPr>
          <w:lang w:eastAsia="en-US"/>
        </w:rPr>
        <w:t xml:space="preserve">has not been </w:t>
      </w:r>
      <w:r w:rsidR="0089063D" w:rsidRPr="00DE02FA">
        <w:rPr>
          <w:lang w:eastAsia="en-US"/>
        </w:rPr>
        <w:t xml:space="preserve">previously </w:t>
      </w:r>
      <w:r w:rsidR="00A01432" w:rsidRPr="00DE02FA">
        <w:rPr>
          <w:lang w:eastAsia="en-US"/>
        </w:rPr>
        <w:t xml:space="preserve">considered by the PBAC for </w:t>
      </w:r>
      <w:r w:rsidRPr="00DE02FA">
        <w:t>the treatment of severe dry eye syndrome in patients who are sensitive to preserv</w:t>
      </w:r>
      <w:r w:rsidR="00814BFC" w:rsidRPr="00DE02FA">
        <w:t>atives in multi-dose eye drops</w:t>
      </w:r>
      <w:r w:rsidRPr="00DE02FA">
        <w:rPr>
          <w:lang w:eastAsia="en-US"/>
        </w:rPr>
        <w:t>.</w:t>
      </w:r>
      <w:r w:rsidRPr="00DE02FA">
        <w:t xml:space="preserve"> </w:t>
      </w:r>
    </w:p>
    <w:p w:rsidR="00A01432" w:rsidRPr="00DE02FA" w:rsidRDefault="001D2689" w:rsidP="00870890">
      <w:pPr>
        <w:pStyle w:val="3Bodytext"/>
      </w:pPr>
      <w:r w:rsidRPr="00DE02FA">
        <w:rPr>
          <w:lang w:eastAsia="en-US"/>
        </w:rPr>
        <w:t xml:space="preserve">The </w:t>
      </w:r>
      <w:r w:rsidR="0074452E" w:rsidRPr="00DE02FA">
        <w:rPr>
          <w:lang w:eastAsia="en-US"/>
        </w:rPr>
        <w:t>PBAC has</w:t>
      </w:r>
      <w:r w:rsidRPr="00DE02FA">
        <w:rPr>
          <w:lang w:eastAsia="en-US"/>
        </w:rPr>
        <w:t xml:space="preserve"> previously advised that all ocular lubricants should be considered equivalent for pricing purposes, including those that contain a preservative, those that are preservative-free, multi-dose products and single dose unit products (November 2014 Public Summary Document (PSD) on ocular lubricants). </w:t>
      </w:r>
      <w:r w:rsidR="001836EA" w:rsidRPr="00DE02FA">
        <w:rPr>
          <w:lang w:eastAsia="en-US"/>
        </w:rPr>
        <w:t xml:space="preserve">The most recent recommendation of preservative-free, multi-dose eye drops was in July 2019 for </w:t>
      </w:r>
      <w:r w:rsidRPr="00DE02FA">
        <w:rPr>
          <w:lang w:eastAsia="en-US"/>
        </w:rPr>
        <w:t>Evolve® carmellose 0.5%</w:t>
      </w:r>
      <w:r w:rsidR="00D330C0" w:rsidRPr="00DE02FA">
        <w:rPr>
          <w:lang w:eastAsia="en-US"/>
        </w:rPr>
        <w:t xml:space="preserve"> </w:t>
      </w:r>
      <w:r w:rsidR="001836EA" w:rsidRPr="00DE02FA">
        <w:rPr>
          <w:lang w:eastAsia="en-US"/>
        </w:rPr>
        <w:t>(</w:t>
      </w:r>
      <w:r w:rsidR="00521CE6" w:rsidRPr="00DE02FA">
        <w:t xml:space="preserve">hereafter referred to as </w:t>
      </w:r>
      <w:r w:rsidR="00D330C0" w:rsidRPr="00DE02FA">
        <w:rPr>
          <w:lang w:eastAsia="en-US"/>
        </w:rPr>
        <w:t>Evolve carmellose</w:t>
      </w:r>
      <w:r w:rsidRPr="00DE02FA">
        <w:rPr>
          <w:lang w:eastAsia="en-US"/>
        </w:rPr>
        <w:t>) and Evolve® hypromellose 0.3%</w:t>
      </w:r>
      <w:r w:rsidR="001836EA" w:rsidRPr="00DE02FA">
        <w:rPr>
          <w:lang w:eastAsia="en-US"/>
        </w:rPr>
        <w:t xml:space="preserve"> (</w:t>
      </w:r>
      <w:r w:rsidR="00521CE6" w:rsidRPr="00DE02FA">
        <w:t xml:space="preserve">hereafter referred to as </w:t>
      </w:r>
      <w:r w:rsidR="00D330C0" w:rsidRPr="00DE02FA">
        <w:rPr>
          <w:lang w:eastAsia="en-US"/>
        </w:rPr>
        <w:t>Evolve hypromellose</w:t>
      </w:r>
      <w:r w:rsidRPr="00DE02FA">
        <w:rPr>
          <w:lang w:eastAsia="en-US"/>
        </w:rPr>
        <w:t>)</w:t>
      </w:r>
      <w:r w:rsidR="001836EA" w:rsidRPr="00DE02FA">
        <w:rPr>
          <w:lang w:eastAsia="en-US"/>
        </w:rPr>
        <w:t xml:space="preserve">, where PBAC </w:t>
      </w:r>
      <w:r w:rsidR="00A72D50" w:rsidRPr="00DE02FA">
        <w:rPr>
          <w:lang w:eastAsia="en-US"/>
        </w:rPr>
        <w:t>consid</w:t>
      </w:r>
      <w:r w:rsidR="009D189C" w:rsidRPr="00DE02FA">
        <w:rPr>
          <w:lang w:eastAsia="en-US"/>
        </w:rPr>
        <w:t>e</w:t>
      </w:r>
      <w:r w:rsidR="00A72D50" w:rsidRPr="00DE02FA">
        <w:rPr>
          <w:lang w:eastAsia="en-US"/>
        </w:rPr>
        <w:t xml:space="preserve">red that </w:t>
      </w:r>
      <w:r w:rsidR="00A72D50" w:rsidRPr="00DE02FA">
        <w:t>compared to some eye drops that contain preservatives, Evolve carmellose and Evolve hypromellose are likely to have superior safety</w:t>
      </w:r>
      <w:r w:rsidR="00DC7498" w:rsidRPr="00DE02FA">
        <w:t>. The</w:t>
      </w:r>
      <w:r w:rsidR="00A72D50" w:rsidRPr="00DE02FA">
        <w:t xml:space="preserve"> </w:t>
      </w:r>
      <w:r w:rsidR="00DC7498" w:rsidRPr="00DE02FA">
        <w:t xml:space="preserve">PBAC </w:t>
      </w:r>
      <w:r w:rsidR="001836EA" w:rsidRPr="00DE02FA">
        <w:rPr>
          <w:lang w:eastAsia="en-US"/>
        </w:rPr>
        <w:t xml:space="preserve">recommended the products </w:t>
      </w:r>
      <w:r w:rsidR="009D189C" w:rsidRPr="00DE02FA">
        <w:rPr>
          <w:lang w:eastAsia="en-US"/>
        </w:rPr>
        <w:t xml:space="preserve">on the basis that the price proposed by the sponsor resulted in a lower cost per treatment compared to other currently listed </w:t>
      </w:r>
      <w:r w:rsidR="009D189C" w:rsidRPr="00DE02FA">
        <w:rPr>
          <w:lang w:eastAsia="en-US"/>
        </w:rPr>
        <w:lastRenderedPageBreak/>
        <w:t>preservative-free eye drops (para</w:t>
      </w:r>
      <w:r w:rsidR="00DC7498" w:rsidRPr="00DE02FA">
        <w:rPr>
          <w:lang w:eastAsia="en-US"/>
        </w:rPr>
        <w:t>graph</w:t>
      </w:r>
      <w:r w:rsidR="009D189C" w:rsidRPr="00DE02FA">
        <w:rPr>
          <w:lang w:eastAsia="en-US"/>
        </w:rPr>
        <w:t xml:space="preserve"> 6.1, </w:t>
      </w:r>
      <w:r w:rsidR="00DC7498" w:rsidRPr="00DE02FA">
        <w:t xml:space="preserve">Evolve carmellose and Evolve hypromellose </w:t>
      </w:r>
      <w:r w:rsidR="009D189C" w:rsidRPr="00DE02FA">
        <w:rPr>
          <w:lang w:eastAsia="en-US"/>
        </w:rPr>
        <w:t>PSD</w:t>
      </w:r>
      <w:r w:rsidR="00475F48" w:rsidRPr="00DE02FA">
        <w:rPr>
          <w:lang w:eastAsia="en-US"/>
        </w:rPr>
        <w:t>,</w:t>
      </w:r>
      <w:r w:rsidR="009D189C" w:rsidRPr="00DE02FA">
        <w:rPr>
          <w:lang w:eastAsia="en-US"/>
        </w:rPr>
        <w:t xml:space="preserve"> </w:t>
      </w:r>
      <w:r w:rsidR="00DC7498" w:rsidRPr="00DE02FA">
        <w:rPr>
          <w:lang w:eastAsia="en-US"/>
        </w:rPr>
        <w:t>July 2019</w:t>
      </w:r>
      <w:r w:rsidR="009D189C" w:rsidRPr="00DE02FA">
        <w:rPr>
          <w:lang w:eastAsia="en-US"/>
        </w:rPr>
        <w:t>)</w:t>
      </w:r>
      <w:r w:rsidRPr="00DE02FA">
        <w:rPr>
          <w:lang w:eastAsia="en-US"/>
        </w:rPr>
        <w:t>.</w:t>
      </w:r>
    </w:p>
    <w:p w:rsidR="00B17EE5" w:rsidRPr="00DE02FA" w:rsidRDefault="00B17EE5" w:rsidP="008A2CD2">
      <w:pPr>
        <w:pStyle w:val="Heading1"/>
        <w:keepLines/>
        <w:numPr>
          <w:ilvl w:val="0"/>
          <w:numId w:val="3"/>
        </w:numPr>
        <w:spacing w:before="240"/>
        <w:ind w:left="709" w:hanging="709"/>
      </w:pPr>
      <w:r w:rsidRPr="00DE02FA">
        <w:rPr>
          <w:sz w:val="32"/>
          <w:szCs w:val="32"/>
        </w:rPr>
        <w:t>Requested listing</w:t>
      </w:r>
    </w:p>
    <w:p w:rsidR="00B17EE5" w:rsidRPr="00DE02FA" w:rsidRDefault="00106D26" w:rsidP="00870890">
      <w:pPr>
        <w:pStyle w:val="3Bodytext"/>
      </w:pPr>
      <w:r w:rsidRPr="00DE02FA">
        <w:t>The proposed restrictions are provided below with Secretariat suggested additions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852"/>
        <w:gridCol w:w="622"/>
        <w:gridCol w:w="808"/>
        <w:gridCol w:w="941"/>
        <w:gridCol w:w="1077"/>
        <w:gridCol w:w="1886"/>
      </w:tblGrid>
      <w:tr w:rsidR="002D678A" w:rsidRPr="00DE02FA" w:rsidTr="00870890">
        <w:trPr>
          <w:cantSplit/>
          <w:trHeight w:val="471"/>
        </w:trPr>
        <w:tc>
          <w:tcPr>
            <w:tcW w:w="1569" w:type="pct"/>
          </w:tcPr>
          <w:p w:rsidR="002D678A" w:rsidRPr="00DE02FA" w:rsidRDefault="002D678A" w:rsidP="0035274E">
            <w:pPr>
              <w:keepNext/>
              <w:ind w:left="-108"/>
              <w:rPr>
                <w:rFonts w:ascii="Arial Narrow" w:hAnsi="Arial Narrow" w:cs="Arial"/>
                <w:b/>
                <w:sz w:val="18"/>
                <w:szCs w:val="18"/>
              </w:rPr>
            </w:pPr>
            <w:r w:rsidRPr="00DE02FA">
              <w:rPr>
                <w:rFonts w:ascii="Arial Narrow" w:hAnsi="Arial Narrow" w:cs="Arial"/>
                <w:b/>
                <w:sz w:val="18"/>
                <w:szCs w:val="18"/>
              </w:rPr>
              <w:t>Name, Restriction,</w:t>
            </w:r>
          </w:p>
          <w:p w:rsidR="002D678A" w:rsidRPr="00DE02FA" w:rsidRDefault="002D678A" w:rsidP="0035274E">
            <w:pPr>
              <w:keepNext/>
              <w:ind w:left="-108"/>
              <w:rPr>
                <w:rFonts w:ascii="Arial Narrow" w:hAnsi="Arial Narrow" w:cs="Arial"/>
                <w:b/>
                <w:sz w:val="18"/>
                <w:szCs w:val="18"/>
              </w:rPr>
            </w:pPr>
            <w:r w:rsidRPr="00DE02FA">
              <w:rPr>
                <w:rFonts w:ascii="Arial Narrow" w:hAnsi="Arial Narrow" w:cs="Arial"/>
                <w:b/>
                <w:sz w:val="18"/>
                <w:szCs w:val="18"/>
              </w:rPr>
              <w:t>Manner of administration and form</w:t>
            </w:r>
          </w:p>
        </w:tc>
        <w:tc>
          <w:tcPr>
            <w:tcW w:w="472" w:type="pct"/>
          </w:tcPr>
          <w:p w:rsidR="002D678A" w:rsidRPr="00DE02FA" w:rsidRDefault="002D678A" w:rsidP="0035274E">
            <w:pPr>
              <w:keepNext/>
              <w:ind w:left="-108"/>
              <w:jc w:val="center"/>
              <w:rPr>
                <w:rFonts w:ascii="Arial Narrow" w:hAnsi="Arial Narrow" w:cs="Arial"/>
                <w:b/>
                <w:sz w:val="18"/>
                <w:szCs w:val="18"/>
              </w:rPr>
            </w:pPr>
            <w:r w:rsidRPr="00DE02FA">
              <w:rPr>
                <w:rFonts w:ascii="Arial Narrow" w:hAnsi="Arial Narrow" w:cs="Arial"/>
                <w:b/>
                <w:sz w:val="18"/>
                <w:szCs w:val="18"/>
              </w:rPr>
              <w:t>PBS item code</w:t>
            </w:r>
          </w:p>
        </w:tc>
        <w:tc>
          <w:tcPr>
            <w:tcW w:w="345" w:type="pct"/>
          </w:tcPr>
          <w:p w:rsidR="002D678A" w:rsidRPr="00DE02FA" w:rsidRDefault="002D678A" w:rsidP="0035274E">
            <w:pPr>
              <w:keepNext/>
              <w:ind w:left="-108"/>
              <w:jc w:val="center"/>
              <w:rPr>
                <w:rFonts w:ascii="Arial Narrow" w:hAnsi="Arial Narrow" w:cs="Arial"/>
                <w:b/>
                <w:sz w:val="18"/>
                <w:szCs w:val="18"/>
              </w:rPr>
            </w:pPr>
            <w:r w:rsidRPr="00DE02FA">
              <w:rPr>
                <w:rFonts w:ascii="Arial Narrow" w:hAnsi="Arial Narrow" w:cs="Arial"/>
                <w:b/>
                <w:sz w:val="18"/>
                <w:szCs w:val="18"/>
              </w:rPr>
              <w:t>Max. qty</w:t>
            </w:r>
          </w:p>
        </w:tc>
        <w:tc>
          <w:tcPr>
            <w:tcW w:w="448" w:type="pct"/>
          </w:tcPr>
          <w:p w:rsidR="002D678A" w:rsidRPr="00DE02FA" w:rsidRDefault="002D678A" w:rsidP="0035274E">
            <w:pPr>
              <w:keepNext/>
              <w:ind w:left="-108"/>
              <w:jc w:val="center"/>
              <w:rPr>
                <w:rFonts w:ascii="Arial Narrow" w:hAnsi="Arial Narrow" w:cs="Arial"/>
                <w:b/>
                <w:sz w:val="18"/>
                <w:szCs w:val="18"/>
              </w:rPr>
            </w:pPr>
            <w:r w:rsidRPr="00DE02FA">
              <w:rPr>
                <w:rFonts w:ascii="Arial Narrow" w:hAnsi="Arial Narrow" w:cs="Arial"/>
                <w:b/>
                <w:sz w:val="18"/>
                <w:szCs w:val="18"/>
              </w:rPr>
              <w:t>№.of</w:t>
            </w:r>
          </w:p>
          <w:p w:rsidR="002D678A" w:rsidRPr="00DE02FA" w:rsidRDefault="002D678A" w:rsidP="0035274E">
            <w:pPr>
              <w:keepNext/>
              <w:ind w:left="-108"/>
              <w:jc w:val="center"/>
              <w:rPr>
                <w:rFonts w:ascii="Arial Narrow" w:hAnsi="Arial Narrow" w:cs="Arial"/>
                <w:b/>
                <w:sz w:val="18"/>
                <w:szCs w:val="18"/>
              </w:rPr>
            </w:pPr>
            <w:r w:rsidRPr="00DE02FA">
              <w:rPr>
                <w:rFonts w:ascii="Arial Narrow" w:hAnsi="Arial Narrow" w:cs="Arial"/>
                <w:b/>
                <w:sz w:val="18"/>
                <w:szCs w:val="18"/>
              </w:rPr>
              <w:t>Rpts</w:t>
            </w:r>
          </w:p>
        </w:tc>
        <w:tc>
          <w:tcPr>
            <w:tcW w:w="522" w:type="pct"/>
          </w:tcPr>
          <w:p w:rsidR="002D678A" w:rsidRPr="00DE02FA" w:rsidRDefault="002D678A" w:rsidP="0035274E">
            <w:pPr>
              <w:keepNext/>
              <w:jc w:val="center"/>
              <w:rPr>
                <w:rFonts w:ascii="Arial Narrow" w:hAnsi="Arial Narrow" w:cs="Arial"/>
                <w:b/>
                <w:sz w:val="18"/>
                <w:szCs w:val="18"/>
              </w:rPr>
            </w:pPr>
            <w:r w:rsidRPr="00DE02FA">
              <w:rPr>
                <w:rFonts w:ascii="Arial Narrow" w:hAnsi="Arial Narrow" w:cs="Arial"/>
                <w:b/>
                <w:sz w:val="18"/>
                <w:szCs w:val="18"/>
              </w:rPr>
              <w:t>DPMQ</w:t>
            </w:r>
          </w:p>
        </w:tc>
        <w:tc>
          <w:tcPr>
            <w:tcW w:w="1643" w:type="pct"/>
            <w:gridSpan w:val="2"/>
          </w:tcPr>
          <w:p w:rsidR="002D678A" w:rsidRPr="005F5C7D" w:rsidRDefault="002D678A" w:rsidP="0035274E">
            <w:pPr>
              <w:keepNext/>
              <w:rPr>
                <w:rFonts w:ascii="Arial Narrow" w:hAnsi="Arial Narrow" w:cs="Arial"/>
                <w:b/>
                <w:sz w:val="18"/>
                <w:szCs w:val="18"/>
              </w:rPr>
            </w:pPr>
            <w:r w:rsidRPr="00DE02FA">
              <w:rPr>
                <w:rFonts w:ascii="Arial Narrow" w:hAnsi="Arial Narrow" w:cs="Arial"/>
                <w:b/>
                <w:sz w:val="18"/>
                <w:szCs w:val="18"/>
              </w:rPr>
              <w:t>Proprietary Name and Manufacturer</w:t>
            </w:r>
          </w:p>
        </w:tc>
      </w:tr>
      <w:tr w:rsidR="002D678A" w:rsidRPr="00DE02FA" w:rsidTr="00870890">
        <w:trPr>
          <w:cantSplit/>
          <w:trHeight w:val="761"/>
        </w:trPr>
        <w:tc>
          <w:tcPr>
            <w:tcW w:w="1569" w:type="pct"/>
          </w:tcPr>
          <w:p w:rsidR="002D678A" w:rsidRPr="00DE02FA" w:rsidRDefault="002D678A" w:rsidP="00F73836">
            <w:pPr>
              <w:keepNext/>
              <w:jc w:val="left"/>
              <w:rPr>
                <w:rFonts w:ascii="Arial Narrow" w:hAnsi="Arial Narrow" w:cs="Arial"/>
                <w:smallCaps/>
                <w:sz w:val="18"/>
                <w:szCs w:val="18"/>
              </w:rPr>
            </w:pPr>
            <w:r w:rsidRPr="00DE02FA">
              <w:rPr>
                <w:rFonts w:ascii="Arial Narrow" w:eastAsia="Calibri" w:hAnsi="Arial Narrow"/>
                <w:sz w:val="18"/>
                <w:szCs w:val="18"/>
                <w:lang w:eastAsia="en-US"/>
              </w:rPr>
              <w:t>CATIONIC OP</w:t>
            </w:r>
            <w:r w:rsidR="00F73836" w:rsidRPr="00DE02FA">
              <w:rPr>
                <w:rFonts w:ascii="Arial Narrow" w:eastAsia="Calibri" w:hAnsi="Arial Narrow"/>
                <w:sz w:val="18"/>
                <w:szCs w:val="18"/>
                <w:lang w:eastAsia="en-US"/>
              </w:rPr>
              <w:t>H</w:t>
            </w:r>
            <w:r w:rsidRPr="00DE02FA">
              <w:rPr>
                <w:rFonts w:ascii="Arial Narrow" w:eastAsia="Calibri" w:hAnsi="Arial Narrow"/>
                <w:sz w:val="18"/>
                <w:szCs w:val="18"/>
                <w:lang w:eastAsia="en-US"/>
              </w:rPr>
              <w:t>THALMIC EMULSION</w:t>
            </w:r>
          </w:p>
          <w:p w:rsidR="006319A0" w:rsidRPr="00DE02FA" w:rsidRDefault="006319A0" w:rsidP="006319A0">
            <w:pPr>
              <w:jc w:val="left"/>
              <w:rPr>
                <w:rFonts w:ascii="Arial Narrow" w:hAnsi="Arial Narrow"/>
                <w:sz w:val="18"/>
                <w:szCs w:val="18"/>
              </w:rPr>
            </w:pPr>
            <w:r w:rsidRPr="00DE02FA">
              <w:rPr>
                <w:rFonts w:ascii="Arial Narrow" w:hAnsi="Arial Narrow" w:cstheme="minorHAnsi"/>
                <w:i/>
                <w:iCs/>
                <w:sz w:val="18"/>
                <w:szCs w:val="18"/>
              </w:rPr>
              <w:t>liquid paraffin + glycerol + tyloxapol + poloxamer-188 + trometamol hydrochloride + trometamol + cetalkonium chloride eye drops</w:t>
            </w:r>
            <w:r w:rsidRPr="00DE02FA">
              <w:rPr>
                <w:rFonts w:ascii="Arial Narrow" w:hAnsi="Arial Narrow" w:cstheme="minorHAnsi"/>
                <w:sz w:val="18"/>
                <w:szCs w:val="18"/>
              </w:rPr>
              <w:t>, 10 mL</w:t>
            </w:r>
          </w:p>
        </w:tc>
        <w:tc>
          <w:tcPr>
            <w:tcW w:w="472" w:type="pct"/>
          </w:tcPr>
          <w:p w:rsidR="002D678A" w:rsidRPr="00DE02FA" w:rsidRDefault="002D678A" w:rsidP="0035274E">
            <w:pPr>
              <w:keepNext/>
              <w:jc w:val="center"/>
              <w:rPr>
                <w:rFonts w:ascii="Arial Narrow" w:hAnsi="Arial Narrow" w:cs="Arial"/>
                <w:iCs/>
                <w:sz w:val="18"/>
                <w:szCs w:val="18"/>
              </w:rPr>
            </w:pPr>
            <w:r w:rsidRPr="00DE02FA">
              <w:rPr>
                <w:rFonts w:ascii="Arial Narrow" w:hAnsi="Arial Narrow" w:cs="Arial"/>
                <w:iCs/>
                <w:sz w:val="18"/>
                <w:szCs w:val="18"/>
              </w:rPr>
              <w:t>[NEW]</w:t>
            </w:r>
          </w:p>
        </w:tc>
        <w:tc>
          <w:tcPr>
            <w:tcW w:w="345" w:type="pct"/>
          </w:tcPr>
          <w:p w:rsidR="002D678A" w:rsidRPr="00DE02FA" w:rsidRDefault="002D678A" w:rsidP="0035274E">
            <w:pPr>
              <w:keepNext/>
              <w:jc w:val="center"/>
              <w:rPr>
                <w:rFonts w:ascii="Arial Narrow" w:hAnsi="Arial Narrow" w:cs="Arial"/>
                <w:sz w:val="18"/>
                <w:szCs w:val="18"/>
              </w:rPr>
            </w:pPr>
            <w:r w:rsidRPr="00DE02FA">
              <w:rPr>
                <w:rFonts w:ascii="Arial Narrow" w:hAnsi="Arial Narrow" w:cs="Arial"/>
                <w:sz w:val="18"/>
                <w:szCs w:val="18"/>
              </w:rPr>
              <w:t>1</w:t>
            </w:r>
          </w:p>
        </w:tc>
        <w:tc>
          <w:tcPr>
            <w:tcW w:w="448" w:type="pct"/>
          </w:tcPr>
          <w:p w:rsidR="002D678A" w:rsidRPr="00DE02FA" w:rsidRDefault="002D678A" w:rsidP="0035274E">
            <w:pPr>
              <w:keepNext/>
              <w:ind w:left="-108"/>
              <w:jc w:val="center"/>
              <w:rPr>
                <w:rFonts w:ascii="Arial Narrow" w:hAnsi="Arial Narrow" w:cs="Arial"/>
                <w:sz w:val="18"/>
                <w:szCs w:val="18"/>
              </w:rPr>
            </w:pPr>
            <w:r w:rsidRPr="00DE02FA">
              <w:rPr>
                <w:rFonts w:ascii="Arial Narrow" w:hAnsi="Arial Narrow" w:cs="Arial"/>
                <w:sz w:val="18"/>
                <w:szCs w:val="18"/>
              </w:rPr>
              <w:t>5</w:t>
            </w:r>
          </w:p>
        </w:tc>
        <w:tc>
          <w:tcPr>
            <w:tcW w:w="522" w:type="pct"/>
          </w:tcPr>
          <w:p w:rsidR="002D678A" w:rsidRPr="00DE02FA" w:rsidRDefault="002D678A" w:rsidP="0035274E">
            <w:pPr>
              <w:keepNext/>
              <w:jc w:val="center"/>
              <w:rPr>
                <w:rFonts w:ascii="Arial Narrow" w:hAnsi="Arial Narrow" w:cs="Arial"/>
                <w:sz w:val="18"/>
                <w:szCs w:val="18"/>
              </w:rPr>
            </w:pPr>
            <w:r w:rsidRPr="00DE02FA">
              <w:rPr>
                <w:rFonts w:ascii="Arial Narrow" w:hAnsi="Arial Narrow"/>
                <w:sz w:val="18"/>
                <w:szCs w:val="18"/>
              </w:rPr>
              <w:t>$</w:t>
            </w:r>
            <w:r w:rsidR="00A63CE5">
              <w:rPr>
                <w:rFonts w:ascii="Arial Narrow" w:hAnsi="Arial Narrow"/>
                <w:noProof/>
                <w:color w:val="000000"/>
                <w:sz w:val="18"/>
                <w:szCs w:val="18"/>
                <w:highlight w:val="black"/>
              </w:rPr>
              <w:t>'''''''''''''''</w:t>
            </w:r>
          </w:p>
        </w:tc>
        <w:tc>
          <w:tcPr>
            <w:tcW w:w="597" w:type="pct"/>
          </w:tcPr>
          <w:p w:rsidR="002D678A" w:rsidRPr="00DE02FA" w:rsidRDefault="002D678A" w:rsidP="0035274E">
            <w:pPr>
              <w:keepNext/>
              <w:rPr>
                <w:rFonts w:ascii="Arial Narrow" w:hAnsi="Arial Narrow" w:cs="Arial"/>
                <w:sz w:val="18"/>
                <w:szCs w:val="18"/>
              </w:rPr>
            </w:pPr>
            <w:r w:rsidRPr="00DE02FA">
              <w:rPr>
                <w:rFonts w:ascii="Arial Narrow" w:eastAsia="Calibri" w:hAnsi="Arial Narrow"/>
                <w:sz w:val="18"/>
                <w:szCs w:val="18"/>
                <w:lang w:eastAsia="en-US"/>
              </w:rPr>
              <w:t>Cationorm®</w:t>
            </w:r>
          </w:p>
        </w:tc>
        <w:tc>
          <w:tcPr>
            <w:tcW w:w="1046" w:type="pct"/>
          </w:tcPr>
          <w:p w:rsidR="002D678A" w:rsidRPr="00DE02FA" w:rsidRDefault="002D678A" w:rsidP="0035274E">
            <w:pPr>
              <w:keepNext/>
              <w:rPr>
                <w:rFonts w:ascii="Arial Narrow" w:hAnsi="Arial Narrow" w:cs="Arial"/>
                <w:sz w:val="18"/>
                <w:szCs w:val="18"/>
              </w:rPr>
            </w:pPr>
            <w:r w:rsidRPr="00DE02FA">
              <w:rPr>
                <w:rFonts w:ascii="Arial Narrow" w:eastAsia="Calibri" w:hAnsi="Arial Narrow"/>
                <w:sz w:val="18"/>
                <w:szCs w:val="18"/>
                <w:lang w:eastAsia="en-US"/>
              </w:rPr>
              <w:t>Seqirus (Australia) Pty Ltd</w:t>
            </w:r>
          </w:p>
        </w:tc>
      </w:tr>
    </w:tbl>
    <w:p w:rsidR="00B17EE5" w:rsidRPr="00DE02FA" w:rsidRDefault="00B17EE5" w:rsidP="00B17EE5"/>
    <w:p w:rsidR="00106D26" w:rsidRPr="00DE02FA" w:rsidRDefault="007F7743" w:rsidP="007F7743">
      <w:pPr>
        <w:rPr>
          <w:rFonts w:ascii="Arial Narrow" w:hAnsi="Arial Narrow"/>
          <w:b/>
          <w:sz w:val="18"/>
          <w:szCs w:val="18"/>
        </w:rPr>
      </w:pPr>
      <w:r w:rsidRPr="00DE02FA">
        <w:rPr>
          <w:rFonts w:ascii="Arial Narrow" w:hAnsi="Arial Narrow"/>
          <w:b/>
          <w:sz w:val="18"/>
          <w:szCs w:val="18"/>
        </w:rPr>
        <w:t>Restriction Summary [</w:t>
      </w:r>
      <w:r w:rsidR="00C52C8F" w:rsidRPr="00DE02FA">
        <w:rPr>
          <w:rFonts w:ascii="Arial Narrow" w:hAnsi="Arial Narrow" w:cs="Open Sans"/>
          <w:b/>
          <w:bCs/>
          <w:sz w:val="18"/>
          <w:szCs w:val="18"/>
          <w:shd w:val="clear" w:color="auto" w:fill="FFFFFF"/>
        </w:rPr>
        <w:t>new</w:t>
      </w:r>
      <w:r w:rsidRPr="00DE02FA">
        <w:rPr>
          <w:rFonts w:ascii="Arial Narrow" w:hAnsi="Arial Narrow"/>
          <w:b/>
          <w:sz w:val="18"/>
          <w:szCs w:val="18"/>
        </w:rPr>
        <w:t>] / Treatment of Concept: [</w:t>
      </w:r>
      <w:r w:rsidR="00C52C8F" w:rsidRPr="00DE02FA">
        <w:rPr>
          <w:rFonts w:ascii="Arial Narrow" w:hAnsi="Arial Narrow" w:cs="Open Sans"/>
          <w:b/>
          <w:bCs/>
          <w:sz w:val="18"/>
          <w:szCs w:val="18"/>
          <w:shd w:val="clear" w:color="auto" w:fill="FFFFFF"/>
        </w:rPr>
        <w:t>new</w:t>
      </w:r>
      <w:r w:rsidR="00614555" w:rsidRPr="00DE02FA">
        <w:rPr>
          <w:rFonts w:ascii="Arial Narrow" w:hAnsi="Arial Narrow" w:cs="Open Sans"/>
          <w:b/>
          <w:bCs/>
          <w:sz w:val="18"/>
          <w:szCs w:val="18"/>
          <w:shd w:val="clear" w:color="auto" w:fill="FFFFFF"/>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106D26" w:rsidRPr="00DE02FA" w:rsidTr="0035274E">
        <w:tc>
          <w:tcPr>
            <w:tcW w:w="553" w:type="pct"/>
            <w:tcBorders>
              <w:top w:val="single" w:sz="4" w:space="0" w:color="auto"/>
              <w:left w:val="single" w:sz="4" w:space="0" w:color="auto"/>
              <w:bottom w:val="single" w:sz="4" w:space="0" w:color="auto"/>
              <w:right w:val="single" w:sz="4" w:space="0" w:color="auto"/>
            </w:tcBorders>
          </w:tcPr>
          <w:p w:rsidR="00106D26" w:rsidRPr="00DE02FA" w:rsidRDefault="00106D26" w:rsidP="0035274E">
            <w:pPr>
              <w:jc w:val="center"/>
              <w:rPr>
                <w:rFonts w:ascii="Arial Narrow" w:hAnsi="Arial Narrow" w:cs="Arial"/>
                <w:b/>
                <w:sz w:val="18"/>
                <w:szCs w:val="18"/>
              </w:rPr>
            </w:pPr>
            <w:r w:rsidRPr="00DE02FA">
              <w:rPr>
                <w:rFonts w:ascii="Arial Narrow" w:hAnsi="Arial Narrow" w:cs="Arial"/>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rsidR="00106D26" w:rsidRPr="00DE02FA" w:rsidRDefault="00106D26" w:rsidP="001948CF">
            <w:pPr>
              <w:rPr>
                <w:rFonts w:ascii="Arial Narrow" w:hAnsi="Arial Narrow" w:cs="Arial"/>
                <w:sz w:val="18"/>
                <w:szCs w:val="18"/>
              </w:rPr>
            </w:pPr>
            <w:r w:rsidRPr="00DE02FA">
              <w:rPr>
                <w:rFonts w:ascii="Arial Narrow" w:hAnsi="Arial Narrow" w:cs="Arial"/>
                <w:b/>
                <w:sz w:val="18"/>
                <w:szCs w:val="18"/>
              </w:rPr>
              <w:t>Category / Program:</w:t>
            </w:r>
            <w:r w:rsidR="001948CF" w:rsidRPr="00DE02FA">
              <w:rPr>
                <w:rFonts w:ascii="Arial Narrow" w:hAnsi="Arial Narrow" w:cs="Arial"/>
                <w:sz w:val="18"/>
                <w:szCs w:val="18"/>
              </w:rPr>
              <w:t xml:space="preserve"> </w:t>
            </w:r>
            <w:r w:rsidRPr="00DE02FA">
              <w:rPr>
                <w:rFonts w:ascii="Arial Narrow" w:hAnsi="Arial Narrow" w:cs="Arial"/>
                <w:sz w:val="18"/>
                <w:szCs w:val="18"/>
              </w:rPr>
              <w:t xml:space="preserve">GENERAL – General Schedule (Code GE) </w:t>
            </w:r>
          </w:p>
        </w:tc>
      </w:tr>
      <w:tr w:rsidR="00106D26" w:rsidRPr="00DE02FA" w:rsidTr="0035274E">
        <w:trPr>
          <w:trHeight w:val="240"/>
        </w:trPr>
        <w:tc>
          <w:tcPr>
            <w:tcW w:w="553" w:type="pct"/>
            <w:tcBorders>
              <w:top w:val="single" w:sz="4" w:space="0" w:color="auto"/>
              <w:left w:val="single" w:sz="4" w:space="0" w:color="auto"/>
              <w:bottom w:val="single" w:sz="4" w:space="0" w:color="auto"/>
              <w:right w:val="single" w:sz="4" w:space="0" w:color="auto"/>
            </w:tcBorders>
          </w:tcPr>
          <w:p w:rsidR="00106D26" w:rsidRPr="00DE02FA" w:rsidRDefault="00106D26" w:rsidP="0035274E">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106D26" w:rsidRPr="00DE02FA" w:rsidRDefault="00106D26" w:rsidP="0035274E">
            <w:pPr>
              <w:rPr>
                <w:rFonts w:ascii="Arial Narrow" w:hAnsi="Arial Narrow" w:cs="Arial"/>
                <w:b/>
                <w:sz w:val="18"/>
                <w:szCs w:val="18"/>
              </w:rPr>
            </w:pPr>
            <w:r w:rsidRPr="00DE02FA">
              <w:rPr>
                <w:rFonts w:ascii="Arial Narrow" w:hAnsi="Arial Narrow" w:cs="Arial"/>
                <w:b/>
                <w:sz w:val="18"/>
                <w:szCs w:val="18"/>
              </w:rPr>
              <w:t xml:space="preserve">Prescriber type:   </w:t>
            </w:r>
            <w:r w:rsidRPr="005F5C7D">
              <w:rPr>
                <w:rFonts w:ascii="Arial Narrow" w:hAnsi="Arial Narrow" w:cs="Arial"/>
                <w:sz w:val="18"/>
                <w:szCs w:val="18"/>
              </w:rPr>
              <w:fldChar w:fldCharType="begin">
                <w:ffData>
                  <w:name w:val="Check1"/>
                  <w:enabled/>
                  <w:calcOnExit w:val="0"/>
                  <w:checkBox>
                    <w:sizeAuto/>
                    <w:default w:val="0"/>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 xml:space="preserve">Dental    </w:t>
            </w:r>
            <w:r w:rsidRPr="005F5C7D">
              <w:rPr>
                <w:rFonts w:ascii="Arial Narrow" w:hAnsi="Arial Narrow" w:cs="Arial"/>
                <w:sz w:val="18"/>
                <w:szCs w:val="18"/>
              </w:rPr>
              <w:fldChar w:fldCharType="begin">
                <w:ffData>
                  <w:name w:val=""/>
                  <w:enabled/>
                  <w:calcOnExit w:val="0"/>
                  <w:checkBox>
                    <w:sizeAuto/>
                    <w:default w:val="1"/>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 xml:space="preserve">Medical Practitioners    </w:t>
            </w:r>
            <w:r w:rsidRPr="005F5C7D">
              <w:rPr>
                <w:rFonts w:ascii="Arial Narrow" w:hAnsi="Arial Narrow" w:cs="Arial"/>
                <w:sz w:val="18"/>
                <w:szCs w:val="18"/>
              </w:rPr>
              <w:fldChar w:fldCharType="begin">
                <w:ffData>
                  <w:name w:val="Check3"/>
                  <w:enabled/>
                  <w:calcOnExit w:val="0"/>
                  <w:checkBox>
                    <w:sizeAuto/>
                    <w:default w:val="1"/>
                  </w:checkBox>
                </w:ffData>
              </w:fldChar>
            </w:r>
            <w:bookmarkStart w:id="0" w:name="Check3"/>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bookmarkEnd w:id="0"/>
            <w:r w:rsidRPr="00DE02FA">
              <w:rPr>
                <w:rFonts w:ascii="Arial Narrow" w:hAnsi="Arial Narrow" w:cs="Arial"/>
                <w:sz w:val="18"/>
                <w:szCs w:val="18"/>
              </w:rPr>
              <w:t xml:space="preserve">Nurse practitioners     </w:t>
            </w:r>
            <w:r w:rsidRPr="005F5C7D">
              <w:rPr>
                <w:rFonts w:ascii="Arial Narrow" w:hAnsi="Arial Narrow" w:cs="Arial"/>
                <w:sz w:val="18"/>
                <w:szCs w:val="18"/>
              </w:rPr>
              <w:fldChar w:fldCharType="begin">
                <w:ffData>
                  <w:name w:val=""/>
                  <w:enabled/>
                  <w:calcOnExit w:val="0"/>
                  <w:checkBox>
                    <w:sizeAuto/>
                    <w:default w:val="1"/>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 xml:space="preserve">Optometrists    </w:t>
            </w:r>
            <w:r w:rsidRPr="005F5C7D">
              <w:rPr>
                <w:rFonts w:ascii="Arial Narrow" w:hAnsi="Arial Narrow" w:cs="Arial"/>
                <w:sz w:val="18"/>
                <w:szCs w:val="18"/>
              </w:rPr>
              <w:fldChar w:fldCharType="begin">
                <w:ffData>
                  <w:name w:val="Check5"/>
                  <w:enabled/>
                  <w:calcOnExit w:val="0"/>
                  <w:checkBox>
                    <w:sizeAuto/>
                    <w:default w:val="0"/>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Midwives</w:t>
            </w:r>
          </w:p>
        </w:tc>
      </w:tr>
      <w:tr w:rsidR="00106D26" w:rsidRPr="00DE02FA" w:rsidTr="0035274E">
        <w:tc>
          <w:tcPr>
            <w:tcW w:w="553" w:type="pct"/>
            <w:tcBorders>
              <w:top w:val="single" w:sz="4" w:space="0" w:color="auto"/>
              <w:left w:val="single" w:sz="4" w:space="0" w:color="auto"/>
              <w:bottom w:val="single" w:sz="4" w:space="0" w:color="auto"/>
              <w:right w:val="single" w:sz="4" w:space="0" w:color="auto"/>
            </w:tcBorders>
          </w:tcPr>
          <w:p w:rsidR="00106D26" w:rsidRPr="00DE02FA" w:rsidRDefault="00106D26" w:rsidP="0035274E">
            <w:pPr>
              <w:rPr>
                <w:rFonts w:ascii="Arial Narrow" w:hAnsi="Arial Narrow" w:cs="Arial"/>
                <w:i/>
                <w:sz w:val="18"/>
                <w:szCs w:val="18"/>
              </w:rPr>
            </w:pPr>
          </w:p>
          <w:p w:rsidR="00106D26" w:rsidRPr="00DE02FA" w:rsidRDefault="00106D26" w:rsidP="0035274E">
            <w:pPr>
              <w:rPr>
                <w:rFonts w:ascii="Arial Narrow" w:hAnsi="Arial Narrow" w:cs="Arial"/>
                <w:i/>
                <w:sz w:val="18"/>
                <w:szCs w:val="18"/>
              </w:rPr>
            </w:pPr>
          </w:p>
          <w:p w:rsidR="00106D26" w:rsidRPr="00DE02FA" w:rsidRDefault="00106D26" w:rsidP="0035274E">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106D26" w:rsidRPr="00DE02FA" w:rsidRDefault="00106D26" w:rsidP="0035274E">
            <w:pPr>
              <w:rPr>
                <w:rFonts w:ascii="Arial Narrow" w:hAnsi="Arial Narrow" w:cs="Arial"/>
                <w:b/>
                <w:sz w:val="18"/>
                <w:szCs w:val="18"/>
              </w:rPr>
            </w:pPr>
            <w:r w:rsidRPr="00DE02FA">
              <w:rPr>
                <w:rFonts w:ascii="Arial Narrow" w:hAnsi="Arial Narrow" w:cs="Arial"/>
                <w:b/>
                <w:sz w:val="18"/>
                <w:szCs w:val="18"/>
              </w:rPr>
              <w:t>Restriction Level / Method:</w:t>
            </w:r>
          </w:p>
          <w:p w:rsidR="00106D26" w:rsidRPr="00DE02FA" w:rsidRDefault="00106D26" w:rsidP="0035274E">
            <w:pPr>
              <w:rPr>
                <w:rFonts w:ascii="Arial Narrow" w:hAnsi="Arial Narrow" w:cs="Arial"/>
                <w:sz w:val="18"/>
                <w:szCs w:val="18"/>
              </w:rPr>
            </w:pPr>
            <w:r w:rsidRPr="005F5C7D">
              <w:rPr>
                <w:rFonts w:ascii="Arial Narrow" w:hAnsi="Arial Narrow" w:cs="Arial"/>
                <w:sz w:val="18"/>
                <w:szCs w:val="18"/>
              </w:rPr>
              <w:fldChar w:fldCharType="begin">
                <w:ffData>
                  <w:name w:val="Check1"/>
                  <w:enabled/>
                  <w:calcOnExit w:val="0"/>
                  <w:checkBox>
                    <w:sizeAuto/>
                    <w:default w:val="0"/>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Unrestricted benefit</w:t>
            </w:r>
          </w:p>
          <w:p w:rsidR="00106D26" w:rsidRPr="00DE02FA" w:rsidRDefault="00106D26" w:rsidP="0035274E">
            <w:pPr>
              <w:rPr>
                <w:rFonts w:ascii="Arial Narrow" w:hAnsi="Arial Narrow" w:cs="Arial"/>
                <w:sz w:val="18"/>
                <w:szCs w:val="18"/>
              </w:rPr>
            </w:pPr>
            <w:r w:rsidRPr="005F5C7D">
              <w:rPr>
                <w:rFonts w:ascii="Arial Narrow" w:hAnsi="Arial Narrow" w:cs="Arial"/>
                <w:sz w:val="18"/>
                <w:szCs w:val="18"/>
              </w:rPr>
              <w:fldChar w:fldCharType="begin">
                <w:ffData>
                  <w:name w:val="Check1"/>
                  <w:enabled/>
                  <w:calcOnExit w:val="0"/>
                  <w:checkBox>
                    <w:sizeAuto/>
                    <w:default w:val="0"/>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Restricted benefit</w:t>
            </w:r>
          </w:p>
          <w:p w:rsidR="00106D26" w:rsidRPr="00DE02FA" w:rsidRDefault="00106D26" w:rsidP="0035274E">
            <w:pPr>
              <w:rPr>
                <w:rFonts w:ascii="Arial Narrow" w:hAnsi="Arial Narrow" w:cs="Arial"/>
                <w:sz w:val="18"/>
                <w:szCs w:val="18"/>
              </w:rPr>
            </w:pPr>
            <w:r w:rsidRPr="005F5C7D">
              <w:rPr>
                <w:rFonts w:ascii="Arial Narrow" w:hAnsi="Arial Narrow" w:cs="Arial"/>
                <w:sz w:val="18"/>
                <w:szCs w:val="18"/>
              </w:rPr>
              <w:fldChar w:fldCharType="begin">
                <w:ffData>
                  <w:name w:val=""/>
                  <w:enabled/>
                  <w:calcOnExit w:val="0"/>
                  <w:checkBox>
                    <w:sizeAuto/>
                    <w:default w:val="0"/>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Authority Required – In Writing</w:t>
            </w:r>
          </w:p>
          <w:p w:rsidR="00106D26" w:rsidRPr="00DE02FA" w:rsidRDefault="00106D26" w:rsidP="0035274E">
            <w:pPr>
              <w:rPr>
                <w:rFonts w:ascii="Arial Narrow" w:hAnsi="Arial Narrow" w:cs="Arial"/>
                <w:sz w:val="18"/>
                <w:szCs w:val="18"/>
              </w:rPr>
            </w:pPr>
            <w:r w:rsidRPr="005F5C7D">
              <w:rPr>
                <w:rFonts w:ascii="Arial Narrow" w:hAnsi="Arial Narrow" w:cs="Arial"/>
                <w:sz w:val="18"/>
                <w:szCs w:val="18"/>
              </w:rPr>
              <w:fldChar w:fldCharType="begin">
                <w:ffData>
                  <w:name w:val="Check3"/>
                  <w:enabled/>
                  <w:calcOnExit w:val="0"/>
                  <w:checkBox>
                    <w:sizeAuto/>
                    <w:default w:val="0"/>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Authority Required – Telephone/Electronic/Emergency</w:t>
            </w:r>
          </w:p>
          <w:p w:rsidR="00106D26" w:rsidRPr="00DE02FA" w:rsidRDefault="00106D26" w:rsidP="0035274E">
            <w:pPr>
              <w:rPr>
                <w:rFonts w:ascii="Arial Narrow" w:hAnsi="Arial Narrow" w:cs="Arial"/>
                <w:sz w:val="18"/>
                <w:szCs w:val="18"/>
              </w:rPr>
            </w:pPr>
            <w:r w:rsidRPr="005F5C7D">
              <w:rPr>
                <w:rFonts w:ascii="Arial Narrow" w:hAnsi="Arial Narrow" w:cs="Arial"/>
                <w:sz w:val="18"/>
                <w:szCs w:val="18"/>
              </w:rPr>
              <w:fldChar w:fldCharType="begin">
                <w:ffData>
                  <w:name w:val=""/>
                  <w:enabled/>
                  <w:calcOnExit w:val="0"/>
                  <w:checkBox>
                    <w:sizeAuto/>
                    <w:default w:val="1"/>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Authority Required - Streamlined</w:t>
            </w:r>
          </w:p>
        </w:tc>
      </w:tr>
      <w:tr w:rsidR="00106D26" w:rsidRPr="00DE02FA" w:rsidTr="0035274E">
        <w:tc>
          <w:tcPr>
            <w:tcW w:w="553" w:type="pct"/>
            <w:vAlign w:val="center"/>
          </w:tcPr>
          <w:p w:rsidR="00106D26" w:rsidRPr="00DE02FA" w:rsidRDefault="00106D26" w:rsidP="0035274E">
            <w:pPr>
              <w:jc w:val="center"/>
              <w:rPr>
                <w:rFonts w:ascii="Arial Narrow" w:hAnsi="Arial Narrow"/>
                <w:color w:val="333333"/>
                <w:sz w:val="18"/>
                <w:szCs w:val="18"/>
              </w:rPr>
            </w:pPr>
          </w:p>
        </w:tc>
        <w:tc>
          <w:tcPr>
            <w:tcW w:w="4447" w:type="pct"/>
            <w:vAlign w:val="center"/>
          </w:tcPr>
          <w:p w:rsidR="00106D26" w:rsidRPr="00DE02FA" w:rsidRDefault="00106D26" w:rsidP="0035274E">
            <w:pPr>
              <w:rPr>
                <w:rFonts w:ascii="Arial Narrow" w:hAnsi="Arial Narrow"/>
                <w:bCs/>
                <w:strike/>
                <w:color w:val="333333"/>
                <w:sz w:val="18"/>
                <w:szCs w:val="18"/>
              </w:rPr>
            </w:pPr>
            <w:r w:rsidRPr="00DE02FA">
              <w:rPr>
                <w:rFonts w:ascii="Arial Narrow" w:hAnsi="Arial Narrow"/>
                <w:b/>
                <w:bCs/>
                <w:strike/>
                <w:color w:val="333333"/>
                <w:sz w:val="18"/>
                <w:szCs w:val="18"/>
              </w:rPr>
              <w:t xml:space="preserve">Episodicity: </w:t>
            </w:r>
            <w:r w:rsidRPr="00DE02FA">
              <w:rPr>
                <w:rFonts w:ascii="Arial Narrow" w:hAnsi="Arial Narrow"/>
                <w:bCs/>
                <w:strike/>
                <w:color w:val="333333"/>
                <w:sz w:val="18"/>
                <w:szCs w:val="18"/>
              </w:rPr>
              <w:t>Chronic</w:t>
            </w:r>
          </w:p>
        </w:tc>
      </w:tr>
      <w:tr w:rsidR="00106D26" w:rsidRPr="00DE02FA" w:rsidTr="0035274E">
        <w:tc>
          <w:tcPr>
            <w:tcW w:w="553" w:type="pct"/>
            <w:vAlign w:val="center"/>
          </w:tcPr>
          <w:p w:rsidR="00106D26" w:rsidRPr="00DE02FA" w:rsidRDefault="00106D26" w:rsidP="0035274E">
            <w:pPr>
              <w:jc w:val="center"/>
              <w:rPr>
                <w:rFonts w:ascii="Arial Narrow" w:hAnsi="Arial Narrow"/>
                <w:color w:val="333333"/>
                <w:sz w:val="18"/>
                <w:szCs w:val="18"/>
              </w:rPr>
            </w:pPr>
          </w:p>
        </w:tc>
        <w:tc>
          <w:tcPr>
            <w:tcW w:w="4447" w:type="pct"/>
            <w:vAlign w:val="center"/>
          </w:tcPr>
          <w:p w:rsidR="00106D26" w:rsidRPr="00DE02FA" w:rsidRDefault="00106D26" w:rsidP="0035274E">
            <w:pPr>
              <w:rPr>
                <w:rFonts w:ascii="Arial Narrow" w:hAnsi="Arial Narrow"/>
                <w:b/>
                <w:bCs/>
                <w:color w:val="333333"/>
                <w:sz w:val="18"/>
                <w:szCs w:val="18"/>
              </w:rPr>
            </w:pPr>
            <w:r w:rsidRPr="00DE02FA">
              <w:rPr>
                <w:rFonts w:ascii="Arial Narrow" w:hAnsi="Arial Narrow"/>
                <w:b/>
                <w:bCs/>
                <w:color w:val="333333"/>
                <w:sz w:val="18"/>
                <w:szCs w:val="18"/>
              </w:rPr>
              <w:t xml:space="preserve">Severity: </w:t>
            </w:r>
            <w:r w:rsidRPr="00DE02FA">
              <w:rPr>
                <w:rFonts w:ascii="Arial Narrow" w:hAnsi="Arial Narrow"/>
                <w:bCs/>
                <w:color w:val="333333"/>
                <w:sz w:val="18"/>
                <w:szCs w:val="18"/>
              </w:rPr>
              <w:t>Severe</w:t>
            </w:r>
          </w:p>
        </w:tc>
      </w:tr>
      <w:tr w:rsidR="00106D26" w:rsidRPr="00DE02FA" w:rsidTr="0035274E">
        <w:tc>
          <w:tcPr>
            <w:tcW w:w="553" w:type="pct"/>
            <w:vAlign w:val="center"/>
          </w:tcPr>
          <w:p w:rsidR="00106D26" w:rsidRPr="00DE02FA" w:rsidRDefault="00106D26" w:rsidP="0035274E">
            <w:pPr>
              <w:jc w:val="center"/>
              <w:rPr>
                <w:rFonts w:ascii="Arial Narrow" w:hAnsi="Arial Narrow"/>
                <w:color w:val="333333"/>
                <w:sz w:val="18"/>
                <w:szCs w:val="18"/>
              </w:rPr>
            </w:pPr>
          </w:p>
        </w:tc>
        <w:tc>
          <w:tcPr>
            <w:tcW w:w="4447" w:type="pct"/>
            <w:vAlign w:val="center"/>
          </w:tcPr>
          <w:p w:rsidR="00106D26" w:rsidRPr="00DE02FA" w:rsidRDefault="00106D26" w:rsidP="0035274E">
            <w:pPr>
              <w:rPr>
                <w:rFonts w:ascii="Arial Narrow" w:hAnsi="Arial Narrow"/>
                <w:b/>
                <w:bCs/>
                <w:color w:val="333333"/>
                <w:sz w:val="18"/>
                <w:szCs w:val="18"/>
              </w:rPr>
            </w:pPr>
            <w:r w:rsidRPr="00DE02FA">
              <w:rPr>
                <w:rFonts w:ascii="Arial Narrow" w:hAnsi="Arial Narrow"/>
                <w:b/>
                <w:bCs/>
                <w:color w:val="333333"/>
                <w:sz w:val="18"/>
                <w:szCs w:val="18"/>
              </w:rPr>
              <w:t xml:space="preserve">Condition: </w:t>
            </w:r>
            <w:r w:rsidRPr="00DE02FA">
              <w:rPr>
                <w:rFonts w:ascii="Arial Narrow" w:hAnsi="Arial Narrow"/>
                <w:bCs/>
                <w:color w:val="333333"/>
                <w:sz w:val="18"/>
                <w:szCs w:val="18"/>
              </w:rPr>
              <w:t>Dry eye syndrome</w:t>
            </w:r>
          </w:p>
        </w:tc>
      </w:tr>
      <w:tr w:rsidR="00106D26" w:rsidRPr="00DE02FA" w:rsidTr="0035274E">
        <w:tc>
          <w:tcPr>
            <w:tcW w:w="553" w:type="pct"/>
            <w:vAlign w:val="center"/>
          </w:tcPr>
          <w:p w:rsidR="00106D26" w:rsidRPr="00DE02FA" w:rsidRDefault="009D65E6" w:rsidP="0035274E">
            <w:pPr>
              <w:jc w:val="center"/>
              <w:rPr>
                <w:rFonts w:ascii="Arial Narrow" w:hAnsi="Arial Narrow"/>
                <w:color w:val="333333"/>
                <w:sz w:val="18"/>
                <w:szCs w:val="18"/>
              </w:rPr>
            </w:pPr>
            <w:r w:rsidRPr="00DE02FA">
              <w:rPr>
                <w:rFonts w:ascii="Arial Narrow" w:hAnsi="Arial Narrow"/>
                <w:color w:val="333333"/>
                <w:sz w:val="18"/>
                <w:szCs w:val="18"/>
              </w:rPr>
              <w:t>[7869]</w:t>
            </w:r>
          </w:p>
        </w:tc>
        <w:tc>
          <w:tcPr>
            <w:tcW w:w="4447" w:type="pct"/>
            <w:vAlign w:val="center"/>
            <w:hideMark/>
          </w:tcPr>
          <w:p w:rsidR="00106D26" w:rsidRPr="00DE02FA" w:rsidRDefault="00106D26" w:rsidP="005329E0">
            <w:pPr>
              <w:rPr>
                <w:rFonts w:ascii="Arial Narrow" w:hAnsi="Arial Narrow"/>
                <w:color w:val="333333"/>
                <w:sz w:val="18"/>
                <w:szCs w:val="18"/>
              </w:rPr>
            </w:pPr>
            <w:r w:rsidRPr="00DE02FA">
              <w:rPr>
                <w:rFonts w:ascii="Arial Narrow" w:hAnsi="Arial Narrow"/>
                <w:b/>
                <w:bCs/>
                <w:color w:val="333333"/>
                <w:sz w:val="18"/>
                <w:szCs w:val="18"/>
              </w:rPr>
              <w:t>Indication:</w:t>
            </w:r>
            <w:r w:rsidRPr="00DE02FA">
              <w:rPr>
                <w:rFonts w:ascii="Arial Narrow" w:hAnsi="Arial Narrow"/>
                <w:color w:val="333333"/>
                <w:sz w:val="18"/>
                <w:szCs w:val="18"/>
              </w:rPr>
              <w:t xml:space="preserve"> </w:t>
            </w:r>
            <w:r w:rsidRPr="00DE02FA">
              <w:rPr>
                <w:rFonts w:ascii="Arial Narrow" w:hAnsi="Arial Narrow" w:cstheme="minorHAnsi"/>
                <w:strike/>
                <w:sz w:val="18"/>
                <w:szCs w:val="18"/>
              </w:rPr>
              <w:t>The treatment of</w:t>
            </w:r>
            <w:r w:rsidRPr="00DE02FA">
              <w:rPr>
                <w:rFonts w:ascii="Arial Narrow" w:hAnsi="Arial Narrow" w:cstheme="minorHAnsi"/>
                <w:sz w:val="18"/>
                <w:szCs w:val="18"/>
              </w:rPr>
              <w:t xml:space="preserve"> </w:t>
            </w:r>
            <w:r w:rsidR="003B12E2" w:rsidRPr="00DE02FA">
              <w:rPr>
                <w:rFonts w:ascii="Arial Narrow" w:hAnsi="Arial Narrow" w:cstheme="minorHAnsi"/>
                <w:i/>
                <w:sz w:val="18"/>
                <w:szCs w:val="18"/>
              </w:rPr>
              <w:t>S</w:t>
            </w:r>
            <w:r w:rsidRPr="00DE02FA">
              <w:rPr>
                <w:rFonts w:ascii="Arial Narrow" w:hAnsi="Arial Narrow" w:cstheme="minorHAnsi"/>
                <w:sz w:val="18"/>
                <w:szCs w:val="18"/>
              </w:rPr>
              <w:t>evere dry eye syndrome</w:t>
            </w:r>
          </w:p>
        </w:tc>
      </w:tr>
      <w:tr w:rsidR="00106D26" w:rsidRPr="00DE02FA" w:rsidTr="0035274E">
        <w:tc>
          <w:tcPr>
            <w:tcW w:w="553" w:type="pct"/>
            <w:vAlign w:val="center"/>
          </w:tcPr>
          <w:p w:rsidR="00106D26" w:rsidRPr="00DE02FA" w:rsidRDefault="009D65E6" w:rsidP="0035274E">
            <w:pPr>
              <w:jc w:val="center"/>
              <w:rPr>
                <w:rFonts w:ascii="Arial Narrow" w:hAnsi="Arial Narrow"/>
                <w:color w:val="333333"/>
                <w:sz w:val="18"/>
                <w:szCs w:val="18"/>
              </w:rPr>
            </w:pPr>
            <w:r w:rsidRPr="00DE02FA">
              <w:rPr>
                <w:rFonts w:ascii="Arial Narrow" w:hAnsi="Arial Narrow"/>
                <w:color w:val="333333"/>
                <w:sz w:val="18"/>
                <w:szCs w:val="18"/>
              </w:rPr>
              <w:t>[7875]</w:t>
            </w:r>
          </w:p>
        </w:tc>
        <w:tc>
          <w:tcPr>
            <w:tcW w:w="4447" w:type="pct"/>
            <w:vAlign w:val="center"/>
            <w:hideMark/>
          </w:tcPr>
          <w:p w:rsidR="00106D26" w:rsidRPr="00DE02FA" w:rsidRDefault="00106D26" w:rsidP="0035274E">
            <w:pPr>
              <w:rPr>
                <w:rFonts w:ascii="Arial Narrow" w:hAnsi="Arial Narrow"/>
                <w:color w:val="333333"/>
                <w:sz w:val="18"/>
                <w:szCs w:val="18"/>
              </w:rPr>
            </w:pPr>
            <w:r w:rsidRPr="00DE02FA">
              <w:rPr>
                <w:rFonts w:ascii="Arial Narrow" w:hAnsi="Arial Narrow"/>
                <w:b/>
                <w:bCs/>
                <w:color w:val="333333"/>
                <w:sz w:val="18"/>
                <w:szCs w:val="18"/>
              </w:rPr>
              <w:t>Clinical criteria:</w:t>
            </w:r>
          </w:p>
        </w:tc>
      </w:tr>
      <w:tr w:rsidR="00106D26" w:rsidRPr="00DE02FA" w:rsidTr="0035274E">
        <w:tc>
          <w:tcPr>
            <w:tcW w:w="553" w:type="pct"/>
            <w:vAlign w:val="center"/>
          </w:tcPr>
          <w:p w:rsidR="00106D26" w:rsidRPr="00DE02FA" w:rsidRDefault="009D65E6" w:rsidP="0035274E">
            <w:pPr>
              <w:jc w:val="center"/>
              <w:rPr>
                <w:rFonts w:ascii="Arial Narrow" w:hAnsi="Arial Narrow"/>
                <w:color w:val="333333"/>
                <w:sz w:val="18"/>
                <w:szCs w:val="18"/>
              </w:rPr>
            </w:pPr>
            <w:r w:rsidRPr="00DE02FA">
              <w:rPr>
                <w:rFonts w:ascii="Arial Narrow" w:hAnsi="Arial Narrow"/>
                <w:color w:val="333333"/>
                <w:sz w:val="18"/>
                <w:szCs w:val="18"/>
              </w:rPr>
              <w:t>[7874]</w:t>
            </w:r>
          </w:p>
        </w:tc>
        <w:tc>
          <w:tcPr>
            <w:tcW w:w="4447" w:type="pct"/>
            <w:hideMark/>
          </w:tcPr>
          <w:p w:rsidR="00106D26" w:rsidRPr="00DE02FA" w:rsidRDefault="00106D26" w:rsidP="0035274E">
            <w:pPr>
              <w:jc w:val="left"/>
              <w:rPr>
                <w:rFonts w:ascii="Arial Narrow" w:hAnsi="Arial Narrow"/>
                <w:color w:val="333333"/>
                <w:sz w:val="18"/>
                <w:szCs w:val="18"/>
              </w:rPr>
            </w:pPr>
            <w:r w:rsidRPr="00DE02FA">
              <w:rPr>
                <w:rFonts w:ascii="Arial Narrow" w:hAnsi="Arial Narrow" w:cstheme="minorHAnsi"/>
                <w:sz w:val="18"/>
                <w:szCs w:val="18"/>
              </w:rPr>
              <w:t>Patient must be sensitive to preservatives in multi-dose eye drops</w:t>
            </w:r>
          </w:p>
        </w:tc>
      </w:tr>
      <w:tr w:rsidR="00106D26" w:rsidRPr="00DE02FA" w:rsidTr="0035274E">
        <w:tc>
          <w:tcPr>
            <w:tcW w:w="553" w:type="pct"/>
            <w:vAlign w:val="center"/>
          </w:tcPr>
          <w:p w:rsidR="00106D26" w:rsidRPr="00DE02FA" w:rsidRDefault="007F7743" w:rsidP="0035274E">
            <w:pPr>
              <w:jc w:val="center"/>
              <w:rPr>
                <w:rFonts w:ascii="Arial Narrow" w:hAnsi="Arial Narrow"/>
                <w:i/>
                <w:iCs/>
                <w:color w:val="333333"/>
                <w:sz w:val="18"/>
                <w:szCs w:val="18"/>
              </w:rPr>
            </w:pPr>
            <w:r w:rsidRPr="00DE02FA">
              <w:rPr>
                <w:rFonts w:ascii="Arial Narrow" w:hAnsi="Arial Narrow"/>
                <w:i/>
                <w:iCs/>
                <w:color w:val="333333"/>
                <w:sz w:val="18"/>
                <w:szCs w:val="18"/>
              </w:rPr>
              <w:t>[26237</w:t>
            </w:r>
            <w:r w:rsidR="008D5ADA" w:rsidRPr="00DE02FA">
              <w:rPr>
                <w:rFonts w:ascii="Arial Narrow" w:hAnsi="Arial Narrow"/>
                <w:i/>
                <w:iCs/>
                <w:color w:val="333333"/>
                <w:sz w:val="18"/>
                <w:szCs w:val="18"/>
              </w:rPr>
              <w:t>]</w:t>
            </w:r>
          </w:p>
        </w:tc>
        <w:tc>
          <w:tcPr>
            <w:tcW w:w="4447" w:type="pct"/>
            <w:vAlign w:val="center"/>
            <w:hideMark/>
          </w:tcPr>
          <w:p w:rsidR="00106D26" w:rsidRPr="00DE02FA" w:rsidRDefault="00106D26" w:rsidP="0035274E">
            <w:pPr>
              <w:rPr>
                <w:rFonts w:ascii="Arial Narrow" w:hAnsi="Arial Narrow"/>
                <w:b/>
                <w:bCs/>
                <w:i/>
                <w:color w:val="333333"/>
                <w:sz w:val="18"/>
                <w:szCs w:val="18"/>
              </w:rPr>
            </w:pPr>
            <w:r w:rsidRPr="00DE02FA">
              <w:rPr>
                <w:rFonts w:ascii="Arial Narrow" w:hAnsi="Arial Narrow"/>
                <w:b/>
                <w:bCs/>
                <w:i/>
                <w:color w:val="333333"/>
                <w:sz w:val="18"/>
                <w:szCs w:val="18"/>
              </w:rPr>
              <w:t>Administrative Advice:</w:t>
            </w:r>
          </w:p>
          <w:p w:rsidR="00106D26" w:rsidRPr="00DE02FA" w:rsidRDefault="00106D26" w:rsidP="0035274E">
            <w:pPr>
              <w:rPr>
                <w:rFonts w:ascii="Arial Narrow" w:hAnsi="Arial Narrow"/>
                <w:i/>
                <w:iCs/>
                <w:color w:val="333333"/>
                <w:sz w:val="18"/>
                <w:szCs w:val="18"/>
              </w:rPr>
            </w:pPr>
            <w:r w:rsidRPr="00DE02FA">
              <w:rPr>
                <w:rFonts w:ascii="Arial Narrow" w:hAnsi="Arial Narrow" w:cs="Arial"/>
                <w:i/>
                <w:iCs/>
                <w:sz w:val="18"/>
                <w:szCs w:val="18"/>
              </w:rPr>
              <w:t xml:space="preserve">The in-use shelf life of </w:t>
            </w:r>
            <w:r w:rsidR="007F7743" w:rsidRPr="00DE02FA">
              <w:rPr>
                <w:rFonts w:ascii="Arial Narrow" w:eastAsia="Calibri" w:hAnsi="Arial Narrow"/>
                <w:i/>
                <w:iCs/>
                <w:sz w:val="18"/>
                <w:szCs w:val="18"/>
                <w:lang w:eastAsia="en-US"/>
              </w:rPr>
              <w:t>Cationorm</w:t>
            </w:r>
            <w:r w:rsidRPr="00DE02FA">
              <w:rPr>
                <w:rFonts w:ascii="Arial Narrow" w:eastAsia="Calibri" w:hAnsi="Arial Narrow"/>
                <w:i/>
                <w:iCs/>
                <w:sz w:val="18"/>
                <w:szCs w:val="18"/>
                <w:lang w:eastAsia="en-US"/>
              </w:rPr>
              <w:t xml:space="preserve"> </w:t>
            </w:r>
            <w:r w:rsidRPr="00DE02FA">
              <w:rPr>
                <w:rFonts w:ascii="Arial Narrow" w:hAnsi="Arial Narrow" w:cs="Arial"/>
                <w:i/>
                <w:iCs/>
                <w:sz w:val="18"/>
                <w:szCs w:val="18"/>
              </w:rPr>
              <w:t>is 3 months from the date of opening.</w:t>
            </w:r>
          </w:p>
        </w:tc>
      </w:tr>
    </w:tbl>
    <w:p w:rsidR="00DC59C2" w:rsidRPr="00870890" w:rsidRDefault="00DC59C2" w:rsidP="00870890">
      <w:pPr>
        <w:pStyle w:val="Bodytextitalics"/>
        <w:spacing w:before="120"/>
        <w:ind w:left="709"/>
      </w:pPr>
      <w:r w:rsidRPr="00870890">
        <w:t>For more deta</w:t>
      </w:r>
      <w:r w:rsidR="005678D8" w:rsidRPr="00870890">
        <w:t>il on PBAC’s view, see section 6</w:t>
      </w:r>
      <w:r w:rsidRPr="00870890">
        <w:t xml:space="preserve"> PBAC outcome.</w:t>
      </w:r>
    </w:p>
    <w:p w:rsidR="007C6D32" w:rsidRPr="00DE02FA" w:rsidRDefault="007C6D32" w:rsidP="00870890">
      <w:pPr>
        <w:pStyle w:val="Heading1"/>
        <w:keepNext/>
        <w:keepLines/>
        <w:numPr>
          <w:ilvl w:val="0"/>
          <w:numId w:val="3"/>
        </w:numPr>
        <w:spacing w:before="240"/>
        <w:ind w:left="709" w:hanging="709"/>
      </w:pPr>
      <w:r w:rsidRPr="00DE02FA">
        <w:rPr>
          <w:sz w:val="32"/>
          <w:szCs w:val="32"/>
        </w:rPr>
        <w:t>Comparator</w:t>
      </w:r>
    </w:p>
    <w:p w:rsidR="007C6D32" w:rsidRPr="00DE02FA" w:rsidRDefault="007C6D32" w:rsidP="00870890">
      <w:pPr>
        <w:pStyle w:val="3Bodytext"/>
        <w:keepNext/>
        <w:keepLines/>
      </w:pPr>
      <w:r w:rsidRPr="00DE02FA">
        <w:t>The minor submission nominated preservative-free, multi-dose ocular lubricants currently listed on the PBS as the comparator</w:t>
      </w:r>
      <w:r w:rsidR="00464E64" w:rsidRPr="00DE02FA">
        <w:t>s</w:t>
      </w:r>
      <w:r w:rsidRPr="00DE02FA">
        <w:t xml:space="preserve"> to </w:t>
      </w:r>
      <w:r w:rsidR="005F1F53" w:rsidRPr="00DE02FA">
        <w:t>C</w:t>
      </w:r>
      <w:r w:rsidRPr="00DE02FA">
        <w:t xml:space="preserve">ationorm. </w:t>
      </w:r>
    </w:p>
    <w:p w:rsidR="00DC59C2" w:rsidRPr="00870890" w:rsidRDefault="00DC59C2" w:rsidP="00870890">
      <w:pPr>
        <w:pStyle w:val="Bodytextitalics"/>
        <w:keepNext/>
        <w:keepLines/>
        <w:spacing w:before="120"/>
        <w:ind w:left="709"/>
      </w:pPr>
      <w:r w:rsidRPr="00870890">
        <w:t>For more deta</w:t>
      </w:r>
      <w:r w:rsidR="005678D8" w:rsidRPr="00870890">
        <w:t>il on PBAC’s view, see section 6</w:t>
      </w:r>
      <w:r w:rsidRPr="00870890">
        <w:t xml:space="preserve"> PBAC outcome.</w:t>
      </w:r>
    </w:p>
    <w:p w:rsidR="000B558D" w:rsidRPr="00DE02FA" w:rsidRDefault="008D7A41" w:rsidP="00B67767">
      <w:pPr>
        <w:pStyle w:val="Heading1"/>
        <w:keepLines/>
        <w:numPr>
          <w:ilvl w:val="0"/>
          <w:numId w:val="3"/>
        </w:numPr>
        <w:spacing w:before="240"/>
        <w:ind w:left="709" w:hanging="709"/>
        <w:rPr>
          <w:sz w:val="32"/>
          <w:szCs w:val="32"/>
        </w:rPr>
      </w:pPr>
      <w:r w:rsidRPr="00DE02FA">
        <w:rPr>
          <w:sz w:val="32"/>
          <w:szCs w:val="32"/>
        </w:rPr>
        <w:t>C</w:t>
      </w:r>
      <w:r w:rsidR="00D84934" w:rsidRPr="00DE02FA">
        <w:rPr>
          <w:sz w:val="32"/>
          <w:szCs w:val="32"/>
        </w:rPr>
        <w:t>onsideration of the evidence</w:t>
      </w:r>
    </w:p>
    <w:p w:rsidR="00854B40" w:rsidRPr="00DE02FA" w:rsidRDefault="00854B40" w:rsidP="00854B40">
      <w:pPr>
        <w:pStyle w:val="4-SubsectionHeading"/>
        <w:keepNext w:val="0"/>
        <w:rPr>
          <w:lang w:eastAsia="en-US"/>
        </w:rPr>
      </w:pPr>
      <w:r w:rsidRPr="00DE02FA">
        <w:rPr>
          <w:lang w:eastAsia="en-US"/>
        </w:rPr>
        <w:t>Sponsor hearing</w:t>
      </w:r>
    </w:p>
    <w:p w:rsidR="00854B40" w:rsidRPr="00DE02FA" w:rsidRDefault="00854B40" w:rsidP="00870890">
      <w:pPr>
        <w:pStyle w:val="3Bodytext"/>
      </w:pPr>
      <w:r w:rsidRPr="00DE02FA">
        <w:t>There was no hearing for this item as it was a minor submission.</w:t>
      </w:r>
    </w:p>
    <w:p w:rsidR="00287A0B" w:rsidRPr="00DE02FA" w:rsidRDefault="00287A0B" w:rsidP="00287A0B">
      <w:pPr>
        <w:pStyle w:val="4-SubsectionHeading"/>
        <w:keepNext w:val="0"/>
        <w:rPr>
          <w:lang w:eastAsia="en-US"/>
        </w:rPr>
      </w:pPr>
      <w:r w:rsidRPr="00DE02FA">
        <w:rPr>
          <w:lang w:eastAsia="en-US"/>
        </w:rPr>
        <w:t>Consumer comments</w:t>
      </w:r>
    </w:p>
    <w:p w:rsidR="00B86B03" w:rsidRPr="00DE02FA" w:rsidRDefault="00B86B03" w:rsidP="00B86B03">
      <w:pPr>
        <w:widowControl w:val="0"/>
        <w:numPr>
          <w:ilvl w:val="1"/>
          <w:numId w:val="1"/>
        </w:numPr>
        <w:spacing w:after="120"/>
        <w:ind w:left="720"/>
        <w:rPr>
          <w:rFonts w:asciiTheme="minorHAnsi" w:hAnsiTheme="minorHAnsi"/>
          <w:bCs/>
          <w:snapToGrid w:val="0"/>
        </w:rPr>
      </w:pPr>
      <w:r w:rsidRPr="00DE02FA">
        <w:rPr>
          <w:rFonts w:asciiTheme="minorHAnsi" w:hAnsiTheme="minorHAnsi"/>
          <w:bCs/>
          <w:snapToGrid w:val="0"/>
        </w:rPr>
        <w:t>The PBAC noted that no consumer comme</w:t>
      </w:r>
      <w:r w:rsidR="00843AF4" w:rsidRPr="00DE02FA">
        <w:rPr>
          <w:rFonts w:asciiTheme="minorHAnsi" w:hAnsiTheme="minorHAnsi"/>
          <w:bCs/>
          <w:snapToGrid w:val="0"/>
        </w:rPr>
        <w:t>nts were received for this item</w:t>
      </w:r>
      <w:r w:rsidRPr="00DE02FA">
        <w:rPr>
          <w:rFonts w:asciiTheme="minorHAnsi" w:hAnsiTheme="minorHAnsi"/>
          <w:bCs/>
          <w:snapToGrid w:val="0"/>
        </w:rPr>
        <w:t>.</w:t>
      </w:r>
    </w:p>
    <w:p w:rsidR="00D84934" w:rsidRPr="00DE02FA" w:rsidRDefault="00D84934" w:rsidP="00F37ECA">
      <w:pPr>
        <w:pStyle w:val="4-SubsectionHeading"/>
        <w:keepNext w:val="0"/>
        <w:rPr>
          <w:lang w:eastAsia="en-US"/>
        </w:rPr>
      </w:pPr>
      <w:r w:rsidRPr="00DE02FA">
        <w:rPr>
          <w:lang w:eastAsia="en-US"/>
        </w:rPr>
        <w:lastRenderedPageBreak/>
        <w:t>Clinical trials</w:t>
      </w:r>
      <w:r w:rsidR="0099465B" w:rsidRPr="00DE02FA">
        <w:rPr>
          <w:lang w:eastAsia="en-US"/>
        </w:rPr>
        <w:t xml:space="preserve"> </w:t>
      </w:r>
    </w:p>
    <w:p w:rsidR="0076420C" w:rsidRPr="00DE02FA" w:rsidRDefault="00980B0E" w:rsidP="00870890">
      <w:pPr>
        <w:pStyle w:val="3Bodytext"/>
      </w:pPr>
      <w:r w:rsidRPr="00DE02FA">
        <w:t xml:space="preserve">The minor submission was based on </w:t>
      </w:r>
      <w:r w:rsidR="00482C5E" w:rsidRPr="00DE02FA">
        <w:t>two clinical trials comparing C</w:t>
      </w:r>
      <w:r w:rsidR="00A0721C" w:rsidRPr="00DE02FA">
        <w:t>ationorm</w:t>
      </w:r>
      <w:r w:rsidR="0019218F" w:rsidRPr="00DE02FA">
        <w:t xml:space="preserve"> with</w:t>
      </w:r>
      <w:r w:rsidR="00A0721C" w:rsidRPr="00DE02FA">
        <w:t xml:space="preserve"> preservative-free ocular lubricant</w:t>
      </w:r>
      <w:r w:rsidR="0019218F" w:rsidRPr="00DE02FA">
        <w:t>s</w:t>
      </w:r>
      <w:r w:rsidR="00A0721C" w:rsidRPr="00DE02FA">
        <w:t xml:space="preserve"> (Refresh® and Vismed®) </w:t>
      </w:r>
      <w:r w:rsidR="005C3D43" w:rsidRPr="00DE02FA">
        <w:t xml:space="preserve">to demonstrate </w:t>
      </w:r>
      <w:r w:rsidR="00D010EF" w:rsidRPr="00DE02FA">
        <w:t xml:space="preserve">that </w:t>
      </w:r>
      <w:r w:rsidR="008D077C" w:rsidRPr="00DE02FA">
        <w:t>C</w:t>
      </w:r>
      <w:r w:rsidR="005C3D43" w:rsidRPr="00DE02FA">
        <w:t>ationorm is at least non</w:t>
      </w:r>
      <w:r w:rsidR="00540417" w:rsidRPr="00DE02FA">
        <w:noBreakHyphen/>
      </w:r>
      <w:r w:rsidR="005C3D43" w:rsidRPr="00DE02FA">
        <w:t xml:space="preserve">inferior in terms of efficacy and safety compared with other preservative-free ocular lubricants </w:t>
      </w:r>
      <w:r w:rsidR="001B288F" w:rsidRPr="00DE02FA">
        <w:t xml:space="preserve">in patients with </w:t>
      </w:r>
      <w:r w:rsidR="00AB0F24" w:rsidRPr="00DE02FA">
        <w:t>dry eye disease (</w:t>
      </w:r>
      <w:r w:rsidR="001B288F" w:rsidRPr="00DE02FA">
        <w:t>DED</w:t>
      </w:r>
      <w:r w:rsidR="00AB0F24" w:rsidRPr="00DE02FA">
        <w:t>)</w:t>
      </w:r>
      <w:r w:rsidR="001B288F" w:rsidRPr="00DE02FA">
        <w:t xml:space="preserve">. </w:t>
      </w:r>
      <w:r w:rsidR="00A06E8C" w:rsidRPr="00DE02FA">
        <w:t>However, t</w:t>
      </w:r>
      <w:r w:rsidR="00C40C9E" w:rsidRPr="00DE02FA">
        <w:t xml:space="preserve">he submission noted that no clinical evidence was presented to support the </w:t>
      </w:r>
      <w:r w:rsidR="00F40B8F" w:rsidRPr="00DE02FA">
        <w:t xml:space="preserve">claim of </w:t>
      </w:r>
      <w:r w:rsidR="00C40C9E" w:rsidRPr="00DE02FA">
        <w:t>non-inferiority</w:t>
      </w:r>
      <w:r w:rsidR="00F40B8F" w:rsidRPr="00DE02FA">
        <w:t xml:space="preserve"> for</w:t>
      </w:r>
      <w:r w:rsidR="00C40C9E" w:rsidRPr="00DE02FA">
        <w:t xml:space="preserve"> efficacy and safety in the </w:t>
      </w:r>
      <w:r w:rsidR="00CF5A56" w:rsidRPr="00DE02FA">
        <w:t xml:space="preserve">recent considerations </w:t>
      </w:r>
      <w:r w:rsidR="00C40C9E" w:rsidRPr="00DE02FA">
        <w:t>of preservative-free</w:t>
      </w:r>
      <w:r w:rsidR="0058342C" w:rsidRPr="00DE02FA">
        <w:t>,</w:t>
      </w:r>
      <w:r w:rsidR="00C40C9E" w:rsidRPr="00DE02FA">
        <w:t xml:space="preserve"> </w:t>
      </w:r>
      <w:r w:rsidR="0058342C" w:rsidRPr="00DE02FA">
        <w:t xml:space="preserve">multi-dose </w:t>
      </w:r>
      <w:r w:rsidR="00C40C9E" w:rsidRPr="00DE02FA">
        <w:t>ocular lubr</w:t>
      </w:r>
      <w:r w:rsidR="008F2C89" w:rsidRPr="00DE02FA">
        <w:t>icants (NovaTears</w:t>
      </w:r>
      <w:r w:rsidR="00C40C9E" w:rsidRPr="00DE02FA">
        <w:t xml:space="preserve"> PSD</w:t>
      </w:r>
      <w:r w:rsidR="008F2C89" w:rsidRPr="00DE02FA">
        <w:t xml:space="preserve"> March 2018; Evolve</w:t>
      </w:r>
      <w:r w:rsidR="00C40C9E" w:rsidRPr="00DE02FA">
        <w:t xml:space="preserve"> </w:t>
      </w:r>
      <w:r w:rsidR="00F87B60" w:rsidRPr="00DE02FA">
        <w:t>c</w:t>
      </w:r>
      <w:r w:rsidR="00C40C9E" w:rsidRPr="00DE02FA">
        <w:t xml:space="preserve">armellose and Evolve </w:t>
      </w:r>
      <w:r w:rsidR="00F87B60" w:rsidRPr="00DE02FA">
        <w:t>h</w:t>
      </w:r>
      <w:r w:rsidR="00C40C9E" w:rsidRPr="00DE02FA">
        <w:t xml:space="preserve">ypromellose PSD July 2019). </w:t>
      </w:r>
    </w:p>
    <w:p w:rsidR="0076420C" w:rsidRPr="00DE02FA" w:rsidRDefault="000F526A" w:rsidP="00870890">
      <w:pPr>
        <w:pStyle w:val="3Bodytext"/>
        <w:rPr>
          <w:i/>
        </w:rPr>
      </w:pPr>
      <w:r w:rsidRPr="00DE02FA">
        <w:t xml:space="preserve">A literature search was conducted to identify relevant </w:t>
      </w:r>
      <w:bookmarkStart w:id="1" w:name="_Hlk38289434"/>
      <w:r w:rsidRPr="00DE02FA">
        <w:t xml:space="preserve">randomised controlled trials </w:t>
      </w:r>
      <w:bookmarkEnd w:id="1"/>
      <w:r w:rsidRPr="00DE02FA">
        <w:t xml:space="preserve">(RCTs) evaluating the efficacy, tolerance, and safety of </w:t>
      </w:r>
      <w:r w:rsidR="00540417" w:rsidRPr="00DE02FA">
        <w:t>C</w:t>
      </w:r>
      <w:r w:rsidRPr="00DE02FA">
        <w:t>ationorm</w:t>
      </w:r>
      <w:r w:rsidR="003D6BFB" w:rsidRPr="00DE02FA">
        <w:t xml:space="preserve"> in patients with DED. </w:t>
      </w:r>
      <w:r w:rsidR="00980B0E" w:rsidRPr="00DE02FA">
        <w:t>Details of the trials presented in the submission are provided in the table below.</w:t>
      </w:r>
    </w:p>
    <w:p w:rsidR="00BF092C" w:rsidRPr="00DE02FA" w:rsidRDefault="00D2182B" w:rsidP="00870890">
      <w:pPr>
        <w:pStyle w:val="TableFigureHeading"/>
        <w:rPr>
          <w:i/>
          <w:iCs/>
        </w:rPr>
      </w:pPr>
      <w:r w:rsidRPr="00DE02FA">
        <w:t xml:space="preserve">Table </w:t>
      </w:r>
      <w:r w:rsidR="00E575BB" w:rsidRPr="005F5C7D">
        <w:t>1</w:t>
      </w:r>
      <w:r w:rsidRPr="00DE02FA">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re-submission"/>
      </w:tblPr>
      <w:tblGrid>
        <w:gridCol w:w="1414"/>
        <w:gridCol w:w="4167"/>
        <w:gridCol w:w="1718"/>
        <w:gridCol w:w="1717"/>
      </w:tblGrid>
      <w:tr w:rsidR="005A751A" w:rsidRPr="00DE02FA" w:rsidTr="00870890">
        <w:trPr>
          <w:cantSplit/>
          <w:trHeight w:val="539"/>
          <w:tblHeader/>
        </w:trPr>
        <w:tc>
          <w:tcPr>
            <w:tcW w:w="784" w:type="pct"/>
          </w:tcPr>
          <w:p w:rsidR="005A751A" w:rsidRPr="00DE02FA" w:rsidRDefault="005A751A" w:rsidP="00870890">
            <w:pPr>
              <w:pStyle w:val="TableText0"/>
              <w:keepLines/>
              <w:rPr>
                <w:b/>
                <w:szCs w:val="20"/>
              </w:rPr>
            </w:pPr>
            <w:r w:rsidRPr="00DE02FA">
              <w:rPr>
                <w:b/>
                <w:szCs w:val="20"/>
              </w:rPr>
              <w:t>Trial ID/First Author</w:t>
            </w:r>
          </w:p>
        </w:tc>
        <w:tc>
          <w:tcPr>
            <w:tcW w:w="2311" w:type="pct"/>
          </w:tcPr>
          <w:p w:rsidR="005A751A" w:rsidRPr="00DE02FA" w:rsidRDefault="005A751A" w:rsidP="00870890">
            <w:pPr>
              <w:pStyle w:val="TableText0"/>
              <w:keepLines/>
              <w:rPr>
                <w:b/>
                <w:szCs w:val="20"/>
              </w:rPr>
            </w:pPr>
            <w:r w:rsidRPr="00DE02FA">
              <w:rPr>
                <w:b/>
                <w:szCs w:val="20"/>
              </w:rPr>
              <w:t>Protocol title/ Publication title</w:t>
            </w:r>
          </w:p>
        </w:tc>
        <w:tc>
          <w:tcPr>
            <w:tcW w:w="953" w:type="pct"/>
          </w:tcPr>
          <w:p w:rsidR="005A751A" w:rsidRPr="00DE02FA" w:rsidRDefault="005A751A" w:rsidP="00870890">
            <w:pPr>
              <w:pStyle w:val="TableText0"/>
              <w:keepLines/>
              <w:rPr>
                <w:b/>
                <w:szCs w:val="20"/>
              </w:rPr>
            </w:pPr>
            <w:r w:rsidRPr="00DE02FA">
              <w:rPr>
                <w:b/>
                <w:szCs w:val="20"/>
              </w:rPr>
              <w:t>Publication citation</w:t>
            </w:r>
          </w:p>
        </w:tc>
        <w:tc>
          <w:tcPr>
            <w:tcW w:w="952" w:type="pct"/>
          </w:tcPr>
          <w:p w:rsidR="005A751A" w:rsidRPr="00DE02FA" w:rsidRDefault="005A751A" w:rsidP="00870890">
            <w:pPr>
              <w:pStyle w:val="TableText0"/>
              <w:keepLines/>
              <w:rPr>
                <w:b/>
                <w:szCs w:val="20"/>
              </w:rPr>
            </w:pPr>
            <w:r w:rsidRPr="00DE02FA">
              <w:rPr>
                <w:b/>
                <w:szCs w:val="20"/>
              </w:rPr>
              <w:t>Inclusion for clinical evaluation</w:t>
            </w:r>
          </w:p>
        </w:tc>
      </w:tr>
      <w:tr w:rsidR="005A751A" w:rsidRPr="00DE02FA" w:rsidTr="00870890">
        <w:trPr>
          <w:cantSplit/>
          <w:trHeight w:val="317"/>
        </w:trPr>
        <w:tc>
          <w:tcPr>
            <w:tcW w:w="784" w:type="pct"/>
          </w:tcPr>
          <w:p w:rsidR="005A751A" w:rsidRPr="00DE02FA" w:rsidRDefault="005A751A" w:rsidP="00870890">
            <w:pPr>
              <w:pStyle w:val="TableText0"/>
              <w:keepLines/>
              <w:rPr>
                <w:szCs w:val="20"/>
              </w:rPr>
            </w:pPr>
            <w:r w:rsidRPr="00DE02FA">
              <w:rPr>
                <w:szCs w:val="20"/>
              </w:rPr>
              <w:t xml:space="preserve">NVG07F105 / </w:t>
            </w:r>
            <w:r w:rsidRPr="00DE02FA">
              <w:rPr>
                <w:szCs w:val="20"/>
              </w:rPr>
              <w:br/>
              <w:t>Amrane (2014)</w:t>
            </w:r>
          </w:p>
        </w:tc>
        <w:tc>
          <w:tcPr>
            <w:tcW w:w="2311" w:type="pct"/>
          </w:tcPr>
          <w:p w:rsidR="005A751A" w:rsidRPr="00DE02FA" w:rsidRDefault="005A751A" w:rsidP="00870890">
            <w:pPr>
              <w:pStyle w:val="TableText0"/>
              <w:keepLines/>
              <w:rPr>
                <w:szCs w:val="20"/>
              </w:rPr>
            </w:pPr>
            <w:r w:rsidRPr="00DE02FA">
              <w:rPr>
                <w:szCs w:val="20"/>
              </w:rPr>
              <w:t>Evaluation of ocular tolerance and exploration of the efficacy of Cationorm 1% unpres</w:t>
            </w:r>
            <w:r w:rsidR="005F0BEF" w:rsidRPr="00DE02FA">
              <w:rPr>
                <w:szCs w:val="20"/>
              </w:rPr>
              <w:t>erved eye drops, versus Refresh</w:t>
            </w:r>
            <w:r w:rsidRPr="00DE02FA">
              <w:rPr>
                <w:szCs w:val="20"/>
              </w:rPr>
              <w:t xml:space="preserve"> in patients with bilateral mild to moderate dry eye syndrome. </w:t>
            </w:r>
          </w:p>
        </w:tc>
        <w:tc>
          <w:tcPr>
            <w:tcW w:w="953" w:type="pct"/>
          </w:tcPr>
          <w:p w:rsidR="005A751A" w:rsidRPr="00DE02FA" w:rsidRDefault="005A751A" w:rsidP="00870890">
            <w:pPr>
              <w:pStyle w:val="TableText0"/>
              <w:keepLines/>
              <w:rPr>
                <w:szCs w:val="20"/>
              </w:rPr>
            </w:pPr>
            <w:r w:rsidRPr="00DE02FA">
              <w:rPr>
                <w:szCs w:val="20"/>
              </w:rPr>
              <w:t>Clinical Study Report</w:t>
            </w:r>
            <w:r w:rsidR="00E61EB8" w:rsidRPr="00DE02FA">
              <w:rPr>
                <w:szCs w:val="20"/>
              </w:rPr>
              <w:t>,12 June 2008</w:t>
            </w:r>
          </w:p>
        </w:tc>
        <w:tc>
          <w:tcPr>
            <w:tcW w:w="952" w:type="pct"/>
          </w:tcPr>
          <w:p w:rsidR="005A751A" w:rsidRPr="00DE02FA" w:rsidRDefault="005A751A" w:rsidP="00870890">
            <w:pPr>
              <w:pStyle w:val="TableText0"/>
              <w:keepLines/>
              <w:rPr>
                <w:szCs w:val="20"/>
              </w:rPr>
            </w:pPr>
            <w:r w:rsidRPr="00DE02FA">
              <w:rPr>
                <w:szCs w:val="20"/>
              </w:rPr>
              <w:t>Included</w:t>
            </w:r>
          </w:p>
        </w:tc>
      </w:tr>
      <w:tr w:rsidR="005A751A" w:rsidRPr="00DE02FA" w:rsidTr="00870890">
        <w:trPr>
          <w:cantSplit/>
          <w:trHeight w:val="317"/>
        </w:trPr>
        <w:tc>
          <w:tcPr>
            <w:tcW w:w="784" w:type="pct"/>
          </w:tcPr>
          <w:p w:rsidR="005A751A" w:rsidRPr="00DE02FA" w:rsidRDefault="00E61EB8" w:rsidP="00870890">
            <w:pPr>
              <w:pStyle w:val="TableText0"/>
              <w:keepLines/>
              <w:rPr>
                <w:iCs/>
                <w:szCs w:val="20"/>
              </w:rPr>
            </w:pPr>
            <w:r w:rsidRPr="00DE02FA">
              <w:rPr>
                <w:iCs/>
                <w:szCs w:val="20"/>
              </w:rPr>
              <w:t xml:space="preserve">NVG07F105 / </w:t>
            </w:r>
            <w:r w:rsidRPr="00DE02FA">
              <w:rPr>
                <w:iCs/>
                <w:szCs w:val="20"/>
              </w:rPr>
              <w:br/>
              <w:t>Amrane (2014)</w:t>
            </w:r>
          </w:p>
        </w:tc>
        <w:tc>
          <w:tcPr>
            <w:tcW w:w="2311" w:type="pct"/>
          </w:tcPr>
          <w:p w:rsidR="005A751A" w:rsidRPr="00DE02FA" w:rsidRDefault="005A751A" w:rsidP="00870890">
            <w:pPr>
              <w:pStyle w:val="TableText0"/>
              <w:keepLines/>
              <w:rPr>
                <w:szCs w:val="20"/>
              </w:rPr>
            </w:pPr>
            <w:r w:rsidRPr="00DE02FA">
              <w:rPr>
                <w:szCs w:val="20"/>
              </w:rPr>
              <w:t xml:space="preserve">Amrane, M., et al. Ocular tolerability and efficacy of a cationic emulsion in patients with mild to moderate dry eye disease – A randomised comparative study. </w:t>
            </w:r>
          </w:p>
        </w:tc>
        <w:tc>
          <w:tcPr>
            <w:tcW w:w="953" w:type="pct"/>
          </w:tcPr>
          <w:p w:rsidR="005A751A" w:rsidRPr="00DE02FA" w:rsidRDefault="005A751A" w:rsidP="00870890">
            <w:pPr>
              <w:pStyle w:val="TableText0"/>
              <w:keepLines/>
              <w:rPr>
                <w:szCs w:val="20"/>
              </w:rPr>
            </w:pPr>
            <w:r w:rsidRPr="00DE02FA">
              <w:rPr>
                <w:i/>
                <w:iCs/>
                <w:szCs w:val="20"/>
              </w:rPr>
              <w:t>Journal Francais d'Ophtalmologie</w:t>
            </w:r>
            <w:r w:rsidRPr="00DE02FA">
              <w:rPr>
                <w:szCs w:val="20"/>
              </w:rPr>
              <w:t>, 2014;37(8):589-598</w:t>
            </w:r>
          </w:p>
        </w:tc>
        <w:tc>
          <w:tcPr>
            <w:tcW w:w="952" w:type="pct"/>
          </w:tcPr>
          <w:p w:rsidR="005A751A" w:rsidRPr="00DE02FA" w:rsidRDefault="005A751A" w:rsidP="00870890">
            <w:pPr>
              <w:pStyle w:val="TableText0"/>
              <w:keepLines/>
              <w:rPr>
                <w:iCs/>
                <w:szCs w:val="20"/>
              </w:rPr>
            </w:pPr>
            <w:r w:rsidRPr="00DE02FA">
              <w:rPr>
                <w:iCs/>
                <w:szCs w:val="20"/>
              </w:rPr>
              <w:t>Included</w:t>
            </w:r>
          </w:p>
        </w:tc>
      </w:tr>
      <w:tr w:rsidR="005A751A" w:rsidRPr="00DE02FA" w:rsidTr="00870890">
        <w:trPr>
          <w:cantSplit/>
          <w:trHeight w:val="317"/>
        </w:trPr>
        <w:tc>
          <w:tcPr>
            <w:tcW w:w="784" w:type="pct"/>
          </w:tcPr>
          <w:p w:rsidR="005A751A" w:rsidRPr="00DE02FA" w:rsidRDefault="005A751A" w:rsidP="00634CC7">
            <w:pPr>
              <w:pStyle w:val="TableText0"/>
              <w:keepLines/>
              <w:rPr>
                <w:szCs w:val="20"/>
              </w:rPr>
            </w:pPr>
            <w:r w:rsidRPr="00DE02FA">
              <w:rPr>
                <w:szCs w:val="20"/>
              </w:rPr>
              <w:t>NVG11F120 /</w:t>
            </w:r>
            <w:r w:rsidRPr="00DE02FA">
              <w:rPr>
                <w:szCs w:val="20"/>
              </w:rPr>
              <w:br/>
              <w:t>Robert (2016)</w:t>
            </w:r>
          </w:p>
        </w:tc>
        <w:tc>
          <w:tcPr>
            <w:tcW w:w="2311" w:type="pct"/>
          </w:tcPr>
          <w:p w:rsidR="005A751A" w:rsidRPr="00DE02FA" w:rsidRDefault="005A751A" w:rsidP="00634CC7">
            <w:pPr>
              <w:pStyle w:val="TableText0"/>
              <w:keepLines/>
              <w:rPr>
                <w:szCs w:val="20"/>
              </w:rPr>
            </w:pPr>
            <w:r w:rsidRPr="00DE02FA">
              <w:rPr>
                <w:szCs w:val="20"/>
              </w:rPr>
              <w:t xml:space="preserve">Robert, Pierre-Yves, et al. Efficacy and safety of a cationic emulsion in the treatment of moderate to severe dry eye disease: a randomized controlled study. </w:t>
            </w:r>
          </w:p>
        </w:tc>
        <w:tc>
          <w:tcPr>
            <w:tcW w:w="953" w:type="pct"/>
          </w:tcPr>
          <w:p w:rsidR="005A751A" w:rsidRPr="00DE02FA" w:rsidRDefault="005A751A" w:rsidP="00634CC7">
            <w:pPr>
              <w:pStyle w:val="TableText0"/>
              <w:keepLines/>
              <w:rPr>
                <w:szCs w:val="20"/>
              </w:rPr>
            </w:pPr>
            <w:r w:rsidRPr="00DE02FA">
              <w:rPr>
                <w:i/>
                <w:iCs/>
                <w:szCs w:val="20"/>
              </w:rPr>
              <w:t>European Journal of Ophthalmology</w:t>
            </w:r>
            <w:r w:rsidRPr="00DE02FA">
              <w:rPr>
                <w:szCs w:val="20"/>
              </w:rPr>
              <w:t>, 2016;26(6): 546-555</w:t>
            </w:r>
          </w:p>
        </w:tc>
        <w:tc>
          <w:tcPr>
            <w:tcW w:w="952" w:type="pct"/>
          </w:tcPr>
          <w:p w:rsidR="005A751A" w:rsidRPr="00DE02FA" w:rsidRDefault="005A751A" w:rsidP="00634CC7">
            <w:pPr>
              <w:pStyle w:val="TableText0"/>
              <w:keepLines/>
              <w:rPr>
                <w:szCs w:val="20"/>
              </w:rPr>
            </w:pPr>
            <w:r w:rsidRPr="00DE02FA">
              <w:rPr>
                <w:szCs w:val="20"/>
              </w:rPr>
              <w:t>Included</w:t>
            </w:r>
          </w:p>
        </w:tc>
      </w:tr>
      <w:tr w:rsidR="005A751A" w:rsidRPr="00DE02FA" w:rsidTr="00870890">
        <w:trPr>
          <w:cantSplit/>
        </w:trPr>
        <w:tc>
          <w:tcPr>
            <w:tcW w:w="5000" w:type="pct"/>
            <w:gridSpan w:val="4"/>
          </w:tcPr>
          <w:p w:rsidR="005A751A" w:rsidRPr="00DE02FA" w:rsidRDefault="005A751A" w:rsidP="00634CC7">
            <w:pPr>
              <w:pStyle w:val="TableText0"/>
              <w:keepLines/>
              <w:rPr>
                <w:b/>
                <w:szCs w:val="20"/>
              </w:rPr>
            </w:pPr>
            <w:r w:rsidRPr="00DE02FA">
              <w:rPr>
                <w:b/>
                <w:szCs w:val="20"/>
              </w:rPr>
              <w:t>Supplementary trial(s)</w:t>
            </w:r>
          </w:p>
        </w:tc>
      </w:tr>
      <w:tr w:rsidR="005A751A" w:rsidRPr="00DE02FA" w:rsidTr="00870890">
        <w:trPr>
          <w:cantSplit/>
        </w:trPr>
        <w:tc>
          <w:tcPr>
            <w:tcW w:w="784" w:type="pct"/>
          </w:tcPr>
          <w:p w:rsidR="005A751A" w:rsidRPr="00DE02FA" w:rsidRDefault="005A751A" w:rsidP="00634CC7">
            <w:pPr>
              <w:pStyle w:val="TableText0"/>
              <w:keepLines/>
              <w:rPr>
                <w:szCs w:val="20"/>
              </w:rPr>
            </w:pPr>
            <w:r w:rsidRPr="00DE02FA">
              <w:rPr>
                <w:szCs w:val="20"/>
              </w:rPr>
              <w:t>Study 07-50</w:t>
            </w:r>
          </w:p>
        </w:tc>
        <w:tc>
          <w:tcPr>
            <w:tcW w:w="2311" w:type="pct"/>
          </w:tcPr>
          <w:p w:rsidR="005A751A" w:rsidRPr="00DE02FA" w:rsidRDefault="005A751A" w:rsidP="00634CC7">
            <w:pPr>
              <w:pStyle w:val="TableText0"/>
              <w:keepLines/>
              <w:rPr>
                <w:szCs w:val="20"/>
              </w:rPr>
            </w:pPr>
            <w:r w:rsidRPr="00DE02FA">
              <w:rPr>
                <w:szCs w:val="20"/>
              </w:rPr>
              <w:t xml:space="preserve">Not available </w:t>
            </w:r>
          </w:p>
        </w:tc>
        <w:tc>
          <w:tcPr>
            <w:tcW w:w="953" w:type="pct"/>
          </w:tcPr>
          <w:p w:rsidR="005A751A" w:rsidRPr="00DE02FA" w:rsidRDefault="005A751A" w:rsidP="00634CC7">
            <w:pPr>
              <w:pStyle w:val="TableText0"/>
              <w:keepLines/>
              <w:rPr>
                <w:szCs w:val="20"/>
              </w:rPr>
            </w:pPr>
            <w:r w:rsidRPr="00DE02FA">
              <w:rPr>
                <w:szCs w:val="20"/>
              </w:rPr>
              <w:t>Clinical Study Report</w:t>
            </w:r>
          </w:p>
        </w:tc>
        <w:tc>
          <w:tcPr>
            <w:tcW w:w="952" w:type="pct"/>
          </w:tcPr>
          <w:p w:rsidR="005A751A" w:rsidRPr="00DE02FA" w:rsidRDefault="005A751A" w:rsidP="00634CC7">
            <w:pPr>
              <w:pStyle w:val="TableText0"/>
              <w:keepLines/>
              <w:rPr>
                <w:szCs w:val="20"/>
              </w:rPr>
            </w:pPr>
            <w:r w:rsidRPr="00DE02FA">
              <w:rPr>
                <w:szCs w:val="20"/>
              </w:rPr>
              <w:t>Exclude</w:t>
            </w:r>
            <w:r w:rsidR="00E61EB8" w:rsidRPr="00DE02FA">
              <w:rPr>
                <w:szCs w:val="20"/>
              </w:rPr>
              <w:t>d</w:t>
            </w:r>
            <w:r w:rsidRPr="00DE02FA">
              <w:rPr>
                <w:szCs w:val="20"/>
              </w:rPr>
              <w:t xml:space="preserve">; single-dose installation; </w:t>
            </w:r>
          </w:p>
        </w:tc>
      </w:tr>
      <w:tr w:rsidR="005A751A" w:rsidRPr="00DE02FA" w:rsidTr="00870890">
        <w:trPr>
          <w:cantSplit/>
        </w:trPr>
        <w:tc>
          <w:tcPr>
            <w:tcW w:w="784" w:type="pct"/>
          </w:tcPr>
          <w:p w:rsidR="005A751A" w:rsidRPr="00DE02FA" w:rsidRDefault="005A751A" w:rsidP="00634CC7">
            <w:pPr>
              <w:pStyle w:val="TableText0"/>
              <w:keepLines/>
              <w:rPr>
                <w:szCs w:val="20"/>
              </w:rPr>
            </w:pPr>
            <w:r w:rsidRPr="00DE02FA">
              <w:rPr>
                <w:szCs w:val="20"/>
              </w:rPr>
              <w:t>Aragona (2011)</w:t>
            </w:r>
          </w:p>
        </w:tc>
        <w:tc>
          <w:tcPr>
            <w:tcW w:w="2311" w:type="pct"/>
          </w:tcPr>
          <w:p w:rsidR="005A751A" w:rsidRPr="00DE02FA" w:rsidRDefault="005A751A" w:rsidP="00634CC7">
            <w:pPr>
              <w:pStyle w:val="TableText0"/>
              <w:keepLines/>
              <w:rPr>
                <w:szCs w:val="20"/>
              </w:rPr>
            </w:pPr>
            <w:r w:rsidRPr="00DE02FA">
              <w:rPr>
                <w:szCs w:val="20"/>
              </w:rPr>
              <w:t>Aragona, P., et al. Assessme</w:t>
            </w:r>
            <w:r w:rsidR="005F0BEF" w:rsidRPr="00DE02FA">
              <w:rPr>
                <w:szCs w:val="20"/>
              </w:rPr>
              <w:t>nt of the efficacy of Cationorm</w:t>
            </w:r>
            <w:r w:rsidRPr="00DE02FA">
              <w:rPr>
                <w:szCs w:val="20"/>
              </w:rPr>
              <w:t xml:space="preserve"> in patients with moderate dry eye compared with Optive® and Emustil® eye drops. </w:t>
            </w:r>
          </w:p>
        </w:tc>
        <w:tc>
          <w:tcPr>
            <w:tcW w:w="953" w:type="pct"/>
          </w:tcPr>
          <w:p w:rsidR="005A751A" w:rsidRPr="00DE02FA" w:rsidRDefault="00E61EB8" w:rsidP="00634CC7">
            <w:pPr>
              <w:pStyle w:val="TableText0"/>
              <w:keepLines/>
              <w:rPr>
                <w:szCs w:val="20"/>
              </w:rPr>
            </w:pPr>
            <w:r w:rsidRPr="00DE02FA">
              <w:rPr>
                <w:i/>
                <w:iCs/>
                <w:szCs w:val="20"/>
              </w:rPr>
              <w:t xml:space="preserve">Acta </w:t>
            </w:r>
            <w:r w:rsidR="005A751A" w:rsidRPr="00DE02FA">
              <w:rPr>
                <w:i/>
                <w:iCs/>
                <w:szCs w:val="20"/>
              </w:rPr>
              <w:t>Ophthalmologica</w:t>
            </w:r>
            <w:r w:rsidR="005A751A" w:rsidRPr="00DE02FA">
              <w:rPr>
                <w:szCs w:val="20"/>
              </w:rPr>
              <w:t>, 2011;89.</w:t>
            </w:r>
          </w:p>
        </w:tc>
        <w:tc>
          <w:tcPr>
            <w:tcW w:w="952" w:type="pct"/>
          </w:tcPr>
          <w:p w:rsidR="005A751A" w:rsidRPr="00DE02FA" w:rsidRDefault="005A751A" w:rsidP="00634CC7">
            <w:pPr>
              <w:pStyle w:val="TableText0"/>
              <w:keepLines/>
              <w:rPr>
                <w:szCs w:val="20"/>
              </w:rPr>
            </w:pPr>
            <w:r w:rsidRPr="00DE02FA">
              <w:rPr>
                <w:szCs w:val="20"/>
              </w:rPr>
              <w:t>Exclude</w:t>
            </w:r>
            <w:r w:rsidR="00E61EB8" w:rsidRPr="00DE02FA">
              <w:rPr>
                <w:szCs w:val="20"/>
              </w:rPr>
              <w:t>d</w:t>
            </w:r>
            <w:r w:rsidR="00A0721C" w:rsidRPr="00DE02FA">
              <w:rPr>
                <w:szCs w:val="20"/>
              </w:rPr>
              <w:t xml:space="preserve"> (abstract provided in Appendix</w:t>
            </w:r>
            <w:r w:rsidR="00D213FF" w:rsidRPr="00DE02FA">
              <w:rPr>
                <w:szCs w:val="20"/>
              </w:rPr>
              <w:t xml:space="preserve"> A</w:t>
            </w:r>
            <w:r w:rsidR="00A0721C" w:rsidRPr="00DE02FA">
              <w:rPr>
                <w:szCs w:val="20"/>
              </w:rPr>
              <w:t>)</w:t>
            </w:r>
          </w:p>
        </w:tc>
      </w:tr>
    </w:tbl>
    <w:p w:rsidR="0035274E" w:rsidRPr="00DE02FA" w:rsidRDefault="00840E55" w:rsidP="00870890">
      <w:pPr>
        <w:pStyle w:val="TableFigureFooter"/>
        <w:rPr>
          <w:b/>
        </w:rPr>
      </w:pPr>
      <w:r w:rsidRPr="00DE02FA">
        <w:t xml:space="preserve">Source: Table A2, p30 of the submission </w:t>
      </w:r>
    </w:p>
    <w:p w:rsidR="0090686A" w:rsidRPr="00DE02FA" w:rsidRDefault="0090686A" w:rsidP="00870890">
      <w:pPr>
        <w:pStyle w:val="3Bodytext"/>
        <w:rPr>
          <w:i/>
        </w:rPr>
      </w:pPr>
      <w:r w:rsidRPr="00DE02FA">
        <w:t xml:space="preserve">The pivotal </w:t>
      </w:r>
      <w:r w:rsidRPr="00DE02FA">
        <w:rPr>
          <w:rFonts w:ascii="Calibri" w:hAnsi="Calibri" w:cs="Calibri"/>
        </w:rPr>
        <w:t xml:space="preserve">studies </w:t>
      </w:r>
      <w:r w:rsidR="00A8283C" w:rsidRPr="00DE02FA">
        <w:rPr>
          <w:rFonts w:ascii="Calibri" w:hAnsi="Calibri" w:cs="Calibri"/>
        </w:rPr>
        <w:t>(Amrane 2014</w:t>
      </w:r>
      <w:r w:rsidR="00F65286" w:rsidRPr="00DE02FA">
        <w:rPr>
          <w:rFonts w:ascii="Calibri" w:hAnsi="Calibri" w:cs="Calibri"/>
        </w:rPr>
        <w:t xml:space="preserve"> and</w:t>
      </w:r>
      <w:r w:rsidR="00A8283C" w:rsidRPr="00DE02FA">
        <w:rPr>
          <w:rFonts w:ascii="Calibri" w:hAnsi="Calibri" w:cs="Calibri"/>
        </w:rPr>
        <w:t xml:space="preserve"> Robert 2016) </w:t>
      </w:r>
      <w:r w:rsidRPr="00DE02FA">
        <w:t xml:space="preserve">for </w:t>
      </w:r>
      <w:r w:rsidR="00540417" w:rsidRPr="00DE02FA">
        <w:rPr>
          <w:bCs/>
        </w:rPr>
        <w:t>C</w:t>
      </w:r>
      <w:r w:rsidRPr="00DE02FA">
        <w:rPr>
          <w:bCs/>
        </w:rPr>
        <w:t xml:space="preserve">ationorm used Cationorm </w:t>
      </w:r>
      <w:r w:rsidRPr="00DE02FA">
        <w:t xml:space="preserve">preservative free, </w:t>
      </w:r>
      <w:r w:rsidRPr="00DE02FA">
        <w:rPr>
          <w:bCs/>
        </w:rPr>
        <w:t xml:space="preserve">single-dose eye drops while the requested listing </w:t>
      </w:r>
      <w:r w:rsidR="00D61A96" w:rsidRPr="00DE02FA">
        <w:rPr>
          <w:bCs/>
        </w:rPr>
        <w:t>was</w:t>
      </w:r>
      <w:r w:rsidRPr="00DE02FA">
        <w:rPr>
          <w:bCs/>
        </w:rPr>
        <w:t xml:space="preserve"> for Cationorm preservative-free</w:t>
      </w:r>
      <w:r w:rsidR="00F65286" w:rsidRPr="00DE02FA">
        <w:rPr>
          <w:bCs/>
        </w:rPr>
        <w:t>,</w:t>
      </w:r>
      <w:r w:rsidRPr="00DE02FA">
        <w:rPr>
          <w:bCs/>
        </w:rPr>
        <w:t xml:space="preserve"> </w:t>
      </w:r>
      <w:r w:rsidRPr="00DE02FA">
        <w:t>multi-dose eye drops</w:t>
      </w:r>
      <w:r w:rsidR="00A8283C" w:rsidRPr="00DE02FA">
        <w:t xml:space="preserve">. The submission considered that the difference in pharmaceutical form used in the trials versus </w:t>
      </w:r>
      <w:r w:rsidR="00D61113" w:rsidRPr="00DE02FA">
        <w:t xml:space="preserve">Australian clinical practice </w:t>
      </w:r>
      <w:r w:rsidR="002068D2" w:rsidRPr="00DE02FA">
        <w:t>is expected to have no impact on the results of clinical evaluation given the same content in the both forms.</w:t>
      </w:r>
      <w:r w:rsidR="002068D2" w:rsidRPr="00DE02FA">
        <w:rPr>
          <w:i/>
        </w:rPr>
        <w:t xml:space="preserve"> </w:t>
      </w:r>
    </w:p>
    <w:p w:rsidR="00CF5A56" w:rsidRPr="00DE02FA" w:rsidRDefault="00E50883" w:rsidP="00870890">
      <w:pPr>
        <w:pStyle w:val="3Bodytext"/>
        <w:rPr>
          <w:i/>
          <w:snapToGrid w:val="0"/>
        </w:rPr>
      </w:pPr>
      <w:r w:rsidRPr="00DE02FA">
        <w:t>The comparator in Amrane 2014, Refresh,</w:t>
      </w:r>
      <w:r w:rsidR="00830807" w:rsidRPr="00DE02FA">
        <w:rPr>
          <w:rFonts w:ascii="Calibri" w:hAnsi="Calibri" w:cs="Calibri"/>
        </w:rPr>
        <w:t xml:space="preserve"> is not PBS listed</w:t>
      </w:r>
      <w:r w:rsidRPr="00DE02FA">
        <w:rPr>
          <w:rFonts w:ascii="Calibri" w:hAnsi="Calibri" w:cs="Calibri"/>
        </w:rPr>
        <w:t>. However,</w:t>
      </w:r>
      <w:r w:rsidR="00830807" w:rsidRPr="00DE02FA">
        <w:rPr>
          <w:rFonts w:ascii="Calibri" w:hAnsi="Calibri" w:cs="Calibri"/>
        </w:rPr>
        <w:t xml:space="preserve"> </w:t>
      </w:r>
      <w:r w:rsidR="00830807" w:rsidRPr="00DE02FA">
        <w:rPr>
          <w:snapToGrid w:val="0"/>
        </w:rPr>
        <w:t xml:space="preserve">the active ingredient in Refresh, polyvinyl alcohol, </w:t>
      </w:r>
      <w:r w:rsidR="005F0BEF" w:rsidRPr="00DE02FA">
        <w:rPr>
          <w:snapToGrid w:val="0"/>
        </w:rPr>
        <w:t xml:space="preserve">is </w:t>
      </w:r>
      <w:r w:rsidR="00830807" w:rsidRPr="00DE02FA">
        <w:rPr>
          <w:snapToGrid w:val="0"/>
        </w:rPr>
        <w:t xml:space="preserve">the same active ingredient in </w:t>
      </w:r>
      <w:r w:rsidR="005F0BEF" w:rsidRPr="00DE02FA">
        <w:rPr>
          <w:snapToGrid w:val="0"/>
        </w:rPr>
        <w:t>PBS</w:t>
      </w:r>
      <w:r w:rsidR="00B67BA3" w:rsidRPr="00DE02FA">
        <w:rPr>
          <w:snapToGrid w:val="0"/>
        </w:rPr>
        <w:t>-</w:t>
      </w:r>
      <w:r w:rsidR="005F0BEF" w:rsidRPr="00DE02FA">
        <w:rPr>
          <w:snapToGrid w:val="0"/>
        </w:rPr>
        <w:t xml:space="preserve">listed item </w:t>
      </w:r>
      <w:r w:rsidR="00830807" w:rsidRPr="00DE02FA">
        <w:rPr>
          <w:snapToGrid w:val="0"/>
        </w:rPr>
        <w:t xml:space="preserve">Liquifilm® </w:t>
      </w:r>
      <w:r w:rsidR="001378C2" w:rsidRPr="00DE02FA">
        <w:rPr>
          <w:snapToGrid w:val="0"/>
        </w:rPr>
        <w:t>Tears</w:t>
      </w:r>
      <w:r w:rsidR="001378C2" w:rsidRPr="00DE02FA">
        <w:rPr>
          <w:snapToGrid w:val="0"/>
          <w:vertAlign w:val="superscript"/>
        </w:rPr>
        <w:t>TM</w:t>
      </w:r>
      <w:r w:rsidR="007351A0" w:rsidRPr="00DE02FA">
        <w:rPr>
          <w:snapToGrid w:val="0"/>
          <w:vertAlign w:val="superscript"/>
        </w:rPr>
        <w:t xml:space="preserve"> </w:t>
      </w:r>
      <w:r w:rsidR="00CB2A7D" w:rsidRPr="00DE02FA">
        <w:rPr>
          <w:snapToGrid w:val="0"/>
        </w:rPr>
        <w:t>(</w:t>
      </w:r>
      <w:r w:rsidR="00CB2A7D" w:rsidRPr="00DE02FA">
        <w:t>preserved</w:t>
      </w:r>
      <w:r w:rsidR="00CB2A7D" w:rsidRPr="00DE02FA">
        <w:rPr>
          <w:snapToGrid w:val="0"/>
        </w:rPr>
        <w:t>)</w:t>
      </w:r>
      <w:r w:rsidR="00830807" w:rsidRPr="00DE02FA">
        <w:rPr>
          <w:snapToGrid w:val="0"/>
        </w:rPr>
        <w:t xml:space="preserve">. </w:t>
      </w:r>
      <w:r w:rsidR="00CF5A56" w:rsidRPr="00DE02FA">
        <w:rPr>
          <w:snapToGrid w:val="0"/>
        </w:rPr>
        <w:t>Similarly, Vismed®</w:t>
      </w:r>
      <w:r w:rsidR="00603B08" w:rsidRPr="00DE02FA">
        <w:rPr>
          <w:snapToGrid w:val="0"/>
        </w:rPr>
        <w:t xml:space="preserve"> </w:t>
      </w:r>
      <w:r w:rsidR="00CF5A56" w:rsidRPr="00DE02FA">
        <w:rPr>
          <w:snapToGrid w:val="0"/>
        </w:rPr>
        <w:t xml:space="preserve">as </w:t>
      </w:r>
      <w:r w:rsidR="002C0D64" w:rsidRPr="00DE02FA">
        <w:rPr>
          <w:snapToGrid w:val="0"/>
        </w:rPr>
        <w:t>comparator in Robert 2016</w:t>
      </w:r>
      <w:r w:rsidR="00CF5A56" w:rsidRPr="00DE02FA">
        <w:rPr>
          <w:snapToGrid w:val="0"/>
        </w:rPr>
        <w:t xml:space="preserve"> is </w:t>
      </w:r>
      <w:r w:rsidR="002C0D64" w:rsidRPr="00DE02FA">
        <w:rPr>
          <w:snapToGrid w:val="0"/>
        </w:rPr>
        <w:t xml:space="preserve">not </w:t>
      </w:r>
      <w:r w:rsidR="00552180" w:rsidRPr="00DE02FA">
        <w:rPr>
          <w:snapToGrid w:val="0"/>
        </w:rPr>
        <w:t xml:space="preserve">PBS </w:t>
      </w:r>
      <w:r w:rsidR="002C0D64" w:rsidRPr="00DE02FA">
        <w:rPr>
          <w:snapToGrid w:val="0"/>
        </w:rPr>
        <w:t>listed but</w:t>
      </w:r>
      <w:r w:rsidR="00CF5A56" w:rsidRPr="00DE02FA">
        <w:rPr>
          <w:snapToGrid w:val="0"/>
        </w:rPr>
        <w:t xml:space="preserve"> </w:t>
      </w:r>
      <w:r w:rsidR="00552180" w:rsidRPr="00DE02FA">
        <w:rPr>
          <w:snapToGrid w:val="0"/>
        </w:rPr>
        <w:t>contains the same active ingredient</w:t>
      </w:r>
      <w:r w:rsidR="000329E0" w:rsidRPr="00DE02FA">
        <w:rPr>
          <w:snapToGrid w:val="0"/>
        </w:rPr>
        <w:t xml:space="preserve"> of</w:t>
      </w:r>
      <w:r w:rsidR="00552180" w:rsidRPr="00DE02FA">
        <w:rPr>
          <w:snapToGrid w:val="0"/>
        </w:rPr>
        <w:t xml:space="preserve"> hyaluronate sodium (HS) as PBS</w:t>
      </w:r>
      <w:r w:rsidR="00B67BA3" w:rsidRPr="00DE02FA">
        <w:rPr>
          <w:snapToGrid w:val="0"/>
        </w:rPr>
        <w:t>-</w:t>
      </w:r>
      <w:r w:rsidR="00552180" w:rsidRPr="00DE02FA">
        <w:rPr>
          <w:snapToGrid w:val="0"/>
        </w:rPr>
        <w:t xml:space="preserve">listed item </w:t>
      </w:r>
      <w:r w:rsidR="00CF5A56" w:rsidRPr="00DE02FA">
        <w:rPr>
          <w:snapToGrid w:val="0"/>
        </w:rPr>
        <w:t>Hylo</w:t>
      </w:r>
      <w:r w:rsidR="00D5221C" w:rsidRPr="00DE02FA">
        <w:rPr>
          <w:snapToGrid w:val="0"/>
        </w:rPr>
        <w:t>®</w:t>
      </w:r>
      <w:r w:rsidR="00CF5A56" w:rsidRPr="00DE02FA">
        <w:rPr>
          <w:snapToGrid w:val="0"/>
        </w:rPr>
        <w:t xml:space="preserve">-Fresh </w:t>
      </w:r>
      <w:r w:rsidR="00552180" w:rsidRPr="00DE02FA">
        <w:rPr>
          <w:snapToGrid w:val="0"/>
        </w:rPr>
        <w:t>(noting the concentration</w:t>
      </w:r>
      <w:r w:rsidR="000D6659" w:rsidRPr="00DE02FA">
        <w:rPr>
          <w:snapToGrid w:val="0"/>
        </w:rPr>
        <w:t xml:space="preserve">s between these products are </w:t>
      </w:r>
      <w:r w:rsidR="000D6659" w:rsidRPr="00DE02FA">
        <w:rPr>
          <w:snapToGrid w:val="0"/>
        </w:rPr>
        <w:lastRenderedPageBreak/>
        <w:t>different)</w:t>
      </w:r>
      <w:r w:rsidR="002C0D64" w:rsidRPr="00DE02FA">
        <w:rPr>
          <w:snapToGrid w:val="0"/>
        </w:rPr>
        <w:t xml:space="preserve">. </w:t>
      </w:r>
      <w:r w:rsidR="00CF5A56" w:rsidRPr="00DE02FA">
        <w:rPr>
          <w:snapToGrid w:val="0"/>
        </w:rPr>
        <w:t xml:space="preserve">As such, </w:t>
      </w:r>
      <w:r w:rsidR="00350488" w:rsidRPr="00DE02FA">
        <w:rPr>
          <w:snapToGrid w:val="0"/>
        </w:rPr>
        <w:t xml:space="preserve">the submission considered </w:t>
      </w:r>
      <w:r w:rsidR="00CF5A56" w:rsidRPr="00DE02FA">
        <w:rPr>
          <w:snapToGrid w:val="0"/>
        </w:rPr>
        <w:t xml:space="preserve">the comparators in the </w:t>
      </w:r>
      <w:r w:rsidR="00350488" w:rsidRPr="00DE02FA">
        <w:rPr>
          <w:snapToGrid w:val="0"/>
        </w:rPr>
        <w:t>pivotal trials</w:t>
      </w:r>
      <w:r w:rsidR="00CF5A56" w:rsidRPr="00DE02FA">
        <w:rPr>
          <w:snapToGrid w:val="0"/>
        </w:rPr>
        <w:t xml:space="preserve"> </w:t>
      </w:r>
      <w:r w:rsidR="00350488" w:rsidRPr="00DE02FA">
        <w:rPr>
          <w:snapToGrid w:val="0"/>
        </w:rPr>
        <w:t xml:space="preserve">to be </w:t>
      </w:r>
      <w:r w:rsidR="00CF5A56" w:rsidRPr="00DE02FA">
        <w:rPr>
          <w:snapToGrid w:val="0"/>
        </w:rPr>
        <w:t xml:space="preserve">reasonable proxies of preservative-free </w:t>
      </w:r>
      <w:r w:rsidR="00350488" w:rsidRPr="00DE02FA">
        <w:t>ocular</w:t>
      </w:r>
      <w:r w:rsidR="00350488" w:rsidRPr="00DE02FA">
        <w:rPr>
          <w:snapToGrid w:val="0"/>
        </w:rPr>
        <w:t xml:space="preserve"> </w:t>
      </w:r>
      <w:r w:rsidR="00CF5A56" w:rsidRPr="00DE02FA">
        <w:rPr>
          <w:snapToGrid w:val="0"/>
        </w:rPr>
        <w:t>l</w:t>
      </w:r>
      <w:r w:rsidR="00350488" w:rsidRPr="00DE02FA">
        <w:rPr>
          <w:snapToGrid w:val="0"/>
        </w:rPr>
        <w:t>ubricants listed on the PBS.</w:t>
      </w:r>
      <w:r w:rsidR="00350488" w:rsidRPr="00DE02FA">
        <w:rPr>
          <w:i/>
          <w:snapToGrid w:val="0"/>
        </w:rPr>
        <w:t xml:space="preserve"> </w:t>
      </w:r>
    </w:p>
    <w:p w:rsidR="00CF5A56" w:rsidRPr="00DE02FA" w:rsidRDefault="00514A89" w:rsidP="00870890">
      <w:pPr>
        <w:pStyle w:val="3Bodytext"/>
        <w:rPr>
          <w:bCs/>
          <w:snapToGrid w:val="0"/>
        </w:rPr>
      </w:pPr>
      <w:r w:rsidRPr="00DE02FA">
        <w:t>The Amrane 2014</w:t>
      </w:r>
      <w:r w:rsidR="004148FE" w:rsidRPr="00DE02FA">
        <w:t xml:space="preserve"> study included patients with mild to moderate DED whereas the Robert 2016 study was based on the patient population who had </w:t>
      </w:r>
      <w:r w:rsidRPr="00DE02FA">
        <w:t>moderate to severe DED with keratitis or keratoconjunctivitis</w:t>
      </w:r>
      <w:r w:rsidR="00E125FF" w:rsidRPr="00DE02FA">
        <w:t>, which would</w:t>
      </w:r>
      <w:r w:rsidR="00E8760C" w:rsidRPr="00DE02FA">
        <w:t xml:space="preserve"> be </w:t>
      </w:r>
      <w:r w:rsidR="004148FE" w:rsidRPr="00DE02FA">
        <w:t>more applicable to the requested PBS population (severe DED)</w:t>
      </w:r>
      <w:r w:rsidRPr="00DE02FA">
        <w:t>.</w:t>
      </w:r>
    </w:p>
    <w:p w:rsidR="0035274E" w:rsidRPr="00DE02FA" w:rsidRDefault="0035274E" w:rsidP="00870890">
      <w:pPr>
        <w:pStyle w:val="3Bodytext"/>
      </w:pPr>
      <w:r w:rsidRPr="00DE02FA">
        <w:t xml:space="preserve">The key features of the studies are summarised in the table </w:t>
      </w:r>
      <w:r w:rsidR="005A751A" w:rsidRPr="00DE02FA">
        <w:t xml:space="preserve">below. </w:t>
      </w:r>
    </w:p>
    <w:p w:rsidR="0035274E" w:rsidRPr="00DE02FA" w:rsidRDefault="00E575BB" w:rsidP="00870890">
      <w:pPr>
        <w:pStyle w:val="TableFigureHeading"/>
        <w:rPr>
          <w:i/>
          <w:iCs/>
        </w:rPr>
      </w:pPr>
      <w:r w:rsidRPr="00DE02FA">
        <w:t xml:space="preserve">Table </w:t>
      </w:r>
      <w:r w:rsidRPr="005F5C7D">
        <w:t>2</w:t>
      </w:r>
      <w:r w:rsidR="0035274E" w:rsidRPr="00DE02F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1124"/>
        <w:gridCol w:w="1127"/>
        <w:gridCol w:w="849"/>
        <w:gridCol w:w="1197"/>
        <w:gridCol w:w="1199"/>
        <w:gridCol w:w="3520"/>
      </w:tblGrid>
      <w:tr w:rsidR="00257D81" w:rsidRPr="00DE02FA" w:rsidTr="00870890">
        <w:trPr>
          <w:tblHeader/>
        </w:trPr>
        <w:tc>
          <w:tcPr>
            <w:tcW w:w="623" w:type="pct"/>
            <w:tcBorders>
              <w:bottom w:val="single" w:sz="4" w:space="0" w:color="auto"/>
            </w:tcBorders>
            <w:shd w:val="clear" w:color="auto" w:fill="auto"/>
          </w:tcPr>
          <w:p w:rsidR="009C73AF" w:rsidRPr="005F5C7D" w:rsidRDefault="009C73AF" w:rsidP="00E575BB">
            <w:pPr>
              <w:pStyle w:val="Tabletext"/>
              <w:keepNext/>
              <w:keepLines/>
              <w:jc w:val="left"/>
              <w:rPr>
                <w:rFonts w:ascii="Arial Narrow" w:hAnsi="Arial Narrow"/>
                <w:b/>
              </w:rPr>
            </w:pPr>
            <w:r w:rsidRPr="00DE02FA">
              <w:rPr>
                <w:rFonts w:ascii="Arial Narrow" w:hAnsi="Arial Narrow"/>
                <w:b/>
              </w:rPr>
              <w:t>Trial ID/First Author</w:t>
            </w:r>
          </w:p>
        </w:tc>
        <w:tc>
          <w:tcPr>
            <w:tcW w:w="625" w:type="pct"/>
            <w:tcBorders>
              <w:bottom w:val="single" w:sz="4" w:space="0" w:color="auto"/>
            </w:tcBorders>
            <w:shd w:val="clear" w:color="auto" w:fill="auto"/>
          </w:tcPr>
          <w:p w:rsidR="009C73AF" w:rsidRPr="005F5C7D" w:rsidRDefault="009C73AF" w:rsidP="00E575BB">
            <w:pPr>
              <w:pStyle w:val="Tabletext"/>
              <w:keepNext/>
              <w:keepLines/>
              <w:jc w:val="left"/>
              <w:rPr>
                <w:rFonts w:ascii="Arial Narrow" w:hAnsi="Arial Narrow"/>
                <w:b/>
              </w:rPr>
            </w:pPr>
            <w:r w:rsidRPr="005F5C7D">
              <w:rPr>
                <w:rFonts w:ascii="Arial Narrow" w:hAnsi="Arial Narrow"/>
                <w:b/>
              </w:rPr>
              <w:t>Design</w:t>
            </w:r>
          </w:p>
        </w:tc>
        <w:tc>
          <w:tcPr>
            <w:tcW w:w="471" w:type="pct"/>
            <w:tcBorders>
              <w:bottom w:val="single" w:sz="4" w:space="0" w:color="auto"/>
            </w:tcBorders>
          </w:tcPr>
          <w:p w:rsidR="009C73AF" w:rsidRPr="005F5C7D" w:rsidRDefault="009C73AF" w:rsidP="00E575BB">
            <w:pPr>
              <w:pStyle w:val="Tabletext"/>
              <w:keepNext/>
              <w:keepLines/>
              <w:jc w:val="left"/>
              <w:rPr>
                <w:rFonts w:ascii="Arial Narrow" w:hAnsi="Arial Narrow"/>
                <w:b/>
              </w:rPr>
            </w:pPr>
            <w:r w:rsidRPr="005F5C7D">
              <w:rPr>
                <w:rFonts w:ascii="Arial Narrow" w:hAnsi="Arial Narrow"/>
                <w:b/>
              </w:rPr>
              <w:t>Duration</w:t>
            </w:r>
          </w:p>
        </w:tc>
        <w:tc>
          <w:tcPr>
            <w:tcW w:w="664" w:type="pct"/>
            <w:tcBorders>
              <w:bottom w:val="single" w:sz="4" w:space="0" w:color="auto"/>
            </w:tcBorders>
            <w:shd w:val="clear" w:color="auto" w:fill="auto"/>
          </w:tcPr>
          <w:p w:rsidR="009C73AF" w:rsidRPr="005F5C7D" w:rsidRDefault="009C73AF" w:rsidP="00E575BB">
            <w:pPr>
              <w:pStyle w:val="Tabletext"/>
              <w:keepNext/>
              <w:keepLines/>
              <w:jc w:val="left"/>
              <w:rPr>
                <w:rFonts w:ascii="Arial Narrow" w:hAnsi="Arial Narrow"/>
                <w:b/>
              </w:rPr>
            </w:pPr>
            <w:r w:rsidRPr="005F5C7D">
              <w:rPr>
                <w:rFonts w:ascii="Arial Narrow" w:hAnsi="Arial Narrow"/>
                <w:b/>
              </w:rPr>
              <w:t>Intervention</w:t>
            </w:r>
          </w:p>
        </w:tc>
        <w:tc>
          <w:tcPr>
            <w:tcW w:w="665" w:type="pct"/>
            <w:tcBorders>
              <w:bottom w:val="single" w:sz="4" w:space="0" w:color="auto"/>
            </w:tcBorders>
            <w:shd w:val="clear" w:color="auto" w:fill="auto"/>
          </w:tcPr>
          <w:p w:rsidR="009C73AF" w:rsidRPr="005F5C7D" w:rsidRDefault="009C73AF" w:rsidP="00E575BB">
            <w:pPr>
              <w:pStyle w:val="Tabletext"/>
              <w:keepNext/>
              <w:keepLines/>
              <w:jc w:val="left"/>
              <w:rPr>
                <w:rFonts w:ascii="Arial Narrow" w:hAnsi="Arial Narrow"/>
                <w:b/>
              </w:rPr>
            </w:pPr>
            <w:r w:rsidRPr="005F5C7D">
              <w:rPr>
                <w:rFonts w:ascii="Arial Narrow" w:hAnsi="Arial Narrow"/>
                <w:b/>
              </w:rPr>
              <w:t>Comparator</w:t>
            </w:r>
          </w:p>
        </w:tc>
        <w:tc>
          <w:tcPr>
            <w:tcW w:w="1952" w:type="pct"/>
            <w:tcBorders>
              <w:bottom w:val="single" w:sz="4" w:space="0" w:color="auto"/>
            </w:tcBorders>
            <w:shd w:val="clear" w:color="auto" w:fill="auto"/>
          </w:tcPr>
          <w:p w:rsidR="009C73AF" w:rsidRPr="005F5C7D" w:rsidRDefault="009C73AF" w:rsidP="00E575BB">
            <w:pPr>
              <w:pStyle w:val="Tabletext"/>
              <w:keepNext/>
              <w:keepLines/>
              <w:ind w:right="-91"/>
              <w:jc w:val="left"/>
              <w:rPr>
                <w:rFonts w:ascii="Arial Narrow" w:hAnsi="Arial Narrow"/>
                <w:b/>
              </w:rPr>
            </w:pPr>
            <w:r w:rsidRPr="005F5C7D">
              <w:rPr>
                <w:rFonts w:ascii="Arial Narrow" w:hAnsi="Arial Narrow"/>
                <w:b/>
              </w:rPr>
              <w:t>Patient population</w:t>
            </w:r>
          </w:p>
        </w:tc>
      </w:tr>
      <w:tr w:rsidR="00257D81" w:rsidRPr="00DE02FA" w:rsidTr="00870890">
        <w:tc>
          <w:tcPr>
            <w:tcW w:w="623" w:type="pct"/>
            <w:tcBorders>
              <w:bottom w:val="single" w:sz="4" w:space="0" w:color="auto"/>
            </w:tcBorders>
            <w:shd w:val="clear" w:color="auto" w:fill="auto"/>
          </w:tcPr>
          <w:p w:rsidR="009C73AF" w:rsidRPr="005F5C7D" w:rsidRDefault="009C73AF" w:rsidP="00E575BB">
            <w:pPr>
              <w:pStyle w:val="Tabletext"/>
              <w:keepNext/>
              <w:keepLines/>
              <w:jc w:val="left"/>
              <w:rPr>
                <w:rFonts w:ascii="Arial Narrow" w:hAnsi="Arial Narrow"/>
              </w:rPr>
            </w:pPr>
            <w:bookmarkStart w:id="2" w:name="_Hlk36131243"/>
            <w:r w:rsidRPr="00DE02FA">
              <w:rPr>
                <w:rFonts w:ascii="Arial Narrow" w:hAnsi="Arial Narrow"/>
              </w:rPr>
              <w:t>NVG07F105 / Amrane (2014)</w:t>
            </w:r>
            <w:bookmarkEnd w:id="2"/>
          </w:p>
        </w:tc>
        <w:tc>
          <w:tcPr>
            <w:tcW w:w="625" w:type="pct"/>
            <w:tcBorders>
              <w:bottom w:val="single" w:sz="4" w:space="0" w:color="auto"/>
            </w:tcBorders>
            <w:shd w:val="clear" w:color="auto" w:fill="auto"/>
          </w:tcPr>
          <w:p w:rsidR="009C73AF" w:rsidRPr="005F5C7D" w:rsidRDefault="00840E55" w:rsidP="00E575BB">
            <w:pPr>
              <w:pStyle w:val="Tabletext"/>
              <w:keepNext/>
              <w:keepLines/>
              <w:jc w:val="left"/>
              <w:rPr>
                <w:rFonts w:ascii="Arial Narrow" w:hAnsi="Arial Narrow"/>
                <w:iCs/>
              </w:rPr>
            </w:pPr>
            <w:r w:rsidRPr="00DE02FA">
              <w:rPr>
                <w:rFonts w:ascii="Arial Narrow" w:hAnsi="Arial Narrow"/>
              </w:rPr>
              <w:t>Randomised, open-label, multicentre</w:t>
            </w:r>
            <w:r w:rsidR="009C73AF" w:rsidRPr="00DE02FA">
              <w:rPr>
                <w:rFonts w:ascii="Arial Narrow" w:hAnsi="Arial Narrow"/>
              </w:rPr>
              <w:t>, Phase II</w:t>
            </w:r>
          </w:p>
        </w:tc>
        <w:tc>
          <w:tcPr>
            <w:tcW w:w="471" w:type="pct"/>
            <w:tcBorders>
              <w:bottom w:val="single" w:sz="4" w:space="0" w:color="auto"/>
            </w:tcBorders>
          </w:tcPr>
          <w:p w:rsidR="009C73AF" w:rsidRPr="005F5C7D" w:rsidRDefault="009C73AF" w:rsidP="00E575BB">
            <w:pPr>
              <w:pStyle w:val="Tabletext"/>
              <w:keepNext/>
              <w:keepLines/>
              <w:jc w:val="left"/>
              <w:rPr>
                <w:rFonts w:ascii="Arial Narrow" w:hAnsi="Arial Narrow"/>
              </w:rPr>
            </w:pPr>
            <w:r w:rsidRPr="00DE02FA">
              <w:rPr>
                <w:rFonts w:ascii="Arial Narrow" w:hAnsi="Arial Narrow"/>
              </w:rPr>
              <w:t>28 ± 3 days</w:t>
            </w:r>
          </w:p>
        </w:tc>
        <w:tc>
          <w:tcPr>
            <w:tcW w:w="664" w:type="pct"/>
            <w:tcBorders>
              <w:bottom w:val="single" w:sz="4" w:space="0" w:color="auto"/>
            </w:tcBorders>
            <w:shd w:val="clear" w:color="auto" w:fill="auto"/>
          </w:tcPr>
          <w:p w:rsidR="009C73AF" w:rsidRPr="00DE02FA" w:rsidRDefault="00552180" w:rsidP="00E575BB">
            <w:pPr>
              <w:pStyle w:val="TableTextcentred"/>
              <w:keepNext/>
              <w:keepLines/>
              <w:jc w:val="left"/>
              <w:rPr>
                <w:rFonts w:ascii="Arial Narrow" w:hAnsi="Arial Narrow"/>
                <w:sz w:val="20"/>
                <w:szCs w:val="20"/>
              </w:rPr>
            </w:pPr>
            <w:r w:rsidRPr="00DE02FA">
              <w:rPr>
                <w:rFonts w:ascii="Arial Narrow" w:hAnsi="Arial Narrow"/>
                <w:sz w:val="20"/>
                <w:szCs w:val="20"/>
              </w:rPr>
              <w:t>Cationorm</w:t>
            </w:r>
          </w:p>
          <w:p w:rsidR="009C73AF" w:rsidRPr="005F5C7D" w:rsidRDefault="009C73AF" w:rsidP="00E575BB">
            <w:pPr>
              <w:pStyle w:val="Tabletext"/>
              <w:keepNext/>
              <w:keepLines/>
              <w:jc w:val="left"/>
              <w:rPr>
                <w:rFonts w:ascii="Arial Narrow" w:hAnsi="Arial Narrow"/>
              </w:rPr>
            </w:pPr>
            <w:r w:rsidRPr="00DE02FA">
              <w:rPr>
                <w:rFonts w:ascii="Arial Narrow" w:hAnsi="Arial Narrow"/>
              </w:rPr>
              <w:t xml:space="preserve">1 drop per eye, </w:t>
            </w:r>
            <w:r w:rsidRPr="00DE02FA">
              <w:rPr>
                <w:rFonts w:ascii="Arial Narrow" w:hAnsi="Arial Narrow"/>
              </w:rPr>
              <w:br/>
              <w:t xml:space="preserve">4 times daily </w:t>
            </w:r>
            <w:r w:rsidRPr="00DE02FA">
              <w:rPr>
                <w:rFonts w:ascii="Arial Narrow" w:hAnsi="Arial Narrow"/>
              </w:rPr>
              <w:br/>
              <w:t>(n = 44)</w:t>
            </w:r>
          </w:p>
        </w:tc>
        <w:tc>
          <w:tcPr>
            <w:tcW w:w="665" w:type="pct"/>
            <w:tcBorders>
              <w:bottom w:val="single" w:sz="4" w:space="0" w:color="auto"/>
            </w:tcBorders>
            <w:shd w:val="clear" w:color="auto" w:fill="auto"/>
          </w:tcPr>
          <w:p w:rsidR="009C73AF" w:rsidRPr="005F5C7D" w:rsidRDefault="009C73AF" w:rsidP="00E575BB">
            <w:pPr>
              <w:pStyle w:val="Tabletext"/>
              <w:keepNext/>
              <w:keepLines/>
              <w:jc w:val="left"/>
              <w:rPr>
                <w:rFonts w:ascii="Arial Narrow" w:hAnsi="Arial Narrow"/>
              </w:rPr>
            </w:pPr>
            <w:r w:rsidRPr="00DE02FA">
              <w:rPr>
                <w:rFonts w:ascii="Arial Narrow" w:hAnsi="Arial Narrow"/>
              </w:rPr>
              <w:t>Refresh</w:t>
            </w:r>
            <w:r w:rsidR="00552180" w:rsidRPr="00DE02FA">
              <w:rPr>
                <w:rFonts w:ascii="Arial Narrow" w:hAnsi="Arial Narrow"/>
                <w:vertAlign w:val="superscript"/>
              </w:rPr>
              <w:t xml:space="preserve"> </w:t>
            </w:r>
            <w:r w:rsidRPr="00DE02FA">
              <w:rPr>
                <w:rFonts w:ascii="Arial Narrow" w:hAnsi="Arial Narrow"/>
              </w:rPr>
              <w:t xml:space="preserve">preservative-free, single-dose eye drops (PVA-P) 1 drop per eye, 4 times daily </w:t>
            </w:r>
            <w:r w:rsidRPr="00DE02FA">
              <w:rPr>
                <w:rFonts w:ascii="Arial Narrow" w:hAnsi="Arial Narrow"/>
              </w:rPr>
              <w:br/>
              <w:t>(n = 35)</w:t>
            </w:r>
          </w:p>
        </w:tc>
        <w:tc>
          <w:tcPr>
            <w:tcW w:w="1952" w:type="pct"/>
            <w:tcBorders>
              <w:bottom w:val="single" w:sz="4" w:space="0" w:color="auto"/>
            </w:tcBorders>
            <w:shd w:val="clear" w:color="auto" w:fill="auto"/>
          </w:tcPr>
          <w:p w:rsidR="009C73AF" w:rsidRPr="00DE02FA" w:rsidRDefault="009C73AF" w:rsidP="00E575BB">
            <w:pPr>
              <w:pStyle w:val="Tabletext"/>
              <w:keepNext/>
              <w:keepLines/>
              <w:ind w:left="-30" w:right="-91"/>
              <w:jc w:val="left"/>
              <w:rPr>
                <w:rFonts w:ascii="Arial Narrow" w:hAnsi="Arial Narrow"/>
              </w:rPr>
            </w:pPr>
            <w:r w:rsidRPr="00DE02FA">
              <w:rPr>
                <w:rFonts w:ascii="Arial Narrow" w:hAnsi="Arial Narrow"/>
              </w:rPr>
              <w:t xml:space="preserve">Patients with mild to moderate DED (n = 79); </w:t>
            </w:r>
            <w:r w:rsidR="00552180" w:rsidRPr="00DE02FA">
              <w:rPr>
                <w:rFonts w:ascii="Arial Narrow" w:hAnsi="Arial Narrow"/>
              </w:rPr>
              <w:t>Cationorm</w:t>
            </w:r>
            <w:r w:rsidRPr="00DE02FA">
              <w:rPr>
                <w:rFonts w:ascii="Arial Narrow" w:hAnsi="Arial Narrow"/>
              </w:rPr>
              <w:t xml:space="preserve"> vs PVA-P mean age (±SD): 61.3 yrs (±15.4) vs 61.9 yrs (±12.5); patients were well balanced at baseline with respect to objective signs (including TBUT, CFS, Lissamin gr</w:t>
            </w:r>
            <w:r w:rsidR="0040593F" w:rsidRPr="00DE02FA">
              <w:rPr>
                <w:rFonts w:ascii="Arial Narrow" w:hAnsi="Arial Narrow"/>
              </w:rPr>
              <w:t xml:space="preserve">een staining, Schirmer’s score) </w:t>
            </w:r>
            <w:r w:rsidRPr="00DE02FA">
              <w:rPr>
                <w:rFonts w:ascii="Arial Narrow" w:hAnsi="Arial Narrow"/>
              </w:rPr>
              <w:t>and subjective ocular symptoms</w:t>
            </w:r>
          </w:p>
        </w:tc>
      </w:tr>
      <w:tr w:rsidR="00257D81" w:rsidRPr="00DE02FA" w:rsidTr="00870890">
        <w:tc>
          <w:tcPr>
            <w:tcW w:w="623" w:type="pct"/>
            <w:shd w:val="clear" w:color="auto" w:fill="auto"/>
          </w:tcPr>
          <w:p w:rsidR="009C73AF" w:rsidRPr="005F5C7D" w:rsidRDefault="009C73AF" w:rsidP="00E575BB">
            <w:pPr>
              <w:pStyle w:val="Tabletext"/>
              <w:keepNext/>
              <w:keepLines/>
              <w:jc w:val="left"/>
              <w:rPr>
                <w:rFonts w:ascii="Arial Narrow" w:hAnsi="Arial Narrow"/>
              </w:rPr>
            </w:pPr>
            <w:bookmarkStart w:id="3" w:name="_Hlk36131258"/>
            <w:r w:rsidRPr="00DE02FA">
              <w:rPr>
                <w:rFonts w:ascii="Arial Narrow" w:hAnsi="Arial Narrow"/>
              </w:rPr>
              <w:t>NVG11F120 / Robert (2016</w:t>
            </w:r>
            <w:bookmarkEnd w:id="3"/>
            <w:r w:rsidRPr="00DE02FA">
              <w:rPr>
                <w:rFonts w:ascii="Arial Narrow" w:hAnsi="Arial Narrow"/>
              </w:rPr>
              <w:t>)</w:t>
            </w:r>
          </w:p>
        </w:tc>
        <w:tc>
          <w:tcPr>
            <w:tcW w:w="625" w:type="pct"/>
            <w:shd w:val="clear" w:color="auto" w:fill="auto"/>
          </w:tcPr>
          <w:p w:rsidR="009C73AF" w:rsidRPr="005F5C7D" w:rsidRDefault="00840E55" w:rsidP="00E575BB">
            <w:pPr>
              <w:pStyle w:val="Tabletext"/>
              <w:keepNext/>
              <w:keepLines/>
              <w:jc w:val="left"/>
              <w:rPr>
                <w:rFonts w:ascii="Arial Narrow" w:hAnsi="Arial Narrow"/>
              </w:rPr>
            </w:pPr>
            <w:r w:rsidRPr="00DE02FA">
              <w:rPr>
                <w:rFonts w:ascii="Arial Narrow" w:hAnsi="Arial Narrow"/>
              </w:rPr>
              <w:t>Randomised, multicentre, reference-controlled</w:t>
            </w:r>
            <w:r w:rsidR="009C73AF" w:rsidRPr="00DE02FA">
              <w:rPr>
                <w:rFonts w:ascii="Arial Narrow" w:hAnsi="Arial Narrow"/>
              </w:rPr>
              <w:t xml:space="preserve">, </w:t>
            </w:r>
            <w:r w:rsidRPr="00DE02FA">
              <w:rPr>
                <w:rFonts w:ascii="Arial Narrow" w:hAnsi="Arial Narrow"/>
              </w:rPr>
              <w:t>parallel-group, investigator-masked</w:t>
            </w:r>
            <w:r w:rsidR="009C73AF" w:rsidRPr="00DE02FA">
              <w:rPr>
                <w:rFonts w:ascii="Arial Narrow" w:hAnsi="Arial Narrow"/>
              </w:rPr>
              <w:t>, Phase III</w:t>
            </w:r>
          </w:p>
        </w:tc>
        <w:tc>
          <w:tcPr>
            <w:tcW w:w="471" w:type="pct"/>
          </w:tcPr>
          <w:p w:rsidR="009C73AF" w:rsidRPr="005F5C7D" w:rsidRDefault="009C73AF" w:rsidP="00E575BB">
            <w:pPr>
              <w:pStyle w:val="Tabletext"/>
              <w:keepNext/>
              <w:keepLines/>
              <w:jc w:val="left"/>
              <w:rPr>
                <w:rFonts w:ascii="Arial Narrow" w:hAnsi="Arial Narrow"/>
              </w:rPr>
            </w:pPr>
            <w:r w:rsidRPr="00DE02FA">
              <w:rPr>
                <w:rFonts w:ascii="Arial Narrow" w:hAnsi="Arial Narrow"/>
              </w:rPr>
              <w:t>84 ± 3 days</w:t>
            </w:r>
          </w:p>
        </w:tc>
        <w:tc>
          <w:tcPr>
            <w:tcW w:w="664" w:type="pct"/>
            <w:shd w:val="clear" w:color="auto" w:fill="auto"/>
          </w:tcPr>
          <w:p w:rsidR="009C73AF" w:rsidRPr="00DE02FA" w:rsidRDefault="00552180" w:rsidP="00E575BB">
            <w:pPr>
              <w:pStyle w:val="TableTextcentred"/>
              <w:keepNext/>
              <w:keepLines/>
              <w:jc w:val="left"/>
              <w:rPr>
                <w:rFonts w:ascii="Arial Narrow" w:hAnsi="Arial Narrow"/>
                <w:sz w:val="20"/>
                <w:szCs w:val="20"/>
              </w:rPr>
            </w:pPr>
            <w:r w:rsidRPr="00DE02FA">
              <w:rPr>
                <w:rFonts w:ascii="Arial Narrow" w:hAnsi="Arial Narrow"/>
                <w:sz w:val="20"/>
                <w:szCs w:val="20"/>
              </w:rPr>
              <w:t>Cationorm</w:t>
            </w:r>
            <w:r w:rsidR="009C73AF" w:rsidRPr="00DE02FA">
              <w:rPr>
                <w:rFonts w:ascii="Arial Narrow" w:hAnsi="Arial Narrow"/>
                <w:sz w:val="20"/>
                <w:szCs w:val="20"/>
              </w:rPr>
              <w:t xml:space="preserve"> </w:t>
            </w:r>
          </w:p>
          <w:p w:rsidR="009C73AF" w:rsidRPr="005F5C7D" w:rsidRDefault="009C73AF" w:rsidP="00E575BB">
            <w:pPr>
              <w:pStyle w:val="Tabletext"/>
              <w:keepNext/>
              <w:keepLines/>
              <w:jc w:val="left"/>
              <w:rPr>
                <w:rFonts w:ascii="Arial Narrow" w:hAnsi="Arial Narrow"/>
              </w:rPr>
            </w:pPr>
            <w:r w:rsidRPr="00DE02FA">
              <w:rPr>
                <w:rFonts w:ascii="Arial Narrow" w:hAnsi="Arial Narrow"/>
              </w:rPr>
              <w:t>1 drop per eye,</w:t>
            </w:r>
            <w:r w:rsidRPr="00DE02FA">
              <w:rPr>
                <w:rFonts w:ascii="Arial Narrow" w:hAnsi="Arial Narrow"/>
              </w:rPr>
              <w:br/>
              <w:t xml:space="preserve">4 times daily </w:t>
            </w:r>
            <w:r w:rsidRPr="00DE02FA">
              <w:rPr>
                <w:rFonts w:ascii="Arial Narrow" w:hAnsi="Arial Narrow"/>
              </w:rPr>
              <w:br/>
              <w:t>(FAS: n = 44)</w:t>
            </w:r>
          </w:p>
        </w:tc>
        <w:tc>
          <w:tcPr>
            <w:tcW w:w="665" w:type="pct"/>
            <w:shd w:val="clear" w:color="auto" w:fill="auto"/>
          </w:tcPr>
          <w:p w:rsidR="009C73AF" w:rsidRPr="005F5C7D" w:rsidRDefault="00552180" w:rsidP="00E575BB">
            <w:pPr>
              <w:pStyle w:val="Tabletext"/>
              <w:keepNext/>
              <w:keepLines/>
              <w:jc w:val="left"/>
              <w:rPr>
                <w:rFonts w:ascii="Arial Narrow" w:hAnsi="Arial Narrow"/>
              </w:rPr>
            </w:pPr>
            <w:r w:rsidRPr="00DE02FA">
              <w:rPr>
                <w:rFonts w:ascii="Arial Narrow" w:hAnsi="Arial Narrow"/>
              </w:rPr>
              <w:t xml:space="preserve">Vismed </w:t>
            </w:r>
            <w:r w:rsidR="009C73AF" w:rsidRPr="00DE02FA">
              <w:rPr>
                <w:rFonts w:ascii="Arial Narrow" w:hAnsi="Arial Narrow"/>
              </w:rPr>
              <w:t>preservative-free (Hypotonic HS; 0.18%)</w:t>
            </w:r>
            <w:r w:rsidR="009C73AF" w:rsidRPr="00DE02FA">
              <w:rPr>
                <w:rFonts w:ascii="Arial Narrow" w:hAnsi="Arial Narrow"/>
              </w:rPr>
              <w:br/>
              <w:t>(FAS: n = 41)</w:t>
            </w:r>
          </w:p>
        </w:tc>
        <w:tc>
          <w:tcPr>
            <w:tcW w:w="1952" w:type="pct"/>
            <w:shd w:val="clear" w:color="auto" w:fill="auto"/>
          </w:tcPr>
          <w:p w:rsidR="009C73AF" w:rsidRPr="005F5C7D" w:rsidRDefault="009C73AF" w:rsidP="00E575BB">
            <w:pPr>
              <w:pStyle w:val="Tabletext"/>
              <w:keepNext/>
              <w:keepLines/>
              <w:ind w:left="-30" w:right="-91"/>
              <w:jc w:val="left"/>
              <w:rPr>
                <w:rFonts w:ascii="Arial Narrow" w:hAnsi="Arial Narrow"/>
              </w:rPr>
            </w:pPr>
            <w:r w:rsidRPr="00DE02FA">
              <w:rPr>
                <w:rFonts w:ascii="Arial Narrow" w:hAnsi="Arial Narrow"/>
              </w:rPr>
              <w:t>Patients with moderate to severe DED with keratitis or keratocon</w:t>
            </w:r>
            <w:r w:rsidR="00552180" w:rsidRPr="00DE02FA">
              <w:rPr>
                <w:rFonts w:ascii="Arial Narrow" w:hAnsi="Arial Narrow"/>
              </w:rPr>
              <w:t>junctivitis (n = 85); Cationorm</w:t>
            </w:r>
            <w:r w:rsidRPr="00DE02FA">
              <w:rPr>
                <w:rFonts w:ascii="Arial Narrow" w:hAnsi="Arial Narrow"/>
              </w:rPr>
              <w:t xml:space="preserve"> vs HS mean age (±SD): 60.0 yrs (14.6) vs 65.3 yrs (11.1); patients were similar at baseline with respect to objective clinical signs and subjective ocular symptoms</w:t>
            </w:r>
          </w:p>
        </w:tc>
      </w:tr>
    </w:tbl>
    <w:p w:rsidR="0035274E" w:rsidRPr="00DE02FA" w:rsidRDefault="00CE1E02" w:rsidP="00870890">
      <w:pPr>
        <w:pStyle w:val="TableFigureFooter"/>
      </w:pPr>
      <w:r w:rsidRPr="00DE02FA">
        <w:t>Abbreviation</w:t>
      </w:r>
      <w:r w:rsidR="00840E55" w:rsidRPr="00DE02FA">
        <w:t>:</w:t>
      </w:r>
      <w:r w:rsidRPr="00DE02FA">
        <w:t xml:space="preserve"> </w:t>
      </w:r>
      <w:r w:rsidR="0035274E" w:rsidRPr="00DE02FA">
        <w:t>CFS = corneal fluorescein staining; FAS = full analysis set; HS =</w:t>
      </w:r>
      <w:r w:rsidR="00840E55" w:rsidRPr="00DE02FA">
        <w:t xml:space="preserve"> hyaluronate sodium</w:t>
      </w:r>
      <w:r w:rsidR="0035274E" w:rsidRPr="00DE02FA">
        <w:t>; PVA-P =</w:t>
      </w:r>
      <w:r w:rsidR="00840E55" w:rsidRPr="00DE02FA">
        <w:t xml:space="preserve"> polyvinyl alcohol/povidone</w:t>
      </w:r>
      <w:r w:rsidR="0035274E" w:rsidRPr="00DE02FA">
        <w:t>; SD =</w:t>
      </w:r>
      <w:r w:rsidR="00840E55" w:rsidRPr="00DE02FA">
        <w:t xml:space="preserve"> standard deviation</w:t>
      </w:r>
      <w:r w:rsidR="0035274E" w:rsidRPr="00DE02FA">
        <w:t>; TBUT =</w:t>
      </w:r>
      <w:r w:rsidR="0040593F" w:rsidRPr="00DE02FA">
        <w:t xml:space="preserve"> tear film break-up time; DED = dry eye disease</w:t>
      </w:r>
    </w:p>
    <w:p w:rsidR="0035274E" w:rsidRPr="00DE02FA" w:rsidRDefault="00CE1E02" w:rsidP="00870890">
      <w:pPr>
        <w:pStyle w:val="TableFigureFooter"/>
      </w:pPr>
      <w:r w:rsidRPr="00DE02FA">
        <w:t xml:space="preserve">Source: Table 6, p16 of the submission </w:t>
      </w:r>
    </w:p>
    <w:p w:rsidR="003C2FB5" w:rsidRPr="00DE02FA" w:rsidRDefault="005A3173" w:rsidP="00AF11C5">
      <w:pPr>
        <w:pStyle w:val="4-SubsectionHeading"/>
        <w:rPr>
          <w:lang w:eastAsia="en-US"/>
        </w:rPr>
      </w:pPr>
      <w:r w:rsidRPr="00DE02FA">
        <w:rPr>
          <w:lang w:eastAsia="en-US"/>
        </w:rPr>
        <w:t>Clinical claim</w:t>
      </w:r>
    </w:p>
    <w:p w:rsidR="00F57A6D" w:rsidRPr="00DE02FA" w:rsidRDefault="00FF2801" w:rsidP="00870890">
      <w:pPr>
        <w:pStyle w:val="3Bodytext"/>
      </w:pPr>
      <w:r w:rsidRPr="00DE02FA">
        <w:t>The submission claimed</w:t>
      </w:r>
      <w:r w:rsidR="00BB7EC3" w:rsidRPr="00DE02FA">
        <w:t xml:space="preserve"> non-inferior comparative effectiveness and safety of </w:t>
      </w:r>
      <w:r w:rsidR="00276E95" w:rsidRPr="00DE02FA">
        <w:t>C</w:t>
      </w:r>
      <w:r w:rsidR="00A5782E" w:rsidRPr="00DE02FA">
        <w:t xml:space="preserve">ationorm compared with other preservative-free ocular lubricants, containing </w:t>
      </w:r>
      <w:r w:rsidR="00A5782E" w:rsidRPr="00DE02FA">
        <w:rPr>
          <w:bCs/>
          <w:snapToGrid w:val="0"/>
        </w:rPr>
        <w:t xml:space="preserve">the active ingredients of </w:t>
      </w:r>
      <w:r w:rsidR="00552180" w:rsidRPr="00DE02FA">
        <w:rPr>
          <w:bCs/>
          <w:snapToGrid w:val="0"/>
        </w:rPr>
        <w:t>polyvinyl alco</w:t>
      </w:r>
      <w:r w:rsidR="000329E0" w:rsidRPr="00DE02FA">
        <w:rPr>
          <w:bCs/>
          <w:snapToGrid w:val="0"/>
        </w:rPr>
        <w:t>h</w:t>
      </w:r>
      <w:r w:rsidR="00552180" w:rsidRPr="00DE02FA">
        <w:rPr>
          <w:bCs/>
          <w:snapToGrid w:val="0"/>
        </w:rPr>
        <w:t>ol</w:t>
      </w:r>
      <w:r w:rsidR="00A5782E" w:rsidRPr="00DE02FA">
        <w:rPr>
          <w:bCs/>
          <w:snapToGrid w:val="0"/>
        </w:rPr>
        <w:t xml:space="preserve"> (Refresh or Liquifilm</w:t>
      </w:r>
      <w:r w:rsidR="006E181D" w:rsidRPr="00DE02FA">
        <w:rPr>
          <w:bCs/>
          <w:snapToGrid w:val="0"/>
        </w:rPr>
        <w:t xml:space="preserve"> Tears</w:t>
      </w:r>
      <w:r w:rsidR="00A5782E" w:rsidRPr="00DE02FA">
        <w:rPr>
          <w:bCs/>
          <w:snapToGrid w:val="0"/>
        </w:rPr>
        <w:t>)</w:t>
      </w:r>
      <w:r w:rsidR="00C243C6" w:rsidRPr="00DE02FA">
        <w:t xml:space="preserve"> or </w:t>
      </w:r>
      <w:r w:rsidR="00276E95" w:rsidRPr="00DE02FA">
        <w:rPr>
          <w:bCs/>
          <w:snapToGrid w:val="0"/>
        </w:rPr>
        <w:t>HS</w:t>
      </w:r>
      <w:r w:rsidR="00A5782E" w:rsidRPr="00DE02FA">
        <w:rPr>
          <w:bCs/>
          <w:snapToGrid w:val="0"/>
        </w:rPr>
        <w:t xml:space="preserve"> </w:t>
      </w:r>
      <w:r w:rsidR="00E9337E" w:rsidRPr="00DE02FA">
        <w:rPr>
          <w:bCs/>
          <w:snapToGrid w:val="0"/>
        </w:rPr>
        <w:t>(</w:t>
      </w:r>
      <w:r w:rsidR="00A5782E" w:rsidRPr="00DE02FA">
        <w:rPr>
          <w:bCs/>
          <w:snapToGrid w:val="0"/>
        </w:rPr>
        <w:t xml:space="preserve">Vismed </w:t>
      </w:r>
      <w:r w:rsidR="00C243C6" w:rsidRPr="00DE02FA">
        <w:rPr>
          <w:bCs/>
          <w:snapToGrid w:val="0"/>
        </w:rPr>
        <w:t xml:space="preserve">or </w:t>
      </w:r>
      <w:r w:rsidR="00A5782E" w:rsidRPr="00DE02FA">
        <w:rPr>
          <w:bCs/>
          <w:snapToGrid w:val="0"/>
        </w:rPr>
        <w:t>Hylo-Fresh</w:t>
      </w:r>
      <w:r w:rsidR="00C243C6" w:rsidRPr="00DE02FA">
        <w:rPr>
          <w:bCs/>
          <w:snapToGrid w:val="0"/>
        </w:rPr>
        <w:t xml:space="preserve">). </w:t>
      </w:r>
    </w:p>
    <w:p w:rsidR="00831640" w:rsidRPr="00DE02FA" w:rsidRDefault="00831640" w:rsidP="00870890">
      <w:pPr>
        <w:pStyle w:val="3Bodytext"/>
      </w:pPr>
      <w:r w:rsidRPr="00DE02FA">
        <w:t>The PBAC considered that the claim</w:t>
      </w:r>
      <w:r w:rsidR="00892930" w:rsidRPr="00DE02FA">
        <w:t>s</w:t>
      </w:r>
      <w:r w:rsidRPr="00DE02FA">
        <w:t xml:space="preserve"> of non-inferior comparative effectiveness and safety were reasonable.</w:t>
      </w:r>
    </w:p>
    <w:p w:rsidR="005A3173" w:rsidRPr="00DE02FA" w:rsidRDefault="005A3173" w:rsidP="00917D69">
      <w:pPr>
        <w:pStyle w:val="4-SubsectionHeading"/>
        <w:rPr>
          <w:lang w:eastAsia="en-US"/>
        </w:rPr>
      </w:pPr>
      <w:r w:rsidRPr="00DE02FA">
        <w:rPr>
          <w:lang w:eastAsia="en-US"/>
        </w:rPr>
        <w:t>Economic analysis</w:t>
      </w:r>
      <w:r w:rsidR="009803E4" w:rsidRPr="00DE02FA">
        <w:rPr>
          <w:lang w:eastAsia="en-US"/>
        </w:rPr>
        <w:t xml:space="preserve"> </w:t>
      </w:r>
    </w:p>
    <w:p w:rsidR="0096251C" w:rsidRPr="00DE02FA" w:rsidRDefault="0096251C" w:rsidP="00870890">
      <w:pPr>
        <w:pStyle w:val="3Bodytext"/>
      </w:pPr>
      <w:r w:rsidRPr="00DE02FA">
        <w:t xml:space="preserve">A cost-minimisation approach was adopted to determine the proposed price of </w:t>
      </w:r>
      <w:r w:rsidR="00276E95" w:rsidRPr="00DE02FA">
        <w:t>C</w:t>
      </w:r>
      <w:r w:rsidRPr="00DE02FA">
        <w:t xml:space="preserve">ationorm against the lowest cost PBS-listed </w:t>
      </w:r>
      <w:r w:rsidR="00E6300B" w:rsidRPr="00DE02FA">
        <w:t xml:space="preserve">preservative-free, </w:t>
      </w:r>
      <w:r w:rsidRPr="00DE02FA">
        <w:t>multi-dose eye drop</w:t>
      </w:r>
      <w:r w:rsidR="00462135" w:rsidRPr="00DE02FA">
        <w:t>s</w:t>
      </w:r>
      <w:r w:rsidR="00AD119D" w:rsidRPr="00DE02FA">
        <w:t xml:space="preserve">, assuming </w:t>
      </w:r>
      <w:r w:rsidR="007D3682" w:rsidRPr="00DE02FA">
        <w:t xml:space="preserve">that </w:t>
      </w:r>
      <w:r w:rsidR="00276E95" w:rsidRPr="00DE02FA">
        <w:t>C</w:t>
      </w:r>
      <w:r w:rsidR="00E6300B" w:rsidRPr="00DE02FA">
        <w:t>ationorm</w:t>
      </w:r>
      <w:r w:rsidR="00AD119D" w:rsidRPr="00DE02FA">
        <w:t xml:space="preserve"> is at least non-inferior</w:t>
      </w:r>
      <w:r w:rsidR="00E6300B" w:rsidRPr="00DE02FA">
        <w:t xml:space="preserve"> to the current PBS-listed preservative-free ocular lubricants</w:t>
      </w:r>
      <w:r w:rsidRPr="00DE02FA">
        <w:t xml:space="preserve">. </w:t>
      </w:r>
    </w:p>
    <w:p w:rsidR="00B303DB" w:rsidRPr="00DE02FA" w:rsidRDefault="00076875" w:rsidP="00870890">
      <w:pPr>
        <w:pStyle w:val="3Bodytext"/>
      </w:pPr>
      <w:r w:rsidRPr="00DE02FA">
        <w:t>The submission noted the PBAC’s advice that “c</w:t>
      </w:r>
      <w:r w:rsidR="00AE7AE9" w:rsidRPr="00DE02FA">
        <w:t xml:space="preserve">armellose 0.5% and hypromellose 0.3% were recommended on the basis that the price proposed by the sponsor resulted </w:t>
      </w:r>
      <w:r w:rsidR="00AE7AE9" w:rsidRPr="00DE02FA">
        <w:lastRenderedPageBreak/>
        <w:t>in a lower cost per treatment compared to other currently listed preservative-free eye drops.</w:t>
      </w:r>
      <w:r w:rsidRPr="00DE02FA">
        <w:t>”</w:t>
      </w:r>
      <w:r w:rsidR="00AE7AE9" w:rsidRPr="00DE02FA">
        <w:t xml:space="preserve"> (paragraph 6.1, Evolve </w:t>
      </w:r>
      <w:r w:rsidR="00F66832" w:rsidRPr="00DE02FA">
        <w:rPr>
          <w:rFonts w:cstheme="minorHAnsi"/>
        </w:rPr>
        <w:t>carmellose and Evolve hypromellose</w:t>
      </w:r>
      <w:r w:rsidR="00F66832" w:rsidRPr="00DE02FA">
        <w:t xml:space="preserve"> </w:t>
      </w:r>
      <w:r w:rsidR="00AE7AE9" w:rsidRPr="00DE02FA">
        <w:t>PSD, July 2019)</w:t>
      </w:r>
      <w:r w:rsidR="005A0D03" w:rsidRPr="00DE02FA">
        <w:t xml:space="preserve">. As such, </w:t>
      </w:r>
      <w:r w:rsidR="00B303DB" w:rsidRPr="00DE02FA">
        <w:t>the cost-minimisation analysis was performed on a per treatment basis</w:t>
      </w:r>
      <w:r w:rsidR="00FB260A" w:rsidRPr="00DE02FA">
        <w:t>,</w:t>
      </w:r>
      <w:r w:rsidR="00B303DB" w:rsidRPr="00DE02FA">
        <w:t xml:space="preserve"> which was previously accepted by the PBAC at its July 2019 meeting</w:t>
      </w:r>
      <w:r w:rsidR="00FB260A" w:rsidRPr="00DE02FA">
        <w:t>.</w:t>
      </w:r>
      <w:r w:rsidR="00B303DB" w:rsidRPr="00DE02FA">
        <w:t xml:space="preserve"> </w:t>
      </w:r>
      <w:r w:rsidR="00A60E20" w:rsidRPr="00DE02FA">
        <w:t>The submission presented c</w:t>
      </w:r>
      <w:r w:rsidR="00B303DB" w:rsidRPr="00DE02FA">
        <w:t xml:space="preserve">osts per treatment for the </w:t>
      </w:r>
      <w:r w:rsidR="00FB260A" w:rsidRPr="00DE02FA">
        <w:t xml:space="preserve">currently listed preservative-free, multi-dose eye drops </w:t>
      </w:r>
      <w:r w:rsidR="00A60E20" w:rsidRPr="00DE02FA">
        <w:t>(see table below)</w:t>
      </w:r>
      <w:r w:rsidR="006E745B" w:rsidRPr="00DE02FA">
        <w:t>.</w:t>
      </w:r>
    </w:p>
    <w:p w:rsidR="00AD10E8" w:rsidRPr="00DE02FA" w:rsidRDefault="00E575BB" w:rsidP="00870890">
      <w:pPr>
        <w:pStyle w:val="TableFigureHeading"/>
        <w:rPr>
          <w:i/>
          <w:iCs/>
        </w:rPr>
      </w:pPr>
      <w:r w:rsidRPr="00DE02FA">
        <w:t xml:space="preserve">Table </w:t>
      </w:r>
      <w:r w:rsidRPr="005F5C7D">
        <w:t>3</w:t>
      </w:r>
      <w:r w:rsidR="00AD10E8" w:rsidRPr="005F5C7D">
        <w:t>:</w:t>
      </w:r>
      <w:r w:rsidR="00BF6DB9" w:rsidRPr="00DE02FA">
        <w:t xml:space="preserve"> </w:t>
      </w:r>
      <w:r w:rsidR="00681D87" w:rsidRPr="00DE02FA">
        <w:t xml:space="preserve">Comparison of </w:t>
      </w:r>
      <w:r w:rsidR="00C35C1F" w:rsidRPr="00DE02FA">
        <w:t xml:space="preserve">costs </w:t>
      </w:r>
      <w:r w:rsidR="00681D87" w:rsidRPr="00DE02FA">
        <w:t>p</w:t>
      </w:r>
      <w:r w:rsidR="00177402" w:rsidRPr="00DE02FA">
        <w:t>er treatment of p</w:t>
      </w:r>
      <w:r w:rsidR="00AD10E8" w:rsidRPr="00DE02FA">
        <w:t>reservative-free</w:t>
      </w:r>
      <w:r w:rsidR="00793B38" w:rsidRPr="00DE02FA">
        <w:t>,</w:t>
      </w:r>
      <w:r w:rsidR="00AD10E8" w:rsidRPr="00DE02FA">
        <w:t xml:space="preserve"> multi-dose ocular lubricants currently available on the PBS</w:t>
      </w:r>
      <w:r w:rsidR="00B829DB" w:rsidRPr="00DE02FA">
        <w:t xml:space="preserve"> to C</w:t>
      </w:r>
      <w:r w:rsidR="00681D87" w:rsidRPr="00DE02FA">
        <w:t>ationorm</w:t>
      </w:r>
    </w:p>
    <w:tbl>
      <w:tblPr>
        <w:tblStyle w:val="TableGrid"/>
        <w:tblW w:w="5000" w:type="pct"/>
        <w:tblLook w:val="04A0" w:firstRow="1" w:lastRow="0" w:firstColumn="1" w:lastColumn="0" w:noHBand="0" w:noVBand="1"/>
        <w:tblCaption w:val="Table 3: Comparison of costs per treatment of preservative-free, multi-dose ocular lubricants currently available on the PBS to Cationorm"/>
      </w:tblPr>
      <w:tblGrid>
        <w:gridCol w:w="1884"/>
        <w:gridCol w:w="1884"/>
        <w:gridCol w:w="773"/>
        <w:gridCol w:w="1495"/>
        <w:gridCol w:w="1491"/>
        <w:gridCol w:w="1489"/>
      </w:tblGrid>
      <w:tr w:rsidR="00915C36" w:rsidRPr="00DE02FA" w:rsidTr="001948CF">
        <w:trPr>
          <w:tblHeader/>
        </w:trPr>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itlecentred"/>
              <w:keepNext/>
              <w:keepLines/>
              <w:rPr>
                <w:rFonts w:ascii="Arial Narrow" w:hAnsi="Arial Narrow"/>
                <w:sz w:val="20"/>
              </w:rPr>
            </w:pPr>
            <w:r w:rsidRPr="00DE02FA">
              <w:rPr>
                <w:rFonts w:ascii="Arial Narrow" w:hAnsi="Arial Narrow"/>
                <w:sz w:val="20"/>
              </w:rPr>
              <w:t>Brand name</w:t>
            </w:r>
          </w:p>
        </w:tc>
        <w:tc>
          <w:tcPr>
            <w:tcW w:w="1045" w:type="pct"/>
            <w:tcBorders>
              <w:top w:val="single" w:sz="4" w:space="0" w:color="auto"/>
              <w:left w:val="single" w:sz="4" w:space="0" w:color="auto"/>
              <w:bottom w:val="single" w:sz="4" w:space="0" w:color="auto"/>
              <w:right w:val="single" w:sz="4" w:space="0" w:color="auto"/>
            </w:tcBorders>
            <w:shd w:val="clear" w:color="auto" w:fill="auto"/>
            <w:hideMark/>
          </w:tcPr>
          <w:p w:rsidR="00915C36" w:rsidRPr="00DE02FA" w:rsidRDefault="00915C36" w:rsidP="00E575BB">
            <w:pPr>
              <w:pStyle w:val="TableTitlecentred"/>
              <w:keepNext/>
              <w:keepLines/>
              <w:rPr>
                <w:rFonts w:ascii="Arial Narrow" w:hAnsi="Arial Narrow"/>
                <w:sz w:val="20"/>
              </w:rPr>
            </w:pPr>
            <w:r w:rsidRPr="00DE02FA">
              <w:rPr>
                <w:rFonts w:ascii="Arial Narrow" w:hAnsi="Arial Narrow"/>
                <w:sz w:val="20"/>
              </w:rPr>
              <w:t>Treatment and formulation</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itlecentred"/>
              <w:keepNext/>
              <w:keepLines/>
              <w:rPr>
                <w:rFonts w:ascii="Arial Narrow" w:hAnsi="Arial Narrow"/>
                <w:sz w:val="20"/>
              </w:rPr>
            </w:pPr>
            <w:r w:rsidRPr="00DE02FA">
              <w:rPr>
                <w:rFonts w:ascii="Arial Narrow" w:hAnsi="Arial Narrow"/>
                <w:sz w:val="20"/>
              </w:rPr>
              <w:t>AEMP</w:t>
            </w:r>
            <w:r w:rsidRPr="00DE02FA">
              <w:rPr>
                <w:rFonts w:ascii="Arial Narrow" w:hAnsi="Arial Narrow"/>
                <w:sz w:val="20"/>
                <w:vertAlign w:val="superscript"/>
              </w:rPr>
              <w:t>a</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itlecentred"/>
              <w:keepNext/>
              <w:keepLines/>
              <w:rPr>
                <w:rFonts w:ascii="Arial Narrow" w:hAnsi="Arial Narrow"/>
                <w:sz w:val="20"/>
              </w:rPr>
            </w:pPr>
            <w:r w:rsidRPr="00DE02FA">
              <w:rPr>
                <w:rFonts w:ascii="Arial Narrow" w:hAnsi="Arial Narrow"/>
                <w:sz w:val="20"/>
              </w:rPr>
              <w:t>Number of treatment</w:t>
            </w:r>
            <w:r w:rsidRPr="00DE02FA">
              <w:rPr>
                <w:rFonts w:ascii="Arial Narrow" w:hAnsi="Arial Narrow"/>
                <w:sz w:val="20"/>
                <w:vertAlign w:val="superscript"/>
              </w:rPr>
              <w:t>b</w:t>
            </w:r>
            <w:r w:rsidRPr="00DE02FA">
              <w:rPr>
                <w:rFonts w:ascii="Arial Narrow" w:hAnsi="Arial Narrow"/>
                <w:sz w:val="20"/>
              </w:rPr>
              <w:t xml:space="preserve"> for both eyes </w:t>
            </w:r>
          </w:p>
        </w:tc>
        <w:tc>
          <w:tcPr>
            <w:tcW w:w="827" w:type="pct"/>
            <w:tcBorders>
              <w:top w:val="single" w:sz="4" w:space="0" w:color="auto"/>
              <w:left w:val="single" w:sz="4" w:space="0" w:color="auto"/>
              <w:bottom w:val="single" w:sz="4" w:space="0" w:color="auto"/>
              <w:right w:val="single" w:sz="4" w:space="0" w:color="auto"/>
            </w:tcBorders>
            <w:shd w:val="clear" w:color="auto" w:fill="auto"/>
          </w:tcPr>
          <w:p w:rsidR="00915C36" w:rsidRPr="00DE02FA" w:rsidRDefault="00915C36" w:rsidP="00E575BB">
            <w:pPr>
              <w:pStyle w:val="TableTitlecentred"/>
              <w:keepNext/>
              <w:keepLines/>
              <w:rPr>
                <w:rFonts w:ascii="Arial Narrow" w:hAnsi="Arial Narrow"/>
                <w:sz w:val="20"/>
              </w:rPr>
            </w:pPr>
            <w:r w:rsidRPr="00DE02FA">
              <w:rPr>
                <w:rFonts w:ascii="Arial Narrow" w:hAnsi="Arial Narrow"/>
                <w:sz w:val="20"/>
              </w:rPr>
              <w:t>AEMP per treatment</w:t>
            </w:r>
            <w:r w:rsidRPr="00DE02FA">
              <w:rPr>
                <w:rFonts w:ascii="Arial Narrow" w:hAnsi="Arial Narrow"/>
                <w:sz w:val="20"/>
                <w:vertAlign w:val="superscript"/>
              </w:rPr>
              <w:t>c</w:t>
            </w:r>
            <w:r w:rsidRPr="00DE02FA">
              <w:rPr>
                <w:rFonts w:ascii="Arial Narrow" w:hAnsi="Arial Narrow"/>
                <w:sz w:val="20"/>
              </w:rPr>
              <w:t xml:space="preserve"> for both eyes</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itlecentred"/>
              <w:keepNext/>
              <w:keepLines/>
              <w:rPr>
                <w:rFonts w:ascii="Arial Narrow" w:hAnsi="Arial Narrow"/>
                <w:sz w:val="20"/>
                <w:vertAlign w:val="superscript"/>
              </w:rPr>
            </w:pPr>
            <w:r w:rsidRPr="00DE02FA">
              <w:rPr>
                <w:rFonts w:ascii="Arial Narrow" w:hAnsi="Arial Narrow"/>
                <w:sz w:val="20"/>
              </w:rPr>
              <w:t>Cost-minimising AEMP for Cationorm</w:t>
            </w:r>
            <w:r w:rsidR="00FC5A7E" w:rsidRPr="00DE02FA">
              <w:rPr>
                <w:rFonts w:ascii="Arial Narrow" w:hAnsi="Arial Narrow"/>
                <w:sz w:val="20"/>
                <w:vertAlign w:val="superscript"/>
              </w:rPr>
              <w:t>d</w:t>
            </w:r>
          </w:p>
        </w:tc>
      </w:tr>
      <w:tr w:rsidR="00915C36" w:rsidRPr="00DE02FA" w:rsidTr="00870890">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Tears Again®</w:t>
            </w:r>
          </w:p>
        </w:tc>
        <w:tc>
          <w:tcPr>
            <w:tcW w:w="1045" w:type="pct"/>
            <w:tcBorders>
              <w:top w:val="single" w:sz="4" w:space="0" w:color="auto"/>
              <w:left w:val="single" w:sz="4" w:space="0" w:color="auto"/>
              <w:bottom w:val="single" w:sz="4" w:space="0" w:color="auto"/>
              <w:right w:val="single" w:sz="4" w:space="0" w:color="auto"/>
            </w:tcBorders>
            <w:hideMark/>
          </w:tcPr>
          <w:p w:rsidR="00915C36" w:rsidRPr="00DE02FA" w:rsidRDefault="00915C36" w:rsidP="00E575BB">
            <w:pPr>
              <w:pStyle w:val="TableTextleftalign"/>
              <w:keepNext/>
              <w:keepLines/>
              <w:rPr>
                <w:rFonts w:ascii="Arial Narrow" w:hAnsi="Arial Narrow"/>
                <w:sz w:val="20"/>
                <w:szCs w:val="20"/>
              </w:rPr>
            </w:pPr>
            <w:bookmarkStart w:id="4" w:name="_Hlk35958719"/>
            <w:r w:rsidRPr="00DE02FA">
              <w:rPr>
                <w:rFonts w:ascii="Arial Narrow" w:hAnsi="Arial Narrow"/>
                <w:sz w:val="20"/>
                <w:szCs w:val="20"/>
              </w:rPr>
              <w:t>Soy lecithin 1% + tocopherol 0.002% + vitamin A palmitate 0.025% (spray)</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 xml:space="preserve">$22.78 </w:t>
            </w:r>
            <w:r w:rsidRPr="00DE02FA">
              <w:rPr>
                <w:rFonts w:ascii="Arial Narrow" w:hAnsi="Arial Narrow"/>
                <w:sz w:val="20"/>
                <w:szCs w:val="20"/>
              </w:rPr>
              <w:br/>
              <w:t>($11.39 per unit)</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100</w:t>
            </w:r>
          </w:p>
        </w:tc>
        <w:tc>
          <w:tcPr>
            <w:tcW w:w="827"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$0.228</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$43.97</w:t>
            </w:r>
          </w:p>
        </w:tc>
      </w:tr>
      <w:tr w:rsidR="00915C36" w:rsidRPr="00DE02FA" w:rsidTr="00870890">
        <w:trPr>
          <w:trHeight w:val="177"/>
        </w:trPr>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Hylo-Forte®</w:t>
            </w:r>
          </w:p>
        </w:tc>
        <w:tc>
          <w:tcPr>
            <w:tcW w:w="1045" w:type="pct"/>
            <w:tcBorders>
              <w:top w:val="single" w:sz="4" w:space="0" w:color="auto"/>
              <w:left w:val="single" w:sz="4" w:space="0" w:color="auto"/>
              <w:bottom w:val="single" w:sz="4" w:space="0" w:color="auto"/>
              <w:right w:val="single" w:sz="4" w:space="0" w:color="auto"/>
            </w:tcBorders>
            <w:hideMark/>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 xml:space="preserve">Hyaluronate sodium 0.1% </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$20.90</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150</w:t>
            </w:r>
          </w:p>
        </w:tc>
        <w:tc>
          <w:tcPr>
            <w:tcW w:w="827"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$0.139</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$26.89</w:t>
            </w:r>
          </w:p>
        </w:tc>
      </w:tr>
      <w:tr w:rsidR="00915C36" w:rsidRPr="00DE02FA" w:rsidTr="00870890">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Hylo-Fresh®</w:t>
            </w:r>
          </w:p>
        </w:tc>
        <w:tc>
          <w:tcPr>
            <w:tcW w:w="1045" w:type="pct"/>
            <w:tcBorders>
              <w:top w:val="single" w:sz="4" w:space="0" w:color="auto"/>
              <w:left w:val="single" w:sz="4" w:space="0" w:color="auto"/>
              <w:bottom w:val="single" w:sz="4" w:space="0" w:color="auto"/>
              <w:right w:val="single" w:sz="4" w:space="0" w:color="auto"/>
            </w:tcBorders>
            <w:hideMark/>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 xml:space="preserve">Hyaluronate sodium 0.2% </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$20.90</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150</w:t>
            </w:r>
          </w:p>
        </w:tc>
        <w:tc>
          <w:tcPr>
            <w:tcW w:w="827"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$0.139</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$26.89</w:t>
            </w:r>
          </w:p>
        </w:tc>
      </w:tr>
      <w:tr w:rsidR="00915C36" w:rsidRPr="00DE02FA" w:rsidTr="00870890">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NovaTears®</w:t>
            </w:r>
          </w:p>
        </w:tc>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 xml:space="preserve">Perfluorohexyloctane </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$20.00</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140</w:t>
            </w:r>
          </w:p>
        </w:tc>
        <w:tc>
          <w:tcPr>
            <w:tcW w:w="827"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$0.143</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$27.57</w:t>
            </w:r>
          </w:p>
        </w:tc>
      </w:tr>
      <w:tr w:rsidR="00915C36" w:rsidRPr="00DE02FA" w:rsidTr="00870890">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Evolve® Carmellose 0.5%</w:t>
            </w:r>
          </w:p>
        </w:tc>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 xml:space="preserve">Carmellose sodium 0.5% </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$17.00</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125</w:t>
            </w:r>
          </w:p>
        </w:tc>
        <w:tc>
          <w:tcPr>
            <w:tcW w:w="827"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$0.136</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$26.25</w:t>
            </w:r>
          </w:p>
        </w:tc>
      </w:tr>
      <w:tr w:rsidR="00915C36" w:rsidRPr="00DE02FA" w:rsidTr="00870890">
        <w:tc>
          <w:tcPr>
            <w:tcW w:w="1045"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Evolve® Hypromellose 0.3%</w:t>
            </w:r>
          </w:p>
        </w:tc>
        <w:tc>
          <w:tcPr>
            <w:tcW w:w="1045" w:type="pct"/>
            <w:tcBorders>
              <w:top w:val="single" w:sz="4" w:space="0" w:color="auto"/>
              <w:left w:val="single" w:sz="4" w:space="0" w:color="auto"/>
              <w:bottom w:val="single" w:sz="4" w:space="0" w:color="auto"/>
              <w:right w:val="single" w:sz="4" w:space="0" w:color="auto"/>
            </w:tcBorders>
            <w:hideMark/>
          </w:tcPr>
          <w:p w:rsidR="00915C36" w:rsidRPr="00DE02FA" w:rsidRDefault="00915C36" w:rsidP="00E575BB">
            <w:pPr>
              <w:pStyle w:val="TableTextleftalign"/>
              <w:keepNext/>
              <w:keepLines/>
              <w:rPr>
                <w:rFonts w:ascii="Arial Narrow" w:hAnsi="Arial Narrow"/>
                <w:sz w:val="20"/>
                <w:szCs w:val="20"/>
              </w:rPr>
            </w:pPr>
            <w:r w:rsidRPr="00DE02FA">
              <w:rPr>
                <w:rFonts w:ascii="Arial Narrow" w:hAnsi="Arial Narrow"/>
                <w:sz w:val="20"/>
                <w:szCs w:val="20"/>
              </w:rPr>
              <w:t>Hypromellose 0.3%</w:t>
            </w:r>
          </w:p>
        </w:tc>
        <w:tc>
          <w:tcPr>
            <w:tcW w:w="428"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$17.00</w:t>
            </w:r>
          </w:p>
        </w:tc>
        <w:tc>
          <w:tcPr>
            <w:tcW w:w="829"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125</w:t>
            </w:r>
          </w:p>
        </w:tc>
        <w:tc>
          <w:tcPr>
            <w:tcW w:w="827"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$0.136</w:t>
            </w:r>
          </w:p>
        </w:tc>
        <w:tc>
          <w:tcPr>
            <w:tcW w:w="826" w:type="pct"/>
            <w:tcBorders>
              <w:top w:val="single" w:sz="4" w:space="0" w:color="auto"/>
              <w:left w:val="single" w:sz="4" w:space="0" w:color="auto"/>
              <w:bottom w:val="single" w:sz="4" w:space="0" w:color="auto"/>
              <w:right w:val="single" w:sz="4" w:space="0" w:color="auto"/>
            </w:tcBorders>
          </w:tcPr>
          <w:p w:rsidR="00915C36" w:rsidRPr="00DE02FA" w:rsidRDefault="00915C36" w:rsidP="00E575BB">
            <w:pPr>
              <w:pStyle w:val="TableTextcentred"/>
              <w:keepNext/>
              <w:keepLines/>
              <w:rPr>
                <w:rFonts w:ascii="Arial Narrow" w:hAnsi="Arial Narrow"/>
                <w:sz w:val="20"/>
                <w:szCs w:val="20"/>
              </w:rPr>
            </w:pPr>
            <w:r w:rsidRPr="00DE02FA">
              <w:rPr>
                <w:rFonts w:ascii="Arial Narrow" w:hAnsi="Arial Narrow"/>
                <w:sz w:val="20"/>
                <w:szCs w:val="20"/>
              </w:rPr>
              <w:t>$26.25</w:t>
            </w:r>
          </w:p>
        </w:tc>
      </w:tr>
    </w:tbl>
    <w:bookmarkEnd w:id="4"/>
    <w:p w:rsidR="00937436" w:rsidRPr="00DE02FA" w:rsidRDefault="00F9276C" w:rsidP="00870890">
      <w:pPr>
        <w:pStyle w:val="TableFigureFooter"/>
      </w:pPr>
      <w:r w:rsidRPr="00DE02FA">
        <w:rPr>
          <w:vertAlign w:val="superscript"/>
        </w:rPr>
        <w:t>a</w:t>
      </w:r>
      <w:r w:rsidRPr="00DE02FA">
        <w:t xml:space="preserve"> p</w:t>
      </w:r>
      <w:r w:rsidR="00937436" w:rsidRPr="00DE02FA">
        <w:t>rices from March 2020 Pharmaceutical Benefits Schedule</w:t>
      </w:r>
    </w:p>
    <w:p w:rsidR="00F9276C" w:rsidRPr="00DE02FA" w:rsidRDefault="00F9276C" w:rsidP="00870890">
      <w:pPr>
        <w:pStyle w:val="TableFigureFooter"/>
      </w:pPr>
      <w:r w:rsidRPr="00DE02FA">
        <w:rPr>
          <w:rFonts w:cstheme="minorHAnsi"/>
          <w:vertAlign w:val="superscript"/>
        </w:rPr>
        <w:t>b</w:t>
      </w:r>
      <w:r w:rsidRPr="00DE02FA">
        <w:rPr>
          <w:rFonts w:cstheme="minorHAnsi"/>
        </w:rPr>
        <w:t xml:space="preserve"> the number of treatments per bottle are represented by the number of drops or actuations contained in one bottle</w:t>
      </w:r>
      <w:r w:rsidR="006E745B" w:rsidRPr="00DE02FA">
        <w:rPr>
          <w:rFonts w:cstheme="minorHAnsi"/>
        </w:rPr>
        <w:t>.</w:t>
      </w:r>
    </w:p>
    <w:p w:rsidR="00EE1B77" w:rsidRPr="00DE02FA" w:rsidRDefault="00F9276C" w:rsidP="00870890">
      <w:pPr>
        <w:pStyle w:val="TableFigureFooter"/>
      </w:pPr>
      <w:r w:rsidRPr="00DE02FA">
        <w:rPr>
          <w:vertAlign w:val="superscript"/>
        </w:rPr>
        <w:t>c</w:t>
      </w:r>
      <w:r w:rsidRPr="00DE02FA">
        <w:t xml:space="preserve"> </w:t>
      </w:r>
      <w:r w:rsidR="00E068EE" w:rsidRPr="00DE02FA">
        <w:t>c</w:t>
      </w:r>
      <w:r w:rsidR="00EE1B77" w:rsidRPr="00DE02FA">
        <w:t xml:space="preserve">ost per treatment for both eyes calculated using AEMP divided by </w:t>
      </w:r>
      <w:r w:rsidR="00E068EE" w:rsidRPr="00DE02FA">
        <w:t>t</w:t>
      </w:r>
      <w:r w:rsidR="00EE1B77" w:rsidRPr="00DE02FA">
        <w:t>otal number of treatments per pack rounded to third decimal.</w:t>
      </w:r>
    </w:p>
    <w:p w:rsidR="00FC5A7E" w:rsidRPr="00DE02FA" w:rsidRDefault="00FC5A7E" w:rsidP="00870890">
      <w:pPr>
        <w:pStyle w:val="TableFigureFooter"/>
      </w:pPr>
      <w:r w:rsidRPr="00DE02FA">
        <w:rPr>
          <w:vertAlign w:val="superscript"/>
        </w:rPr>
        <w:t>d</w:t>
      </w:r>
      <w:r w:rsidRPr="00DE02FA">
        <w:t xml:space="preserve"> based </w:t>
      </w:r>
      <w:r w:rsidR="00B829DB" w:rsidRPr="00DE02FA">
        <w:t>on total of 193 treatments for C</w:t>
      </w:r>
      <w:r w:rsidRPr="00DE02FA">
        <w:t xml:space="preserve">ationorm for both eyes. The minor submission presented a laboratory test performed by the manufacturer </w:t>
      </w:r>
      <w:r w:rsidR="0090176F" w:rsidRPr="00DE02FA">
        <w:t xml:space="preserve">which </w:t>
      </w:r>
      <w:r w:rsidRPr="00DE02FA">
        <w:t xml:space="preserve">reported that the bottle with a dropper, configured to deliver 62.5% flow control (with liner cap and filter protection valve), delivered a mean dose weight of 26.4 mg (equivalent to approx. </w:t>
      </w:r>
      <w:r w:rsidR="000E035B" w:rsidRPr="00DE02FA">
        <w:t>26.4 µL per drop). A bottle of C</w:t>
      </w:r>
      <w:r w:rsidRPr="00DE02FA">
        <w:t>ationorm provides 386 drops in total (10.2</w:t>
      </w:r>
      <w:r w:rsidR="00892930" w:rsidRPr="00DE02FA">
        <w:t> </w:t>
      </w:r>
      <w:r w:rsidRPr="00DE02FA">
        <w:t>mL ÷ 0.0264 mL) given that each bottle has a content volume of 10.2 mL.</w:t>
      </w:r>
    </w:p>
    <w:p w:rsidR="00793B38" w:rsidRPr="00DE02FA" w:rsidRDefault="00793B38" w:rsidP="00870890">
      <w:pPr>
        <w:pStyle w:val="TableFigureFooter"/>
      </w:pPr>
      <w:r w:rsidRPr="00DE02FA">
        <w:t>Abbreviations: AEMP =</w:t>
      </w:r>
      <w:r w:rsidR="00053DD0" w:rsidRPr="00DE02FA">
        <w:t xml:space="preserve"> a</w:t>
      </w:r>
      <w:r w:rsidRPr="00DE02FA">
        <w:t xml:space="preserve">pproved ex-manufacturer price </w:t>
      </w:r>
    </w:p>
    <w:p w:rsidR="00AD10E8" w:rsidRPr="00DE02FA" w:rsidRDefault="00AD10E8" w:rsidP="00870890">
      <w:pPr>
        <w:pStyle w:val="TableFigureFooter"/>
      </w:pPr>
      <w:r w:rsidRPr="00DE02FA">
        <w:t xml:space="preserve">Source: </w:t>
      </w:r>
      <w:r w:rsidR="0036277C" w:rsidRPr="00DE02FA">
        <w:t>Table 10</w:t>
      </w:r>
      <w:r w:rsidRPr="00DE02FA">
        <w:t>, p20 of the submission</w:t>
      </w:r>
    </w:p>
    <w:p w:rsidR="007D3682" w:rsidRPr="00DE02FA" w:rsidRDefault="007D3682" w:rsidP="00870890">
      <w:pPr>
        <w:pStyle w:val="3Bodytext"/>
      </w:pPr>
      <w:r w:rsidRPr="00DE02FA">
        <w:t>The</w:t>
      </w:r>
      <w:r w:rsidR="00C249D0" w:rsidRPr="00DE02FA">
        <w:t xml:space="preserve"> submission proposed an </w:t>
      </w:r>
      <w:r w:rsidR="00A30BB7" w:rsidRPr="00DE02FA">
        <w:t>AEMP</w:t>
      </w:r>
      <w:r w:rsidR="00C249D0" w:rsidRPr="00DE02FA">
        <w:t xml:space="preserve"> of $23.80 for </w:t>
      </w:r>
      <w:r w:rsidR="00276E95" w:rsidRPr="00DE02FA">
        <w:t>C</w:t>
      </w:r>
      <w:r w:rsidR="00C249D0" w:rsidRPr="00DE02FA">
        <w:t>ationorm,</w:t>
      </w:r>
      <w:r w:rsidR="00404002" w:rsidRPr="00DE02FA">
        <w:t xml:space="preserve"> </w:t>
      </w:r>
      <w:r w:rsidR="00C249D0" w:rsidRPr="00DE02FA">
        <w:t xml:space="preserve">which is lower than </w:t>
      </w:r>
      <w:r w:rsidR="00814CDD" w:rsidRPr="00DE02FA">
        <w:t>the AEMP arrived at by cost-minimisation</w:t>
      </w:r>
      <w:r w:rsidR="00C249D0" w:rsidRPr="00DE02FA">
        <w:t xml:space="preserve"> to </w:t>
      </w:r>
      <w:r w:rsidRPr="00DE02FA">
        <w:t xml:space="preserve">the lowest </w:t>
      </w:r>
      <w:r w:rsidR="00E958EA" w:rsidRPr="00DE02FA">
        <w:t>cost</w:t>
      </w:r>
      <w:r w:rsidRPr="00DE02FA">
        <w:t xml:space="preserve"> comparators </w:t>
      </w:r>
      <w:r w:rsidR="00D05295" w:rsidRPr="00DE02FA">
        <w:t>(</w:t>
      </w:r>
      <w:r w:rsidR="00814CDD" w:rsidRPr="00DE02FA">
        <w:t>$26.25</w:t>
      </w:r>
      <w:r w:rsidR="00D05295" w:rsidRPr="00DE02FA">
        <w:t>)</w:t>
      </w:r>
      <w:r w:rsidR="00A24F01" w:rsidRPr="00DE02FA">
        <w:t>.</w:t>
      </w:r>
      <w:r w:rsidR="003023D1" w:rsidRPr="00DE02FA">
        <w:t xml:space="preserve"> </w:t>
      </w:r>
    </w:p>
    <w:p w:rsidR="005A3173" w:rsidRPr="00DE02FA" w:rsidRDefault="005A3173" w:rsidP="00917D69">
      <w:pPr>
        <w:pStyle w:val="4-SubsectionHeading"/>
        <w:rPr>
          <w:lang w:eastAsia="en-US"/>
        </w:rPr>
      </w:pPr>
      <w:r w:rsidRPr="00DE02FA">
        <w:rPr>
          <w:lang w:eastAsia="en-US"/>
        </w:rPr>
        <w:t>Estimated PBS usage &amp; financial implications</w:t>
      </w:r>
    </w:p>
    <w:p w:rsidR="006E50B3" w:rsidRPr="00DE02FA" w:rsidRDefault="006E50B3" w:rsidP="00870890">
      <w:pPr>
        <w:pStyle w:val="3Bodytext"/>
        <w:rPr>
          <w:rFonts w:cstheme="minorHAnsi"/>
          <w:szCs w:val="24"/>
        </w:rPr>
      </w:pPr>
      <w:r w:rsidRPr="00DE02FA">
        <w:t xml:space="preserve">The minor submission used a market share approach to estimate the extent of use and financial impact of listing </w:t>
      </w:r>
      <w:r w:rsidR="00276E95" w:rsidRPr="00DE02FA">
        <w:t>C</w:t>
      </w:r>
      <w:r w:rsidR="00BB6A65" w:rsidRPr="00DE02FA">
        <w:t>ationorm</w:t>
      </w:r>
      <w:r w:rsidR="00BB6A65" w:rsidRPr="00DE02FA">
        <w:rPr>
          <w:rFonts w:cstheme="minorHAnsi"/>
          <w:szCs w:val="24"/>
        </w:rPr>
        <w:t xml:space="preserve"> </w:t>
      </w:r>
      <w:r w:rsidRPr="00DE02FA">
        <w:t xml:space="preserve">on the PBS/RPBS. </w:t>
      </w:r>
    </w:p>
    <w:p w:rsidR="006E50B3" w:rsidRPr="00DE02FA" w:rsidRDefault="006E50B3" w:rsidP="00870890">
      <w:pPr>
        <w:pStyle w:val="3Bodytext"/>
      </w:pPr>
      <w:r w:rsidRPr="00DE02FA">
        <w:t xml:space="preserve">The minor submission assumed that </w:t>
      </w:r>
      <w:r w:rsidR="004D5881" w:rsidRPr="00DE02FA">
        <w:t>C</w:t>
      </w:r>
      <w:r w:rsidR="00A86270" w:rsidRPr="00DE02FA">
        <w:t xml:space="preserve">ationorm </w:t>
      </w:r>
      <w:r w:rsidRPr="00DE02FA">
        <w:t>would only substitute for</w:t>
      </w:r>
      <w:r w:rsidR="00082DA5" w:rsidRPr="00DE02FA">
        <w:rPr>
          <w:rFonts w:cstheme="minorHAnsi"/>
        </w:rPr>
        <w:t xml:space="preserve"> preservative-free</w:t>
      </w:r>
      <w:r w:rsidR="00B810FE" w:rsidRPr="00DE02FA">
        <w:rPr>
          <w:rFonts w:cstheme="minorHAnsi"/>
        </w:rPr>
        <w:t>,</w:t>
      </w:r>
      <w:r w:rsidR="00082DA5" w:rsidRPr="00DE02FA">
        <w:rPr>
          <w:rFonts w:cstheme="minorHAnsi"/>
        </w:rPr>
        <w:t xml:space="preserve"> </w:t>
      </w:r>
      <w:r w:rsidR="00B810FE" w:rsidRPr="00DE02FA">
        <w:rPr>
          <w:rFonts w:cstheme="minorHAnsi"/>
        </w:rPr>
        <w:t xml:space="preserve">multi-dose </w:t>
      </w:r>
      <w:r w:rsidR="00082DA5" w:rsidRPr="00DE02FA">
        <w:rPr>
          <w:rFonts w:cstheme="minorHAnsi"/>
        </w:rPr>
        <w:t>eye drops</w:t>
      </w:r>
      <w:r w:rsidR="009E20C5" w:rsidRPr="00DE02FA">
        <w:rPr>
          <w:rFonts w:cstheme="minorHAnsi"/>
        </w:rPr>
        <w:t xml:space="preserve"> </w:t>
      </w:r>
      <w:r w:rsidR="00594D5E" w:rsidRPr="00DE02FA">
        <w:rPr>
          <w:rFonts w:cstheme="minorHAnsi"/>
        </w:rPr>
        <w:t xml:space="preserve">available on the PBS. </w:t>
      </w:r>
      <w:r w:rsidRPr="00DE02FA">
        <w:t>The</w:t>
      </w:r>
      <w:r w:rsidR="00082DA5" w:rsidRPr="00DE02FA">
        <w:t>refore, the</w:t>
      </w:r>
      <w:r w:rsidRPr="00DE02FA">
        <w:t xml:space="preserve"> minor submission did not </w:t>
      </w:r>
      <w:r w:rsidR="001515AC" w:rsidRPr="00DE02FA">
        <w:t xml:space="preserve">include </w:t>
      </w:r>
      <w:r w:rsidR="003D7E2A" w:rsidRPr="00DE02FA">
        <w:t>the</w:t>
      </w:r>
      <w:r w:rsidR="00DC7377" w:rsidRPr="00DE02FA">
        <w:t xml:space="preserve"> </w:t>
      </w:r>
      <w:r w:rsidRPr="00DE02FA">
        <w:t>proportion</w:t>
      </w:r>
      <w:r w:rsidR="001515AC" w:rsidRPr="00DE02FA">
        <w:t xml:space="preserve"> </w:t>
      </w:r>
      <w:r w:rsidR="00DC7377" w:rsidRPr="00DE02FA">
        <w:t xml:space="preserve">of substitution for </w:t>
      </w:r>
      <w:r w:rsidR="001515AC" w:rsidRPr="00DE02FA">
        <w:rPr>
          <w:rFonts w:cstheme="minorHAnsi"/>
        </w:rPr>
        <w:t>the existing PBS-listed preservative-free</w:t>
      </w:r>
      <w:r w:rsidR="00B810FE" w:rsidRPr="00DE02FA">
        <w:rPr>
          <w:rFonts w:cstheme="minorHAnsi"/>
        </w:rPr>
        <w:t>,</w:t>
      </w:r>
      <w:r w:rsidR="001515AC" w:rsidRPr="00DE02FA">
        <w:rPr>
          <w:rFonts w:cstheme="minorHAnsi"/>
        </w:rPr>
        <w:t xml:space="preserve"> </w:t>
      </w:r>
      <w:r w:rsidR="00B810FE" w:rsidRPr="00DE02FA">
        <w:rPr>
          <w:rFonts w:cstheme="minorHAnsi"/>
        </w:rPr>
        <w:t xml:space="preserve">single-dose </w:t>
      </w:r>
      <w:r w:rsidR="001515AC" w:rsidRPr="00DE02FA">
        <w:rPr>
          <w:rFonts w:cstheme="minorHAnsi"/>
        </w:rPr>
        <w:t>eye drops</w:t>
      </w:r>
      <w:r w:rsidR="009E28A9" w:rsidRPr="00DE02FA">
        <w:rPr>
          <w:rFonts w:cstheme="minorHAnsi"/>
        </w:rPr>
        <w:t xml:space="preserve"> as this would </w:t>
      </w:r>
      <w:r w:rsidR="00711AE9" w:rsidRPr="00DE02FA">
        <w:rPr>
          <w:rFonts w:cstheme="minorHAnsi"/>
        </w:rPr>
        <w:t xml:space="preserve">overestimate </w:t>
      </w:r>
      <w:r w:rsidR="009E28A9" w:rsidRPr="00DE02FA">
        <w:rPr>
          <w:rFonts w:cstheme="minorHAnsi"/>
        </w:rPr>
        <w:t xml:space="preserve">the </w:t>
      </w:r>
      <w:r w:rsidR="00711AE9" w:rsidRPr="00DE02FA">
        <w:rPr>
          <w:rFonts w:cstheme="minorHAnsi"/>
        </w:rPr>
        <w:t>cost savings to the PBS</w:t>
      </w:r>
      <w:r w:rsidR="009E28A9" w:rsidRPr="00DE02FA">
        <w:rPr>
          <w:rFonts w:cstheme="minorHAnsi"/>
        </w:rPr>
        <w:t xml:space="preserve">. </w:t>
      </w:r>
      <w:r w:rsidR="009E20C5" w:rsidRPr="00DE02FA">
        <w:t>The submission also did not include Evolve carmellose and Evolve hypromellose in the estimates because these items were listed in December 2019 and had limited usage statistics available.</w:t>
      </w:r>
      <w:r w:rsidR="009E20C5" w:rsidRPr="00DE02FA">
        <w:rPr>
          <w:i/>
        </w:rPr>
        <w:t xml:space="preserve"> </w:t>
      </w:r>
      <w:r w:rsidR="00BE30B0" w:rsidRPr="00DE02FA">
        <w:t>The PBAC considered that t</w:t>
      </w:r>
      <w:r w:rsidR="009E20C5" w:rsidRPr="00DE02FA">
        <w:t xml:space="preserve">hese approaches were </w:t>
      </w:r>
      <w:r w:rsidR="00490632" w:rsidRPr="00DE02FA">
        <w:t xml:space="preserve">appropriate and would likely have minimal impact on the estimates. </w:t>
      </w:r>
    </w:p>
    <w:p w:rsidR="00063372" w:rsidRPr="00DE02FA" w:rsidRDefault="001F1F1B" w:rsidP="00870890">
      <w:pPr>
        <w:pStyle w:val="3Bodytext"/>
      </w:pPr>
      <w:r w:rsidRPr="00DE02FA">
        <w:lastRenderedPageBreak/>
        <w:t xml:space="preserve">The minor submission noted that </w:t>
      </w:r>
      <w:r w:rsidR="007F5099" w:rsidRPr="00DE02FA">
        <w:t>the risk of wastage is very low given that patients typically require multiple drops over the course of a day</w:t>
      </w:r>
      <w:r w:rsidR="003950EE" w:rsidRPr="00DE02FA">
        <w:t>.</w:t>
      </w:r>
      <w:r w:rsidRPr="00DE02FA">
        <w:t xml:space="preserve"> The PBAC considered </w:t>
      </w:r>
      <w:r w:rsidR="00D556CA" w:rsidRPr="00DE02FA">
        <w:t xml:space="preserve">this </w:t>
      </w:r>
      <w:r w:rsidR="004D5881" w:rsidRPr="00DE02FA">
        <w:t>was</w:t>
      </w:r>
      <w:r w:rsidR="00D556CA" w:rsidRPr="00DE02FA">
        <w:t xml:space="preserve"> </w:t>
      </w:r>
      <w:r w:rsidRPr="00DE02FA">
        <w:t>reasonable</w:t>
      </w:r>
      <w:r w:rsidR="00BE30B0" w:rsidRPr="00DE02FA">
        <w:t>.</w:t>
      </w:r>
      <w:r w:rsidRPr="00DE02FA">
        <w:t xml:space="preserve"> </w:t>
      </w:r>
    </w:p>
    <w:p w:rsidR="00E078D9" w:rsidRPr="00DE02FA" w:rsidRDefault="00FF2801" w:rsidP="00870890">
      <w:pPr>
        <w:pStyle w:val="3Bodytext"/>
      </w:pPr>
      <w:r w:rsidRPr="00DE02FA">
        <w:t>The minor submission estimated</w:t>
      </w:r>
      <w:r w:rsidR="00DB52AF" w:rsidRPr="00DE02FA">
        <w:t xml:space="preserve"> the</w:t>
      </w:r>
      <w:r w:rsidR="00C00DA7" w:rsidRPr="00DE02FA">
        <w:t xml:space="preserve"> net </w:t>
      </w:r>
      <w:r w:rsidR="00DB52AF" w:rsidRPr="00DE02FA">
        <w:t>saving</w:t>
      </w:r>
      <w:r w:rsidR="00C00DA7" w:rsidRPr="00DE02FA">
        <w:t xml:space="preserve"> to the PBS</w:t>
      </w:r>
      <w:r w:rsidR="00DB52AF" w:rsidRPr="00DE02FA">
        <w:t xml:space="preserve">/RPBS of </w:t>
      </w:r>
      <w:r w:rsidR="00DB52AF" w:rsidRPr="00DE02FA">
        <w:rPr>
          <w:rFonts w:cs="Arial"/>
          <w:szCs w:val="20"/>
        </w:rPr>
        <w:t>$</w:t>
      </w:r>
      <w:r w:rsidR="00A63CE5">
        <w:rPr>
          <w:rFonts w:cs="Arial"/>
          <w:noProof/>
          <w:color w:val="000000"/>
          <w:szCs w:val="20"/>
          <w:highlight w:val="black"/>
        </w:rPr>
        <w:t xml:space="preserve">'''''''''''''' </w:t>
      </w:r>
      <w:r w:rsidR="00C00DA7" w:rsidRPr="00DE02FA">
        <w:t xml:space="preserve">in Year </w:t>
      </w:r>
      <w:r w:rsidR="004541C8">
        <w:t>1</w:t>
      </w:r>
      <w:r w:rsidR="00C00DA7" w:rsidRPr="00DE02FA">
        <w:t xml:space="preserve"> of listing, with a total net </w:t>
      </w:r>
      <w:r w:rsidR="00DB52AF" w:rsidRPr="00DE02FA">
        <w:t>saving</w:t>
      </w:r>
      <w:r w:rsidR="00C00DA7" w:rsidRPr="00DE02FA">
        <w:t xml:space="preserve"> to the PBS</w:t>
      </w:r>
      <w:r w:rsidR="00DB52AF" w:rsidRPr="00DE02FA">
        <w:t>/RPBS</w:t>
      </w:r>
      <w:r w:rsidR="00C00DA7" w:rsidRPr="00DE02FA">
        <w:t xml:space="preserve"> of </w:t>
      </w:r>
      <w:r w:rsidR="00DB52AF" w:rsidRPr="00DE02FA">
        <w:t>$</w:t>
      </w:r>
      <w:r w:rsidR="00A63CE5">
        <w:rPr>
          <w:noProof/>
          <w:color w:val="000000"/>
          <w:highlight w:val="black"/>
        </w:rPr>
        <w:t>''''''''' '''''''''''''</w:t>
      </w:r>
      <w:r w:rsidR="00DB52AF" w:rsidRPr="00DE02FA">
        <w:t xml:space="preserve"> </w:t>
      </w:r>
      <w:r w:rsidR="00C00DA7" w:rsidRPr="00DE02FA">
        <w:t>ove</w:t>
      </w:r>
      <w:r w:rsidR="00C7409E" w:rsidRPr="00DE02FA">
        <w:t xml:space="preserve">r the first </w:t>
      </w:r>
      <w:r w:rsidR="00977BF3" w:rsidRPr="00DE02FA">
        <w:t>6</w:t>
      </w:r>
      <w:r w:rsidR="00C7409E" w:rsidRPr="00DE02FA">
        <w:t xml:space="preserve"> years of listing</w:t>
      </w:r>
      <w:r w:rsidR="00B12F9A" w:rsidRPr="00DE02FA">
        <w:t>. The submission assumed 30%</w:t>
      </w:r>
      <w:r w:rsidR="00091C64" w:rsidRPr="00DE02FA">
        <w:t xml:space="preserve"> </w:t>
      </w:r>
      <w:r w:rsidR="00B12F9A" w:rsidRPr="005F5C7D">
        <w:t xml:space="preserve">uptake of </w:t>
      </w:r>
      <w:r w:rsidR="004D5881" w:rsidRPr="005F5C7D">
        <w:t>C</w:t>
      </w:r>
      <w:r w:rsidR="00B12F9A" w:rsidRPr="005F5C7D">
        <w:t xml:space="preserve">ationorm by Year 6. </w:t>
      </w:r>
      <w:r w:rsidR="00C00DA7" w:rsidRPr="00DE02FA">
        <w:t>This i</w:t>
      </w:r>
      <w:r w:rsidR="00DB52AF" w:rsidRPr="00DE02FA">
        <w:t xml:space="preserve">s summarised in the table below. </w:t>
      </w:r>
    </w:p>
    <w:p w:rsidR="00C7409E" w:rsidRPr="00DE02FA" w:rsidRDefault="00E575BB" w:rsidP="00870890">
      <w:pPr>
        <w:pStyle w:val="TableFigureHeading"/>
        <w:rPr>
          <w:i/>
          <w:iCs/>
        </w:rPr>
      </w:pPr>
      <w:r w:rsidRPr="00DE02FA">
        <w:t xml:space="preserve">Table </w:t>
      </w:r>
      <w:r w:rsidRPr="005F5C7D">
        <w:t>4</w:t>
      </w:r>
      <w:r w:rsidR="00EE31A2" w:rsidRPr="00DE02FA">
        <w:t xml:space="preserve">: </w:t>
      </w:r>
      <w:r w:rsidR="00C7409E" w:rsidRPr="00DE02FA">
        <w:rPr>
          <w:rStyle w:val="CommentReference"/>
          <w:sz w:val="20"/>
          <w:szCs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w:tblPr>
      <w:tblGrid>
        <w:gridCol w:w="1642"/>
        <w:gridCol w:w="1230"/>
        <w:gridCol w:w="1230"/>
        <w:gridCol w:w="1230"/>
        <w:gridCol w:w="1230"/>
        <w:gridCol w:w="1230"/>
        <w:gridCol w:w="1224"/>
      </w:tblGrid>
      <w:tr w:rsidR="00140CF4" w:rsidRPr="00DE02FA" w:rsidTr="00870890">
        <w:trPr>
          <w:tblHeader/>
        </w:trPr>
        <w:tc>
          <w:tcPr>
            <w:tcW w:w="911" w:type="pct"/>
            <w:shd w:val="clear" w:color="auto" w:fill="auto"/>
            <w:vAlign w:val="center"/>
          </w:tcPr>
          <w:p w:rsidR="00C7409E" w:rsidRPr="00DE02FA" w:rsidRDefault="00C7409E" w:rsidP="00E575BB">
            <w:pPr>
              <w:pStyle w:val="TableText0"/>
              <w:keepLines/>
              <w:rPr>
                <w:szCs w:val="20"/>
              </w:rPr>
            </w:pPr>
          </w:p>
        </w:tc>
        <w:tc>
          <w:tcPr>
            <w:tcW w:w="682" w:type="pct"/>
            <w:shd w:val="clear" w:color="auto" w:fill="auto"/>
            <w:vAlign w:val="center"/>
          </w:tcPr>
          <w:p w:rsidR="00C7409E" w:rsidRPr="00DE02FA" w:rsidRDefault="005431CF" w:rsidP="00E575BB">
            <w:pPr>
              <w:pStyle w:val="TableText0"/>
              <w:keepLines/>
              <w:jc w:val="center"/>
              <w:rPr>
                <w:b/>
                <w:szCs w:val="20"/>
              </w:rPr>
            </w:pPr>
            <w:r w:rsidRPr="00DE02FA">
              <w:rPr>
                <w:b/>
                <w:szCs w:val="20"/>
              </w:rPr>
              <w:t>2021</w:t>
            </w:r>
          </w:p>
        </w:tc>
        <w:tc>
          <w:tcPr>
            <w:tcW w:w="682" w:type="pct"/>
            <w:shd w:val="clear" w:color="auto" w:fill="auto"/>
            <w:vAlign w:val="center"/>
          </w:tcPr>
          <w:p w:rsidR="00C7409E" w:rsidRPr="00DE02FA" w:rsidRDefault="005431CF" w:rsidP="00E575BB">
            <w:pPr>
              <w:pStyle w:val="TableText0"/>
              <w:keepLines/>
              <w:jc w:val="center"/>
              <w:rPr>
                <w:b/>
                <w:szCs w:val="20"/>
              </w:rPr>
            </w:pPr>
            <w:r w:rsidRPr="00DE02FA">
              <w:rPr>
                <w:b/>
                <w:szCs w:val="20"/>
              </w:rPr>
              <w:t>2022</w:t>
            </w:r>
          </w:p>
        </w:tc>
        <w:tc>
          <w:tcPr>
            <w:tcW w:w="682" w:type="pct"/>
            <w:shd w:val="clear" w:color="auto" w:fill="auto"/>
            <w:vAlign w:val="center"/>
          </w:tcPr>
          <w:p w:rsidR="00C7409E" w:rsidRPr="00DE02FA" w:rsidRDefault="005431CF" w:rsidP="00E575BB">
            <w:pPr>
              <w:pStyle w:val="TableText0"/>
              <w:keepLines/>
              <w:jc w:val="center"/>
              <w:rPr>
                <w:b/>
                <w:szCs w:val="20"/>
              </w:rPr>
            </w:pPr>
            <w:r w:rsidRPr="00DE02FA">
              <w:rPr>
                <w:b/>
                <w:szCs w:val="20"/>
              </w:rPr>
              <w:t>2023</w:t>
            </w:r>
          </w:p>
        </w:tc>
        <w:tc>
          <w:tcPr>
            <w:tcW w:w="682" w:type="pct"/>
            <w:shd w:val="clear" w:color="auto" w:fill="auto"/>
            <w:vAlign w:val="center"/>
          </w:tcPr>
          <w:p w:rsidR="00C7409E" w:rsidRPr="00DE02FA" w:rsidRDefault="005431CF" w:rsidP="00E575BB">
            <w:pPr>
              <w:pStyle w:val="TableText0"/>
              <w:keepLines/>
              <w:jc w:val="center"/>
              <w:rPr>
                <w:b/>
                <w:szCs w:val="20"/>
              </w:rPr>
            </w:pPr>
            <w:r w:rsidRPr="00DE02FA">
              <w:rPr>
                <w:b/>
                <w:szCs w:val="20"/>
              </w:rPr>
              <w:t>2024</w:t>
            </w:r>
          </w:p>
        </w:tc>
        <w:tc>
          <w:tcPr>
            <w:tcW w:w="682" w:type="pct"/>
            <w:shd w:val="clear" w:color="auto" w:fill="auto"/>
            <w:vAlign w:val="center"/>
          </w:tcPr>
          <w:p w:rsidR="00C7409E" w:rsidRPr="00DE02FA" w:rsidRDefault="005431CF" w:rsidP="00E575BB">
            <w:pPr>
              <w:pStyle w:val="TableText0"/>
              <w:keepLines/>
              <w:jc w:val="center"/>
              <w:rPr>
                <w:b/>
                <w:szCs w:val="20"/>
              </w:rPr>
            </w:pPr>
            <w:r w:rsidRPr="00DE02FA">
              <w:rPr>
                <w:b/>
                <w:szCs w:val="20"/>
              </w:rPr>
              <w:t>2025</w:t>
            </w:r>
          </w:p>
        </w:tc>
        <w:tc>
          <w:tcPr>
            <w:tcW w:w="679" w:type="pct"/>
          </w:tcPr>
          <w:p w:rsidR="00C7409E" w:rsidRPr="00DE02FA" w:rsidRDefault="005431CF" w:rsidP="00E575BB">
            <w:pPr>
              <w:pStyle w:val="TableText0"/>
              <w:keepLines/>
              <w:jc w:val="center"/>
              <w:rPr>
                <w:b/>
                <w:szCs w:val="20"/>
              </w:rPr>
            </w:pPr>
            <w:r w:rsidRPr="00DE02FA">
              <w:rPr>
                <w:b/>
                <w:szCs w:val="20"/>
              </w:rPr>
              <w:t>2026</w:t>
            </w:r>
          </w:p>
        </w:tc>
      </w:tr>
      <w:tr w:rsidR="00140CF4" w:rsidRPr="00DE02FA" w:rsidTr="00870890">
        <w:tc>
          <w:tcPr>
            <w:tcW w:w="5000" w:type="pct"/>
            <w:gridSpan w:val="7"/>
            <w:shd w:val="clear" w:color="auto" w:fill="auto"/>
            <w:vAlign w:val="center"/>
          </w:tcPr>
          <w:p w:rsidR="00C7409E" w:rsidRPr="00DE02FA" w:rsidRDefault="00C7409E" w:rsidP="00E575BB">
            <w:pPr>
              <w:pStyle w:val="TableText0"/>
              <w:keepLines/>
              <w:rPr>
                <w:b/>
                <w:szCs w:val="20"/>
              </w:rPr>
            </w:pPr>
            <w:r w:rsidRPr="00DE02FA">
              <w:rPr>
                <w:b/>
                <w:szCs w:val="20"/>
              </w:rPr>
              <w:t xml:space="preserve">Estimated financial implications of </w:t>
            </w:r>
            <w:r w:rsidR="000E035B" w:rsidRPr="00DE02FA">
              <w:rPr>
                <w:b/>
              </w:rPr>
              <w:t>C</w:t>
            </w:r>
            <w:r w:rsidR="009A57C7" w:rsidRPr="00DE02FA">
              <w:rPr>
                <w:b/>
              </w:rPr>
              <w:t>ationorm</w:t>
            </w:r>
          </w:p>
        </w:tc>
      </w:tr>
      <w:tr w:rsidR="00140CF4" w:rsidRPr="00DE02FA" w:rsidTr="00870890">
        <w:tc>
          <w:tcPr>
            <w:tcW w:w="911" w:type="pct"/>
            <w:shd w:val="clear" w:color="auto" w:fill="auto"/>
            <w:vAlign w:val="center"/>
          </w:tcPr>
          <w:p w:rsidR="00140CF4" w:rsidRPr="00DE02FA" w:rsidRDefault="00140CF4" w:rsidP="00E575BB">
            <w:pPr>
              <w:pStyle w:val="TableText0"/>
              <w:keepLines/>
              <w:rPr>
                <w:szCs w:val="20"/>
              </w:rPr>
            </w:pPr>
            <w:r w:rsidRPr="00DE02FA">
              <w:rPr>
                <w:szCs w:val="20"/>
              </w:rPr>
              <w:t>Number of scripts dispensed</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79" w:type="pct"/>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r>
      <w:tr w:rsidR="00140CF4" w:rsidRPr="00DE02FA" w:rsidTr="00870890">
        <w:tc>
          <w:tcPr>
            <w:tcW w:w="911" w:type="pct"/>
            <w:shd w:val="clear" w:color="auto" w:fill="auto"/>
            <w:vAlign w:val="center"/>
          </w:tcPr>
          <w:p w:rsidR="00140CF4" w:rsidRPr="00DE02FA" w:rsidRDefault="00140CF4" w:rsidP="00E575BB">
            <w:pPr>
              <w:pStyle w:val="TableText0"/>
              <w:keepLines/>
              <w:rPr>
                <w:szCs w:val="20"/>
              </w:rPr>
            </w:pPr>
            <w:r w:rsidRPr="00DE02FA">
              <w:rPr>
                <w:szCs w:val="20"/>
              </w:rPr>
              <w:t>Cost to PBS/RPBS less copayments</w:t>
            </w:r>
            <w:r w:rsidR="0049486E" w:rsidRPr="00DE02FA">
              <w:rPr>
                <w:szCs w:val="20"/>
                <w:vertAlign w:val="superscript"/>
              </w:rPr>
              <w:t>a</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79" w:type="pct"/>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r>
      <w:tr w:rsidR="00140CF4" w:rsidRPr="00DE02FA" w:rsidTr="00870890">
        <w:tc>
          <w:tcPr>
            <w:tcW w:w="5000" w:type="pct"/>
            <w:gridSpan w:val="7"/>
            <w:shd w:val="clear" w:color="auto" w:fill="auto"/>
            <w:vAlign w:val="center"/>
          </w:tcPr>
          <w:p w:rsidR="00C7409E" w:rsidRPr="00DE02FA" w:rsidRDefault="00C7409E" w:rsidP="00E575BB">
            <w:pPr>
              <w:pStyle w:val="TableText0"/>
              <w:keepLines/>
              <w:rPr>
                <w:b/>
                <w:szCs w:val="20"/>
              </w:rPr>
            </w:pPr>
            <w:r w:rsidRPr="00DE02FA">
              <w:rPr>
                <w:b/>
                <w:szCs w:val="20"/>
              </w:rPr>
              <w:t xml:space="preserve">Estimated financial implications for </w:t>
            </w:r>
            <w:r w:rsidR="00140CF4" w:rsidRPr="00DE02FA">
              <w:rPr>
                <w:b/>
                <w:szCs w:val="20"/>
              </w:rPr>
              <w:t>dis</w:t>
            </w:r>
            <w:r w:rsidR="009A57C7" w:rsidRPr="00DE02FA">
              <w:rPr>
                <w:b/>
                <w:szCs w:val="20"/>
              </w:rPr>
              <w:t xml:space="preserve">placed </w:t>
            </w:r>
            <w:r w:rsidR="009A57C7" w:rsidRPr="00DE02FA">
              <w:rPr>
                <w:rFonts w:cstheme="minorHAnsi"/>
                <w:b/>
              </w:rPr>
              <w:t>preservative-free, multi-dose eye drops</w:t>
            </w:r>
          </w:p>
        </w:tc>
      </w:tr>
      <w:tr w:rsidR="00140CF4" w:rsidRPr="00DE02FA" w:rsidTr="00870890">
        <w:tc>
          <w:tcPr>
            <w:tcW w:w="911" w:type="pct"/>
            <w:shd w:val="clear" w:color="auto" w:fill="auto"/>
            <w:vAlign w:val="center"/>
          </w:tcPr>
          <w:p w:rsidR="00140CF4" w:rsidRPr="00DE02FA" w:rsidRDefault="00140CF4" w:rsidP="00E575BB">
            <w:pPr>
              <w:pStyle w:val="TableText0"/>
              <w:keepLines/>
              <w:rPr>
                <w:szCs w:val="20"/>
              </w:rPr>
            </w:pPr>
            <w:r w:rsidRPr="00DE02FA">
              <w:rPr>
                <w:szCs w:val="20"/>
              </w:rPr>
              <w:t>Number of scripts dispensed</w:t>
            </w:r>
            <w:r w:rsidR="0049486E" w:rsidRPr="00DE02FA">
              <w:rPr>
                <w:szCs w:val="20"/>
                <w:vertAlign w:val="superscript"/>
              </w:rPr>
              <w:t>b</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82" w:type="pct"/>
            <w:shd w:val="clear" w:color="auto" w:fill="auto"/>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c>
          <w:tcPr>
            <w:tcW w:w="679" w:type="pct"/>
            <w:vAlign w:val="center"/>
          </w:tcPr>
          <w:p w:rsidR="00140CF4" w:rsidRPr="00A63CE5" w:rsidRDefault="00A63CE5" w:rsidP="00E575BB">
            <w:pPr>
              <w:pStyle w:val="TableText0"/>
              <w:keepLines/>
              <w:jc w:val="center"/>
              <w:rPr>
                <w:szCs w:val="20"/>
                <w:highlight w:val="black"/>
              </w:rPr>
            </w:pPr>
            <w:r>
              <w:rPr>
                <w:rFonts w:cs="Arial"/>
                <w:noProof/>
                <w:color w:val="000000"/>
                <w:szCs w:val="20"/>
                <w:highlight w:val="black"/>
              </w:rPr>
              <w:t>'''''''''''''''''''''</w:t>
            </w:r>
          </w:p>
        </w:tc>
      </w:tr>
      <w:tr w:rsidR="00140CF4" w:rsidRPr="00DE02FA" w:rsidTr="00870890">
        <w:tc>
          <w:tcPr>
            <w:tcW w:w="911" w:type="pct"/>
            <w:shd w:val="clear" w:color="auto" w:fill="auto"/>
            <w:vAlign w:val="center"/>
          </w:tcPr>
          <w:p w:rsidR="00140CF4" w:rsidRPr="00DE02FA" w:rsidRDefault="00140CF4" w:rsidP="00E575BB">
            <w:pPr>
              <w:pStyle w:val="TableText0"/>
              <w:keepLines/>
              <w:rPr>
                <w:szCs w:val="20"/>
              </w:rPr>
            </w:pPr>
            <w:r w:rsidRPr="00DE02FA">
              <w:rPr>
                <w:szCs w:val="20"/>
              </w:rPr>
              <w:t>Cost to PBS/RPBS less copayments</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79" w:type="pct"/>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r>
      <w:tr w:rsidR="00140CF4" w:rsidRPr="00DE02FA" w:rsidTr="00870890">
        <w:tc>
          <w:tcPr>
            <w:tcW w:w="5000" w:type="pct"/>
            <w:gridSpan w:val="7"/>
            <w:shd w:val="clear" w:color="auto" w:fill="auto"/>
            <w:vAlign w:val="center"/>
          </w:tcPr>
          <w:p w:rsidR="00140CF4" w:rsidRPr="00DE02FA" w:rsidRDefault="00140CF4" w:rsidP="00E575BB">
            <w:pPr>
              <w:pStyle w:val="TableText0"/>
              <w:keepLines/>
              <w:rPr>
                <w:b/>
                <w:szCs w:val="20"/>
              </w:rPr>
            </w:pPr>
            <w:r w:rsidRPr="00DE02FA">
              <w:rPr>
                <w:b/>
                <w:szCs w:val="20"/>
              </w:rPr>
              <w:t xml:space="preserve">Net financial implications </w:t>
            </w:r>
          </w:p>
        </w:tc>
      </w:tr>
      <w:tr w:rsidR="00140CF4" w:rsidRPr="00DE02FA" w:rsidTr="00870890">
        <w:tc>
          <w:tcPr>
            <w:tcW w:w="911" w:type="pct"/>
            <w:shd w:val="clear" w:color="auto" w:fill="auto"/>
            <w:vAlign w:val="center"/>
          </w:tcPr>
          <w:p w:rsidR="00140CF4" w:rsidRPr="00DE02FA" w:rsidRDefault="00140CF4" w:rsidP="00E575BB">
            <w:pPr>
              <w:pStyle w:val="TableText0"/>
              <w:keepLines/>
              <w:rPr>
                <w:szCs w:val="20"/>
              </w:rPr>
            </w:pPr>
            <w:r w:rsidRPr="00DE02FA">
              <w:rPr>
                <w:szCs w:val="20"/>
              </w:rPr>
              <w:t xml:space="preserve">Net cost to PBS/RPBS </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82" w:type="pct"/>
            <w:shd w:val="clear" w:color="auto" w:fill="auto"/>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c>
          <w:tcPr>
            <w:tcW w:w="679" w:type="pct"/>
            <w:vAlign w:val="center"/>
          </w:tcPr>
          <w:p w:rsidR="00140CF4" w:rsidRPr="00DE02FA" w:rsidRDefault="00140CF4" w:rsidP="00E575BB">
            <w:pPr>
              <w:pStyle w:val="TableText0"/>
              <w:keepLines/>
              <w:jc w:val="center"/>
              <w:rPr>
                <w:szCs w:val="20"/>
              </w:rPr>
            </w:pPr>
            <w:r w:rsidRPr="00DE02FA">
              <w:rPr>
                <w:rFonts w:cs="Arial"/>
                <w:szCs w:val="20"/>
              </w:rPr>
              <w:t>-$</w:t>
            </w:r>
            <w:r w:rsidR="00A63CE5">
              <w:rPr>
                <w:rFonts w:cs="Arial"/>
                <w:noProof/>
                <w:color w:val="000000"/>
                <w:szCs w:val="20"/>
                <w:highlight w:val="black"/>
              </w:rPr>
              <w:t>'''''''''''''''''''''</w:t>
            </w:r>
          </w:p>
        </w:tc>
      </w:tr>
    </w:tbl>
    <w:p w:rsidR="0049486E" w:rsidRPr="00DE02FA" w:rsidRDefault="00C7409E" w:rsidP="00870890">
      <w:pPr>
        <w:pStyle w:val="TableFigureFooter"/>
      </w:pPr>
      <w:r w:rsidRPr="00DE02FA">
        <w:rPr>
          <w:vertAlign w:val="superscript"/>
        </w:rPr>
        <w:t>a</w:t>
      </w:r>
      <w:r w:rsidR="00EE31A2" w:rsidRPr="00DE02FA">
        <w:t xml:space="preserve"> </w:t>
      </w:r>
      <w:r w:rsidR="00654A60" w:rsidRPr="00DE02FA">
        <w:t>T</w:t>
      </w:r>
      <w:r w:rsidR="0049486E" w:rsidRPr="00DE02FA">
        <w:t>he calculation was based on the proposed DPMQ of $</w:t>
      </w:r>
      <w:r w:rsidR="00A63CE5">
        <w:rPr>
          <w:noProof/>
          <w:color w:val="000000"/>
          <w:highlight w:val="black"/>
        </w:rPr>
        <w:t>''''''''''''''</w:t>
      </w:r>
      <w:r w:rsidR="0049486E" w:rsidRPr="00DE02FA">
        <w:t xml:space="preserve"> (Dispensed price for maximum quantity) for </w:t>
      </w:r>
      <w:r w:rsidR="00CF0D76" w:rsidRPr="00DE02FA">
        <w:rPr>
          <w:bCs/>
        </w:rPr>
        <w:t>C</w:t>
      </w:r>
      <w:r w:rsidR="0049486E" w:rsidRPr="00DE02FA">
        <w:rPr>
          <w:bCs/>
        </w:rPr>
        <w:t xml:space="preserve">ationorm. </w:t>
      </w:r>
    </w:p>
    <w:p w:rsidR="00FD6186" w:rsidRPr="00DE02FA" w:rsidRDefault="00654A60" w:rsidP="00870890">
      <w:pPr>
        <w:pStyle w:val="TableFigureFooter"/>
      </w:pPr>
      <w:r w:rsidRPr="00DE02FA">
        <w:rPr>
          <w:vertAlign w:val="superscript"/>
        </w:rPr>
        <w:t>b</w:t>
      </w:r>
      <w:r w:rsidR="00EE37E7" w:rsidRPr="00DE02FA">
        <w:t xml:space="preserve"> Displaced drugs </w:t>
      </w:r>
      <w:r w:rsidR="00FD6186" w:rsidRPr="00DE02FA">
        <w:t>include (PBS item code) Soy lecithin 1% (5545W, optometric), Soy lecithin 1%  (9448G), Hyaluronate sodium 0.2% (2171G, optometric), Hyaluronate sodium 0.2%  (2253N), Hyaluronate sodium 0.1% (2184Y, optometric), Hyaluronate sodium 0.1% (2181T), Perfluorohexyloctane 100% (11439C, optometric), Perfluorohexyloctane 100% (1146K)</w:t>
      </w:r>
    </w:p>
    <w:p w:rsidR="00EE37E7" w:rsidRDefault="00EE37E7" w:rsidP="00870890">
      <w:pPr>
        <w:pStyle w:val="TableFigureFooter"/>
      </w:pPr>
      <w:r w:rsidRPr="00DE02FA">
        <w:t>Source:</w:t>
      </w:r>
      <w:r w:rsidR="009A57C7" w:rsidRPr="00DE02FA">
        <w:t xml:space="preserve"> Section 4 workbook - </w:t>
      </w:r>
      <w:r w:rsidR="00CF0D76" w:rsidRPr="00DE02FA">
        <w:t>C</w:t>
      </w:r>
      <w:r w:rsidR="009A57C7" w:rsidRPr="00DE02FA">
        <w:t>ationorm April 2020</w:t>
      </w:r>
      <w:r w:rsidRPr="00DE02FA">
        <w:t xml:space="preserve">. </w:t>
      </w:r>
    </w:p>
    <w:p w:rsidR="00A3208A" w:rsidRPr="00DA29E8" w:rsidRDefault="00A3208A" w:rsidP="00A3208A">
      <w:pPr>
        <w:pStyle w:val="TableFigureFooter"/>
        <w:rPr>
          <w:rFonts w:asciiTheme="minorHAnsi" w:hAnsiTheme="minorHAnsi" w:cstheme="minorHAnsi"/>
          <w:sz w:val="24"/>
          <w:szCs w:val="24"/>
        </w:rPr>
      </w:pPr>
    </w:p>
    <w:p w:rsidR="00A3208A" w:rsidRPr="00DA29E8" w:rsidRDefault="00A3208A" w:rsidP="00A3208A">
      <w:pPr>
        <w:pStyle w:val="TableFigureFooter"/>
        <w:rPr>
          <w:rFonts w:asciiTheme="minorHAnsi" w:hAnsiTheme="minorHAnsi" w:cstheme="minorHAnsi"/>
          <w:sz w:val="24"/>
          <w:szCs w:val="24"/>
        </w:rPr>
      </w:pPr>
      <w:r w:rsidRPr="00DA29E8">
        <w:rPr>
          <w:rFonts w:asciiTheme="minorHAnsi" w:hAnsiTheme="minorHAnsi" w:cstheme="minorHAnsi"/>
          <w:sz w:val="24"/>
          <w:szCs w:val="24"/>
        </w:rPr>
        <w:t>The redacted table shows that at Year 6, the estimated number of patients was 200,000 to &lt; 300,000 and there would be a net cost saving to PBS/RPBS.</w:t>
      </w:r>
    </w:p>
    <w:p w:rsidR="00A3208A" w:rsidRDefault="00A3208A" w:rsidP="00870890">
      <w:pPr>
        <w:pStyle w:val="TableFigureFooter"/>
        <w:rPr>
          <w:rFonts w:asciiTheme="minorHAnsi" w:hAnsiTheme="minorHAnsi" w:cstheme="minorHAnsi"/>
          <w:sz w:val="24"/>
          <w:szCs w:val="24"/>
        </w:rPr>
      </w:pPr>
    </w:p>
    <w:p w:rsidR="0046175F" w:rsidRPr="00DE02FA" w:rsidRDefault="0046175F" w:rsidP="00870890">
      <w:pPr>
        <w:pStyle w:val="3Bodytext"/>
        <w:rPr>
          <w:rFonts w:cstheme="minorHAnsi"/>
          <w:i/>
        </w:rPr>
      </w:pPr>
      <w:r w:rsidRPr="00DE02FA">
        <w:t xml:space="preserve">The submission noted that there are a total of 54 ocular lubricants listed on the PBS, of those, 24 ocular lubricants (12 among these 24 eye drops are multi-dose products) are preservative-free formulations available as authority required listings for patients who are sensitive to preservatives. </w:t>
      </w:r>
    </w:p>
    <w:p w:rsidR="0046175F" w:rsidRPr="00DE02FA" w:rsidRDefault="0046175F" w:rsidP="00870890">
      <w:pPr>
        <w:pStyle w:val="3Bodytext"/>
        <w:rPr>
          <w:rFonts w:cstheme="minorHAnsi"/>
        </w:rPr>
      </w:pPr>
      <w:r w:rsidRPr="00DE02FA">
        <w:t xml:space="preserve">Given </w:t>
      </w:r>
      <w:r w:rsidR="004D5881" w:rsidRPr="00DE02FA">
        <w:t>the</w:t>
      </w:r>
      <w:r w:rsidRPr="00DE02FA">
        <w:t xml:space="preserve"> large number of ocular lubricants on the PBS and the rapid market growth in this treatment space, the PBAC requested additional information from the Drug Utilisation Sub Committee (DUSC) </w:t>
      </w:r>
      <w:r w:rsidR="00B6752A" w:rsidRPr="00DE02FA">
        <w:t xml:space="preserve">Secretariat </w:t>
      </w:r>
      <w:r w:rsidRPr="00DE02FA">
        <w:t xml:space="preserve">on </w:t>
      </w:r>
      <w:r w:rsidRPr="00DE02FA">
        <w:rPr>
          <w:rFonts w:cstheme="minorHAnsi"/>
        </w:rPr>
        <w:t>the utilisation of prese</w:t>
      </w:r>
      <w:r w:rsidR="006F1028" w:rsidRPr="00DE02FA">
        <w:rPr>
          <w:rFonts w:cstheme="minorHAnsi"/>
        </w:rPr>
        <w:t>rvative-free ocular lubricants</w:t>
      </w:r>
      <w:r w:rsidR="004D5881" w:rsidRPr="00DE02FA">
        <w:rPr>
          <w:rFonts w:cstheme="minorHAnsi"/>
        </w:rPr>
        <w:t>;</w:t>
      </w:r>
      <w:r w:rsidR="006F1028" w:rsidRPr="00DE02FA">
        <w:rPr>
          <w:rFonts w:cstheme="minorHAnsi"/>
        </w:rPr>
        <w:t xml:space="preserve"> i</w:t>
      </w:r>
      <w:r w:rsidRPr="00DE02FA">
        <w:rPr>
          <w:rFonts w:cstheme="minorHAnsi"/>
        </w:rPr>
        <w:t>n particular, the number of patients supplied more than one product and whether this is a significant driver to market growth. The following points were noted</w:t>
      </w:r>
      <w:r w:rsidR="006F1028" w:rsidRPr="00DE02FA">
        <w:rPr>
          <w:rFonts w:cstheme="minorHAnsi"/>
        </w:rPr>
        <w:t xml:space="preserve"> from the data</w:t>
      </w:r>
      <w:r w:rsidRPr="00DE02FA">
        <w:rPr>
          <w:rFonts w:cstheme="minorHAnsi"/>
        </w:rPr>
        <w:t xml:space="preserve">: </w:t>
      </w:r>
    </w:p>
    <w:p w:rsidR="0046175F" w:rsidRPr="00DE02FA" w:rsidRDefault="0046175F" w:rsidP="00870890">
      <w:pPr>
        <w:pStyle w:val="3Bodytext"/>
        <w:numPr>
          <w:ilvl w:val="0"/>
          <w:numId w:val="23"/>
        </w:numPr>
      </w:pPr>
      <w:r w:rsidRPr="00DE02FA">
        <w:t xml:space="preserve">The growth in the overall PBS market for preservative-free ocular lubricants appears to be mainly driven by the increasing utilisation of </w:t>
      </w:r>
      <w:r w:rsidR="004D5881" w:rsidRPr="00DE02FA">
        <w:t>HS</w:t>
      </w:r>
      <w:r w:rsidRPr="00DE02FA">
        <w:t xml:space="preserve"> rather than the inclusion of additional listings into the market (</w:t>
      </w:r>
      <w:r w:rsidR="00B17959" w:rsidRPr="00DE02FA">
        <w:t xml:space="preserve">Figure </w:t>
      </w:r>
      <w:r w:rsidR="00B17959" w:rsidRPr="005F5C7D">
        <w:t>1</w:t>
      </w:r>
      <w:r w:rsidRPr="00DE02FA">
        <w:t>).</w:t>
      </w:r>
    </w:p>
    <w:p w:rsidR="0046175F" w:rsidRPr="00DE02FA" w:rsidRDefault="0046175F" w:rsidP="00580CE1">
      <w:pPr>
        <w:pStyle w:val="ListParagraph"/>
        <w:numPr>
          <w:ilvl w:val="0"/>
          <w:numId w:val="23"/>
        </w:numPr>
        <w:jc w:val="both"/>
      </w:pPr>
      <w:r w:rsidRPr="00DE02FA">
        <w:lastRenderedPageBreak/>
        <w:t>The majority of patients were dispensed a single ocular lubricant (</w:t>
      </w:r>
      <w:r w:rsidR="008F7290" w:rsidRPr="00DE02FA">
        <w:t xml:space="preserve">Table </w:t>
      </w:r>
      <w:r w:rsidR="008F7290" w:rsidRPr="005F5C7D">
        <w:t>5</w:t>
      </w:r>
      <w:r w:rsidRPr="00DE02FA">
        <w:t xml:space="preserve">). A low proportion of patients were identified as using two or more drugs. As such, the availability of alternative listings </w:t>
      </w:r>
      <w:r w:rsidR="003276C1">
        <w:t>did not appear to be</w:t>
      </w:r>
      <w:r w:rsidRPr="00DE02FA">
        <w:t xml:space="preserve"> a significant factor in the growth of the overall market. </w:t>
      </w:r>
      <w:r w:rsidR="003276C1">
        <w:t>It was noted that the</w:t>
      </w:r>
      <w:r w:rsidR="001B2E99" w:rsidRPr="00DE02FA">
        <w:t xml:space="preserve"> submission assum</w:t>
      </w:r>
      <w:r w:rsidR="003276C1">
        <w:t>ed</w:t>
      </w:r>
      <w:r w:rsidR="001B2E99" w:rsidRPr="00DE02FA">
        <w:t xml:space="preserve"> </w:t>
      </w:r>
      <w:r w:rsidR="001B2E99" w:rsidRPr="00DE02FA">
        <w:rPr>
          <w:rFonts w:eastAsiaTheme="minorHAnsi" w:cstheme="minorBidi"/>
          <w:snapToGrid/>
        </w:rPr>
        <w:t xml:space="preserve">the overall market size would grow at similar, but diminishing rates; and that the listing of </w:t>
      </w:r>
      <w:r w:rsidR="004D5881" w:rsidRPr="00DE02FA">
        <w:rPr>
          <w:rFonts w:eastAsiaTheme="minorHAnsi" w:cstheme="minorBidi"/>
          <w:snapToGrid/>
        </w:rPr>
        <w:t>C</w:t>
      </w:r>
      <w:r w:rsidR="001B2E99" w:rsidRPr="00DE02FA">
        <w:rPr>
          <w:rFonts w:eastAsiaTheme="minorHAnsi" w:cstheme="minorBidi"/>
          <w:snapToGrid/>
        </w:rPr>
        <w:t xml:space="preserve">ationorm </w:t>
      </w:r>
      <w:r w:rsidR="001B2E99" w:rsidRPr="00DE02FA">
        <w:rPr>
          <w:lang w:eastAsia="en-GB"/>
        </w:rPr>
        <w:t xml:space="preserve">is not expected to increase the overall use of </w:t>
      </w:r>
      <w:r w:rsidR="001B2E99" w:rsidRPr="00DE02FA">
        <w:t>ocular lubricants.</w:t>
      </w:r>
      <w:r w:rsidR="00216333" w:rsidRPr="00DE02FA">
        <w:t xml:space="preserve"> However</w:t>
      </w:r>
      <w:r w:rsidR="004D5881" w:rsidRPr="00DE02FA">
        <w:t>,</w:t>
      </w:r>
      <w:r w:rsidR="00216333" w:rsidRPr="00DE02FA">
        <w:t xml:space="preserve"> the number of cases of concomitant use appear</w:t>
      </w:r>
      <w:r w:rsidR="003276C1">
        <w:t>ed</w:t>
      </w:r>
      <w:r w:rsidR="00216333" w:rsidRPr="00DE02FA">
        <w:t xml:space="preserve"> to have increased </w:t>
      </w:r>
      <w:r w:rsidR="00DE02FA">
        <w:t>from</w:t>
      </w:r>
      <w:r w:rsidR="00DE02FA" w:rsidRPr="00DE02FA">
        <w:t xml:space="preserve"> </w:t>
      </w:r>
      <w:r w:rsidR="00216333" w:rsidRPr="00DE02FA">
        <w:t>2018 to 2020 (year to date as at April</w:t>
      </w:r>
      <w:r w:rsidR="00C1122B" w:rsidRPr="00DE02FA">
        <w:t xml:space="preserve"> 2020</w:t>
      </w:r>
      <w:r w:rsidR="00216333" w:rsidRPr="00DE02FA">
        <w:t>).</w:t>
      </w:r>
    </w:p>
    <w:p w:rsidR="00A1683F" w:rsidRPr="00DE02FA" w:rsidRDefault="00A1683F">
      <w:pPr>
        <w:jc w:val="left"/>
        <w:rPr>
          <w:rFonts w:ascii="Arial Narrow" w:hAnsi="Arial Narrow"/>
          <w:b/>
          <w:bCs/>
          <w:color w:val="000000" w:themeColor="text1"/>
          <w:sz w:val="20"/>
          <w:szCs w:val="20"/>
        </w:rPr>
      </w:pPr>
      <w:bookmarkStart w:id="5" w:name="_Ref45111467"/>
      <w:r w:rsidRPr="00DE02FA">
        <w:rPr>
          <w:rFonts w:ascii="Arial Narrow" w:hAnsi="Arial Narrow"/>
          <w:b/>
          <w:bCs/>
          <w:i/>
          <w:iCs/>
          <w:sz w:val="20"/>
          <w:szCs w:val="20"/>
        </w:rPr>
        <w:br w:type="page"/>
      </w:r>
    </w:p>
    <w:p w:rsidR="00B17959" w:rsidRPr="00DE02FA" w:rsidRDefault="00B17959" w:rsidP="00870890">
      <w:pPr>
        <w:pStyle w:val="TableFigureHeading"/>
        <w:rPr>
          <w:i/>
          <w:iCs/>
        </w:rPr>
      </w:pPr>
      <w:r w:rsidRPr="00DE02FA">
        <w:lastRenderedPageBreak/>
        <w:t xml:space="preserve">Figure </w:t>
      </w:r>
      <w:r w:rsidRPr="005F5C7D">
        <w:t>1</w:t>
      </w:r>
      <w:bookmarkEnd w:id="5"/>
      <w:r w:rsidRPr="00DE02FA">
        <w:t xml:space="preserve"> Number of patients treated with preservative-free ocular lubricants by PBS listing</w:t>
      </w:r>
    </w:p>
    <w:p w:rsidR="0046175F" w:rsidRPr="00DE02FA" w:rsidRDefault="0046175F" w:rsidP="0046175F">
      <w:pPr>
        <w:pStyle w:val="ListParagraph"/>
        <w:ind w:left="0" w:firstLine="0"/>
        <w:rPr>
          <w:rFonts w:ascii="Arial Narrow" w:hAnsi="Arial Narrow" w:cstheme="minorHAnsi"/>
          <w:sz w:val="20"/>
          <w:szCs w:val="20"/>
        </w:rPr>
      </w:pPr>
      <w:r w:rsidRPr="005F5C7D">
        <w:rPr>
          <w:noProof/>
        </w:rPr>
        <w:drawing>
          <wp:inline distT="0" distB="0" distL="0" distR="0" wp14:anchorId="40FC97DE" wp14:editId="1D604A59">
            <wp:extent cx="5276850" cy="3421541"/>
            <wp:effectExtent l="0" t="0" r="0" b="7620"/>
            <wp:docPr id="2" name="Picture 2" title="Figure 1: Number of patients treated with preservative-free ocular lubricants by PBS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211" cy="3466515"/>
                    </a:xfrm>
                    <a:prstGeom prst="rect">
                      <a:avLst/>
                    </a:prstGeom>
                    <a:noFill/>
                  </pic:spPr>
                </pic:pic>
              </a:graphicData>
            </a:graphic>
          </wp:inline>
        </w:drawing>
      </w:r>
    </w:p>
    <w:p w:rsidR="0046175F" w:rsidRPr="00DE02FA" w:rsidRDefault="0046175F" w:rsidP="00870890">
      <w:pPr>
        <w:pStyle w:val="TableFigureFooter"/>
      </w:pPr>
      <w:r w:rsidRPr="00DE02FA">
        <w:t>Note: The data was extracted based on the date of supply and includes the following PBS item code: 9448G, 5545W,'02181T', 2184Y, 2253N, 2171G, 11446K, 11439C, 11852T, 11853W, 11842G and 11849P.</w:t>
      </w:r>
    </w:p>
    <w:p w:rsidR="0046175F" w:rsidRPr="00DE02FA" w:rsidRDefault="0046175F" w:rsidP="00870890">
      <w:pPr>
        <w:pStyle w:val="TableFigureFooter"/>
      </w:pPr>
      <w:r w:rsidRPr="00DE02FA">
        <w:t>Source: compiled by the DUSC Secretariat based on the PBS service data</w:t>
      </w:r>
    </w:p>
    <w:p w:rsidR="0046175F" w:rsidRPr="00DE02FA" w:rsidRDefault="0046175F" w:rsidP="0046175F">
      <w:pPr>
        <w:autoSpaceDE w:val="0"/>
        <w:autoSpaceDN w:val="0"/>
        <w:adjustRightInd w:val="0"/>
        <w:rPr>
          <w:rFonts w:ascii="Arial Narrow" w:hAnsi="Arial Narrow" w:cstheme="minorHAnsi"/>
          <w:i/>
          <w:sz w:val="20"/>
          <w:szCs w:val="20"/>
        </w:rPr>
      </w:pPr>
    </w:p>
    <w:p w:rsidR="0046175F" w:rsidRPr="00DE02FA" w:rsidRDefault="00E575BB" w:rsidP="00870890">
      <w:pPr>
        <w:pStyle w:val="TableFigureHeading"/>
        <w:rPr>
          <w:i/>
          <w:iCs/>
        </w:rPr>
      </w:pPr>
      <w:bookmarkStart w:id="6" w:name="_Ref45111992"/>
      <w:bookmarkStart w:id="7" w:name="_Ref45111985"/>
      <w:r w:rsidRPr="00DE02FA">
        <w:lastRenderedPageBreak/>
        <w:t xml:space="preserve">Table </w:t>
      </w:r>
      <w:r w:rsidRPr="005F5C7D">
        <w:t>5</w:t>
      </w:r>
      <w:bookmarkEnd w:id="6"/>
      <w:r w:rsidR="0046175F" w:rsidRPr="00DE02FA">
        <w:t>: Number of cases of concomitant use identified by year</w:t>
      </w:r>
      <w:bookmarkEnd w:id="7"/>
    </w:p>
    <w:tbl>
      <w:tblPr>
        <w:tblW w:w="5000" w:type="pct"/>
        <w:tblLook w:val="04A0" w:firstRow="1" w:lastRow="0" w:firstColumn="1" w:lastColumn="0" w:noHBand="0" w:noVBand="1"/>
        <w:tblCaption w:val="Table 5: Number of cases of concomitant use identified by year"/>
      </w:tblPr>
      <w:tblGrid>
        <w:gridCol w:w="2588"/>
        <w:gridCol w:w="1366"/>
        <w:gridCol w:w="1231"/>
        <w:gridCol w:w="1366"/>
        <w:gridCol w:w="1368"/>
        <w:gridCol w:w="1092"/>
      </w:tblGrid>
      <w:tr w:rsidR="0046175F" w:rsidRPr="00DE02FA" w:rsidTr="00870890">
        <w:trPr>
          <w:trHeight w:val="520"/>
        </w:trPr>
        <w:tc>
          <w:tcPr>
            <w:tcW w:w="2194" w:type="pct"/>
            <w:gridSpan w:val="2"/>
            <w:vMerge w:val="restart"/>
            <w:tcBorders>
              <w:top w:val="single" w:sz="8" w:space="0" w:color="B0B7BB"/>
              <w:left w:val="single" w:sz="8" w:space="0" w:color="C1C1C1"/>
              <w:bottom w:val="nil"/>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b/>
                <w:bCs/>
                <w:iCs/>
                <w:color w:val="000000"/>
                <w:sz w:val="20"/>
                <w:szCs w:val="20"/>
              </w:rPr>
            </w:pPr>
            <w:r w:rsidRPr="00870890">
              <w:rPr>
                <w:rFonts w:ascii="Arial Narrow" w:hAnsi="Arial Narrow" w:cs="Calibri"/>
                <w:b/>
                <w:bCs/>
                <w:iCs/>
                <w:color w:val="000000"/>
                <w:sz w:val="20"/>
                <w:szCs w:val="20"/>
              </w:rPr>
              <w:t> </w:t>
            </w:r>
          </w:p>
        </w:tc>
        <w:tc>
          <w:tcPr>
            <w:tcW w:w="2199" w:type="pct"/>
            <w:gridSpan w:val="3"/>
            <w:tcBorders>
              <w:top w:val="single" w:sz="4" w:space="0" w:color="auto"/>
              <w:left w:val="single" w:sz="4" w:space="0" w:color="auto"/>
              <w:bottom w:val="single" w:sz="4" w:space="0" w:color="auto"/>
              <w:right w:val="nil"/>
            </w:tcBorders>
            <w:shd w:val="clear" w:color="auto" w:fill="auto"/>
            <w:hideMark/>
          </w:tcPr>
          <w:p w:rsidR="0046175F" w:rsidRPr="00870890" w:rsidRDefault="0046175F" w:rsidP="00E575BB">
            <w:pPr>
              <w:keepNext/>
              <w:keepLines/>
              <w:jc w:val="center"/>
              <w:rPr>
                <w:rFonts w:ascii="Arial Narrow" w:hAnsi="Arial Narrow" w:cs="Calibri"/>
                <w:b/>
                <w:bCs/>
                <w:iCs/>
                <w:color w:val="000000"/>
                <w:sz w:val="20"/>
                <w:szCs w:val="20"/>
              </w:rPr>
            </w:pPr>
            <w:r w:rsidRPr="00870890">
              <w:rPr>
                <w:rFonts w:ascii="Arial Narrow" w:hAnsi="Arial Narrow" w:cs="Calibri"/>
                <w:b/>
                <w:bCs/>
                <w:iCs/>
                <w:color w:val="000000"/>
                <w:sz w:val="20"/>
                <w:szCs w:val="20"/>
              </w:rPr>
              <w:t>Number of concomitant drugs</w:t>
            </w:r>
          </w:p>
        </w:tc>
        <w:tc>
          <w:tcPr>
            <w:tcW w:w="60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b/>
                <w:bCs/>
                <w:iCs/>
                <w:color w:val="000000"/>
                <w:sz w:val="20"/>
                <w:szCs w:val="20"/>
              </w:rPr>
            </w:pPr>
            <w:r w:rsidRPr="00870890">
              <w:rPr>
                <w:rFonts w:ascii="Arial Narrow" w:hAnsi="Arial Narrow" w:cs="Calibri"/>
                <w:b/>
                <w:bCs/>
                <w:iCs/>
                <w:color w:val="000000"/>
                <w:sz w:val="20"/>
                <w:szCs w:val="20"/>
              </w:rPr>
              <w:t>Total</w:t>
            </w:r>
          </w:p>
        </w:tc>
      </w:tr>
      <w:tr w:rsidR="0046175F" w:rsidRPr="00DE02FA" w:rsidTr="00870890">
        <w:trPr>
          <w:trHeight w:val="290"/>
        </w:trPr>
        <w:tc>
          <w:tcPr>
            <w:tcW w:w="2194" w:type="pct"/>
            <w:gridSpan w:val="2"/>
            <w:vMerge/>
            <w:tcBorders>
              <w:top w:val="single" w:sz="8" w:space="0" w:color="B0B7BB"/>
              <w:left w:val="single" w:sz="8" w:space="0" w:color="C1C1C1"/>
              <w:bottom w:val="nil"/>
              <w:right w:val="single" w:sz="4" w:space="0" w:color="auto"/>
            </w:tcBorders>
            <w:vAlign w:val="center"/>
            <w:hideMark/>
          </w:tcPr>
          <w:p w:rsidR="0046175F" w:rsidRPr="00870890" w:rsidRDefault="0046175F" w:rsidP="00E575BB">
            <w:pPr>
              <w:keepNext/>
              <w:keepLines/>
              <w:rPr>
                <w:rFonts w:ascii="Arial Narrow" w:hAnsi="Arial Narrow" w:cs="Calibri"/>
                <w:b/>
                <w:bCs/>
                <w:iCs/>
                <w:color w:val="000000"/>
                <w:sz w:val="20"/>
                <w:szCs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b/>
                <w:bCs/>
                <w:iCs/>
                <w:color w:val="000000"/>
                <w:sz w:val="20"/>
                <w:szCs w:val="20"/>
              </w:rPr>
            </w:pPr>
            <w:r w:rsidRPr="00870890">
              <w:rPr>
                <w:rFonts w:ascii="Arial Narrow" w:hAnsi="Arial Narrow" w:cs="Calibri"/>
                <w:b/>
                <w:bCs/>
                <w:iCs/>
                <w:color w:val="000000"/>
                <w:sz w:val="20"/>
                <w:szCs w:val="20"/>
              </w:rPr>
              <w:t>Single drug</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b/>
                <w:bCs/>
                <w:iCs/>
                <w:color w:val="000000"/>
                <w:sz w:val="20"/>
                <w:szCs w:val="20"/>
              </w:rPr>
            </w:pPr>
            <w:r w:rsidRPr="00870890">
              <w:rPr>
                <w:rFonts w:ascii="Arial Narrow" w:hAnsi="Arial Narrow" w:cs="Calibri"/>
                <w:b/>
                <w:bCs/>
                <w:iCs/>
                <w:color w:val="000000"/>
                <w:sz w:val="20"/>
                <w:szCs w:val="20"/>
              </w:rPr>
              <w:t>Two drugs dispensed</w:t>
            </w:r>
          </w:p>
        </w:tc>
        <w:tc>
          <w:tcPr>
            <w:tcW w:w="759" w:type="pct"/>
            <w:tcBorders>
              <w:top w:val="single" w:sz="4" w:space="0" w:color="auto"/>
              <w:left w:val="single" w:sz="4" w:space="0" w:color="auto"/>
              <w:bottom w:val="single" w:sz="4" w:space="0" w:color="auto"/>
              <w:right w:val="nil"/>
            </w:tcBorders>
            <w:shd w:val="clear" w:color="auto" w:fill="auto"/>
            <w:hideMark/>
          </w:tcPr>
          <w:p w:rsidR="0046175F" w:rsidRPr="00870890" w:rsidRDefault="0046175F" w:rsidP="00E575BB">
            <w:pPr>
              <w:keepNext/>
              <w:keepLines/>
              <w:jc w:val="center"/>
              <w:rPr>
                <w:rFonts w:ascii="Arial Narrow" w:hAnsi="Arial Narrow" w:cs="Calibri"/>
                <w:b/>
                <w:bCs/>
                <w:iCs/>
                <w:color w:val="000000"/>
                <w:sz w:val="20"/>
                <w:szCs w:val="20"/>
              </w:rPr>
            </w:pPr>
            <w:r w:rsidRPr="00870890">
              <w:rPr>
                <w:rFonts w:ascii="Arial Narrow" w:hAnsi="Arial Narrow" w:cs="Calibri"/>
                <w:b/>
                <w:bCs/>
                <w:iCs/>
                <w:color w:val="000000"/>
                <w:sz w:val="20"/>
                <w:szCs w:val="20"/>
              </w:rPr>
              <w:t>Three drugs dispensed</w:t>
            </w:r>
          </w:p>
        </w:tc>
        <w:tc>
          <w:tcPr>
            <w:tcW w:w="607" w:type="pct"/>
            <w:vMerge/>
            <w:tcBorders>
              <w:top w:val="single" w:sz="4" w:space="0" w:color="auto"/>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b/>
                <w:bCs/>
                <w:iCs/>
                <w:color w:val="000000"/>
                <w:sz w:val="20"/>
                <w:szCs w:val="20"/>
              </w:rPr>
            </w:pPr>
          </w:p>
        </w:tc>
      </w:tr>
      <w:tr w:rsidR="0046175F" w:rsidRPr="00DE02FA" w:rsidTr="00870890">
        <w:trPr>
          <w:trHeight w:val="593"/>
        </w:trPr>
        <w:tc>
          <w:tcPr>
            <w:tcW w:w="1436" w:type="pct"/>
            <w:tcBorders>
              <w:top w:val="single" w:sz="4" w:space="0" w:color="auto"/>
              <w:left w:val="single" w:sz="4" w:space="0" w:color="auto"/>
              <w:bottom w:val="single" w:sz="4" w:space="0" w:color="auto"/>
              <w:right w:val="single" w:sz="4" w:space="0" w:color="auto"/>
            </w:tcBorders>
            <w:shd w:val="clear" w:color="auto" w:fill="auto"/>
            <w:hideMark/>
          </w:tcPr>
          <w:p w:rsidR="005C7F41" w:rsidRPr="00870890" w:rsidRDefault="0046175F" w:rsidP="00E575BB">
            <w:pPr>
              <w:keepNext/>
              <w:keepLines/>
              <w:rPr>
                <w:rFonts w:ascii="Arial Narrow" w:hAnsi="Arial Narrow" w:cs="Calibri"/>
                <w:iCs/>
                <w:color w:val="000000"/>
                <w:sz w:val="20"/>
                <w:szCs w:val="20"/>
              </w:rPr>
            </w:pPr>
            <w:r w:rsidRPr="00870890">
              <w:rPr>
                <w:rFonts w:ascii="Arial Narrow" w:hAnsi="Arial Narrow" w:cs="Calibri"/>
                <w:iCs/>
                <w:color w:val="000000"/>
                <w:sz w:val="20"/>
                <w:szCs w:val="20"/>
              </w:rPr>
              <w:t>Total -</w:t>
            </w:r>
            <w:r w:rsidR="005C7F41" w:rsidRPr="00870890">
              <w:rPr>
                <w:rFonts w:ascii="Arial Narrow" w:hAnsi="Arial Narrow" w:cs="Calibri"/>
                <w:iCs/>
                <w:color w:val="000000"/>
                <w:sz w:val="20"/>
                <w:szCs w:val="20"/>
              </w:rPr>
              <w:t xml:space="preserve"> Since first ever listing to </w:t>
            </w:r>
          </w:p>
          <w:p w:rsidR="0046175F" w:rsidRPr="00870890" w:rsidRDefault="005C7F41" w:rsidP="00E575BB">
            <w:pPr>
              <w:keepNext/>
              <w:keepLines/>
              <w:rPr>
                <w:rFonts w:ascii="Arial Narrow" w:hAnsi="Arial Narrow" w:cs="Calibri"/>
                <w:iCs/>
                <w:color w:val="000000"/>
                <w:sz w:val="20"/>
                <w:szCs w:val="20"/>
              </w:rPr>
            </w:pPr>
            <w:r w:rsidRPr="00870890">
              <w:rPr>
                <w:rFonts w:ascii="Arial Narrow" w:hAnsi="Arial Narrow" w:cs="Calibri"/>
                <w:iCs/>
                <w:color w:val="000000"/>
                <w:sz w:val="20"/>
                <w:szCs w:val="20"/>
              </w:rPr>
              <w:t xml:space="preserve">30 </w:t>
            </w:r>
            <w:r w:rsidR="0046175F" w:rsidRPr="00870890">
              <w:rPr>
                <w:rFonts w:ascii="Arial Narrow" w:hAnsi="Arial Narrow" w:cs="Calibri"/>
                <w:iCs/>
                <w:color w:val="000000"/>
                <w:sz w:val="20"/>
                <w:szCs w:val="20"/>
              </w:rPr>
              <w:t>April 2020</w:t>
            </w:r>
          </w:p>
        </w:tc>
        <w:tc>
          <w:tcPr>
            <w:tcW w:w="758" w:type="pct"/>
            <w:tcBorders>
              <w:top w:val="single" w:sz="4" w:space="0" w:color="auto"/>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single" w:sz="4" w:space="0" w:color="auto"/>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94.0</w:t>
            </w:r>
          </w:p>
        </w:tc>
        <w:tc>
          <w:tcPr>
            <w:tcW w:w="758" w:type="pct"/>
            <w:tcBorders>
              <w:top w:val="single" w:sz="4" w:space="0" w:color="auto"/>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5.9</w:t>
            </w:r>
          </w:p>
        </w:tc>
        <w:tc>
          <w:tcPr>
            <w:tcW w:w="759" w:type="pct"/>
            <w:tcBorders>
              <w:top w:val="single" w:sz="4" w:space="0" w:color="auto"/>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0.1</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5000" w:type="pct"/>
            <w:gridSpan w:val="6"/>
            <w:tcBorders>
              <w:top w:val="nil"/>
              <w:left w:val="single" w:sz="4" w:space="0" w:color="auto"/>
              <w:bottom w:val="single" w:sz="4" w:space="0" w:color="000000"/>
              <w:right w:val="single" w:sz="4" w:space="0" w:color="auto"/>
            </w:tcBorders>
            <w:shd w:val="clear" w:color="auto" w:fill="auto"/>
          </w:tcPr>
          <w:p w:rsidR="0046175F" w:rsidRPr="00870890" w:rsidRDefault="0046175F" w:rsidP="00E575BB">
            <w:pPr>
              <w:keepNext/>
              <w:keepLines/>
              <w:rPr>
                <w:rFonts w:ascii="Arial Narrow" w:hAnsi="Arial Narrow" w:cs="Calibri"/>
                <w:b/>
                <w:iCs/>
                <w:color w:val="000000"/>
                <w:sz w:val="20"/>
                <w:szCs w:val="20"/>
              </w:rPr>
            </w:pPr>
            <w:r w:rsidRPr="00870890">
              <w:rPr>
                <w:rFonts w:ascii="Arial Narrow" w:hAnsi="Arial Narrow" w:cs="Calibri"/>
                <w:b/>
                <w:iCs/>
                <w:color w:val="000000"/>
                <w:sz w:val="20"/>
                <w:szCs w:val="20"/>
              </w:rPr>
              <w:t>Use of single versus multiple drug regimens by year:</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2013</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1099</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21</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1120</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98.1</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1.9</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2014</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2396</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62</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2458</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97.5</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2.5</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2015</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3380</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90</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3470</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97.4</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2.6</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2016</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4183</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112</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4295</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97.4</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2.6</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2017</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6020</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166</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6186</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97.3</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2.7</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2018</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9990</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272</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10262</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97.4</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2.7</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2019</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23575</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1342</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11</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24928</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94.6</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5.4</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0.04</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r w:rsidR="0046175F" w:rsidRPr="00DE02FA" w:rsidTr="00870890">
        <w:trPr>
          <w:trHeight w:val="290"/>
        </w:trPr>
        <w:tc>
          <w:tcPr>
            <w:tcW w:w="1436" w:type="pct"/>
            <w:vMerge w:val="restart"/>
            <w:tcBorders>
              <w:top w:val="nil"/>
              <w:left w:val="single" w:sz="4" w:space="0" w:color="auto"/>
              <w:bottom w:val="single" w:sz="4" w:space="0" w:color="000000"/>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 xml:space="preserve">2020 </w:t>
            </w:r>
          </w:p>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(YTD April)</w:t>
            </w: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Frequency</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46999</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4151</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42</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51192</w:t>
            </w:r>
          </w:p>
        </w:tc>
      </w:tr>
      <w:tr w:rsidR="0046175F" w:rsidRPr="00DE02FA" w:rsidTr="00870890">
        <w:trPr>
          <w:trHeight w:val="290"/>
        </w:trPr>
        <w:tc>
          <w:tcPr>
            <w:tcW w:w="1436" w:type="pct"/>
            <w:vMerge/>
            <w:tcBorders>
              <w:top w:val="nil"/>
              <w:left w:val="single" w:sz="4" w:space="0" w:color="auto"/>
              <w:bottom w:val="single" w:sz="4" w:space="0" w:color="000000"/>
              <w:right w:val="single" w:sz="4" w:space="0" w:color="auto"/>
            </w:tcBorders>
            <w:vAlign w:val="center"/>
            <w:hideMark/>
          </w:tcPr>
          <w:p w:rsidR="0046175F" w:rsidRPr="00870890" w:rsidRDefault="0046175F" w:rsidP="00E575BB">
            <w:pPr>
              <w:keepNext/>
              <w:keepLines/>
              <w:rPr>
                <w:rFonts w:ascii="Arial Narrow" w:hAnsi="Arial Narrow" w:cs="Calibri"/>
                <w:iCs/>
                <w:color w:val="000000"/>
                <w:sz w:val="20"/>
                <w:szCs w:val="20"/>
              </w:rPr>
            </w:pPr>
          </w:p>
        </w:tc>
        <w:tc>
          <w:tcPr>
            <w:tcW w:w="758" w:type="pct"/>
            <w:tcBorders>
              <w:top w:val="nil"/>
              <w:left w:val="nil"/>
              <w:bottom w:val="single" w:sz="4" w:space="0" w:color="auto"/>
              <w:right w:val="single" w:sz="4" w:space="0" w:color="auto"/>
            </w:tcBorders>
            <w:shd w:val="clear" w:color="auto" w:fill="auto"/>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Percent</w:t>
            </w:r>
          </w:p>
        </w:tc>
        <w:tc>
          <w:tcPr>
            <w:tcW w:w="683"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91.8</w:t>
            </w:r>
          </w:p>
        </w:tc>
        <w:tc>
          <w:tcPr>
            <w:tcW w:w="758"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8.1</w:t>
            </w:r>
          </w:p>
        </w:tc>
        <w:tc>
          <w:tcPr>
            <w:tcW w:w="759"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0.08</w:t>
            </w:r>
          </w:p>
        </w:tc>
        <w:tc>
          <w:tcPr>
            <w:tcW w:w="607" w:type="pct"/>
            <w:tcBorders>
              <w:top w:val="nil"/>
              <w:left w:val="nil"/>
              <w:bottom w:val="single" w:sz="4" w:space="0" w:color="auto"/>
              <w:right w:val="single" w:sz="4" w:space="0" w:color="auto"/>
            </w:tcBorders>
            <w:shd w:val="clear" w:color="auto" w:fill="auto"/>
            <w:noWrap/>
            <w:hideMark/>
          </w:tcPr>
          <w:p w:rsidR="0046175F" w:rsidRPr="00870890" w:rsidRDefault="0046175F" w:rsidP="00E575BB">
            <w:pPr>
              <w:keepNext/>
              <w:keepLines/>
              <w:jc w:val="center"/>
              <w:rPr>
                <w:rFonts w:ascii="Arial Narrow" w:hAnsi="Arial Narrow" w:cs="Calibri"/>
                <w:iCs/>
                <w:color w:val="000000"/>
                <w:sz w:val="20"/>
                <w:szCs w:val="20"/>
              </w:rPr>
            </w:pPr>
            <w:r w:rsidRPr="00870890">
              <w:rPr>
                <w:rFonts w:ascii="Arial Narrow" w:hAnsi="Arial Narrow" w:cs="Calibri"/>
                <w:iCs/>
                <w:color w:val="000000"/>
                <w:sz w:val="20"/>
                <w:szCs w:val="20"/>
              </w:rPr>
              <w:t>100</w:t>
            </w:r>
          </w:p>
        </w:tc>
      </w:tr>
    </w:tbl>
    <w:p w:rsidR="0046175F" w:rsidRPr="00DE02FA" w:rsidRDefault="0046175F" w:rsidP="00870890">
      <w:pPr>
        <w:pStyle w:val="TableFigureFooter"/>
      </w:pPr>
      <w:r w:rsidRPr="00DE02FA">
        <w:t>Note: Drugs supplied within 30 days of each other (that is, within the median time between supplies of ocular lubricant listings) were assumed to be used concomitantly.</w:t>
      </w:r>
    </w:p>
    <w:p w:rsidR="00C53B2B" w:rsidRPr="00DE02FA" w:rsidRDefault="0046175F" w:rsidP="00870890">
      <w:pPr>
        <w:pStyle w:val="TableFigureFooter"/>
      </w:pPr>
      <w:r w:rsidRPr="00DE02FA">
        <w:t xml:space="preserve">Source: compiled by the DUSC Secretariat based on </w:t>
      </w:r>
      <w:r w:rsidR="00BC586B" w:rsidRPr="00DE02FA">
        <w:t>PBS data from the Services Australia Pharmacy Claims database.</w:t>
      </w:r>
    </w:p>
    <w:p w:rsidR="00287A0B" w:rsidRPr="00DE02FA" w:rsidRDefault="00287A0B" w:rsidP="00870890">
      <w:pPr>
        <w:pStyle w:val="3Bodytext"/>
      </w:pPr>
      <w:r w:rsidRPr="00DE02FA">
        <w:t>As a minor submission, the clinical evidence, economic analysis and financial estimates were not independently evaluated.</w:t>
      </w:r>
    </w:p>
    <w:p w:rsidR="00DC59C2" w:rsidRPr="00DE02FA" w:rsidRDefault="00DC59C2" w:rsidP="00870890">
      <w:pPr>
        <w:pStyle w:val="Bodytextitalics"/>
        <w:ind w:left="709"/>
      </w:pPr>
      <w:r w:rsidRPr="00DE02FA">
        <w:t>For more deta</w:t>
      </w:r>
      <w:r w:rsidR="005678D8" w:rsidRPr="00DE02FA">
        <w:t>il on PBAC’s view, see section 6</w:t>
      </w:r>
      <w:r w:rsidRPr="00DE02FA">
        <w:t xml:space="preserve"> PBAC outcome.</w:t>
      </w:r>
    </w:p>
    <w:p w:rsidR="00C924E5" w:rsidRPr="00DE02FA" w:rsidRDefault="00C924E5" w:rsidP="00C924E5">
      <w:pPr>
        <w:pStyle w:val="Heading1"/>
        <w:keepLines/>
        <w:numPr>
          <w:ilvl w:val="0"/>
          <w:numId w:val="3"/>
        </w:numPr>
        <w:spacing w:before="240"/>
        <w:ind w:left="709" w:hanging="709"/>
        <w:rPr>
          <w:sz w:val="32"/>
          <w:szCs w:val="32"/>
        </w:rPr>
      </w:pPr>
      <w:r w:rsidRPr="00DE02FA">
        <w:rPr>
          <w:sz w:val="32"/>
          <w:szCs w:val="32"/>
        </w:rPr>
        <w:t>PBAC Outcome</w:t>
      </w:r>
    </w:p>
    <w:p w:rsidR="00C924E5" w:rsidRPr="00DE02FA" w:rsidRDefault="00C924E5" w:rsidP="00870890">
      <w:pPr>
        <w:pStyle w:val="3Bodytext"/>
        <w:rPr>
          <w:bCs/>
          <w:snapToGrid w:val="0"/>
        </w:rPr>
      </w:pPr>
      <w:r w:rsidRPr="00DE02FA">
        <w:t>The PBAC recommended the</w:t>
      </w:r>
      <w:r w:rsidR="00400275" w:rsidRPr="00DE02FA">
        <w:t xml:space="preserve"> Authority Required (STREAMLINED) listing of cationic ophthalmic emulsion, preservative free (Cationorm) for the treatment of severe dry eye syndrome in patients who are sensitive to preservatives in multi-dose eye drops. </w:t>
      </w:r>
      <w:r w:rsidR="00400275" w:rsidRPr="00DE02FA">
        <w:rPr>
          <w:bCs/>
          <w:snapToGrid w:val="0"/>
        </w:rPr>
        <w:t xml:space="preserve">The PBAC’s recommendation for listing was based on, among other matters, its assessment that the cost-effectiveness of </w:t>
      </w:r>
      <w:r w:rsidR="00400275" w:rsidRPr="00DE02FA">
        <w:t>Cationorm</w:t>
      </w:r>
      <w:r w:rsidR="00400275" w:rsidRPr="00DE02FA">
        <w:rPr>
          <w:bCs/>
          <w:snapToGrid w:val="0"/>
        </w:rPr>
        <w:t xml:space="preserve"> would be acceptable </w:t>
      </w:r>
      <w:r w:rsidR="006F12EF" w:rsidRPr="006F12EF">
        <w:rPr>
          <w:bCs/>
          <w:snapToGrid w:val="0"/>
        </w:rPr>
        <w:t>on a cost-minimisation basis at the lowest cost per treatment compared with other PBS-listed preservative-free, multi-dose ocular lubricants (Evolve® carmellose 0.5% and Evolve® hypromellose 0.3%)</w:t>
      </w:r>
      <w:r w:rsidR="00580CE1">
        <w:rPr>
          <w:bCs/>
          <w:snapToGrid w:val="0"/>
        </w:rPr>
        <w:t>.</w:t>
      </w:r>
    </w:p>
    <w:p w:rsidR="003619A1" w:rsidRPr="00DE02FA" w:rsidRDefault="003619A1" w:rsidP="00870890">
      <w:pPr>
        <w:pStyle w:val="3Bodytext"/>
        <w:rPr>
          <w:i/>
        </w:rPr>
      </w:pPr>
      <w:r w:rsidRPr="00DE02FA">
        <w:t xml:space="preserve">The PBAC </w:t>
      </w:r>
      <w:r w:rsidR="00B5449D" w:rsidRPr="00DE02FA">
        <w:t xml:space="preserve">recalled </w:t>
      </w:r>
      <w:r w:rsidR="00671634" w:rsidRPr="00DE02FA">
        <w:t xml:space="preserve">that </w:t>
      </w:r>
      <w:r w:rsidR="00B5449D" w:rsidRPr="00DE02FA">
        <w:t xml:space="preserve">it previously considered </w:t>
      </w:r>
      <w:r w:rsidRPr="00DE02FA">
        <w:t xml:space="preserve">all preservative-free eye drops were appropriate comparators </w:t>
      </w:r>
      <w:r w:rsidR="00B5449D" w:rsidRPr="00DE02FA">
        <w:t xml:space="preserve">in its July 2019 consideration </w:t>
      </w:r>
      <w:r w:rsidRPr="00DE02FA">
        <w:t xml:space="preserve">for Evolve carmellose and </w:t>
      </w:r>
      <w:r w:rsidRPr="00DE02FA">
        <w:lastRenderedPageBreak/>
        <w:t>Evolve hypromellose</w:t>
      </w:r>
      <w:r w:rsidR="00324730" w:rsidRPr="00DE02FA">
        <w:t>.</w:t>
      </w:r>
      <w:r w:rsidR="00B5449D" w:rsidRPr="00DE02FA">
        <w:t xml:space="preserve"> </w:t>
      </w:r>
      <w:r w:rsidR="00324730" w:rsidRPr="00DE02FA">
        <w:t>T</w:t>
      </w:r>
      <w:r w:rsidR="00B5449D" w:rsidRPr="00DE02FA">
        <w:t>herefore</w:t>
      </w:r>
      <w:r w:rsidR="00F15173" w:rsidRPr="00DE02FA">
        <w:t>,</w:t>
      </w:r>
      <w:r w:rsidR="00B5449D" w:rsidRPr="00DE02FA">
        <w:t xml:space="preserve"> </w:t>
      </w:r>
      <w:r w:rsidR="00AC3D23" w:rsidRPr="00DE02FA">
        <w:t xml:space="preserve">all </w:t>
      </w:r>
      <w:r w:rsidR="00B5449D" w:rsidRPr="00DE02FA">
        <w:t xml:space="preserve">preservative-free, multi-dose ocular lubricants currently listed on the PBS were appropriate comparators for Cationorm. </w:t>
      </w:r>
    </w:p>
    <w:p w:rsidR="008B688E" w:rsidRPr="00DE02FA" w:rsidRDefault="00CF4745" w:rsidP="00870890">
      <w:pPr>
        <w:pStyle w:val="3Bodytext"/>
        <w:rPr>
          <w:i/>
        </w:rPr>
      </w:pPr>
      <w:r w:rsidRPr="00DE02FA">
        <w:t xml:space="preserve">The PBAC noted </w:t>
      </w:r>
      <w:r w:rsidR="008B688E" w:rsidRPr="00DE02FA">
        <w:t xml:space="preserve">the clinical evidence presented </w:t>
      </w:r>
      <w:r w:rsidR="00F15173" w:rsidRPr="00DE02FA">
        <w:rPr>
          <w:rFonts w:ascii="Calibri" w:hAnsi="Calibri" w:cs="Calibri"/>
        </w:rPr>
        <w:t xml:space="preserve">in the submission </w:t>
      </w:r>
      <w:r w:rsidR="008B688E" w:rsidRPr="00DE02FA">
        <w:rPr>
          <w:rFonts w:ascii="Calibri" w:hAnsi="Calibri" w:cs="Calibri"/>
        </w:rPr>
        <w:t>support</w:t>
      </w:r>
      <w:r w:rsidR="00E33989" w:rsidRPr="00DE02FA">
        <w:rPr>
          <w:rFonts w:ascii="Calibri" w:hAnsi="Calibri" w:cs="Calibri"/>
        </w:rPr>
        <w:t>ed</w:t>
      </w:r>
      <w:r w:rsidR="008B688E" w:rsidRPr="00DE02FA">
        <w:rPr>
          <w:rFonts w:ascii="Calibri" w:hAnsi="Calibri" w:cs="Calibri"/>
        </w:rPr>
        <w:t xml:space="preserve"> the claim that </w:t>
      </w:r>
      <w:r w:rsidR="00CB585B" w:rsidRPr="00DE02FA">
        <w:t>Cationorm is non</w:t>
      </w:r>
      <w:r w:rsidR="00CB585B" w:rsidRPr="00DE02FA">
        <w:noBreakHyphen/>
        <w:t>inferior in terms of efficacy and safety compared with other preservative-free ocular lubricants in patients with dry eye disease (DED</w:t>
      </w:r>
      <w:r w:rsidR="008B688E" w:rsidRPr="00DE02FA">
        <w:t xml:space="preserve">), and considered the effectiveness and safety of Cationorm is likely </w:t>
      </w:r>
      <w:r w:rsidR="00E33989" w:rsidRPr="00DE02FA">
        <w:t xml:space="preserve">to be </w:t>
      </w:r>
      <w:r w:rsidR="008B688E" w:rsidRPr="00DE02FA">
        <w:t xml:space="preserve">comparable to other preservative-free, multi-dose eye drops available on the PBS. </w:t>
      </w:r>
    </w:p>
    <w:p w:rsidR="0085552C" w:rsidRPr="00870890" w:rsidRDefault="00C46D2D" w:rsidP="00870890">
      <w:pPr>
        <w:pStyle w:val="3Bodytext"/>
      </w:pPr>
      <w:r w:rsidRPr="00870890">
        <w:t>T</w:t>
      </w:r>
      <w:r w:rsidR="00566FEF" w:rsidRPr="00870890">
        <w:t xml:space="preserve">he </w:t>
      </w:r>
      <w:r w:rsidRPr="00870890">
        <w:t xml:space="preserve">PBAC considered the </w:t>
      </w:r>
      <w:r w:rsidR="00566FEF" w:rsidRPr="00870890">
        <w:t xml:space="preserve">listing of Cationorm </w:t>
      </w:r>
      <w:r w:rsidR="00C00B9C" w:rsidRPr="00870890">
        <w:t>would</w:t>
      </w:r>
      <w:r w:rsidR="00566FEF" w:rsidRPr="00870890">
        <w:t xml:space="preserve"> have minimal impact on growth of the market size for preservative-free ocular lubricants. </w:t>
      </w:r>
      <w:r w:rsidRPr="00870890">
        <w:t xml:space="preserve">Further, </w:t>
      </w:r>
      <w:r w:rsidR="00F24F4F" w:rsidRPr="00870890">
        <w:t>t</w:t>
      </w:r>
      <w:r w:rsidRPr="00870890">
        <w:t>he PBAC noted the proposed price of Cationorm was lower than its cost-minimised price based on cost per treatment against the lowest cost comparators. Therefore, t</w:t>
      </w:r>
      <w:r w:rsidR="00566FEF" w:rsidRPr="00870890">
        <w:t>he PBAC considered that the listing of Cationorm would most likely be cost saving</w:t>
      </w:r>
      <w:r w:rsidR="00F24F4F" w:rsidRPr="00870890">
        <w:t xml:space="preserve"> to Government</w:t>
      </w:r>
      <w:r w:rsidR="00566FEF" w:rsidRPr="00870890">
        <w:t xml:space="preserve">. </w:t>
      </w:r>
    </w:p>
    <w:p w:rsidR="00704FB5" w:rsidRPr="00DE02FA" w:rsidRDefault="00704FB5" w:rsidP="00870890">
      <w:pPr>
        <w:pStyle w:val="3Bodytext"/>
      </w:pPr>
      <w:r w:rsidRPr="00DE02FA">
        <w:t xml:space="preserve">The PBAC considered the </w:t>
      </w:r>
      <w:r w:rsidR="003B71FD" w:rsidRPr="00DE02FA">
        <w:t xml:space="preserve">requested </w:t>
      </w:r>
      <w:r w:rsidRPr="00DE02FA">
        <w:t>restriction for Cationorm</w:t>
      </w:r>
      <w:r w:rsidR="005F2B99" w:rsidRPr="00DE02FA">
        <w:t xml:space="preserve"> was appropriate</w:t>
      </w:r>
      <w:r w:rsidR="00B6280D" w:rsidRPr="00DE02FA">
        <w:t>.</w:t>
      </w:r>
      <w:r w:rsidR="005F2B99" w:rsidRPr="00DE02FA">
        <w:t xml:space="preserve"> The PBAC </w:t>
      </w:r>
      <w:r w:rsidR="003B71FD" w:rsidRPr="00DE02FA">
        <w:t xml:space="preserve">advised </w:t>
      </w:r>
      <w:r w:rsidRPr="00DE02FA">
        <w:t xml:space="preserve">the inclusion of </w:t>
      </w:r>
      <w:r w:rsidR="004E1242" w:rsidRPr="00DE02FA">
        <w:t xml:space="preserve">the following </w:t>
      </w:r>
      <w:r w:rsidRPr="00DE02FA">
        <w:t>administrative advice</w:t>
      </w:r>
      <w:r w:rsidR="00DA38D4" w:rsidRPr="00DE02FA">
        <w:t xml:space="preserve"> to the </w:t>
      </w:r>
      <w:r w:rsidR="00DA38D4" w:rsidRPr="00DE02FA">
        <w:rPr>
          <w:rFonts w:cstheme="minorHAnsi"/>
          <w:szCs w:val="24"/>
        </w:rPr>
        <w:t>restriction</w:t>
      </w:r>
      <w:r w:rsidR="003B71FD" w:rsidRPr="00DE02FA">
        <w:t xml:space="preserve"> </w:t>
      </w:r>
      <w:r w:rsidR="002964DB" w:rsidRPr="00DE02FA">
        <w:t>“</w:t>
      </w:r>
      <w:r w:rsidR="003B71FD" w:rsidRPr="00DE02FA">
        <w:t xml:space="preserve">The in-use shelf life of </w:t>
      </w:r>
      <w:r w:rsidR="003B71FD" w:rsidRPr="00DE02FA">
        <w:rPr>
          <w:rFonts w:eastAsia="Calibri"/>
          <w:lang w:eastAsia="en-US"/>
        </w:rPr>
        <w:t xml:space="preserve">Cationorm </w:t>
      </w:r>
      <w:r w:rsidR="003B71FD" w:rsidRPr="00DE02FA">
        <w:t>is 3 months from the date of opening</w:t>
      </w:r>
      <w:r w:rsidR="002964DB" w:rsidRPr="00DE02FA">
        <w:t>”</w:t>
      </w:r>
      <w:r w:rsidR="00B6280D" w:rsidRPr="00DE02FA">
        <w:t xml:space="preserve"> </w:t>
      </w:r>
      <w:r w:rsidR="00FE3B63" w:rsidRPr="00DE02FA">
        <w:rPr>
          <w:rFonts w:cstheme="minorHAnsi"/>
          <w:szCs w:val="24"/>
        </w:rPr>
        <w:t>to align with other preservative-free, multi-dose ocular lubricants with a recommended shelf life</w:t>
      </w:r>
      <w:r w:rsidR="00E60F6E" w:rsidRPr="00DE02FA">
        <w:rPr>
          <w:rFonts w:cstheme="minorHAnsi"/>
          <w:szCs w:val="24"/>
        </w:rPr>
        <w:t>.</w:t>
      </w:r>
    </w:p>
    <w:p w:rsidR="006A5672" w:rsidRPr="00DE02FA" w:rsidRDefault="006A5672" w:rsidP="00870890">
      <w:pPr>
        <w:pStyle w:val="3Bodytext"/>
        <w:rPr>
          <w:i/>
        </w:rPr>
      </w:pPr>
      <w:r w:rsidRPr="00DE02FA">
        <w:t xml:space="preserve">The PBAC noted </w:t>
      </w:r>
      <w:r w:rsidR="009F5B4A" w:rsidRPr="00DE02FA">
        <w:t xml:space="preserve">that </w:t>
      </w:r>
      <w:r w:rsidRPr="00DE02FA">
        <w:t>the</w:t>
      </w:r>
      <w:r w:rsidR="001D6400" w:rsidRPr="00DE02FA">
        <w:t xml:space="preserve"> growth in the overall PBS market for</w:t>
      </w:r>
      <w:r w:rsidRPr="00DE02FA">
        <w:t xml:space="preserve"> preservative-free ocular lubricants </w:t>
      </w:r>
      <w:r w:rsidR="001D6400" w:rsidRPr="00DE02FA">
        <w:t xml:space="preserve">appears to be mainly driven by </w:t>
      </w:r>
      <w:r w:rsidR="00203F85" w:rsidRPr="00DE02FA">
        <w:t xml:space="preserve">the </w:t>
      </w:r>
      <w:r w:rsidRPr="00DE02FA">
        <w:t xml:space="preserve">substantially increased </w:t>
      </w:r>
      <w:r w:rsidR="001D6400" w:rsidRPr="00DE02FA">
        <w:t xml:space="preserve">utilisation of </w:t>
      </w:r>
      <w:r w:rsidR="001D6400" w:rsidRPr="00DE02FA">
        <w:rPr>
          <w:snapToGrid w:val="0"/>
        </w:rPr>
        <w:t>hyaluronate sodium (HS)</w:t>
      </w:r>
      <w:r w:rsidR="00203F85" w:rsidRPr="00DE02FA">
        <w:t xml:space="preserve"> and </w:t>
      </w:r>
      <w:r w:rsidRPr="00DE02FA">
        <w:t>r</w:t>
      </w:r>
      <w:r w:rsidR="00D617F6" w:rsidRPr="00DE02FA">
        <w:t>ecommended the</w:t>
      </w:r>
      <w:r w:rsidRPr="00DE02FA">
        <w:t xml:space="preserve"> DUSC </w:t>
      </w:r>
      <w:r w:rsidR="00D617F6" w:rsidRPr="00DE02FA">
        <w:t xml:space="preserve">conduct a </w:t>
      </w:r>
      <w:r w:rsidRPr="00DE02FA">
        <w:t>review</w:t>
      </w:r>
      <w:r w:rsidR="00D617F6" w:rsidRPr="00DE02FA">
        <w:t xml:space="preserve"> </w:t>
      </w:r>
      <w:r w:rsidR="00377304">
        <w:t xml:space="preserve">on </w:t>
      </w:r>
      <w:r w:rsidR="003276C1">
        <w:t xml:space="preserve">the </w:t>
      </w:r>
      <w:r w:rsidR="00D617F6" w:rsidRPr="00DE02FA">
        <w:t>utilisation</w:t>
      </w:r>
      <w:r w:rsidR="003276C1">
        <w:t xml:space="preserve"> of ocular lubricants</w:t>
      </w:r>
      <w:r w:rsidRPr="00DE02FA">
        <w:t xml:space="preserve">. </w:t>
      </w:r>
    </w:p>
    <w:p w:rsidR="00CB16F7" w:rsidRPr="00DE02FA" w:rsidRDefault="00C3697E" w:rsidP="000B30EF">
      <w:pPr>
        <w:pStyle w:val="3Bodytext"/>
        <w:rPr>
          <w:rFonts w:cstheme="minorHAnsi"/>
          <w:bCs/>
        </w:rPr>
      </w:pPr>
      <w:r w:rsidRPr="00DE02FA">
        <w:t xml:space="preserve">The PBAC noted that its recommendation was on a cost-minimisation basis and advised that, because Cationorm is not expected to provide a substantial and clinically relevant improvement in efficacy, or reduction of toxicity over </w:t>
      </w:r>
      <w:r w:rsidR="00B6280D" w:rsidRPr="00DE02FA">
        <w:t xml:space="preserve">all other </w:t>
      </w:r>
      <w:r w:rsidRPr="00DE02FA">
        <w:t>preservative-free</w:t>
      </w:r>
      <w:r w:rsidR="00A34EBB" w:rsidRPr="00DE02FA">
        <w:t>, multi</w:t>
      </w:r>
      <w:r w:rsidR="009041F6" w:rsidRPr="00DE02FA">
        <w:t>-</w:t>
      </w:r>
      <w:r w:rsidR="00A34EBB" w:rsidRPr="00DE02FA">
        <w:t>dose</w:t>
      </w:r>
      <w:r w:rsidRPr="00DE02FA">
        <w:t xml:space="preserve"> eye drops, or not expected to address a high and urgent unmet clinical need given the presence of an alternative therapy, the criteria prescribed by the </w:t>
      </w:r>
      <w:r w:rsidRPr="00DE02FA">
        <w:rPr>
          <w:i/>
        </w:rPr>
        <w:t xml:space="preserve">National Health (Pharmaceuticals and Vaccines – Cost Recovery) Regulations 2009 </w:t>
      </w:r>
      <w:r w:rsidRPr="00DE02FA">
        <w:t>for Pricing Pathway A were not met.</w:t>
      </w:r>
    </w:p>
    <w:p w:rsidR="00B811F5" w:rsidRPr="00DE02FA" w:rsidRDefault="00B811F5" w:rsidP="000B30EF">
      <w:pPr>
        <w:pStyle w:val="3Bodytext"/>
      </w:pPr>
      <w:r w:rsidRPr="00DE02FA">
        <w:t xml:space="preserve">The PBAC advised that under Section 101(3BA) of the </w:t>
      </w:r>
      <w:r w:rsidRPr="00DE02FA">
        <w:rPr>
          <w:i/>
        </w:rPr>
        <w:t>National Health Act 1953</w:t>
      </w:r>
      <w:r w:rsidRPr="00DE02FA">
        <w:t xml:space="preserve"> </w:t>
      </w:r>
      <w:r w:rsidRPr="00DE02FA">
        <w:rPr>
          <w:bCs/>
        </w:rPr>
        <w:t>Cationorm</w:t>
      </w:r>
      <w:r w:rsidRPr="00DE02FA">
        <w:t xml:space="preserve"> should be treated as interchangeable with other PBS-listed preservative-free, </w:t>
      </w:r>
      <w:r w:rsidR="00AA7E25" w:rsidRPr="00DE02FA">
        <w:t xml:space="preserve">multi-dose ocular lubricants </w:t>
      </w:r>
      <w:r w:rsidRPr="00DE02FA">
        <w:t>on an individual patient basis.</w:t>
      </w:r>
    </w:p>
    <w:p w:rsidR="00704FB5" w:rsidRPr="005F5C7D" w:rsidRDefault="00B811F5" w:rsidP="00870890">
      <w:pPr>
        <w:pStyle w:val="3Bodytext"/>
        <w:rPr>
          <w:snapToGrid w:val="0"/>
        </w:rPr>
      </w:pPr>
      <w:r w:rsidRPr="00DE02FA">
        <w:t xml:space="preserve">The PBAC advised that </w:t>
      </w:r>
      <w:r w:rsidR="00704FB5" w:rsidRPr="00DE02FA">
        <w:t>Cationorm</w:t>
      </w:r>
      <w:r w:rsidR="00704FB5" w:rsidRPr="005F5C7D">
        <w:rPr>
          <w:snapToGrid w:val="0"/>
        </w:rPr>
        <w:t xml:space="preserve"> </w:t>
      </w:r>
      <w:r w:rsidRPr="005F5C7D">
        <w:rPr>
          <w:snapToGrid w:val="0"/>
        </w:rPr>
        <w:t xml:space="preserve">is </w:t>
      </w:r>
      <w:r w:rsidR="00704FB5" w:rsidRPr="005F5C7D">
        <w:rPr>
          <w:snapToGrid w:val="0"/>
        </w:rPr>
        <w:t xml:space="preserve">suitable for prescribing by nurse practitioners and optometrists, which aligns with </w:t>
      </w:r>
      <w:r w:rsidR="00704FB5" w:rsidRPr="00DE02FA">
        <w:t>other PBS-listed preservative-free, multi-dose ocular lubricants</w:t>
      </w:r>
      <w:r w:rsidR="00704FB5" w:rsidRPr="005F5C7D">
        <w:rPr>
          <w:snapToGrid w:val="0"/>
        </w:rPr>
        <w:t xml:space="preserve">. </w:t>
      </w:r>
    </w:p>
    <w:p w:rsidR="00704FB5" w:rsidRPr="00DE02FA" w:rsidRDefault="00AA7E25" w:rsidP="00870890">
      <w:pPr>
        <w:pStyle w:val="3Bodytext"/>
      </w:pPr>
      <w:r w:rsidRPr="00DE02FA">
        <w:t xml:space="preserve">The PBAC advised that </w:t>
      </w:r>
      <w:r w:rsidR="00704FB5" w:rsidRPr="00DE02FA">
        <w:t xml:space="preserve">Cationorm should be exempt from the Early Supply Rule as it currently does not apply to other PBS-listed preservative-free, multi-dose ocular lubricants. </w:t>
      </w:r>
    </w:p>
    <w:p w:rsidR="00B811F5" w:rsidRPr="00DE02FA" w:rsidRDefault="00B811F5" w:rsidP="000B30EF">
      <w:pPr>
        <w:pStyle w:val="3Bodytext"/>
        <w:rPr>
          <w:b/>
          <w:snapToGrid w:val="0"/>
        </w:rPr>
      </w:pPr>
      <w:r w:rsidRPr="00DE02FA">
        <w:rPr>
          <w:snapToGrid w:val="0"/>
        </w:rPr>
        <w:t>The PBAC noted that this submission is not eligible for an Independent Review as it received a positive recommendation.</w:t>
      </w:r>
    </w:p>
    <w:p w:rsidR="00C62F6D" w:rsidRPr="005F5C7D" w:rsidRDefault="00C62F6D" w:rsidP="00C62F6D">
      <w:pPr>
        <w:spacing w:before="240"/>
        <w:rPr>
          <w:rFonts w:asciiTheme="minorHAnsi" w:hAnsiTheme="minorHAnsi"/>
          <w:b/>
          <w:bCs/>
          <w:snapToGrid w:val="0"/>
        </w:rPr>
      </w:pPr>
      <w:r w:rsidRPr="005F5C7D">
        <w:rPr>
          <w:rFonts w:asciiTheme="minorHAnsi" w:hAnsiTheme="minorHAnsi"/>
          <w:b/>
          <w:bCs/>
          <w:snapToGrid w:val="0"/>
        </w:rPr>
        <w:t>Outcome:</w:t>
      </w:r>
    </w:p>
    <w:p w:rsidR="00C62F6D" w:rsidRPr="00D179F9" w:rsidRDefault="00C62F6D" w:rsidP="00D179F9">
      <w:pPr>
        <w:rPr>
          <w:rFonts w:asciiTheme="minorHAnsi" w:hAnsiTheme="minorHAnsi"/>
          <w:bCs/>
          <w:snapToGrid w:val="0"/>
        </w:rPr>
      </w:pPr>
      <w:r w:rsidRPr="005F5C7D">
        <w:rPr>
          <w:rFonts w:asciiTheme="minorHAnsi" w:hAnsiTheme="minorHAnsi"/>
          <w:bCs/>
          <w:snapToGrid w:val="0"/>
        </w:rPr>
        <w:lastRenderedPageBreak/>
        <w:t xml:space="preserve">Recommended </w:t>
      </w:r>
    </w:p>
    <w:p w:rsidR="00C62F6D" w:rsidRPr="00DE02FA" w:rsidRDefault="00C62F6D" w:rsidP="00C62F6D">
      <w:pPr>
        <w:pStyle w:val="2-SectionHeading"/>
        <w:numPr>
          <w:ilvl w:val="0"/>
          <w:numId w:val="1"/>
        </w:numPr>
      </w:pPr>
      <w:r w:rsidRPr="00DE02FA">
        <w:t>Recommended listing</w:t>
      </w:r>
    </w:p>
    <w:p w:rsidR="00C62F6D" w:rsidRPr="00DE02FA" w:rsidRDefault="00C62F6D" w:rsidP="00870890">
      <w:pPr>
        <w:pStyle w:val="3Bodytext"/>
        <w:rPr>
          <w:snapToGrid w:val="0"/>
        </w:rPr>
      </w:pPr>
      <w:r w:rsidRPr="00DE02FA">
        <w:rPr>
          <w:snapToGrid w:val="0"/>
        </w:rPr>
        <w:t>Add new</w:t>
      </w:r>
      <w:r w:rsidR="00B51EF0">
        <w:rPr>
          <w:snapToGrid w:val="0"/>
        </w:rPr>
        <w:t xml:space="preserve"> medicinal product</w:t>
      </w:r>
      <w:r w:rsidRPr="00DE02FA">
        <w:rPr>
          <w:snapToGrid w:val="0"/>
        </w:rPr>
        <w:t>:</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808"/>
        <w:gridCol w:w="808"/>
        <w:gridCol w:w="808"/>
        <w:gridCol w:w="1007"/>
        <w:gridCol w:w="2067"/>
      </w:tblGrid>
      <w:tr w:rsidR="00D61ACB" w:rsidRPr="00DE02FA" w:rsidTr="00D61ACB">
        <w:trPr>
          <w:cantSplit/>
          <w:trHeight w:val="471"/>
        </w:trPr>
        <w:tc>
          <w:tcPr>
            <w:tcW w:w="1958" w:type="pct"/>
          </w:tcPr>
          <w:p w:rsidR="00D61ACB" w:rsidRPr="00DE02FA" w:rsidRDefault="00D61ACB" w:rsidP="00F479B1">
            <w:pPr>
              <w:keepNext/>
              <w:ind w:left="-108"/>
              <w:rPr>
                <w:rFonts w:ascii="Arial Narrow" w:hAnsi="Arial Narrow" w:cs="Arial"/>
                <w:b/>
                <w:sz w:val="18"/>
                <w:szCs w:val="18"/>
              </w:rPr>
            </w:pPr>
            <w:r w:rsidRPr="00DE02FA">
              <w:rPr>
                <w:rFonts w:ascii="Arial Narrow" w:hAnsi="Arial Narrow" w:cs="Arial"/>
                <w:b/>
                <w:sz w:val="18"/>
                <w:szCs w:val="18"/>
              </w:rPr>
              <w:t>Name, Restriction,</w:t>
            </w:r>
          </w:p>
          <w:p w:rsidR="00D61ACB" w:rsidRPr="00DE02FA" w:rsidRDefault="00D61ACB" w:rsidP="00F479B1">
            <w:pPr>
              <w:keepNext/>
              <w:ind w:left="-108"/>
              <w:rPr>
                <w:rFonts w:ascii="Arial Narrow" w:hAnsi="Arial Narrow" w:cs="Arial"/>
                <w:b/>
                <w:sz w:val="18"/>
                <w:szCs w:val="18"/>
              </w:rPr>
            </w:pPr>
            <w:r w:rsidRPr="00DE02FA">
              <w:rPr>
                <w:rFonts w:ascii="Arial Narrow" w:hAnsi="Arial Narrow" w:cs="Arial"/>
                <w:b/>
                <w:sz w:val="18"/>
                <w:szCs w:val="18"/>
              </w:rPr>
              <w:t>Manner of administration and form</w:t>
            </w:r>
          </w:p>
        </w:tc>
        <w:tc>
          <w:tcPr>
            <w:tcW w:w="447" w:type="pct"/>
          </w:tcPr>
          <w:p w:rsidR="00D61ACB" w:rsidRPr="00DE02FA" w:rsidRDefault="00D61ACB" w:rsidP="00F479B1">
            <w:pPr>
              <w:keepNext/>
              <w:ind w:left="-108"/>
              <w:jc w:val="center"/>
              <w:rPr>
                <w:rFonts w:ascii="Arial Narrow" w:hAnsi="Arial Narrow" w:cs="Arial"/>
                <w:b/>
                <w:sz w:val="18"/>
                <w:szCs w:val="18"/>
              </w:rPr>
            </w:pPr>
            <w:r w:rsidRPr="00DE02FA">
              <w:rPr>
                <w:rFonts w:ascii="Arial Narrow" w:hAnsi="Arial Narrow" w:cs="Arial"/>
                <w:b/>
                <w:sz w:val="18"/>
                <w:szCs w:val="18"/>
              </w:rPr>
              <w:t>PBS item code</w:t>
            </w:r>
          </w:p>
        </w:tc>
        <w:tc>
          <w:tcPr>
            <w:tcW w:w="447" w:type="pct"/>
          </w:tcPr>
          <w:p w:rsidR="00D61ACB" w:rsidRPr="00DE02FA" w:rsidRDefault="00D61ACB" w:rsidP="00F479B1">
            <w:pPr>
              <w:keepNext/>
              <w:ind w:left="-108"/>
              <w:jc w:val="center"/>
              <w:rPr>
                <w:rFonts w:ascii="Arial Narrow" w:hAnsi="Arial Narrow" w:cs="Arial"/>
                <w:b/>
                <w:sz w:val="18"/>
                <w:szCs w:val="18"/>
              </w:rPr>
            </w:pPr>
            <w:r w:rsidRPr="00DE02FA">
              <w:rPr>
                <w:rFonts w:ascii="Arial Narrow" w:hAnsi="Arial Narrow" w:cs="Arial"/>
                <w:b/>
                <w:sz w:val="18"/>
                <w:szCs w:val="18"/>
              </w:rPr>
              <w:t>Max. qty</w:t>
            </w:r>
          </w:p>
        </w:tc>
        <w:tc>
          <w:tcPr>
            <w:tcW w:w="447" w:type="pct"/>
          </w:tcPr>
          <w:p w:rsidR="00D61ACB" w:rsidRPr="00DE02FA" w:rsidRDefault="00D61ACB" w:rsidP="00F479B1">
            <w:pPr>
              <w:keepNext/>
              <w:ind w:left="-108"/>
              <w:jc w:val="center"/>
              <w:rPr>
                <w:rFonts w:ascii="Arial Narrow" w:hAnsi="Arial Narrow" w:cs="Arial"/>
                <w:b/>
                <w:sz w:val="18"/>
                <w:szCs w:val="18"/>
              </w:rPr>
            </w:pPr>
            <w:r w:rsidRPr="00DE02FA">
              <w:rPr>
                <w:rFonts w:ascii="Arial Narrow" w:hAnsi="Arial Narrow" w:cs="Arial"/>
                <w:b/>
                <w:sz w:val="18"/>
                <w:szCs w:val="18"/>
              </w:rPr>
              <w:t>№.of</w:t>
            </w:r>
          </w:p>
          <w:p w:rsidR="00D61ACB" w:rsidRPr="00DE02FA" w:rsidRDefault="00D61ACB" w:rsidP="00F479B1">
            <w:pPr>
              <w:keepNext/>
              <w:ind w:left="-108"/>
              <w:jc w:val="center"/>
              <w:rPr>
                <w:rFonts w:ascii="Arial Narrow" w:hAnsi="Arial Narrow" w:cs="Arial"/>
                <w:b/>
                <w:sz w:val="18"/>
                <w:szCs w:val="18"/>
              </w:rPr>
            </w:pPr>
            <w:r w:rsidRPr="00DE02FA">
              <w:rPr>
                <w:rFonts w:ascii="Arial Narrow" w:hAnsi="Arial Narrow" w:cs="Arial"/>
                <w:b/>
                <w:sz w:val="18"/>
                <w:szCs w:val="18"/>
              </w:rPr>
              <w:t>Rpts</w:t>
            </w:r>
          </w:p>
        </w:tc>
        <w:tc>
          <w:tcPr>
            <w:tcW w:w="1701" w:type="pct"/>
            <w:gridSpan w:val="2"/>
          </w:tcPr>
          <w:p w:rsidR="00D61ACB" w:rsidRPr="005F5C7D" w:rsidRDefault="00D61ACB" w:rsidP="00F479B1">
            <w:pPr>
              <w:keepNext/>
              <w:rPr>
                <w:rFonts w:ascii="Arial Narrow" w:hAnsi="Arial Narrow" w:cs="Arial"/>
                <w:b/>
                <w:sz w:val="18"/>
                <w:szCs w:val="18"/>
              </w:rPr>
            </w:pPr>
            <w:r w:rsidRPr="00DE02FA">
              <w:rPr>
                <w:rFonts w:ascii="Arial Narrow" w:hAnsi="Arial Narrow" w:cs="Arial"/>
                <w:b/>
                <w:sz w:val="18"/>
                <w:szCs w:val="18"/>
              </w:rPr>
              <w:t>Proprietary Name and Manufacturer</w:t>
            </w:r>
          </w:p>
        </w:tc>
      </w:tr>
      <w:tr w:rsidR="00D61ACB" w:rsidRPr="00DE02FA" w:rsidTr="00D61ACB">
        <w:trPr>
          <w:cantSplit/>
          <w:trHeight w:val="761"/>
        </w:trPr>
        <w:tc>
          <w:tcPr>
            <w:tcW w:w="1958" w:type="pct"/>
          </w:tcPr>
          <w:p w:rsidR="00D61ACB" w:rsidRPr="00DE02FA" w:rsidRDefault="00D61ACB" w:rsidP="00F479B1">
            <w:pPr>
              <w:keepNext/>
              <w:jc w:val="left"/>
              <w:rPr>
                <w:rFonts w:ascii="Arial Narrow" w:hAnsi="Arial Narrow" w:cs="Arial"/>
                <w:smallCaps/>
                <w:sz w:val="18"/>
                <w:szCs w:val="18"/>
              </w:rPr>
            </w:pPr>
            <w:r w:rsidRPr="00DE02FA">
              <w:rPr>
                <w:rFonts w:ascii="Arial Narrow" w:eastAsia="Calibri" w:hAnsi="Arial Narrow"/>
                <w:sz w:val="18"/>
                <w:szCs w:val="18"/>
                <w:lang w:eastAsia="en-US"/>
              </w:rPr>
              <w:t>CATIONIC OPHTHALMIC EMULSION</w:t>
            </w:r>
          </w:p>
          <w:p w:rsidR="00D61ACB" w:rsidRPr="00DE02FA" w:rsidRDefault="00D61ACB" w:rsidP="00F479B1">
            <w:pPr>
              <w:jc w:val="left"/>
              <w:rPr>
                <w:rFonts w:ascii="Arial Narrow" w:hAnsi="Arial Narrow"/>
                <w:sz w:val="18"/>
                <w:szCs w:val="18"/>
              </w:rPr>
            </w:pPr>
            <w:r w:rsidRPr="00DE02FA">
              <w:rPr>
                <w:rFonts w:ascii="Arial Narrow" w:hAnsi="Arial Narrow" w:cstheme="minorHAnsi"/>
                <w:sz w:val="18"/>
                <w:szCs w:val="18"/>
              </w:rPr>
              <w:t>liquid paraffin + glycerol + tyloxapol + poloxamer-188 + trometamol hydrochloride + trometamol + cetalkonium chloride eye drops, 10 mL</w:t>
            </w:r>
          </w:p>
        </w:tc>
        <w:tc>
          <w:tcPr>
            <w:tcW w:w="447" w:type="pct"/>
          </w:tcPr>
          <w:p w:rsidR="00D61ACB" w:rsidRPr="00DE02FA" w:rsidRDefault="00D61ACB" w:rsidP="00F479B1">
            <w:pPr>
              <w:keepNext/>
              <w:jc w:val="center"/>
              <w:rPr>
                <w:rFonts w:ascii="Arial Narrow" w:hAnsi="Arial Narrow" w:cs="Arial"/>
                <w:sz w:val="18"/>
                <w:szCs w:val="18"/>
              </w:rPr>
            </w:pPr>
            <w:r w:rsidRPr="00DE02FA">
              <w:rPr>
                <w:rFonts w:ascii="Arial Narrow" w:hAnsi="Arial Narrow" w:cs="Arial"/>
                <w:sz w:val="18"/>
                <w:szCs w:val="18"/>
              </w:rPr>
              <w:t>[NEW]</w:t>
            </w:r>
          </w:p>
        </w:tc>
        <w:tc>
          <w:tcPr>
            <w:tcW w:w="447" w:type="pct"/>
          </w:tcPr>
          <w:p w:rsidR="00D61ACB" w:rsidRPr="00DE02FA" w:rsidRDefault="00D61ACB" w:rsidP="00F479B1">
            <w:pPr>
              <w:keepNext/>
              <w:jc w:val="center"/>
              <w:rPr>
                <w:rFonts w:ascii="Arial Narrow" w:hAnsi="Arial Narrow" w:cs="Arial"/>
                <w:sz w:val="18"/>
                <w:szCs w:val="18"/>
              </w:rPr>
            </w:pPr>
            <w:r w:rsidRPr="00DE02FA">
              <w:rPr>
                <w:rFonts w:ascii="Arial Narrow" w:hAnsi="Arial Narrow" w:cs="Arial"/>
                <w:sz w:val="18"/>
                <w:szCs w:val="18"/>
              </w:rPr>
              <w:t>1</w:t>
            </w:r>
          </w:p>
        </w:tc>
        <w:tc>
          <w:tcPr>
            <w:tcW w:w="447" w:type="pct"/>
          </w:tcPr>
          <w:p w:rsidR="00D61ACB" w:rsidRPr="00DE02FA" w:rsidRDefault="00D61ACB" w:rsidP="00F479B1">
            <w:pPr>
              <w:keepNext/>
              <w:ind w:left="-108"/>
              <w:jc w:val="center"/>
              <w:rPr>
                <w:rFonts w:ascii="Arial Narrow" w:hAnsi="Arial Narrow" w:cs="Arial"/>
                <w:sz w:val="18"/>
                <w:szCs w:val="18"/>
              </w:rPr>
            </w:pPr>
            <w:r w:rsidRPr="00DE02FA">
              <w:rPr>
                <w:rFonts w:ascii="Arial Narrow" w:hAnsi="Arial Narrow" w:cs="Arial"/>
                <w:sz w:val="18"/>
                <w:szCs w:val="18"/>
              </w:rPr>
              <w:t>5</w:t>
            </w:r>
          </w:p>
        </w:tc>
        <w:tc>
          <w:tcPr>
            <w:tcW w:w="557" w:type="pct"/>
          </w:tcPr>
          <w:p w:rsidR="00D61ACB" w:rsidRPr="00DE02FA" w:rsidRDefault="00D61ACB" w:rsidP="00F479B1">
            <w:pPr>
              <w:keepNext/>
              <w:rPr>
                <w:rFonts w:ascii="Arial Narrow" w:hAnsi="Arial Narrow" w:cs="Arial"/>
                <w:sz w:val="18"/>
                <w:szCs w:val="18"/>
              </w:rPr>
            </w:pPr>
            <w:r w:rsidRPr="00DE02FA">
              <w:rPr>
                <w:rFonts w:ascii="Arial Narrow" w:eastAsia="Calibri" w:hAnsi="Arial Narrow"/>
                <w:sz w:val="18"/>
                <w:szCs w:val="18"/>
                <w:lang w:eastAsia="en-US"/>
              </w:rPr>
              <w:t>Cationorm®</w:t>
            </w:r>
          </w:p>
        </w:tc>
        <w:tc>
          <w:tcPr>
            <w:tcW w:w="1144" w:type="pct"/>
          </w:tcPr>
          <w:p w:rsidR="00D61ACB" w:rsidRPr="00DE02FA" w:rsidRDefault="00D61ACB" w:rsidP="00F479B1">
            <w:pPr>
              <w:keepNext/>
              <w:rPr>
                <w:rFonts w:ascii="Arial Narrow" w:hAnsi="Arial Narrow" w:cs="Arial"/>
                <w:sz w:val="18"/>
                <w:szCs w:val="18"/>
              </w:rPr>
            </w:pPr>
            <w:r w:rsidRPr="00DE02FA">
              <w:rPr>
                <w:rFonts w:ascii="Arial Narrow" w:eastAsia="Calibri" w:hAnsi="Arial Narrow"/>
                <w:sz w:val="18"/>
                <w:szCs w:val="18"/>
                <w:lang w:eastAsia="en-US"/>
              </w:rPr>
              <w:t>Seqirus (Australia) Pty Ltd</w:t>
            </w:r>
          </w:p>
        </w:tc>
      </w:tr>
    </w:tbl>
    <w:p w:rsidR="007F3127" w:rsidRDefault="007F3127" w:rsidP="002B6327">
      <w:pPr>
        <w:pStyle w:val="Bodytextitalics"/>
        <w:rPr>
          <w:rFonts w:eastAsiaTheme="majorEastAsia" w:cstheme="majorBidi"/>
          <w:b/>
          <w:iCs/>
          <w:lang w:eastAsia="en-US"/>
        </w:rPr>
      </w:pPr>
    </w:p>
    <w:p w:rsidR="00B51EF0" w:rsidRPr="00DE02FA" w:rsidRDefault="00B51EF0" w:rsidP="00B51EF0">
      <w:pPr>
        <w:rPr>
          <w:rFonts w:ascii="Arial Narrow" w:hAnsi="Arial Narrow"/>
          <w:b/>
          <w:sz w:val="18"/>
          <w:szCs w:val="18"/>
        </w:rPr>
      </w:pPr>
      <w:r w:rsidRPr="00DE02FA">
        <w:rPr>
          <w:rFonts w:ascii="Arial Narrow" w:hAnsi="Arial Narrow"/>
          <w:b/>
          <w:sz w:val="18"/>
          <w:szCs w:val="18"/>
        </w:rPr>
        <w:t>Restriction Summary [</w:t>
      </w:r>
      <w:r w:rsidRPr="00DE02FA">
        <w:rPr>
          <w:rFonts w:ascii="Arial Narrow" w:hAnsi="Arial Narrow" w:cs="Open Sans"/>
          <w:b/>
          <w:bCs/>
          <w:sz w:val="18"/>
          <w:szCs w:val="18"/>
          <w:shd w:val="clear" w:color="auto" w:fill="FFFFFF"/>
        </w:rPr>
        <w:t>new</w:t>
      </w:r>
      <w:r w:rsidRPr="00DE02FA">
        <w:rPr>
          <w:rFonts w:ascii="Arial Narrow" w:hAnsi="Arial Narrow"/>
          <w:b/>
          <w:sz w:val="18"/>
          <w:szCs w:val="18"/>
        </w:rPr>
        <w:t>] / Treatment of Concept: [</w:t>
      </w:r>
      <w:r w:rsidRPr="00DE02FA">
        <w:rPr>
          <w:rFonts w:ascii="Arial Narrow" w:hAnsi="Arial Narrow" w:cs="Open Sans"/>
          <w:b/>
          <w:bCs/>
          <w:sz w:val="18"/>
          <w:szCs w:val="18"/>
          <w:shd w:val="clear" w:color="auto" w:fill="FFFFFF"/>
        </w:rPr>
        <w:t>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B51EF0" w:rsidRPr="00DE02FA" w:rsidTr="00870890">
        <w:tc>
          <w:tcPr>
            <w:tcW w:w="553" w:type="pct"/>
            <w:tcBorders>
              <w:top w:val="single" w:sz="4" w:space="0" w:color="auto"/>
              <w:left w:val="single" w:sz="4" w:space="0" w:color="auto"/>
              <w:bottom w:val="single" w:sz="4" w:space="0" w:color="auto"/>
              <w:right w:val="single" w:sz="4" w:space="0" w:color="auto"/>
            </w:tcBorders>
          </w:tcPr>
          <w:p w:rsidR="00B51EF0" w:rsidRDefault="00B51EF0" w:rsidP="00870890">
            <w:pPr>
              <w:jc w:val="center"/>
              <w:rPr>
                <w:rFonts w:ascii="Arial Narrow" w:hAnsi="Arial Narrow" w:cs="Arial"/>
                <w:b/>
                <w:sz w:val="18"/>
                <w:szCs w:val="18"/>
              </w:rPr>
            </w:pPr>
            <w:r w:rsidRPr="00DE02FA">
              <w:rPr>
                <w:rFonts w:ascii="Arial Narrow" w:hAnsi="Arial Narrow" w:cs="Arial"/>
                <w:b/>
                <w:sz w:val="18"/>
                <w:szCs w:val="18"/>
              </w:rPr>
              <w:t>Concept ID</w:t>
            </w:r>
          </w:p>
          <w:p w:rsidR="00B51EF0" w:rsidRPr="00DE02FA" w:rsidRDefault="00B51EF0" w:rsidP="00870890">
            <w:pPr>
              <w:jc w:val="center"/>
              <w:rPr>
                <w:rFonts w:ascii="Arial Narrow" w:hAnsi="Arial Narrow" w:cs="Arial"/>
                <w:b/>
                <w:sz w:val="18"/>
                <w:szCs w:val="18"/>
              </w:rPr>
            </w:pPr>
            <w:r w:rsidRPr="00D128F7">
              <w:rPr>
                <w:rFonts w:ascii="Arial Narrow" w:eastAsia="Calibri" w:hAnsi="Arial Narrow"/>
                <w:sz w:val="18"/>
                <w:szCs w:val="18"/>
                <w:lang w:eastAsia="en-US"/>
              </w:rPr>
              <w:t>(for internal Dept. use)</w:t>
            </w:r>
          </w:p>
        </w:tc>
        <w:tc>
          <w:tcPr>
            <w:tcW w:w="4447" w:type="pct"/>
            <w:tcBorders>
              <w:top w:val="single" w:sz="4" w:space="0" w:color="auto"/>
              <w:left w:val="single" w:sz="4" w:space="0" w:color="auto"/>
              <w:bottom w:val="single" w:sz="4" w:space="0" w:color="auto"/>
              <w:right w:val="single" w:sz="4" w:space="0" w:color="auto"/>
            </w:tcBorders>
          </w:tcPr>
          <w:p w:rsidR="00B51EF0" w:rsidRPr="00DE02FA" w:rsidRDefault="00B51EF0" w:rsidP="001948CF">
            <w:pPr>
              <w:rPr>
                <w:rFonts w:ascii="Arial Narrow" w:hAnsi="Arial Narrow" w:cs="Arial"/>
                <w:sz w:val="18"/>
                <w:szCs w:val="18"/>
              </w:rPr>
            </w:pPr>
            <w:r w:rsidRPr="00DE02FA">
              <w:rPr>
                <w:rFonts w:ascii="Arial Narrow" w:hAnsi="Arial Narrow" w:cs="Arial"/>
                <w:b/>
                <w:sz w:val="18"/>
                <w:szCs w:val="18"/>
              </w:rPr>
              <w:t>Category / Program:</w:t>
            </w:r>
            <w:r w:rsidR="001948CF" w:rsidRPr="00DE02FA">
              <w:rPr>
                <w:rFonts w:ascii="Arial Narrow" w:hAnsi="Arial Narrow" w:cs="Arial"/>
                <w:sz w:val="18"/>
                <w:szCs w:val="18"/>
              </w:rPr>
              <w:t xml:space="preserve"> </w:t>
            </w:r>
            <w:bookmarkStart w:id="8" w:name="_GoBack"/>
            <w:bookmarkEnd w:id="8"/>
            <w:r w:rsidRPr="00DE02FA">
              <w:rPr>
                <w:rFonts w:ascii="Arial Narrow" w:hAnsi="Arial Narrow" w:cs="Arial"/>
                <w:sz w:val="18"/>
                <w:szCs w:val="18"/>
              </w:rPr>
              <w:t xml:space="preserve">GENERAL – General Schedule (Code GE) </w:t>
            </w:r>
          </w:p>
        </w:tc>
      </w:tr>
      <w:tr w:rsidR="00B51EF0" w:rsidRPr="00DE02FA" w:rsidTr="00870890">
        <w:trPr>
          <w:trHeight w:val="240"/>
        </w:trPr>
        <w:tc>
          <w:tcPr>
            <w:tcW w:w="553" w:type="pct"/>
            <w:tcBorders>
              <w:top w:val="single" w:sz="4" w:space="0" w:color="auto"/>
              <w:left w:val="single" w:sz="4" w:space="0" w:color="auto"/>
              <w:bottom w:val="single" w:sz="4" w:space="0" w:color="auto"/>
              <w:right w:val="single" w:sz="4" w:space="0" w:color="auto"/>
            </w:tcBorders>
          </w:tcPr>
          <w:p w:rsidR="00B51EF0" w:rsidRPr="00DE02FA" w:rsidRDefault="00B51EF0" w:rsidP="00870890">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B51EF0" w:rsidRPr="00DE02FA" w:rsidRDefault="00B51EF0" w:rsidP="00CB4B6E">
            <w:pPr>
              <w:rPr>
                <w:rFonts w:ascii="Arial Narrow" w:hAnsi="Arial Narrow" w:cs="Arial"/>
                <w:b/>
                <w:sz w:val="18"/>
                <w:szCs w:val="18"/>
              </w:rPr>
            </w:pPr>
            <w:r w:rsidRPr="00DE02FA">
              <w:rPr>
                <w:rFonts w:ascii="Arial Narrow" w:hAnsi="Arial Narrow" w:cs="Arial"/>
                <w:b/>
                <w:sz w:val="18"/>
                <w:szCs w:val="18"/>
              </w:rPr>
              <w:t xml:space="preserve">Prescriber type:   </w:t>
            </w:r>
            <w:r w:rsidRPr="005F5C7D">
              <w:rPr>
                <w:rFonts w:ascii="Arial Narrow" w:hAnsi="Arial Narrow" w:cs="Arial"/>
                <w:sz w:val="18"/>
                <w:szCs w:val="18"/>
              </w:rPr>
              <w:fldChar w:fldCharType="begin">
                <w:ffData>
                  <w:name w:val=""/>
                  <w:enabled/>
                  <w:calcOnExit w:val="0"/>
                  <w:checkBox>
                    <w:sizeAuto/>
                    <w:default w:val="1"/>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 xml:space="preserve">Medical Practitioners    </w:t>
            </w:r>
            <w:r w:rsidRPr="005F5C7D">
              <w:rPr>
                <w:rFonts w:ascii="Arial Narrow" w:hAnsi="Arial Narrow" w:cs="Arial"/>
                <w:sz w:val="18"/>
                <w:szCs w:val="18"/>
              </w:rPr>
              <w:fldChar w:fldCharType="begin">
                <w:ffData>
                  <w:name w:val="Check3"/>
                  <w:enabled/>
                  <w:calcOnExit w:val="0"/>
                  <w:checkBox>
                    <w:sizeAuto/>
                    <w:default w:val="1"/>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 xml:space="preserve">Nurse practitioners     </w:t>
            </w:r>
            <w:r w:rsidRPr="005F5C7D">
              <w:rPr>
                <w:rFonts w:ascii="Arial Narrow" w:hAnsi="Arial Narrow" w:cs="Arial"/>
                <w:sz w:val="18"/>
                <w:szCs w:val="18"/>
              </w:rPr>
              <w:fldChar w:fldCharType="begin">
                <w:ffData>
                  <w:name w:val=""/>
                  <w:enabled/>
                  <w:calcOnExit w:val="0"/>
                  <w:checkBox>
                    <w:sizeAuto/>
                    <w:default w:val="1"/>
                  </w:checkBox>
                </w:ffData>
              </w:fldChar>
            </w:r>
            <w:r w:rsidRPr="00DE02FA">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F5C7D">
              <w:rPr>
                <w:rFonts w:ascii="Arial Narrow" w:hAnsi="Arial Narrow" w:cs="Arial"/>
                <w:sz w:val="18"/>
                <w:szCs w:val="18"/>
              </w:rPr>
              <w:fldChar w:fldCharType="end"/>
            </w:r>
            <w:r w:rsidRPr="00DE02FA">
              <w:rPr>
                <w:rFonts w:ascii="Arial Narrow" w:hAnsi="Arial Narrow" w:cs="Arial"/>
                <w:sz w:val="18"/>
                <w:szCs w:val="18"/>
              </w:rPr>
              <w:t xml:space="preserve">Optometrists </w:t>
            </w:r>
          </w:p>
        </w:tc>
      </w:tr>
      <w:tr w:rsidR="00B51EF0" w:rsidRPr="00B51EF0" w:rsidTr="00870890">
        <w:tc>
          <w:tcPr>
            <w:tcW w:w="553" w:type="pct"/>
            <w:tcBorders>
              <w:top w:val="single" w:sz="4" w:space="0" w:color="auto"/>
              <w:left w:val="single" w:sz="4" w:space="0" w:color="auto"/>
              <w:bottom w:val="single" w:sz="4" w:space="0" w:color="auto"/>
              <w:right w:val="single" w:sz="4" w:space="0" w:color="auto"/>
            </w:tcBorders>
          </w:tcPr>
          <w:p w:rsidR="00B51EF0" w:rsidRPr="00580CE1" w:rsidRDefault="00B51EF0" w:rsidP="00870890">
            <w:pPr>
              <w:rPr>
                <w:rFonts w:ascii="Arial Narrow" w:hAnsi="Arial Narrow" w:cs="Arial"/>
                <w:sz w:val="18"/>
                <w:szCs w:val="18"/>
              </w:rPr>
            </w:pPr>
          </w:p>
          <w:p w:rsidR="00B51EF0" w:rsidRPr="00B51EF0" w:rsidRDefault="00B51EF0" w:rsidP="00870890">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B51EF0" w:rsidRPr="00B51EF0" w:rsidRDefault="00B51EF0" w:rsidP="00870890">
            <w:pPr>
              <w:rPr>
                <w:rFonts w:ascii="Arial Narrow" w:hAnsi="Arial Narrow" w:cs="Arial"/>
                <w:b/>
                <w:sz w:val="18"/>
                <w:szCs w:val="18"/>
              </w:rPr>
            </w:pPr>
            <w:r w:rsidRPr="00B51EF0">
              <w:rPr>
                <w:rFonts w:ascii="Arial Narrow" w:hAnsi="Arial Narrow" w:cs="Arial"/>
                <w:b/>
                <w:sz w:val="18"/>
                <w:szCs w:val="18"/>
              </w:rPr>
              <w:t xml:space="preserve">Restriction </w:t>
            </w:r>
            <w:r>
              <w:rPr>
                <w:rFonts w:ascii="Arial Narrow" w:hAnsi="Arial Narrow" w:cs="Arial"/>
                <w:b/>
                <w:sz w:val="18"/>
                <w:szCs w:val="18"/>
              </w:rPr>
              <w:t>type</w:t>
            </w:r>
            <w:r w:rsidRPr="00B51EF0">
              <w:rPr>
                <w:rFonts w:ascii="Arial Narrow" w:hAnsi="Arial Narrow" w:cs="Arial"/>
                <w:b/>
                <w:sz w:val="18"/>
                <w:szCs w:val="18"/>
              </w:rPr>
              <w:t xml:space="preserve"> / Method:</w:t>
            </w:r>
          </w:p>
          <w:p w:rsidR="00B51EF0" w:rsidRPr="00B51EF0" w:rsidRDefault="00B51EF0" w:rsidP="00870890">
            <w:pPr>
              <w:rPr>
                <w:rFonts w:ascii="Arial Narrow" w:hAnsi="Arial Narrow" w:cs="Arial"/>
                <w:sz w:val="18"/>
                <w:szCs w:val="18"/>
              </w:rPr>
            </w:pPr>
            <w:r w:rsidRPr="00580CE1">
              <w:rPr>
                <w:rFonts w:ascii="Arial Narrow" w:hAnsi="Arial Narrow" w:cs="Arial"/>
                <w:sz w:val="18"/>
                <w:szCs w:val="18"/>
              </w:rPr>
              <w:fldChar w:fldCharType="begin">
                <w:ffData>
                  <w:name w:val=""/>
                  <w:enabled/>
                  <w:calcOnExit w:val="0"/>
                  <w:checkBox>
                    <w:sizeAuto/>
                    <w:default w:val="1"/>
                  </w:checkBox>
                </w:ffData>
              </w:fldChar>
            </w:r>
            <w:r w:rsidRPr="00B51EF0">
              <w:rPr>
                <w:rFonts w:ascii="Arial Narrow" w:hAnsi="Arial Narrow" w:cs="Arial"/>
                <w:sz w:val="18"/>
                <w:szCs w:val="18"/>
              </w:rPr>
              <w:instrText xml:space="preserve"> FORMCHECKBOX </w:instrText>
            </w:r>
            <w:r w:rsidR="001948CF">
              <w:rPr>
                <w:rFonts w:ascii="Arial Narrow" w:hAnsi="Arial Narrow" w:cs="Arial"/>
                <w:sz w:val="18"/>
                <w:szCs w:val="18"/>
              </w:rPr>
            </w:r>
            <w:r w:rsidR="001948CF">
              <w:rPr>
                <w:rFonts w:ascii="Arial Narrow" w:hAnsi="Arial Narrow" w:cs="Arial"/>
                <w:sz w:val="18"/>
                <w:szCs w:val="18"/>
              </w:rPr>
              <w:fldChar w:fldCharType="separate"/>
            </w:r>
            <w:r w:rsidRPr="00580CE1">
              <w:rPr>
                <w:rFonts w:ascii="Arial Narrow" w:hAnsi="Arial Narrow" w:cs="Arial"/>
                <w:sz w:val="18"/>
                <w:szCs w:val="18"/>
              </w:rPr>
              <w:fldChar w:fldCharType="end"/>
            </w:r>
            <w:r w:rsidRPr="00B51EF0">
              <w:rPr>
                <w:rFonts w:ascii="Arial Narrow" w:hAnsi="Arial Narrow" w:cs="Arial"/>
                <w:sz w:val="18"/>
                <w:szCs w:val="18"/>
              </w:rPr>
              <w:t xml:space="preserve">Authority Required </w:t>
            </w:r>
            <w:r w:rsidR="00CB4B6E">
              <w:rPr>
                <w:rFonts w:ascii="Arial Narrow" w:hAnsi="Arial Narrow" w:cs="Arial"/>
                <w:sz w:val="18"/>
                <w:szCs w:val="18"/>
              </w:rPr>
              <w:t>–</w:t>
            </w:r>
            <w:r w:rsidRPr="00B51EF0">
              <w:rPr>
                <w:rFonts w:ascii="Arial Narrow" w:hAnsi="Arial Narrow" w:cs="Arial"/>
                <w:sz w:val="18"/>
                <w:szCs w:val="18"/>
              </w:rPr>
              <w:t xml:space="preserve"> Streamlined</w:t>
            </w:r>
          </w:p>
        </w:tc>
      </w:tr>
      <w:tr w:rsidR="00B51EF0" w:rsidRPr="00B51EF0" w:rsidTr="00870890">
        <w:tc>
          <w:tcPr>
            <w:tcW w:w="553" w:type="pct"/>
            <w:vAlign w:val="center"/>
          </w:tcPr>
          <w:p w:rsidR="00B51EF0" w:rsidRPr="00B51EF0" w:rsidRDefault="00B51EF0" w:rsidP="00870890">
            <w:pPr>
              <w:jc w:val="center"/>
              <w:rPr>
                <w:rFonts w:ascii="Arial Narrow" w:hAnsi="Arial Narrow"/>
                <w:color w:val="333333"/>
                <w:sz w:val="18"/>
                <w:szCs w:val="18"/>
              </w:rPr>
            </w:pPr>
            <w:r w:rsidRPr="00B51EF0">
              <w:rPr>
                <w:rFonts w:ascii="Arial Narrow" w:hAnsi="Arial Narrow"/>
                <w:color w:val="333333"/>
                <w:sz w:val="18"/>
                <w:szCs w:val="18"/>
              </w:rPr>
              <w:t>[7869]</w:t>
            </w:r>
          </w:p>
        </w:tc>
        <w:tc>
          <w:tcPr>
            <w:tcW w:w="4447" w:type="pct"/>
            <w:vAlign w:val="center"/>
            <w:hideMark/>
          </w:tcPr>
          <w:p w:rsidR="00B51EF0" w:rsidRPr="00B51EF0" w:rsidRDefault="00B51EF0" w:rsidP="00B51EF0">
            <w:pPr>
              <w:rPr>
                <w:rFonts w:ascii="Arial Narrow" w:hAnsi="Arial Narrow"/>
                <w:color w:val="333333"/>
                <w:sz w:val="18"/>
                <w:szCs w:val="18"/>
              </w:rPr>
            </w:pPr>
            <w:r w:rsidRPr="00B51EF0">
              <w:rPr>
                <w:rFonts w:ascii="Arial Narrow" w:hAnsi="Arial Narrow"/>
                <w:b/>
                <w:bCs/>
                <w:color w:val="333333"/>
                <w:sz w:val="18"/>
                <w:szCs w:val="18"/>
              </w:rPr>
              <w:t>Indication:</w:t>
            </w:r>
            <w:r w:rsidRPr="00B51EF0">
              <w:rPr>
                <w:rFonts w:ascii="Arial Narrow" w:hAnsi="Arial Narrow"/>
                <w:color w:val="333333"/>
                <w:sz w:val="18"/>
                <w:szCs w:val="18"/>
              </w:rPr>
              <w:t xml:space="preserve"> </w:t>
            </w:r>
            <w:r w:rsidRPr="00B51EF0">
              <w:rPr>
                <w:rFonts w:ascii="Arial Narrow" w:hAnsi="Arial Narrow" w:cstheme="minorHAnsi"/>
                <w:sz w:val="18"/>
                <w:szCs w:val="18"/>
              </w:rPr>
              <w:t>Severe dry eye syndrome</w:t>
            </w:r>
          </w:p>
        </w:tc>
      </w:tr>
      <w:tr w:rsidR="00B51EF0" w:rsidRPr="00B51EF0" w:rsidTr="00870890">
        <w:tc>
          <w:tcPr>
            <w:tcW w:w="553" w:type="pct"/>
            <w:vAlign w:val="center"/>
          </w:tcPr>
          <w:p w:rsidR="00B51EF0" w:rsidRPr="00B51EF0" w:rsidRDefault="00B51EF0" w:rsidP="00870890">
            <w:pPr>
              <w:jc w:val="center"/>
              <w:rPr>
                <w:rFonts w:ascii="Arial Narrow" w:hAnsi="Arial Narrow"/>
                <w:color w:val="333333"/>
                <w:sz w:val="18"/>
                <w:szCs w:val="18"/>
              </w:rPr>
            </w:pPr>
            <w:r w:rsidRPr="00B51EF0">
              <w:rPr>
                <w:rFonts w:ascii="Arial Narrow" w:hAnsi="Arial Narrow"/>
                <w:color w:val="333333"/>
                <w:sz w:val="18"/>
                <w:szCs w:val="18"/>
              </w:rPr>
              <w:t>[7875]</w:t>
            </w:r>
          </w:p>
        </w:tc>
        <w:tc>
          <w:tcPr>
            <w:tcW w:w="4447" w:type="pct"/>
            <w:vAlign w:val="center"/>
            <w:hideMark/>
          </w:tcPr>
          <w:p w:rsidR="00B51EF0" w:rsidRPr="00B51EF0" w:rsidRDefault="00B51EF0" w:rsidP="00870890">
            <w:pPr>
              <w:rPr>
                <w:rFonts w:ascii="Arial Narrow" w:hAnsi="Arial Narrow"/>
                <w:color w:val="333333"/>
                <w:sz w:val="18"/>
                <w:szCs w:val="18"/>
              </w:rPr>
            </w:pPr>
            <w:r w:rsidRPr="00B51EF0">
              <w:rPr>
                <w:rFonts w:ascii="Arial Narrow" w:hAnsi="Arial Narrow"/>
                <w:b/>
                <w:bCs/>
                <w:color w:val="333333"/>
                <w:sz w:val="18"/>
                <w:szCs w:val="18"/>
              </w:rPr>
              <w:t>Clinical criteria:</w:t>
            </w:r>
          </w:p>
        </w:tc>
      </w:tr>
      <w:tr w:rsidR="00B51EF0" w:rsidRPr="00B51EF0" w:rsidTr="00870890">
        <w:tc>
          <w:tcPr>
            <w:tcW w:w="553" w:type="pct"/>
            <w:vAlign w:val="center"/>
          </w:tcPr>
          <w:p w:rsidR="00B51EF0" w:rsidRPr="00B51EF0" w:rsidRDefault="00B51EF0" w:rsidP="00870890">
            <w:pPr>
              <w:jc w:val="center"/>
              <w:rPr>
                <w:rFonts w:ascii="Arial Narrow" w:hAnsi="Arial Narrow"/>
                <w:color w:val="333333"/>
                <w:sz w:val="18"/>
                <w:szCs w:val="18"/>
              </w:rPr>
            </w:pPr>
            <w:r w:rsidRPr="00B51EF0">
              <w:rPr>
                <w:rFonts w:ascii="Arial Narrow" w:hAnsi="Arial Narrow"/>
                <w:color w:val="333333"/>
                <w:sz w:val="18"/>
                <w:szCs w:val="18"/>
              </w:rPr>
              <w:t>[7874]</w:t>
            </w:r>
          </w:p>
        </w:tc>
        <w:tc>
          <w:tcPr>
            <w:tcW w:w="4447" w:type="pct"/>
            <w:hideMark/>
          </w:tcPr>
          <w:p w:rsidR="00B51EF0" w:rsidRPr="00B51EF0" w:rsidRDefault="00B51EF0" w:rsidP="00870890">
            <w:pPr>
              <w:jc w:val="left"/>
              <w:rPr>
                <w:rFonts w:ascii="Arial Narrow" w:hAnsi="Arial Narrow"/>
                <w:color w:val="333333"/>
                <w:sz w:val="18"/>
                <w:szCs w:val="18"/>
              </w:rPr>
            </w:pPr>
            <w:r w:rsidRPr="00B51EF0">
              <w:rPr>
                <w:rFonts w:ascii="Arial Narrow" w:hAnsi="Arial Narrow" w:cstheme="minorHAnsi"/>
                <w:sz w:val="18"/>
                <w:szCs w:val="18"/>
              </w:rPr>
              <w:t>Patient must be sensitive to preservatives in multi-dose eye drops</w:t>
            </w:r>
          </w:p>
        </w:tc>
      </w:tr>
      <w:tr w:rsidR="00B51EF0" w:rsidRPr="00B51EF0" w:rsidTr="00870890">
        <w:tc>
          <w:tcPr>
            <w:tcW w:w="553" w:type="pct"/>
            <w:vAlign w:val="center"/>
          </w:tcPr>
          <w:p w:rsidR="00B51EF0" w:rsidRPr="00B51EF0" w:rsidRDefault="00B51EF0" w:rsidP="00870890">
            <w:pPr>
              <w:jc w:val="center"/>
              <w:rPr>
                <w:rFonts w:ascii="Arial Narrow" w:hAnsi="Arial Narrow"/>
                <w:iCs/>
                <w:color w:val="333333"/>
                <w:sz w:val="18"/>
                <w:szCs w:val="18"/>
              </w:rPr>
            </w:pPr>
            <w:r w:rsidRPr="00B51EF0">
              <w:rPr>
                <w:rFonts w:ascii="Arial Narrow" w:hAnsi="Arial Narrow"/>
                <w:iCs/>
                <w:color w:val="333333"/>
                <w:sz w:val="18"/>
                <w:szCs w:val="18"/>
              </w:rPr>
              <w:t>[26237]</w:t>
            </w:r>
          </w:p>
        </w:tc>
        <w:tc>
          <w:tcPr>
            <w:tcW w:w="4447" w:type="pct"/>
            <w:vAlign w:val="center"/>
            <w:hideMark/>
          </w:tcPr>
          <w:p w:rsidR="00B51EF0" w:rsidRPr="00B51EF0" w:rsidRDefault="00B51EF0" w:rsidP="00870890">
            <w:pPr>
              <w:rPr>
                <w:rFonts w:ascii="Arial Narrow" w:hAnsi="Arial Narrow"/>
                <w:b/>
                <w:bCs/>
                <w:color w:val="333333"/>
                <w:sz w:val="18"/>
                <w:szCs w:val="18"/>
              </w:rPr>
            </w:pPr>
            <w:r w:rsidRPr="00B51EF0">
              <w:rPr>
                <w:rFonts w:ascii="Arial Narrow" w:hAnsi="Arial Narrow"/>
                <w:b/>
                <w:bCs/>
                <w:color w:val="333333"/>
                <w:sz w:val="18"/>
                <w:szCs w:val="18"/>
              </w:rPr>
              <w:t>Administrative Advice:</w:t>
            </w:r>
          </w:p>
          <w:p w:rsidR="00B51EF0" w:rsidRPr="00B51EF0" w:rsidRDefault="00B51EF0" w:rsidP="00870890">
            <w:pPr>
              <w:rPr>
                <w:rFonts w:ascii="Arial Narrow" w:hAnsi="Arial Narrow"/>
                <w:iCs/>
                <w:color w:val="333333"/>
                <w:sz w:val="18"/>
                <w:szCs w:val="18"/>
              </w:rPr>
            </w:pPr>
            <w:r w:rsidRPr="00B51EF0">
              <w:rPr>
                <w:rFonts w:ascii="Arial Narrow" w:hAnsi="Arial Narrow" w:cs="Arial"/>
                <w:iCs/>
                <w:sz w:val="18"/>
                <w:szCs w:val="18"/>
              </w:rPr>
              <w:t xml:space="preserve">The in-use shelf life of </w:t>
            </w:r>
            <w:r w:rsidRPr="00B51EF0">
              <w:rPr>
                <w:rFonts w:ascii="Arial Narrow" w:eastAsia="Calibri" w:hAnsi="Arial Narrow"/>
                <w:iCs/>
                <w:sz w:val="18"/>
                <w:szCs w:val="18"/>
                <w:lang w:eastAsia="en-US"/>
              </w:rPr>
              <w:t xml:space="preserve">Cationorm </w:t>
            </w:r>
            <w:r w:rsidRPr="00B51EF0">
              <w:rPr>
                <w:rFonts w:ascii="Arial Narrow" w:hAnsi="Arial Narrow" w:cs="Arial"/>
                <w:iCs/>
                <w:sz w:val="18"/>
                <w:szCs w:val="18"/>
              </w:rPr>
              <w:t>is 3 months from the date of opening.</w:t>
            </w:r>
          </w:p>
        </w:tc>
      </w:tr>
    </w:tbl>
    <w:p w:rsidR="00C62F6D" w:rsidRPr="00DE02FA" w:rsidRDefault="00BE2989" w:rsidP="00650026">
      <w:pPr>
        <w:pStyle w:val="Bodytextitalics"/>
        <w:spacing w:before="120"/>
        <w:rPr>
          <w:rFonts w:eastAsiaTheme="majorEastAsia" w:cstheme="majorBidi"/>
          <w:b/>
          <w:iCs/>
          <w:lang w:eastAsia="en-US"/>
        </w:rPr>
      </w:pPr>
      <w:r w:rsidRPr="00DE02FA">
        <w:rPr>
          <w:rFonts w:eastAsiaTheme="majorEastAsia" w:cstheme="majorBidi"/>
          <w:b/>
          <w:iCs/>
          <w:lang w:eastAsia="en-US"/>
        </w:rPr>
        <w:t>This restriction may be subject to further review. Should there be any changes made to the restriction the Sponsor will be informed.</w:t>
      </w:r>
    </w:p>
    <w:p w:rsidR="00287D89" w:rsidRDefault="00287D89" w:rsidP="00287D89">
      <w:pPr>
        <w:pStyle w:val="2-SectionHeading"/>
        <w:numPr>
          <w:ilvl w:val="0"/>
          <w:numId w:val="1"/>
        </w:numPr>
        <w:rPr>
          <w:color w:val="1F497D"/>
        </w:rPr>
      </w:pPr>
      <w:r w:rsidRPr="00C07617">
        <w:t>Context for Decision</w:t>
      </w:r>
    </w:p>
    <w:p w:rsidR="00287D89" w:rsidRPr="007129F2" w:rsidRDefault="00287D89" w:rsidP="00287D89">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87D89" w:rsidRPr="00C07617" w:rsidRDefault="00287D89" w:rsidP="00287D89">
      <w:pPr>
        <w:pStyle w:val="2-SectionHeading"/>
        <w:numPr>
          <w:ilvl w:val="0"/>
          <w:numId w:val="1"/>
        </w:numPr>
        <w:rPr>
          <w:b w:val="0"/>
        </w:rPr>
      </w:pPr>
      <w:r>
        <w:t>Sponsor’s Comment</w:t>
      </w:r>
    </w:p>
    <w:p w:rsidR="00C924E5" w:rsidRPr="00287D89" w:rsidRDefault="00287D89" w:rsidP="00287D89">
      <w:pPr>
        <w:spacing w:after="120"/>
        <w:rPr>
          <w:rFonts w:asciiTheme="minorHAnsi" w:hAnsiTheme="minorHAnsi"/>
          <w:bCs/>
        </w:rPr>
      </w:pPr>
      <w:r w:rsidRPr="00C07617">
        <w:rPr>
          <w:rFonts w:asciiTheme="minorHAnsi" w:hAnsiTheme="minorHAnsi"/>
          <w:bCs/>
        </w:rPr>
        <w:t>The sponsor had no comment.</w:t>
      </w:r>
    </w:p>
    <w:sectPr w:rsidR="00C924E5" w:rsidRPr="00287D89"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E5" w:rsidRDefault="00A63CE5">
      <w:r>
        <w:separator/>
      </w:r>
    </w:p>
    <w:p w:rsidR="00A63CE5" w:rsidRDefault="00A63CE5"/>
  </w:endnote>
  <w:endnote w:type="continuationSeparator" w:id="0">
    <w:p w:rsidR="00A63CE5" w:rsidRDefault="00A63CE5">
      <w:r>
        <w:continuationSeparator/>
      </w:r>
    </w:p>
    <w:p w:rsidR="00A63CE5" w:rsidRDefault="00A63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C384A" w:rsidTr="005A3173">
      <w:trPr>
        <w:trHeight w:val="151"/>
      </w:trPr>
      <w:tc>
        <w:tcPr>
          <w:tcW w:w="2250" w:type="pct"/>
          <w:tcBorders>
            <w:top w:val="nil"/>
            <w:left w:val="nil"/>
            <w:bottom w:val="single" w:sz="4" w:space="0" w:color="4F81BD"/>
            <w:right w:val="nil"/>
          </w:tcBorders>
        </w:tcPr>
        <w:p w:rsidR="004C384A" w:rsidRPr="005A3173" w:rsidRDefault="004C384A" w:rsidP="005A3173">
          <w:pPr>
            <w:pStyle w:val="Header"/>
            <w:spacing w:line="276" w:lineRule="auto"/>
            <w:rPr>
              <w:rFonts w:eastAsia="MS Gothic"/>
              <w:b/>
              <w:bCs/>
              <w:color w:val="4F81BD"/>
            </w:rPr>
          </w:pPr>
        </w:p>
      </w:tc>
      <w:tc>
        <w:tcPr>
          <w:tcW w:w="500" w:type="pct"/>
          <w:vMerge w:val="restart"/>
          <w:noWrap/>
          <w:vAlign w:val="center"/>
          <w:hideMark/>
        </w:tcPr>
        <w:p w:rsidR="004C384A" w:rsidRPr="005A3173" w:rsidRDefault="004C38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C384A" w:rsidRPr="005A3173" w:rsidRDefault="004C384A" w:rsidP="005A3173">
          <w:pPr>
            <w:pStyle w:val="Header"/>
            <w:spacing w:line="276" w:lineRule="auto"/>
            <w:rPr>
              <w:rFonts w:eastAsia="MS Gothic"/>
              <w:b/>
              <w:bCs/>
              <w:color w:val="4F81BD"/>
            </w:rPr>
          </w:pPr>
        </w:p>
      </w:tc>
    </w:tr>
    <w:tr w:rsidR="004C384A" w:rsidTr="005A3173">
      <w:trPr>
        <w:trHeight w:val="150"/>
      </w:trPr>
      <w:tc>
        <w:tcPr>
          <w:tcW w:w="2250" w:type="pct"/>
          <w:tcBorders>
            <w:top w:val="single" w:sz="4" w:space="0" w:color="4F81BD"/>
            <w:left w:val="nil"/>
            <w:bottom w:val="nil"/>
            <w:right w:val="nil"/>
          </w:tcBorders>
        </w:tcPr>
        <w:p w:rsidR="004C384A" w:rsidRPr="005A3173" w:rsidRDefault="004C384A" w:rsidP="005A3173">
          <w:pPr>
            <w:pStyle w:val="Header"/>
            <w:spacing w:line="276" w:lineRule="auto"/>
            <w:rPr>
              <w:rFonts w:eastAsia="MS Gothic"/>
              <w:b/>
              <w:bCs/>
              <w:color w:val="4F81BD"/>
            </w:rPr>
          </w:pPr>
        </w:p>
      </w:tc>
      <w:tc>
        <w:tcPr>
          <w:tcW w:w="0" w:type="auto"/>
          <w:vMerge/>
          <w:vAlign w:val="center"/>
          <w:hideMark/>
        </w:tcPr>
        <w:p w:rsidR="004C384A" w:rsidRPr="005A3173" w:rsidRDefault="004C384A" w:rsidP="005A3173">
          <w:pPr>
            <w:rPr>
              <w:color w:val="365F91"/>
              <w:sz w:val="22"/>
              <w:szCs w:val="22"/>
            </w:rPr>
          </w:pPr>
        </w:p>
      </w:tc>
      <w:tc>
        <w:tcPr>
          <w:tcW w:w="2250" w:type="pct"/>
          <w:tcBorders>
            <w:top w:val="single" w:sz="4" w:space="0" w:color="4F81BD"/>
            <w:left w:val="nil"/>
            <w:bottom w:val="nil"/>
            <w:right w:val="nil"/>
          </w:tcBorders>
        </w:tcPr>
        <w:p w:rsidR="004C384A" w:rsidRPr="005A3173" w:rsidRDefault="004C384A" w:rsidP="005A3173">
          <w:pPr>
            <w:pStyle w:val="Header"/>
            <w:spacing w:line="276" w:lineRule="auto"/>
            <w:rPr>
              <w:rFonts w:eastAsia="MS Gothic"/>
              <w:b/>
              <w:bCs/>
              <w:color w:val="4F81BD"/>
            </w:rPr>
          </w:pPr>
        </w:p>
      </w:tc>
    </w:tr>
  </w:tbl>
  <w:p w:rsidR="004C384A" w:rsidRDefault="004C384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384A" w:rsidRDefault="004C384A">
    <w:pPr>
      <w:pStyle w:val="Footer"/>
    </w:pPr>
  </w:p>
  <w:p w:rsidR="004C384A" w:rsidRDefault="004C38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4A" w:rsidRDefault="004C384A">
    <w:pPr>
      <w:pStyle w:val="Footer"/>
      <w:jc w:val="center"/>
      <w:rPr>
        <w:caps/>
        <w:color w:val="4F81BD" w:themeColor="accent1"/>
      </w:rPr>
    </w:pPr>
  </w:p>
  <w:p w:rsidR="004C384A" w:rsidRPr="00DD0CAD" w:rsidRDefault="004C384A" w:rsidP="00DD0CAD">
    <w:pPr>
      <w:pStyle w:val="Footer"/>
      <w:jc w:val="center"/>
      <w:rPr>
        <w:b/>
        <w:bCs/>
        <w:caps/>
        <w:noProof/>
      </w:rPr>
    </w:pPr>
    <w:r w:rsidRPr="00DD0CAD">
      <w:rPr>
        <w:b/>
        <w:bCs/>
        <w:caps/>
      </w:rPr>
      <w:fldChar w:fldCharType="begin"/>
    </w:r>
    <w:r w:rsidRPr="00DD0CAD">
      <w:rPr>
        <w:b/>
        <w:bCs/>
        <w:caps/>
      </w:rPr>
      <w:instrText xml:space="preserve"> PAGE   \* MERGEFORMAT </w:instrText>
    </w:r>
    <w:r w:rsidRPr="00DD0CAD">
      <w:rPr>
        <w:b/>
        <w:bCs/>
        <w:caps/>
      </w:rPr>
      <w:fldChar w:fldCharType="separate"/>
    </w:r>
    <w:r w:rsidR="001948CF">
      <w:rPr>
        <w:b/>
        <w:bCs/>
        <w:caps/>
        <w:noProof/>
      </w:rPr>
      <w:t>11</w:t>
    </w:r>
    <w:r w:rsidRPr="00DD0CAD">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C384A" w:rsidTr="005A3173">
      <w:trPr>
        <w:trHeight w:val="151"/>
      </w:trPr>
      <w:tc>
        <w:tcPr>
          <w:tcW w:w="2250" w:type="pct"/>
          <w:tcBorders>
            <w:top w:val="nil"/>
            <w:left w:val="nil"/>
            <w:bottom w:val="single" w:sz="4" w:space="0" w:color="4F81BD"/>
            <w:right w:val="nil"/>
          </w:tcBorders>
        </w:tcPr>
        <w:p w:rsidR="004C384A" w:rsidRPr="005A3173" w:rsidRDefault="004C384A" w:rsidP="005A3173">
          <w:pPr>
            <w:pStyle w:val="Header"/>
            <w:spacing w:line="276" w:lineRule="auto"/>
            <w:rPr>
              <w:rFonts w:eastAsia="MS Gothic"/>
              <w:b/>
              <w:bCs/>
              <w:color w:val="4F81BD"/>
            </w:rPr>
          </w:pPr>
        </w:p>
      </w:tc>
      <w:tc>
        <w:tcPr>
          <w:tcW w:w="500" w:type="pct"/>
          <w:vMerge w:val="restart"/>
          <w:noWrap/>
          <w:vAlign w:val="center"/>
          <w:hideMark/>
        </w:tcPr>
        <w:p w:rsidR="004C384A" w:rsidRPr="005A3173" w:rsidRDefault="004C38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C384A" w:rsidRPr="005A3173" w:rsidRDefault="004C384A" w:rsidP="005A3173">
          <w:pPr>
            <w:pStyle w:val="Header"/>
            <w:spacing w:line="276" w:lineRule="auto"/>
            <w:rPr>
              <w:rFonts w:eastAsia="MS Gothic"/>
              <w:b/>
              <w:bCs/>
              <w:color w:val="4F81BD"/>
            </w:rPr>
          </w:pPr>
        </w:p>
      </w:tc>
    </w:tr>
    <w:tr w:rsidR="004C384A" w:rsidTr="005A3173">
      <w:trPr>
        <w:trHeight w:val="150"/>
      </w:trPr>
      <w:tc>
        <w:tcPr>
          <w:tcW w:w="2250" w:type="pct"/>
          <w:tcBorders>
            <w:top w:val="single" w:sz="4" w:space="0" w:color="4F81BD"/>
            <w:left w:val="nil"/>
            <w:bottom w:val="nil"/>
            <w:right w:val="nil"/>
          </w:tcBorders>
        </w:tcPr>
        <w:p w:rsidR="004C384A" w:rsidRPr="005A3173" w:rsidRDefault="004C384A" w:rsidP="005A3173">
          <w:pPr>
            <w:pStyle w:val="Header"/>
            <w:spacing w:line="276" w:lineRule="auto"/>
            <w:rPr>
              <w:rFonts w:eastAsia="MS Gothic"/>
              <w:b/>
              <w:bCs/>
              <w:color w:val="4F81BD"/>
            </w:rPr>
          </w:pPr>
        </w:p>
      </w:tc>
      <w:tc>
        <w:tcPr>
          <w:tcW w:w="0" w:type="auto"/>
          <w:vMerge/>
          <w:vAlign w:val="center"/>
          <w:hideMark/>
        </w:tcPr>
        <w:p w:rsidR="004C384A" w:rsidRPr="005A3173" w:rsidRDefault="004C384A" w:rsidP="005A3173">
          <w:pPr>
            <w:rPr>
              <w:color w:val="365F91"/>
              <w:sz w:val="22"/>
              <w:szCs w:val="22"/>
            </w:rPr>
          </w:pPr>
        </w:p>
      </w:tc>
      <w:tc>
        <w:tcPr>
          <w:tcW w:w="2250" w:type="pct"/>
          <w:tcBorders>
            <w:top w:val="single" w:sz="4" w:space="0" w:color="4F81BD"/>
            <w:left w:val="nil"/>
            <w:bottom w:val="nil"/>
            <w:right w:val="nil"/>
          </w:tcBorders>
        </w:tcPr>
        <w:p w:rsidR="004C384A" w:rsidRPr="005A3173" w:rsidRDefault="004C384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C384A" w:rsidTr="005A3173">
      <w:trPr>
        <w:trHeight w:val="151"/>
      </w:trPr>
      <w:tc>
        <w:tcPr>
          <w:tcW w:w="2250" w:type="pct"/>
          <w:tcBorders>
            <w:top w:val="nil"/>
            <w:left w:val="nil"/>
            <w:bottom w:val="single" w:sz="4" w:space="0" w:color="4F81BD"/>
            <w:right w:val="nil"/>
          </w:tcBorders>
        </w:tcPr>
        <w:p w:rsidR="004C384A" w:rsidRPr="005A3173" w:rsidRDefault="004C384A" w:rsidP="005A3173">
          <w:pPr>
            <w:pStyle w:val="Header"/>
            <w:spacing w:line="276" w:lineRule="auto"/>
            <w:rPr>
              <w:rFonts w:eastAsia="MS Gothic"/>
              <w:b/>
              <w:bCs/>
              <w:color w:val="4F81BD"/>
            </w:rPr>
          </w:pPr>
        </w:p>
      </w:tc>
      <w:tc>
        <w:tcPr>
          <w:tcW w:w="500" w:type="pct"/>
          <w:vMerge w:val="restart"/>
          <w:noWrap/>
          <w:vAlign w:val="center"/>
          <w:hideMark/>
        </w:tcPr>
        <w:p w:rsidR="004C384A" w:rsidRPr="005A3173" w:rsidRDefault="004C384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C384A" w:rsidRPr="005A3173" w:rsidRDefault="004C384A" w:rsidP="005A3173">
          <w:pPr>
            <w:pStyle w:val="Header"/>
            <w:spacing w:line="276" w:lineRule="auto"/>
            <w:rPr>
              <w:rFonts w:eastAsia="MS Gothic"/>
              <w:b/>
              <w:bCs/>
              <w:color w:val="4F81BD"/>
            </w:rPr>
          </w:pPr>
        </w:p>
      </w:tc>
    </w:tr>
    <w:tr w:rsidR="004C384A" w:rsidTr="005A3173">
      <w:trPr>
        <w:trHeight w:val="150"/>
      </w:trPr>
      <w:tc>
        <w:tcPr>
          <w:tcW w:w="2250" w:type="pct"/>
          <w:tcBorders>
            <w:top w:val="single" w:sz="4" w:space="0" w:color="4F81BD"/>
            <w:left w:val="nil"/>
            <w:bottom w:val="nil"/>
            <w:right w:val="nil"/>
          </w:tcBorders>
        </w:tcPr>
        <w:p w:rsidR="004C384A" w:rsidRPr="005A3173" w:rsidRDefault="004C384A" w:rsidP="005A3173">
          <w:pPr>
            <w:pStyle w:val="Header"/>
            <w:spacing w:line="276" w:lineRule="auto"/>
            <w:rPr>
              <w:rFonts w:eastAsia="MS Gothic"/>
              <w:b/>
              <w:bCs/>
              <w:color w:val="4F81BD"/>
            </w:rPr>
          </w:pPr>
        </w:p>
      </w:tc>
      <w:tc>
        <w:tcPr>
          <w:tcW w:w="0" w:type="auto"/>
          <w:vMerge/>
          <w:vAlign w:val="center"/>
          <w:hideMark/>
        </w:tcPr>
        <w:p w:rsidR="004C384A" w:rsidRPr="005A3173" w:rsidRDefault="004C384A" w:rsidP="005A3173">
          <w:pPr>
            <w:rPr>
              <w:color w:val="365F91"/>
              <w:sz w:val="22"/>
              <w:szCs w:val="22"/>
            </w:rPr>
          </w:pPr>
        </w:p>
      </w:tc>
      <w:tc>
        <w:tcPr>
          <w:tcW w:w="2250" w:type="pct"/>
          <w:tcBorders>
            <w:top w:val="single" w:sz="4" w:space="0" w:color="4F81BD"/>
            <w:left w:val="nil"/>
            <w:bottom w:val="nil"/>
            <w:right w:val="nil"/>
          </w:tcBorders>
        </w:tcPr>
        <w:p w:rsidR="004C384A" w:rsidRPr="005A3173" w:rsidRDefault="004C384A" w:rsidP="005A3173">
          <w:pPr>
            <w:pStyle w:val="Header"/>
            <w:spacing w:line="276" w:lineRule="auto"/>
            <w:rPr>
              <w:rFonts w:eastAsia="MS Gothic"/>
              <w:b/>
              <w:bCs/>
              <w:color w:val="4F81BD"/>
            </w:rPr>
          </w:pPr>
        </w:p>
      </w:tc>
    </w:tr>
  </w:tbl>
  <w:p w:rsidR="004C384A" w:rsidRPr="007C0F57" w:rsidRDefault="004C384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C384A" w:rsidRPr="007C0F57" w:rsidRDefault="004C384A" w:rsidP="007C0F57">
    <w:pPr>
      <w:pStyle w:val="Footer"/>
      <w:jc w:val="center"/>
      <w:rPr>
        <w:b/>
        <w:i/>
        <w:sz w:val="20"/>
        <w:szCs w:val="20"/>
      </w:rPr>
    </w:pPr>
    <w:r w:rsidRPr="007C0F57">
      <w:rPr>
        <w:b/>
        <w:i/>
        <w:sz w:val="20"/>
        <w:szCs w:val="20"/>
      </w:rPr>
      <w:t>Commercial-in-Confidence</w:t>
    </w:r>
  </w:p>
  <w:p w:rsidR="004C384A" w:rsidRDefault="004C38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E5" w:rsidRDefault="00A63CE5">
      <w:r>
        <w:separator/>
      </w:r>
    </w:p>
    <w:p w:rsidR="00A63CE5" w:rsidRDefault="00A63CE5"/>
  </w:footnote>
  <w:footnote w:type="continuationSeparator" w:id="0">
    <w:p w:rsidR="00A63CE5" w:rsidRDefault="00A63CE5">
      <w:r>
        <w:continuationSeparator/>
      </w:r>
    </w:p>
    <w:p w:rsidR="00A63CE5" w:rsidRDefault="00A63C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C384A" w:rsidRPr="008E0D90" w:rsidTr="00A06225">
      <w:trPr>
        <w:trHeight w:val="151"/>
      </w:trPr>
      <w:tc>
        <w:tcPr>
          <w:tcW w:w="2389" w:type="pct"/>
          <w:tcBorders>
            <w:top w:val="nil"/>
            <w:left w:val="nil"/>
            <w:bottom w:val="single" w:sz="4" w:space="0" w:color="4F81BD"/>
            <w:right w:val="nil"/>
          </w:tcBorders>
        </w:tcPr>
        <w:p w:rsidR="004C384A" w:rsidRPr="00A06225" w:rsidRDefault="004C384A">
          <w:pPr>
            <w:pStyle w:val="Header"/>
            <w:spacing w:line="276" w:lineRule="auto"/>
            <w:rPr>
              <w:rFonts w:ascii="Cambria" w:eastAsia="MS Gothic" w:hAnsi="Cambria"/>
              <w:b/>
              <w:bCs/>
              <w:color w:val="4F81BD"/>
            </w:rPr>
          </w:pPr>
        </w:p>
      </w:tc>
      <w:tc>
        <w:tcPr>
          <w:tcW w:w="333" w:type="pct"/>
          <w:vMerge w:val="restart"/>
          <w:noWrap/>
          <w:vAlign w:val="center"/>
          <w:hideMark/>
        </w:tcPr>
        <w:p w:rsidR="004C384A" w:rsidRPr="00A06225" w:rsidRDefault="004C384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C384A" w:rsidRPr="00A06225" w:rsidRDefault="004C384A">
          <w:pPr>
            <w:pStyle w:val="Header"/>
            <w:spacing w:line="276" w:lineRule="auto"/>
            <w:rPr>
              <w:rFonts w:ascii="Cambria" w:eastAsia="MS Gothic" w:hAnsi="Cambria"/>
              <w:b/>
              <w:bCs/>
              <w:color w:val="4F81BD"/>
            </w:rPr>
          </w:pPr>
        </w:p>
      </w:tc>
    </w:tr>
    <w:tr w:rsidR="004C384A" w:rsidRPr="008E0D90" w:rsidTr="00A06225">
      <w:trPr>
        <w:trHeight w:val="150"/>
      </w:trPr>
      <w:tc>
        <w:tcPr>
          <w:tcW w:w="2389" w:type="pct"/>
          <w:tcBorders>
            <w:top w:val="single" w:sz="4" w:space="0" w:color="4F81BD"/>
            <w:left w:val="nil"/>
            <w:bottom w:val="nil"/>
            <w:right w:val="nil"/>
          </w:tcBorders>
        </w:tcPr>
        <w:p w:rsidR="004C384A" w:rsidRPr="00A06225" w:rsidRDefault="004C384A">
          <w:pPr>
            <w:pStyle w:val="Header"/>
            <w:spacing w:line="276" w:lineRule="auto"/>
            <w:rPr>
              <w:rFonts w:ascii="Cambria" w:eastAsia="MS Gothic" w:hAnsi="Cambria"/>
              <w:b/>
              <w:bCs/>
              <w:color w:val="4F81BD"/>
            </w:rPr>
          </w:pPr>
        </w:p>
      </w:tc>
      <w:tc>
        <w:tcPr>
          <w:tcW w:w="0" w:type="auto"/>
          <w:vMerge/>
          <w:vAlign w:val="center"/>
          <w:hideMark/>
        </w:tcPr>
        <w:p w:rsidR="004C384A" w:rsidRPr="00A06225" w:rsidRDefault="004C384A">
          <w:pPr>
            <w:rPr>
              <w:rFonts w:ascii="Cambria" w:hAnsi="Cambria"/>
              <w:color w:val="4F81BD"/>
              <w:sz w:val="22"/>
              <w:szCs w:val="22"/>
            </w:rPr>
          </w:pPr>
        </w:p>
      </w:tc>
      <w:tc>
        <w:tcPr>
          <w:tcW w:w="2278" w:type="pct"/>
          <w:tcBorders>
            <w:top w:val="single" w:sz="4" w:space="0" w:color="4F81BD"/>
            <w:left w:val="nil"/>
            <w:bottom w:val="nil"/>
            <w:right w:val="nil"/>
          </w:tcBorders>
        </w:tcPr>
        <w:p w:rsidR="004C384A" w:rsidRPr="00A06225" w:rsidRDefault="004C384A">
          <w:pPr>
            <w:pStyle w:val="Header"/>
            <w:spacing w:line="276" w:lineRule="auto"/>
            <w:rPr>
              <w:rFonts w:ascii="Cambria" w:eastAsia="MS Gothic" w:hAnsi="Cambria"/>
              <w:b/>
              <w:bCs/>
              <w:color w:val="4F81BD"/>
            </w:rPr>
          </w:pPr>
        </w:p>
      </w:tc>
    </w:tr>
  </w:tbl>
  <w:p w:rsidR="004C384A" w:rsidRDefault="004C384A">
    <w:pPr>
      <w:pStyle w:val="Header"/>
    </w:pPr>
  </w:p>
  <w:p w:rsidR="004C384A" w:rsidRDefault="004C384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4A" w:rsidRPr="00DD0CAD" w:rsidRDefault="004C384A" w:rsidP="00DD0CAD">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July 2020</w:t>
    </w:r>
    <w:r w:rsidRPr="00DD0CAD">
      <w:rPr>
        <w:rFonts w:asciiTheme="minorHAnsi" w:hAnsiTheme="minorHAnsi" w:cstheme="minorHAnsi"/>
        <w:i/>
        <w:iCs/>
      </w:rPr>
      <w:t xml:space="preserve"> PBAC Meeting</w:t>
    </w:r>
  </w:p>
  <w:p w:rsidR="004C384A" w:rsidRPr="00C40937" w:rsidRDefault="004C384A" w:rsidP="00A128E6">
    <w:pPr>
      <w:pStyle w:val="NoSpacing"/>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58CD"/>
    <w:multiLevelType w:val="hybridMultilevel"/>
    <w:tmpl w:val="FA1C8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1D688E"/>
    <w:multiLevelType w:val="hybridMultilevel"/>
    <w:tmpl w:val="510EE13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173A90"/>
    <w:multiLevelType w:val="hybridMultilevel"/>
    <w:tmpl w:val="F97829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CBA096B"/>
    <w:multiLevelType w:val="hybridMultilevel"/>
    <w:tmpl w:val="1B6E9F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721F6"/>
    <w:multiLevelType w:val="hybridMultilevel"/>
    <w:tmpl w:val="1F4870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58D67A6"/>
    <w:multiLevelType w:val="hybridMultilevel"/>
    <w:tmpl w:val="E7508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FD0699B"/>
    <w:multiLevelType w:val="hybridMultilevel"/>
    <w:tmpl w:val="90C2DB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hint="default"/>
        <w:color w:val="auto"/>
        <w:sz w:val="16"/>
        <w:szCs w:val="16"/>
      </w:rPr>
    </w:lvl>
    <w:lvl w:ilvl="1" w:tplc="8CC01B9E" w:tentative="1">
      <w:start w:val="1"/>
      <w:numFmt w:val="bullet"/>
      <w:lvlText w:val="o"/>
      <w:lvlJc w:val="left"/>
      <w:pPr>
        <w:tabs>
          <w:tab w:val="num" w:pos="2007"/>
        </w:tabs>
        <w:ind w:left="2007" w:hanging="360"/>
      </w:pPr>
      <w:rPr>
        <w:rFonts w:ascii="Courier New" w:hAnsi="Courier New" w:cs="Courier New" w:hint="default"/>
      </w:rPr>
    </w:lvl>
    <w:lvl w:ilvl="2" w:tplc="EB84AD5C" w:tentative="1">
      <w:start w:val="1"/>
      <w:numFmt w:val="bullet"/>
      <w:lvlText w:val=""/>
      <w:lvlJc w:val="left"/>
      <w:pPr>
        <w:tabs>
          <w:tab w:val="num" w:pos="2727"/>
        </w:tabs>
        <w:ind w:left="2727" w:hanging="360"/>
      </w:pPr>
      <w:rPr>
        <w:rFonts w:ascii="Wingdings" w:hAnsi="Wingdings" w:hint="default"/>
      </w:rPr>
    </w:lvl>
    <w:lvl w:ilvl="3" w:tplc="2E40CA9A" w:tentative="1">
      <w:start w:val="1"/>
      <w:numFmt w:val="bullet"/>
      <w:lvlText w:val=""/>
      <w:lvlJc w:val="left"/>
      <w:pPr>
        <w:tabs>
          <w:tab w:val="num" w:pos="3447"/>
        </w:tabs>
        <w:ind w:left="3447" w:hanging="360"/>
      </w:pPr>
      <w:rPr>
        <w:rFonts w:ascii="Symbol" w:hAnsi="Symbol" w:hint="default"/>
      </w:rPr>
    </w:lvl>
    <w:lvl w:ilvl="4" w:tplc="F21CDEFE" w:tentative="1">
      <w:start w:val="1"/>
      <w:numFmt w:val="bullet"/>
      <w:lvlText w:val="o"/>
      <w:lvlJc w:val="left"/>
      <w:pPr>
        <w:tabs>
          <w:tab w:val="num" w:pos="4167"/>
        </w:tabs>
        <w:ind w:left="4167" w:hanging="360"/>
      </w:pPr>
      <w:rPr>
        <w:rFonts w:ascii="Courier New" w:hAnsi="Courier New" w:cs="Courier New" w:hint="default"/>
      </w:rPr>
    </w:lvl>
    <w:lvl w:ilvl="5" w:tplc="706C4674" w:tentative="1">
      <w:start w:val="1"/>
      <w:numFmt w:val="bullet"/>
      <w:lvlText w:val=""/>
      <w:lvlJc w:val="left"/>
      <w:pPr>
        <w:tabs>
          <w:tab w:val="num" w:pos="4887"/>
        </w:tabs>
        <w:ind w:left="4887" w:hanging="360"/>
      </w:pPr>
      <w:rPr>
        <w:rFonts w:ascii="Wingdings" w:hAnsi="Wingdings" w:hint="default"/>
      </w:rPr>
    </w:lvl>
    <w:lvl w:ilvl="6" w:tplc="65028BEE" w:tentative="1">
      <w:start w:val="1"/>
      <w:numFmt w:val="bullet"/>
      <w:lvlText w:val=""/>
      <w:lvlJc w:val="left"/>
      <w:pPr>
        <w:tabs>
          <w:tab w:val="num" w:pos="5607"/>
        </w:tabs>
        <w:ind w:left="5607" w:hanging="360"/>
      </w:pPr>
      <w:rPr>
        <w:rFonts w:ascii="Symbol" w:hAnsi="Symbol" w:hint="default"/>
      </w:rPr>
    </w:lvl>
    <w:lvl w:ilvl="7" w:tplc="A71E9600" w:tentative="1">
      <w:start w:val="1"/>
      <w:numFmt w:val="bullet"/>
      <w:lvlText w:val="o"/>
      <w:lvlJc w:val="left"/>
      <w:pPr>
        <w:tabs>
          <w:tab w:val="num" w:pos="6327"/>
        </w:tabs>
        <w:ind w:left="6327" w:hanging="360"/>
      </w:pPr>
      <w:rPr>
        <w:rFonts w:ascii="Courier New" w:hAnsi="Courier New" w:cs="Courier New" w:hint="default"/>
      </w:rPr>
    </w:lvl>
    <w:lvl w:ilvl="8" w:tplc="1E1ECCBC"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41A0362"/>
    <w:multiLevelType w:val="hybridMultilevel"/>
    <w:tmpl w:val="430698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BB347400"/>
    <w:lvl w:ilvl="0">
      <w:start w:val="1"/>
      <w:numFmt w:val="decimal"/>
      <w:pStyle w:val="2-SectionHeading"/>
      <w:lvlText w:val="%1"/>
      <w:lvlJc w:val="left"/>
      <w:pPr>
        <w:ind w:left="720" w:hanging="720"/>
      </w:pPr>
      <w:rPr>
        <w:rFonts w:hint="default"/>
        <w:b/>
        <w:color w:val="auto"/>
        <w:sz w:val="32"/>
        <w:szCs w:val="32"/>
      </w:rPr>
    </w:lvl>
    <w:lvl w:ilvl="1">
      <w:start w:val="1"/>
      <w:numFmt w:val="decimal"/>
      <w:pStyle w:val="3Bodytext"/>
      <w:lvlText w:val="%1.%2"/>
      <w:lvlJc w:val="left"/>
      <w:pPr>
        <w:ind w:left="1713"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0"/>
  </w:num>
  <w:num w:numId="3">
    <w:abstractNumId w:val="23"/>
  </w:num>
  <w:num w:numId="4">
    <w:abstractNumId w:val="15"/>
  </w:num>
  <w:num w:numId="5">
    <w:abstractNumId w:val="25"/>
  </w:num>
  <w:num w:numId="6">
    <w:abstractNumId w:val="20"/>
  </w:num>
  <w:num w:numId="7">
    <w:abstractNumId w:val="22"/>
  </w:num>
  <w:num w:numId="8">
    <w:abstractNumId w:val="12"/>
  </w:num>
  <w:num w:numId="9">
    <w:abstractNumId w:val="7"/>
  </w:num>
  <w:num w:numId="10">
    <w:abstractNumId w:val="1"/>
  </w:num>
  <w:num w:numId="11">
    <w:abstractNumId w:val="3"/>
  </w:num>
  <w:num w:numId="12">
    <w:abstractNumId w:val="24"/>
  </w:num>
  <w:num w:numId="13">
    <w:abstractNumId w:val="17"/>
  </w:num>
  <w:num w:numId="14">
    <w:abstractNumId w:val="11"/>
  </w:num>
  <w:num w:numId="15">
    <w:abstractNumId w:val="8"/>
  </w:num>
  <w:num w:numId="16">
    <w:abstractNumId w:val="23"/>
  </w:num>
  <w:num w:numId="17">
    <w:abstractNumId w:val="23"/>
  </w:num>
  <w:num w:numId="18">
    <w:abstractNumId w:val="23"/>
  </w:num>
  <w:num w:numId="19">
    <w:abstractNumId w:val="14"/>
  </w:num>
  <w:num w:numId="20">
    <w:abstractNumId w:val="18"/>
  </w:num>
  <w:num w:numId="21">
    <w:abstractNumId w:val="9"/>
  </w:num>
  <w:num w:numId="22">
    <w:abstractNumId w:val="2"/>
  </w:num>
  <w:num w:numId="23">
    <w:abstractNumId w:val="6"/>
  </w:num>
  <w:num w:numId="24">
    <w:abstractNumId w:val="16"/>
  </w:num>
  <w:num w:numId="25">
    <w:abstractNumId w:val="4"/>
  </w:num>
  <w:num w:numId="26">
    <w:abstractNumId w:val="5"/>
  </w:num>
  <w:num w:numId="27">
    <w:abstractNumId w:val="10"/>
  </w:num>
  <w:num w:numId="28">
    <w:abstractNumId w:val="13"/>
  </w:num>
  <w:num w:numId="29">
    <w:abstractNumId w:val="19"/>
  </w:num>
  <w:num w:numId="3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EA6"/>
    <w:rsid w:val="00011A59"/>
    <w:rsid w:val="000124F9"/>
    <w:rsid w:val="00013D40"/>
    <w:rsid w:val="00016A41"/>
    <w:rsid w:val="00017588"/>
    <w:rsid w:val="000214D1"/>
    <w:rsid w:val="000241AA"/>
    <w:rsid w:val="0002464A"/>
    <w:rsid w:val="0003106B"/>
    <w:rsid w:val="000329E0"/>
    <w:rsid w:val="00033ED0"/>
    <w:rsid w:val="00034905"/>
    <w:rsid w:val="00036DAB"/>
    <w:rsid w:val="000421A1"/>
    <w:rsid w:val="0004240E"/>
    <w:rsid w:val="00045E26"/>
    <w:rsid w:val="000514B5"/>
    <w:rsid w:val="00053DD0"/>
    <w:rsid w:val="00060E64"/>
    <w:rsid w:val="00061ED6"/>
    <w:rsid w:val="00063372"/>
    <w:rsid w:val="000638B9"/>
    <w:rsid w:val="00066755"/>
    <w:rsid w:val="00074BC1"/>
    <w:rsid w:val="000763D5"/>
    <w:rsid w:val="00076875"/>
    <w:rsid w:val="00077143"/>
    <w:rsid w:val="00082169"/>
    <w:rsid w:val="00082DA5"/>
    <w:rsid w:val="00084D41"/>
    <w:rsid w:val="000918CB"/>
    <w:rsid w:val="00091B06"/>
    <w:rsid w:val="00091C64"/>
    <w:rsid w:val="0009472C"/>
    <w:rsid w:val="000951C4"/>
    <w:rsid w:val="00095ADA"/>
    <w:rsid w:val="000969AD"/>
    <w:rsid w:val="000A07EC"/>
    <w:rsid w:val="000A0B8A"/>
    <w:rsid w:val="000A3AA2"/>
    <w:rsid w:val="000A44B2"/>
    <w:rsid w:val="000A52F6"/>
    <w:rsid w:val="000A742E"/>
    <w:rsid w:val="000B30EF"/>
    <w:rsid w:val="000B44C3"/>
    <w:rsid w:val="000B5290"/>
    <w:rsid w:val="000B558D"/>
    <w:rsid w:val="000C43C9"/>
    <w:rsid w:val="000C4D8D"/>
    <w:rsid w:val="000C57C5"/>
    <w:rsid w:val="000C5F95"/>
    <w:rsid w:val="000C6996"/>
    <w:rsid w:val="000D09E9"/>
    <w:rsid w:val="000D113F"/>
    <w:rsid w:val="000D23BA"/>
    <w:rsid w:val="000D3CD7"/>
    <w:rsid w:val="000D6659"/>
    <w:rsid w:val="000D7F74"/>
    <w:rsid w:val="000E035B"/>
    <w:rsid w:val="000E37CE"/>
    <w:rsid w:val="000E5EA1"/>
    <w:rsid w:val="000E681E"/>
    <w:rsid w:val="000E7203"/>
    <w:rsid w:val="000F0003"/>
    <w:rsid w:val="000F3384"/>
    <w:rsid w:val="000F4E6A"/>
    <w:rsid w:val="000F526A"/>
    <w:rsid w:val="000F7354"/>
    <w:rsid w:val="00101ABE"/>
    <w:rsid w:val="00102202"/>
    <w:rsid w:val="00102413"/>
    <w:rsid w:val="00102573"/>
    <w:rsid w:val="00104227"/>
    <w:rsid w:val="00106D26"/>
    <w:rsid w:val="001107BF"/>
    <w:rsid w:val="001134BF"/>
    <w:rsid w:val="00113649"/>
    <w:rsid w:val="00116458"/>
    <w:rsid w:val="0012417C"/>
    <w:rsid w:val="0012630A"/>
    <w:rsid w:val="0012699F"/>
    <w:rsid w:val="0012749D"/>
    <w:rsid w:val="00131015"/>
    <w:rsid w:val="0013116A"/>
    <w:rsid w:val="001331AB"/>
    <w:rsid w:val="001378C2"/>
    <w:rsid w:val="00140CF4"/>
    <w:rsid w:val="00142395"/>
    <w:rsid w:val="00142714"/>
    <w:rsid w:val="00142BD0"/>
    <w:rsid w:val="001452ED"/>
    <w:rsid w:val="00147D84"/>
    <w:rsid w:val="001515AC"/>
    <w:rsid w:val="00153DA4"/>
    <w:rsid w:val="001549C1"/>
    <w:rsid w:val="00156852"/>
    <w:rsid w:val="00160726"/>
    <w:rsid w:val="00162BDD"/>
    <w:rsid w:val="00162D4E"/>
    <w:rsid w:val="00163329"/>
    <w:rsid w:val="00163B95"/>
    <w:rsid w:val="00163C67"/>
    <w:rsid w:val="00164623"/>
    <w:rsid w:val="001652DE"/>
    <w:rsid w:val="00165B64"/>
    <w:rsid w:val="001745D3"/>
    <w:rsid w:val="00176A59"/>
    <w:rsid w:val="00177402"/>
    <w:rsid w:val="00180713"/>
    <w:rsid w:val="00180720"/>
    <w:rsid w:val="00181447"/>
    <w:rsid w:val="001830CE"/>
    <w:rsid w:val="001836EA"/>
    <w:rsid w:val="001842F4"/>
    <w:rsid w:val="0018643B"/>
    <w:rsid w:val="0019218F"/>
    <w:rsid w:val="0019326F"/>
    <w:rsid w:val="001948CF"/>
    <w:rsid w:val="0019588A"/>
    <w:rsid w:val="00196307"/>
    <w:rsid w:val="001A1DCC"/>
    <w:rsid w:val="001A33EA"/>
    <w:rsid w:val="001A4C4F"/>
    <w:rsid w:val="001A622C"/>
    <w:rsid w:val="001A76FB"/>
    <w:rsid w:val="001B017F"/>
    <w:rsid w:val="001B288F"/>
    <w:rsid w:val="001B2BBC"/>
    <w:rsid w:val="001B2E99"/>
    <w:rsid w:val="001B3A40"/>
    <w:rsid w:val="001B3FFE"/>
    <w:rsid w:val="001B5129"/>
    <w:rsid w:val="001B6DF8"/>
    <w:rsid w:val="001C0B4C"/>
    <w:rsid w:val="001C1195"/>
    <w:rsid w:val="001C2E42"/>
    <w:rsid w:val="001C36C2"/>
    <w:rsid w:val="001C6A68"/>
    <w:rsid w:val="001D1F5F"/>
    <w:rsid w:val="001D2689"/>
    <w:rsid w:val="001D54C8"/>
    <w:rsid w:val="001D6400"/>
    <w:rsid w:val="001E003E"/>
    <w:rsid w:val="001E06D2"/>
    <w:rsid w:val="001F005B"/>
    <w:rsid w:val="001F1850"/>
    <w:rsid w:val="001F1F1B"/>
    <w:rsid w:val="001F3189"/>
    <w:rsid w:val="00203F85"/>
    <w:rsid w:val="00203FAC"/>
    <w:rsid w:val="00204825"/>
    <w:rsid w:val="002068D2"/>
    <w:rsid w:val="00206EA9"/>
    <w:rsid w:val="00210F2A"/>
    <w:rsid w:val="00213232"/>
    <w:rsid w:val="00213915"/>
    <w:rsid w:val="00213CFB"/>
    <w:rsid w:val="0021470A"/>
    <w:rsid w:val="0021553C"/>
    <w:rsid w:val="0021557B"/>
    <w:rsid w:val="00215A29"/>
    <w:rsid w:val="00216333"/>
    <w:rsid w:val="002174FD"/>
    <w:rsid w:val="00217BE1"/>
    <w:rsid w:val="00222AEC"/>
    <w:rsid w:val="0022328D"/>
    <w:rsid w:val="00234252"/>
    <w:rsid w:val="00236B92"/>
    <w:rsid w:val="00237AC6"/>
    <w:rsid w:val="00244490"/>
    <w:rsid w:val="00245B9C"/>
    <w:rsid w:val="00250812"/>
    <w:rsid w:val="00252D68"/>
    <w:rsid w:val="0025344D"/>
    <w:rsid w:val="00253499"/>
    <w:rsid w:val="00254F22"/>
    <w:rsid w:val="002551A4"/>
    <w:rsid w:val="00257664"/>
    <w:rsid w:val="00257D81"/>
    <w:rsid w:val="00262A83"/>
    <w:rsid w:val="00265151"/>
    <w:rsid w:val="0026522E"/>
    <w:rsid w:val="00265B0F"/>
    <w:rsid w:val="00266509"/>
    <w:rsid w:val="00271BA1"/>
    <w:rsid w:val="0027489C"/>
    <w:rsid w:val="002762FA"/>
    <w:rsid w:val="00276E95"/>
    <w:rsid w:val="00277505"/>
    <w:rsid w:val="002823B6"/>
    <w:rsid w:val="00282FFF"/>
    <w:rsid w:val="00286DBB"/>
    <w:rsid w:val="00287A0B"/>
    <w:rsid w:val="00287D89"/>
    <w:rsid w:val="002917AD"/>
    <w:rsid w:val="00294274"/>
    <w:rsid w:val="0029458F"/>
    <w:rsid w:val="002964DB"/>
    <w:rsid w:val="002969D8"/>
    <w:rsid w:val="00297F23"/>
    <w:rsid w:val="002A0E04"/>
    <w:rsid w:val="002A104C"/>
    <w:rsid w:val="002A1C02"/>
    <w:rsid w:val="002A1EF7"/>
    <w:rsid w:val="002A3099"/>
    <w:rsid w:val="002A494D"/>
    <w:rsid w:val="002A4960"/>
    <w:rsid w:val="002A4E23"/>
    <w:rsid w:val="002A7F7E"/>
    <w:rsid w:val="002B0AE0"/>
    <w:rsid w:val="002B16D0"/>
    <w:rsid w:val="002B1AE6"/>
    <w:rsid w:val="002B1D51"/>
    <w:rsid w:val="002B2DE8"/>
    <w:rsid w:val="002B30F8"/>
    <w:rsid w:val="002B3418"/>
    <w:rsid w:val="002B388A"/>
    <w:rsid w:val="002B3F96"/>
    <w:rsid w:val="002B42F1"/>
    <w:rsid w:val="002B5596"/>
    <w:rsid w:val="002B6327"/>
    <w:rsid w:val="002B6E00"/>
    <w:rsid w:val="002B79FA"/>
    <w:rsid w:val="002C0D64"/>
    <w:rsid w:val="002C212F"/>
    <w:rsid w:val="002C64C3"/>
    <w:rsid w:val="002C7485"/>
    <w:rsid w:val="002D283A"/>
    <w:rsid w:val="002D3160"/>
    <w:rsid w:val="002D4543"/>
    <w:rsid w:val="002D678A"/>
    <w:rsid w:val="002E3153"/>
    <w:rsid w:val="002E5292"/>
    <w:rsid w:val="002E5C53"/>
    <w:rsid w:val="002E72CA"/>
    <w:rsid w:val="002F600D"/>
    <w:rsid w:val="00300AD6"/>
    <w:rsid w:val="00300B1B"/>
    <w:rsid w:val="003019D0"/>
    <w:rsid w:val="003023D1"/>
    <w:rsid w:val="00302842"/>
    <w:rsid w:val="00305BC2"/>
    <w:rsid w:val="003064AF"/>
    <w:rsid w:val="00310B68"/>
    <w:rsid w:val="00313B77"/>
    <w:rsid w:val="003172C9"/>
    <w:rsid w:val="00317C6C"/>
    <w:rsid w:val="00320CD3"/>
    <w:rsid w:val="003211C9"/>
    <w:rsid w:val="00321253"/>
    <w:rsid w:val="003236D5"/>
    <w:rsid w:val="00324730"/>
    <w:rsid w:val="00326E79"/>
    <w:rsid w:val="003276C1"/>
    <w:rsid w:val="003301B1"/>
    <w:rsid w:val="00331189"/>
    <w:rsid w:val="0033263D"/>
    <w:rsid w:val="00334E1D"/>
    <w:rsid w:val="0033518A"/>
    <w:rsid w:val="003367EF"/>
    <w:rsid w:val="00341AE4"/>
    <w:rsid w:val="0034510C"/>
    <w:rsid w:val="003476EE"/>
    <w:rsid w:val="0035042D"/>
    <w:rsid w:val="00350488"/>
    <w:rsid w:val="0035274E"/>
    <w:rsid w:val="003541DD"/>
    <w:rsid w:val="00354523"/>
    <w:rsid w:val="00356E5B"/>
    <w:rsid w:val="003619A1"/>
    <w:rsid w:val="0036277C"/>
    <w:rsid w:val="003636AB"/>
    <w:rsid w:val="003736C9"/>
    <w:rsid w:val="00376507"/>
    <w:rsid w:val="00377304"/>
    <w:rsid w:val="00381AC0"/>
    <w:rsid w:val="00384988"/>
    <w:rsid w:val="003872CF"/>
    <w:rsid w:val="003950EE"/>
    <w:rsid w:val="00396569"/>
    <w:rsid w:val="00396E85"/>
    <w:rsid w:val="0039782C"/>
    <w:rsid w:val="00397876"/>
    <w:rsid w:val="003A00C9"/>
    <w:rsid w:val="003A0D1C"/>
    <w:rsid w:val="003A4EEE"/>
    <w:rsid w:val="003A5B4A"/>
    <w:rsid w:val="003A5D95"/>
    <w:rsid w:val="003B12E2"/>
    <w:rsid w:val="003B23C5"/>
    <w:rsid w:val="003B2A75"/>
    <w:rsid w:val="003B6124"/>
    <w:rsid w:val="003B71FD"/>
    <w:rsid w:val="003C093A"/>
    <w:rsid w:val="003C1ECF"/>
    <w:rsid w:val="003C2FB5"/>
    <w:rsid w:val="003C5084"/>
    <w:rsid w:val="003D1BBE"/>
    <w:rsid w:val="003D24C5"/>
    <w:rsid w:val="003D4AC4"/>
    <w:rsid w:val="003D63B7"/>
    <w:rsid w:val="003D63FB"/>
    <w:rsid w:val="003D6BFB"/>
    <w:rsid w:val="003D74C5"/>
    <w:rsid w:val="003D7E2A"/>
    <w:rsid w:val="003E10FC"/>
    <w:rsid w:val="003E2021"/>
    <w:rsid w:val="003E468B"/>
    <w:rsid w:val="003E62BD"/>
    <w:rsid w:val="003F0C3A"/>
    <w:rsid w:val="003F0EEF"/>
    <w:rsid w:val="003F3228"/>
    <w:rsid w:val="003F5C8C"/>
    <w:rsid w:val="003F63CE"/>
    <w:rsid w:val="003F775A"/>
    <w:rsid w:val="00400275"/>
    <w:rsid w:val="00400E55"/>
    <w:rsid w:val="0040128E"/>
    <w:rsid w:val="0040216B"/>
    <w:rsid w:val="00404002"/>
    <w:rsid w:val="0040593F"/>
    <w:rsid w:val="00410A39"/>
    <w:rsid w:val="0041255A"/>
    <w:rsid w:val="004148FE"/>
    <w:rsid w:val="00414E5B"/>
    <w:rsid w:val="004252EC"/>
    <w:rsid w:val="00430D39"/>
    <w:rsid w:val="00433D71"/>
    <w:rsid w:val="004375C0"/>
    <w:rsid w:val="00442310"/>
    <w:rsid w:val="004465BD"/>
    <w:rsid w:val="00446938"/>
    <w:rsid w:val="004541C8"/>
    <w:rsid w:val="0046175F"/>
    <w:rsid w:val="00461A44"/>
    <w:rsid w:val="00462135"/>
    <w:rsid w:val="00464E64"/>
    <w:rsid w:val="00466ADA"/>
    <w:rsid w:val="004702BB"/>
    <w:rsid w:val="0047494B"/>
    <w:rsid w:val="00475F48"/>
    <w:rsid w:val="00476245"/>
    <w:rsid w:val="00477A9B"/>
    <w:rsid w:val="00482719"/>
    <w:rsid w:val="00482C5E"/>
    <w:rsid w:val="00483035"/>
    <w:rsid w:val="00483D0F"/>
    <w:rsid w:val="00484515"/>
    <w:rsid w:val="00485940"/>
    <w:rsid w:val="004904B9"/>
    <w:rsid w:val="00490632"/>
    <w:rsid w:val="0049486E"/>
    <w:rsid w:val="004A2484"/>
    <w:rsid w:val="004A5201"/>
    <w:rsid w:val="004A5A85"/>
    <w:rsid w:val="004A6ADA"/>
    <w:rsid w:val="004A71D1"/>
    <w:rsid w:val="004A7C5B"/>
    <w:rsid w:val="004B1845"/>
    <w:rsid w:val="004B2E98"/>
    <w:rsid w:val="004B5640"/>
    <w:rsid w:val="004C03D0"/>
    <w:rsid w:val="004C1BD7"/>
    <w:rsid w:val="004C2A07"/>
    <w:rsid w:val="004C31FE"/>
    <w:rsid w:val="004C384A"/>
    <w:rsid w:val="004C524C"/>
    <w:rsid w:val="004C5FFA"/>
    <w:rsid w:val="004C691D"/>
    <w:rsid w:val="004C6C07"/>
    <w:rsid w:val="004C7317"/>
    <w:rsid w:val="004D4FF6"/>
    <w:rsid w:val="004D5881"/>
    <w:rsid w:val="004E1242"/>
    <w:rsid w:val="004E4215"/>
    <w:rsid w:val="004E5D97"/>
    <w:rsid w:val="004E692D"/>
    <w:rsid w:val="004E7D87"/>
    <w:rsid w:val="004F2553"/>
    <w:rsid w:val="004F5199"/>
    <w:rsid w:val="0050135E"/>
    <w:rsid w:val="00501554"/>
    <w:rsid w:val="00502AFE"/>
    <w:rsid w:val="00503AD7"/>
    <w:rsid w:val="00504E0C"/>
    <w:rsid w:val="005071BC"/>
    <w:rsid w:val="005109D4"/>
    <w:rsid w:val="00514A89"/>
    <w:rsid w:val="00514CD7"/>
    <w:rsid w:val="00520D6A"/>
    <w:rsid w:val="00521CE6"/>
    <w:rsid w:val="00522DB6"/>
    <w:rsid w:val="00526353"/>
    <w:rsid w:val="0052792D"/>
    <w:rsid w:val="005319B2"/>
    <w:rsid w:val="00532402"/>
    <w:rsid w:val="005329E0"/>
    <w:rsid w:val="00532C74"/>
    <w:rsid w:val="005339CA"/>
    <w:rsid w:val="00534E2E"/>
    <w:rsid w:val="005358D8"/>
    <w:rsid w:val="00535AD1"/>
    <w:rsid w:val="00536BBF"/>
    <w:rsid w:val="00540417"/>
    <w:rsid w:val="005431CF"/>
    <w:rsid w:val="00544552"/>
    <w:rsid w:val="00545130"/>
    <w:rsid w:val="00552180"/>
    <w:rsid w:val="0055286A"/>
    <w:rsid w:val="00554015"/>
    <w:rsid w:val="00555745"/>
    <w:rsid w:val="00557D4F"/>
    <w:rsid w:val="00563F8D"/>
    <w:rsid w:val="0056484E"/>
    <w:rsid w:val="00564F3C"/>
    <w:rsid w:val="00566FEF"/>
    <w:rsid w:val="005678D8"/>
    <w:rsid w:val="00573E99"/>
    <w:rsid w:val="005760DE"/>
    <w:rsid w:val="005764CD"/>
    <w:rsid w:val="00576C69"/>
    <w:rsid w:val="00577C4D"/>
    <w:rsid w:val="00580532"/>
    <w:rsid w:val="00580CE1"/>
    <w:rsid w:val="0058130F"/>
    <w:rsid w:val="00581932"/>
    <w:rsid w:val="0058342C"/>
    <w:rsid w:val="00583D00"/>
    <w:rsid w:val="005912DE"/>
    <w:rsid w:val="00592A22"/>
    <w:rsid w:val="00593F51"/>
    <w:rsid w:val="005948D7"/>
    <w:rsid w:val="00594D5E"/>
    <w:rsid w:val="005963BB"/>
    <w:rsid w:val="005A0D03"/>
    <w:rsid w:val="005A3173"/>
    <w:rsid w:val="005A3223"/>
    <w:rsid w:val="005A3B4C"/>
    <w:rsid w:val="005A3DA3"/>
    <w:rsid w:val="005A52C4"/>
    <w:rsid w:val="005A53FF"/>
    <w:rsid w:val="005A751A"/>
    <w:rsid w:val="005C3D43"/>
    <w:rsid w:val="005C4F73"/>
    <w:rsid w:val="005C7F41"/>
    <w:rsid w:val="005D03AB"/>
    <w:rsid w:val="005D3465"/>
    <w:rsid w:val="005D5017"/>
    <w:rsid w:val="005D63FA"/>
    <w:rsid w:val="005D743F"/>
    <w:rsid w:val="005E0D82"/>
    <w:rsid w:val="005E1333"/>
    <w:rsid w:val="005E2AE4"/>
    <w:rsid w:val="005E3136"/>
    <w:rsid w:val="005E507D"/>
    <w:rsid w:val="005F0BEF"/>
    <w:rsid w:val="005F0D05"/>
    <w:rsid w:val="005F1F53"/>
    <w:rsid w:val="005F2B99"/>
    <w:rsid w:val="005F32B4"/>
    <w:rsid w:val="005F5C7D"/>
    <w:rsid w:val="00601A91"/>
    <w:rsid w:val="006020CD"/>
    <w:rsid w:val="00602BA3"/>
    <w:rsid w:val="00603B08"/>
    <w:rsid w:val="00603F02"/>
    <w:rsid w:val="00605B63"/>
    <w:rsid w:val="00605F9A"/>
    <w:rsid w:val="00606EED"/>
    <w:rsid w:val="0060736A"/>
    <w:rsid w:val="00612E34"/>
    <w:rsid w:val="00614159"/>
    <w:rsid w:val="00614555"/>
    <w:rsid w:val="00616C5F"/>
    <w:rsid w:val="00616DAC"/>
    <w:rsid w:val="00617617"/>
    <w:rsid w:val="00617C00"/>
    <w:rsid w:val="006252B0"/>
    <w:rsid w:val="006263BF"/>
    <w:rsid w:val="006265D4"/>
    <w:rsid w:val="0062748A"/>
    <w:rsid w:val="00627D1E"/>
    <w:rsid w:val="00630A2C"/>
    <w:rsid w:val="0063134A"/>
    <w:rsid w:val="006319A0"/>
    <w:rsid w:val="00634CC7"/>
    <w:rsid w:val="0063682E"/>
    <w:rsid w:val="00642643"/>
    <w:rsid w:val="00642DA8"/>
    <w:rsid w:val="006436CD"/>
    <w:rsid w:val="00646F27"/>
    <w:rsid w:val="00650026"/>
    <w:rsid w:val="006507AA"/>
    <w:rsid w:val="00651169"/>
    <w:rsid w:val="00653D69"/>
    <w:rsid w:val="00654A60"/>
    <w:rsid w:val="006552E6"/>
    <w:rsid w:val="00655794"/>
    <w:rsid w:val="00657C63"/>
    <w:rsid w:val="00664EB9"/>
    <w:rsid w:val="006670BE"/>
    <w:rsid w:val="00670A76"/>
    <w:rsid w:val="006710E8"/>
    <w:rsid w:val="006711AA"/>
    <w:rsid w:val="00671634"/>
    <w:rsid w:val="00672B57"/>
    <w:rsid w:val="00673F1F"/>
    <w:rsid w:val="00675622"/>
    <w:rsid w:val="0067747D"/>
    <w:rsid w:val="0067795A"/>
    <w:rsid w:val="006818D5"/>
    <w:rsid w:val="00681CA4"/>
    <w:rsid w:val="00681D87"/>
    <w:rsid w:val="00681EF3"/>
    <w:rsid w:val="006828A6"/>
    <w:rsid w:val="00683619"/>
    <w:rsid w:val="0069039D"/>
    <w:rsid w:val="006906DB"/>
    <w:rsid w:val="00691E6C"/>
    <w:rsid w:val="00693DFB"/>
    <w:rsid w:val="0069501D"/>
    <w:rsid w:val="00696129"/>
    <w:rsid w:val="00697CF2"/>
    <w:rsid w:val="006A1256"/>
    <w:rsid w:val="006A12A5"/>
    <w:rsid w:val="006A5672"/>
    <w:rsid w:val="006A5E20"/>
    <w:rsid w:val="006B0D94"/>
    <w:rsid w:val="006B485D"/>
    <w:rsid w:val="006C334C"/>
    <w:rsid w:val="006C40C1"/>
    <w:rsid w:val="006C708E"/>
    <w:rsid w:val="006D11CB"/>
    <w:rsid w:val="006D14E7"/>
    <w:rsid w:val="006D25CA"/>
    <w:rsid w:val="006D4444"/>
    <w:rsid w:val="006D6493"/>
    <w:rsid w:val="006D6EC7"/>
    <w:rsid w:val="006D7C9E"/>
    <w:rsid w:val="006E181D"/>
    <w:rsid w:val="006E1BCD"/>
    <w:rsid w:val="006E50B3"/>
    <w:rsid w:val="006E745B"/>
    <w:rsid w:val="006E7BE6"/>
    <w:rsid w:val="006F0A71"/>
    <w:rsid w:val="006F1028"/>
    <w:rsid w:val="006F12EF"/>
    <w:rsid w:val="006F2CE3"/>
    <w:rsid w:val="006F40C2"/>
    <w:rsid w:val="006F5125"/>
    <w:rsid w:val="006F733D"/>
    <w:rsid w:val="00702B6F"/>
    <w:rsid w:val="00702E36"/>
    <w:rsid w:val="007047DC"/>
    <w:rsid w:val="00704FB5"/>
    <w:rsid w:val="007066E9"/>
    <w:rsid w:val="00706A2F"/>
    <w:rsid w:val="0070700A"/>
    <w:rsid w:val="0070718E"/>
    <w:rsid w:val="00710259"/>
    <w:rsid w:val="0071031F"/>
    <w:rsid w:val="00711AE9"/>
    <w:rsid w:val="0071340B"/>
    <w:rsid w:val="00715516"/>
    <w:rsid w:val="00715BBB"/>
    <w:rsid w:val="007174BB"/>
    <w:rsid w:val="00717686"/>
    <w:rsid w:val="0072025D"/>
    <w:rsid w:val="0073137C"/>
    <w:rsid w:val="007351A0"/>
    <w:rsid w:val="007353D3"/>
    <w:rsid w:val="0074156B"/>
    <w:rsid w:val="0074452E"/>
    <w:rsid w:val="0074622E"/>
    <w:rsid w:val="00747092"/>
    <w:rsid w:val="0075413C"/>
    <w:rsid w:val="007547F4"/>
    <w:rsid w:val="007555E8"/>
    <w:rsid w:val="00762C0B"/>
    <w:rsid w:val="0076420C"/>
    <w:rsid w:val="0076702A"/>
    <w:rsid w:val="00771D07"/>
    <w:rsid w:val="00773BE3"/>
    <w:rsid w:val="00774E2C"/>
    <w:rsid w:val="007753C2"/>
    <w:rsid w:val="00775AE3"/>
    <w:rsid w:val="00775E54"/>
    <w:rsid w:val="00776CA1"/>
    <w:rsid w:val="007838B8"/>
    <w:rsid w:val="007915BA"/>
    <w:rsid w:val="00793B38"/>
    <w:rsid w:val="007A1BC5"/>
    <w:rsid w:val="007B3DDC"/>
    <w:rsid w:val="007B72A6"/>
    <w:rsid w:val="007C0F57"/>
    <w:rsid w:val="007C40B6"/>
    <w:rsid w:val="007C6D32"/>
    <w:rsid w:val="007C729F"/>
    <w:rsid w:val="007D3682"/>
    <w:rsid w:val="007D503D"/>
    <w:rsid w:val="007E1D28"/>
    <w:rsid w:val="007E27ED"/>
    <w:rsid w:val="007E5799"/>
    <w:rsid w:val="007F0021"/>
    <w:rsid w:val="007F212C"/>
    <w:rsid w:val="007F2641"/>
    <w:rsid w:val="007F3127"/>
    <w:rsid w:val="007F5099"/>
    <w:rsid w:val="007F5C2B"/>
    <w:rsid w:val="007F7743"/>
    <w:rsid w:val="007F7C36"/>
    <w:rsid w:val="0080043D"/>
    <w:rsid w:val="00805474"/>
    <w:rsid w:val="008058B1"/>
    <w:rsid w:val="00806796"/>
    <w:rsid w:val="0080794A"/>
    <w:rsid w:val="00811CC0"/>
    <w:rsid w:val="00811EA8"/>
    <w:rsid w:val="00814BFC"/>
    <w:rsid w:val="00814CDD"/>
    <w:rsid w:val="008151D6"/>
    <w:rsid w:val="00820FBD"/>
    <w:rsid w:val="00821527"/>
    <w:rsid w:val="008242ED"/>
    <w:rsid w:val="00826019"/>
    <w:rsid w:val="008268BB"/>
    <w:rsid w:val="00826F6D"/>
    <w:rsid w:val="00827CBF"/>
    <w:rsid w:val="008306F3"/>
    <w:rsid w:val="00830807"/>
    <w:rsid w:val="00830ADA"/>
    <w:rsid w:val="00830B37"/>
    <w:rsid w:val="00830E40"/>
    <w:rsid w:val="008310D6"/>
    <w:rsid w:val="00831640"/>
    <w:rsid w:val="00832096"/>
    <w:rsid w:val="00833B1F"/>
    <w:rsid w:val="00835C62"/>
    <w:rsid w:val="00837474"/>
    <w:rsid w:val="00840E55"/>
    <w:rsid w:val="00843AF4"/>
    <w:rsid w:val="00847EC0"/>
    <w:rsid w:val="00850017"/>
    <w:rsid w:val="0085275F"/>
    <w:rsid w:val="00853DA1"/>
    <w:rsid w:val="00854B40"/>
    <w:rsid w:val="0085552C"/>
    <w:rsid w:val="00855FD6"/>
    <w:rsid w:val="00856DDD"/>
    <w:rsid w:val="00857D23"/>
    <w:rsid w:val="00863E68"/>
    <w:rsid w:val="008647B5"/>
    <w:rsid w:val="008671A4"/>
    <w:rsid w:val="00870890"/>
    <w:rsid w:val="008737D6"/>
    <w:rsid w:val="00875DCB"/>
    <w:rsid w:val="00882085"/>
    <w:rsid w:val="00883188"/>
    <w:rsid w:val="00886426"/>
    <w:rsid w:val="0089063D"/>
    <w:rsid w:val="00892930"/>
    <w:rsid w:val="00897D58"/>
    <w:rsid w:val="00897F22"/>
    <w:rsid w:val="008A0B39"/>
    <w:rsid w:val="008A1956"/>
    <w:rsid w:val="008A1E91"/>
    <w:rsid w:val="008A2CD2"/>
    <w:rsid w:val="008A4937"/>
    <w:rsid w:val="008A50F1"/>
    <w:rsid w:val="008A59D9"/>
    <w:rsid w:val="008A6819"/>
    <w:rsid w:val="008B2EC0"/>
    <w:rsid w:val="008B688E"/>
    <w:rsid w:val="008B68EE"/>
    <w:rsid w:val="008C787F"/>
    <w:rsid w:val="008D077C"/>
    <w:rsid w:val="008D1466"/>
    <w:rsid w:val="008D1B5C"/>
    <w:rsid w:val="008D3C82"/>
    <w:rsid w:val="008D447E"/>
    <w:rsid w:val="008D5ADA"/>
    <w:rsid w:val="008D7A41"/>
    <w:rsid w:val="008E2C72"/>
    <w:rsid w:val="008E3680"/>
    <w:rsid w:val="008E4CC8"/>
    <w:rsid w:val="008E5870"/>
    <w:rsid w:val="008F0213"/>
    <w:rsid w:val="008F1434"/>
    <w:rsid w:val="008F1A99"/>
    <w:rsid w:val="008F2C89"/>
    <w:rsid w:val="008F3EA4"/>
    <w:rsid w:val="008F54C3"/>
    <w:rsid w:val="008F670B"/>
    <w:rsid w:val="008F6A3D"/>
    <w:rsid w:val="008F7290"/>
    <w:rsid w:val="008F7355"/>
    <w:rsid w:val="0090176F"/>
    <w:rsid w:val="009023DC"/>
    <w:rsid w:val="009027C5"/>
    <w:rsid w:val="009041F6"/>
    <w:rsid w:val="009063CA"/>
    <w:rsid w:val="009067B7"/>
    <w:rsid w:val="0090686A"/>
    <w:rsid w:val="00914709"/>
    <w:rsid w:val="00915C36"/>
    <w:rsid w:val="009170E0"/>
    <w:rsid w:val="00917742"/>
    <w:rsid w:val="00917D69"/>
    <w:rsid w:val="00922528"/>
    <w:rsid w:val="00926560"/>
    <w:rsid w:val="00930937"/>
    <w:rsid w:val="00930996"/>
    <w:rsid w:val="009324A6"/>
    <w:rsid w:val="00933E6C"/>
    <w:rsid w:val="00937189"/>
    <w:rsid w:val="00937436"/>
    <w:rsid w:val="00937958"/>
    <w:rsid w:val="00941602"/>
    <w:rsid w:val="00942160"/>
    <w:rsid w:val="00946E26"/>
    <w:rsid w:val="00947AD3"/>
    <w:rsid w:val="00950033"/>
    <w:rsid w:val="0095146F"/>
    <w:rsid w:val="00951999"/>
    <w:rsid w:val="0095488C"/>
    <w:rsid w:val="009577DF"/>
    <w:rsid w:val="00957944"/>
    <w:rsid w:val="009602C5"/>
    <w:rsid w:val="00962223"/>
    <w:rsid w:val="0096251C"/>
    <w:rsid w:val="00966C28"/>
    <w:rsid w:val="00966D0D"/>
    <w:rsid w:val="0096783C"/>
    <w:rsid w:val="009722B3"/>
    <w:rsid w:val="0097448E"/>
    <w:rsid w:val="00974C21"/>
    <w:rsid w:val="00975948"/>
    <w:rsid w:val="0097623E"/>
    <w:rsid w:val="00977BF3"/>
    <w:rsid w:val="009803E4"/>
    <w:rsid w:val="00980793"/>
    <w:rsid w:val="00980B0E"/>
    <w:rsid w:val="00981A45"/>
    <w:rsid w:val="009836A3"/>
    <w:rsid w:val="00984C4F"/>
    <w:rsid w:val="009855A8"/>
    <w:rsid w:val="0098601C"/>
    <w:rsid w:val="00986892"/>
    <w:rsid w:val="009913F4"/>
    <w:rsid w:val="0099465B"/>
    <w:rsid w:val="009A0CDD"/>
    <w:rsid w:val="009A2FC4"/>
    <w:rsid w:val="009A3168"/>
    <w:rsid w:val="009A57C7"/>
    <w:rsid w:val="009A61CA"/>
    <w:rsid w:val="009B03DD"/>
    <w:rsid w:val="009B0C64"/>
    <w:rsid w:val="009B0F67"/>
    <w:rsid w:val="009B5C29"/>
    <w:rsid w:val="009C1A3A"/>
    <w:rsid w:val="009C3CFE"/>
    <w:rsid w:val="009C3FC4"/>
    <w:rsid w:val="009C48CA"/>
    <w:rsid w:val="009C495B"/>
    <w:rsid w:val="009C703C"/>
    <w:rsid w:val="009C73AF"/>
    <w:rsid w:val="009D0697"/>
    <w:rsid w:val="009D189C"/>
    <w:rsid w:val="009D206E"/>
    <w:rsid w:val="009D22EA"/>
    <w:rsid w:val="009D30F5"/>
    <w:rsid w:val="009D3CAA"/>
    <w:rsid w:val="009D6532"/>
    <w:rsid w:val="009D65E6"/>
    <w:rsid w:val="009E20C5"/>
    <w:rsid w:val="009E28A9"/>
    <w:rsid w:val="009E2E8E"/>
    <w:rsid w:val="009E40E1"/>
    <w:rsid w:val="009E5040"/>
    <w:rsid w:val="009F069F"/>
    <w:rsid w:val="009F09B5"/>
    <w:rsid w:val="009F0EFA"/>
    <w:rsid w:val="009F4E46"/>
    <w:rsid w:val="009F5B4A"/>
    <w:rsid w:val="009F5B65"/>
    <w:rsid w:val="009F5F2E"/>
    <w:rsid w:val="00A01432"/>
    <w:rsid w:val="00A06225"/>
    <w:rsid w:val="00A06E8C"/>
    <w:rsid w:val="00A0721C"/>
    <w:rsid w:val="00A11B1C"/>
    <w:rsid w:val="00A128E6"/>
    <w:rsid w:val="00A12B6E"/>
    <w:rsid w:val="00A144D3"/>
    <w:rsid w:val="00A1683F"/>
    <w:rsid w:val="00A20476"/>
    <w:rsid w:val="00A22AC3"/>
    <w:rsid w:val="00A22F53"/>
    <w:rsid w:val="00A23F3F"/>
    <w:rsid w:val="00A24067"/>
    <w:rsid w:val="00A24F01"/>
    <w:rsid w:val="00A2744D"/>
    <w:rsid w:val="00A30BB7"/>
    <w:rsid w:val="00A3208A"/>
    <w:rsid w:val="00A32FA0"/>
    <w:rsid w:val="00A343EF"/>
    <w:rsid w:val="00A34E6C"/>
    <w:rsid w:val="00A34EBB"/>
    <w:rsid w:val="00A36398"/>
    <w:rsid w:val="00A37C8D"/>
    <w:rsid w:val="00A4020E"/>
    <w:rsid w:val="00A40FB5"/>
    <w:rsid w:val="00A416F8"/>
    <w:rsid w:val="00A42826"/>
    <w:rsid w:val="00A429B3"/>
    <w:rsid w:val="00A45163"/>
    <w:rsid w:val="00A5273B"/>
    <w:rsid w:val="00A53A9D"/>
    <w:rsid w:val="00A544D2"/>
    <w:rsid w:val="00A55FEE"/>
    <w:rsid w:val="00A57422"/>
    <w:rsid w:val="00A5782E"/>
    <w:rsid w:val="00A60134"/>
    <w:rsid w:val="00A60E20"/>
    <w:rsid w:val="00A62C1A"/>
    <w:rsid w:val="00A63CE5"/>
    <w:rsid w:val="00A6426D"/>
    <w:rsid w:val="00A64CEA"/>
    <w:rsid w:val="00A665C1"/>
    <w:rsid w:val="00A673A4"/>
    <w:rsid w:val="00A70622"/>
    <w:rsid w:val="00A70977"/>
    <w:rsid w:val="00A70D58"/>
    <w:rsid w:val="00A72D50"/>
    <w:rsid w:val="00A744F9"/>
    <w:rsid w:val="00A77613"/>
    <w:rsid w:val="00A803E8"/>
    <w:rsid w:val="00A81851"/>
    <w:rsid w:val="00A8283C"/>
    <w:rsid w:val="00A8390C"/>
    <w:rsid w:val="00A86270"/>
    <w:rsid w:val="00A86AE0"/>
    <w:rsid w:val="00A918BE"/>
    <w:rsid w:val="00A91EB5"/>
    <w:rsid w:val="00A920A2"/>
    <w:rsid w:val="00A928BD"/>
    <w:rsid w:val="00A9357E"/>
    <w:rsid w:val="00A96E32"/>
    <w:rsid w:val="00A97DE9"/>
    <w:rsid w:val="00AA12CD"/>
    <w:rsid w:val="00AA2348"/>
    <w:rsid w:val="00AA36C5"/>
    <w:rsid w:val="00AA4D1C"/>
    <w:rsid w:val="00AA52FD"/>
    <w:rsid w:val="00AA6F54"/>
    <w:rsid w:val="00AA6FD5"/>
    <w:rsid w:val="00AA79F9"/>
    <w:rsid w:val="00AA7E25"/>
    <w:rsid w:val="00AB0F24"/>
    <w:rsid w:val="00AB13AF"/>
    <w:rsid w:val="00AB3607"/>
    <w:rsid w:val="00AB4283"/>
    <w:rsid w:val="00AB5856"/>
    <w:rsid w:val="00AC193C"/>
    <w:rsid w:val="00AC3D23"/>
    <w:rsid w:val="00AC4DE5"/>
    <w:rsid w:val="00AC5206"/>
    <w:rsid w:val="00AD10E8"/>
    <w:rsid w:val="00AD119D"/>
    <w:rsid w:val="00AD4322"/>
    <w:rsid w:val="00AD757F"/>
    <w:rsid w:val="00AE11A5"/>
    <w:rsid w:val="00AE13E2"/>
    <w:rsid w:val="00AE1C9C"/>
    <w:rsid w:val="00AE22D3"/>
    <w:rsid w:val="00AE5A49"/>
    <w:rsid w:val="00AE7AE9"/>
    <w:rsid w:val="00AF11C5"/>
    <w:rsid w:val="00AF3C62"/>
    <w:rsid w:val="00AF62DF"/>
    <w:rsid w:val="00AF68CC"/>
    <w:rsid w:val="00AF70D7"/>
    <w:rsid w:val="00B06478"/>
    <w:rsid w:val="00B07050"/>
    <w:rsid w:val="00B077B2"/>
    <w:rsid w:val="00B07CFB"/>
    <w:rsid w:val="00B1059E"/>
    <w:rsid w:val="00B12F9A"/>
    <w:rsid w:val="00B153DA"/>
    <w:rsid w:val="00B16273"/>
    <w:rsid w:val="00B170A5"/>
    <w:rsid w:val="00B176C8"/>
    <w:rsid w:val="00B17959"/>
    <w:rsid w:val="00B17EE5"/>
    <w:rsid w:val="00B205AA"/>
    <w:rsid w:val="00B20D0B"/>
    <w:rsid w:val="00B21E42"/>
    <w:rsid w:val="00B22E84"/>
    <w:rsid w:val="00B233AD"/>
    <w:rsid w:val="00B23E25"/>
    <w:rsid w:val="00B25F75"/>
    <w:rsid w:val="00B26B3F"/>
    <w:rsid w:val="00B2778F"/>
    <w:rsid w:val="00B303DB"/>
    <w:rsid w:val="00B33635"/>
    <w:rsid w:val="00B375F8"/>
    <w:rsid w:val="00B40554"/>
    <w:rsid w:val="00B42AF4"/>
    <w:rsid w:val="00B43E90"/>
    <w:rsid w:val="00B467DC"/>
    <w:rsid w:val="00B51EF0"/>
    <w:rsid w:val="00B53ABC"/>
    <w:rsid w:val="00B5449D"/>
    <w:rsid w:val="00B56118"/>
    <w:rsid w:val="00B6280D"/>
    <w:rsid w:val="00B6292C"/>
    <w:rsid w:val="00B62EBC"/>
    <w:rsid w:val="00B6526A"/>
    <w:rsid w:val="00B6537B"/>
    <w:rsid w:val="00B6752A"/>
    <w:rsid w:val="00B6773F"/>
    <w:rsid w:val="00B67767"/>
    <w:rsid w:val="00B67BA3"/>
    <w:rsid w:val="00B70EB3"/>
    <w:rsid w:val="00B74799"/>
    <w:rsid w:val="00B7525E"/>
    <w:rsid w:val="00B755A3"/>
    <w:rsid w:val="00B760FB"/>
    <w:rsid w:val="00B767AB"/>
    <w:rsid w:val="00B767C4"/>
    <w:rsid w:val="00B801BA"/>
    <w:rsid w:val="00B810FE"/>
    <w:rsid w:val="00B811F5"/>
    <w:rsid w:val="00B82090"/>
    <w:rsid w:val="00B829DB"/>
    <w:rsid w:val="00B84D5C"/>
    <w:rsid w:val="00B86B03"/>
    <w:rsid w:val="00B86EBA"/>
    <w:rsid w:val="00B93EF3"/>
    <w:rsid w:val="00BA0E9A"/>
    <w:rsid w:val="00BA2DA8"/>
    <w:rsid w:val="00BA347C"/>
    <w:rsid w:val="00BB294D"/>
    <w:rsid w:val="00BB36FC"/>
    <w:rsid w:val="00BB5C49"/>
    <w:rsid w:val="00BB69F5"/>
    <w:rsid w:val="00BB6A65"/>
    <w:rsid w:val="00BB6DDB"/>
    <w:rsid w:val="00BB6EE6"/>
    <w:rsid w:val="00BB7EC3"/>
    <w:rsid w:val="00BC4B9A"/>
    <w:rsid w:val="00BC51D2"/>
    <w:rsid w:val="00BC586B"/>
    <w:rsid w:val="00BD02C3"/>
    <w:rsid w:val="00BD1E34"/>
    <w:rsid w:val="00BD37AB"/>
    <w:rsid w:val="00BD458B"/>
    <w:rsid w:val="00BD7483"/>
    <w:rsid w:val="00BD7703"/>
    <w:rsid w:val="00BD784C"/>
    <w:rsid w:val="00BE020A"/>
    <w:rsid w:val="00BE13DF"/>
    <w:rsid w:val="00BE2989"/>
    <w:rsid w:val="00BE30AA"/>
    <w:rsid w:val="00BE30B0"/>
    <w:rsid w:val="00BF092C"/>
    <w:rsid w:val="00BF27A0"/>
    <w:rsid w:val="00BF4CB6"/>
    <w:rsid w:val="00BF6DB9"/>
    <w:rsid w:val="00BF6EC0"/>
    <w:rsid w:val="00C00B9C"/>
    <w:rsid w:val="00C00DA7"/>
    <w:rsid w:val="00C04CDE"/>
    <w:rsid w:val="00C1122B"/>
    <w:rsid w:val="00C12768"/>
    <w:rsid w:val="00C12D70"/>
    <w:rsid w:val="00C141AD"/>
    <w:rsid w:val="00C21B09"/>
    <w:rsid w:val="00C243C6"/>
    <w:rsid w:val="00C249D0"/>
    <w:rsid w:val="00C2673A"/>
    <w:rsid w:val="00C27B58"/>
    <w:rsid w:val="00C27DF4"/>
    <w:rsid w:val="00C31A1B"/>
    <w:rsid w:val="00C35996"/>
    <w:rsid w:val="00C35C1F"/>
    <w:rsid w:val="00C3697E"/>
    <w:rsid w:val="00C40937"/>
    <w:rsid w:val="00C40C9E"/>
    <w:rsid w:val="00C46D2D"/>
    <w:rsid w:val="00C4747E"/>
    <w:rsid w:val="00C47AA1"/>
    <w:rsid w:val="00C5151E"/>
    <w:rsid w:val="00C52C8F"/>
    <w:rsid w:val="00C5342C"/>
    <w:rsid w:val="00C53887"/>
    <w:rsid w:val="00C53B2B"/>
    <w:rsid w:val="00C57AFE"/>
    <w:rsid w:val="00C60272"/>
    <w:rsid w:val="00C603D4"/>
    <w:rsid w:val="00C60A90"/>
    <w:rsid w:val="00C6256A"/>
    <w:rsid w:val="00C62F6D"/>
    <w:rsid w:val="00C63ABE"/>
    <w:rsid w:val="00C6544F"/>
    <w:rsid w:val="00C657B5"/>
    <w:rsid w:val="00C667CE"/>
    <w:rsid w:val="00C710E2"/>
    <w:rsid w:val="00C71C3F"/>
    <w:rsid w:val="00C7409E"/>
    <w:rsid w:val="00C74C5E"/>
    <w:rsid w:val="00C74D6D"/>
    <w:rsid w:val="00C751DC"/>
    <w:rsid w:val="00C76E76"/>
    <w:rsid w:val="00C77891"/>
    <w:rsid w:val="00C834FE"/>
    <w:rsid w:val="00C84B86"/>
    <w:rsid w:val="00C91449"/>
    <w:rsid w:val="00C924E5"/>
    <w:rsid w:val="00C92D10"/>
    <w:rsid w:val="00C97E9E"/>
    <w:rsid w:val="00CA0E52"/>
    <w:rsid w:val="00CA48D9"/>
    <w:rsid w:val="00CB1193"/>
    <w:rsid w:val="00CB16F7"/>
    <w:rsid w:val="00CB1DC7"/>
    <w:rsid w:val="00CB2A7D"/>
    <w:rsid w:val="00CB3E11"/>
    <w:rsid w:val="00CB3EE4"/>
    <w:rsid w:val="00CB4767"/>
    <w:rsid w:val="00CB493D"/>
    <w:rsid w:val="00CB4B6E"/>
    <w:rsid w:val="00CB523D"/>
    <w:rsid w:val="00CB585B"/>
    <w:rsid w:val="00CC3B97"/>
    <w:rsid w:val="00CC6A12"/>
    <w:rsid w:val="00CD0169"/>
    <w:rsid w:val="00CD3268"/>
    <w:rsid w:val="00CD7833"/>
    <w:rsid w:val="00CE10C4"/>
    <w:rsid w:val="00CE1E02"/>
    <w:rsid w:val="00CE27B5"/>
    <w:rsid w:val="00CE6DAF"/>
    <w:rsid w:val="00CF0D76"/>
    <w:rsid w:val="00CF410A"/>
    <w:rsid w:val="00CF4745"/>
    <w:rsid w:val="00CF5A56"/>
    <w:rsid w:val="00D010EF"/>
    <w:rsid w:val="00D0321E"/>
    <w:rsid w:val="00D03EE6"/>
    <w:rsid w:val="00D05295"/>
    <w:rsid w:val="00D07A8A"/>
    <w:rsid w:val="00D1125A"/>
    <w:rsid w:val="00D11486"/>
    <w:rsid w:val="00D11E9E"/>
    <w:rsid w:val="00D1455A"/>
    <w:rsid w:val="00D179F9"/>
    <w:rsid w:val="00D213FF"/>
    <w:rsid w:val="00D2182B"/>
    <w:rsid w:val="00D22093"/>
    <w:rsid w:val="00D22506"/>
    <w:rsid w:val="00D31150"/>
    <w:rsid w:val="00D3138B"/>
    <w:rsid w:val="00D3261B"/>
    <w:rsid w:val="00D3280C"/>
    <w:rsid w:val="00D330C0"/>
    <w:rsid w:val="00D3406A"/>
    <w:rsid w:val="00D344ED"/>
    <w:rsid w:val="00D40B11"/>
    <w:rsid w:val="00D43CC1"/>
    <w:rsid w:val="00D441F1"/>
    <w:rsid w:val="00D4572C"/>
    <w:rsid w:val="00D460AA"/>
    <w:rsid w:val="00D469B2"/>
    <w:rsid w:val="00D5221C"/>
    <w:rsid w:val="00D52F33"/>
    <w:rsid w:val="00D54B09"/>
    <w:rsid w:val="00D550EC"/>
    <w:rsid w:val="00D556CA"/>
    <w:rsid w:val="00D56FD6"/>
    <w:rsid w:val="00D61113"/>
    <w:rsid w:val="00D617F6"/>
    <w:rsid w:val="00D61A96"/>
    <w:rsid w:val="00D61ACB"/>
    <w:rsid w:val="00D62510"/>
    <w:rsid w:val="00D65658"/>
    <w:rsid w:val="00D71BFD"/>
    <w:rsid w:val="00D72B6F"/>
    <w:rsid w:val="00D741EB"/>
    <w:rsid w:val="00D7679C"/>
    <w:rsid w:val="00D76853"/>
    <w:rsid w:val="00D778CD"/>
    <w:rsid w:val="00D778EC"/>
    <w:rsid w:val="00D820F3"/>
    <w:rsid w:val="00D82E66"/>
    <w:rsid w:val="00D83605"/>
    <w:rsid w:val="00D84934"/>
    <w:rsid w:val="00D84C61"/>
    <w:rsid w:val="00D91271"/>
    <w:rsid w:val="00D919F5"/>
    <w:rsid w:val="00D93C5F"/>
    <w:rsid w:val="00D9421D"/>
    <w:rsid w:val="00D94F03"/>
    <w:rsid w:val="00D970CE"/>
    <w:rsid w:val="00DA0D14"/>
    <w:rsid w:val="00DA1FC9"/>
    <w:rsid w:val="00DA29E8"/>
    <w:rsid w:val="00DA2CB5"/>
    <w:rsid w:val="00DA38D4"/>
    <w:rsid w:val="00DA4BAC"/>
    <w:rsid w:val="00DA564F"/>
    <w:rsid w:val="00DB0151"/>
    <w:rsid w:val="00DB3EDB"/>
    <w:rsid w:val="00DB52AF"/>
    <w:rsid w:val="00DC09FB"/>
    <w:rsid w:val="00DC2C3E"/>
    <w:rsid w:val="00DC3D34"/>
    <w:rsid w:val="00DC4880"/>
    <w:rsid w:val="00DC59C2"/>
    <w:rsid w:val="00DC7377"/>
    <w:rsid w:val="00DC7498"/>
    <w:rsid w:val="00DD0CAD"/>
    <w:rsid w:val="00DE02FA"/>
    <w:rsid w:val="00DE0C23"/>
    <w:rsid w:val="00DE29D9"/>
    <w:rsid w:val="00DE3BB6"/>
    <w:rsid w:val="00DE6D27"/>
    <w:rsid w:val="00DF01F8"/>
    <w:rsid w:val="00DF07B5"/>
    <w:rsid w:val="00DF1709"/>
    <w:rsid w:val="00DF217D"/>
    <w:rsid w:val="00DF26A7"/>
    <w:rsid w:val="00DF2A85"/>
    <w:rsid w:val="00DF3277"/>
    <w:rsid w:val="00DF7919"/>
    <w:rsid w:val="00DF7BFD"/>
    <w:rsid w:val="00E017EC"/>
    <w:rsid w:val="00E0207E"/>
    <w:rsid w:val="00E02620"/>
    <w:rsid w:val="00E03912"/>
    <w:rsid w:val="00E068EE"/>
    <w:rsid w:val="00E078D9"/>
    <w:rsid w:val="00E10293"/>
    <w:rsid w:val="00E10380"/>
    <w:rsid w:val="00E125FF"/>
    <w:rsid w:val="00E14384"/>
    <w:rsid w:val="00E153CC"/>
    <w:rsid w:val="00E15627"/>
    <w:rsid w:val="00E164B3"/>
    <w:rsid w:val="00E16910"/>
    <w:rsid w:val="00E24E09"/>
    <w:rsid w:val="00E27234"/>
    <w:rsid w:val="00E33989"/>
    <w:rsid w:val="00E42BDB"/>
    <w:rsid w:val="00E50883"/>
    <w:rsid w:val="00E575BB"/>
    <w:rsid w:val="00E57EEB"/>
    <w:rsid w:val="00E60F6E"/>
    <w:rsid w:val="00E61D9C"/>
    <w:rsid w:val="00E61EB8"/>
    <w:rsid w:val="00E62D94"/>
    <w:rsid w:val="00E6300B"/>
    <w:rsid w:val="00E640FB"/>
    <w:rsid w:val="00E64F37"/>
    <w:rsid w:val="00E65E54"/>
    <w:rsid w:val="00E661C7"/>
    <w:rsid w:val="00E67EF2"/>
    <w:rsid w:val="00E7008F"/>
    <w:rsid w:val="00E73145"/>
    <w:rsid w:val="00E80155"/>
    <w:rsid w:val="00E8089C"/>
    <w:rsid w:val="00E8134B"/>
    <w:rsid w:val="00E81E0D"/>
    <w:rsid w:val="00E81F28"/>
    <w:rsid w:val="00E848C0"/>
    <w:rsid w:val="00E8760C"/>
    <w:rsid w:val="00E91B96"/>
    <w:rsid w:val="00E9337E"/>
    <w:rsid w:val="00E93D1E"/>
    <w:rsid w:val="00E941A1"/>
    <w:rsid w:val="00E958EA"/>
    <w:rsid w:val="00E95CE3"/>
    <w:rsid w:val="00EA252F"/>
    <w:rsid w:val="00EA2825"/>
    <w:rsid w:val="00EA3412"/>
    <w:rsid w:val="00EA6518"/>
    <w:rsid w:val="00EA7466"/>
    <w:rsid w:val="00EA7EDE"/>
    <w:rsid w:val="00EB06E6"/>
    <w:rsid w:val="00EB0B63"/>
    <w:rsid w:val="00EB1936"/>
    <w:rsid w:val="00EB1BC4"/>
    <w:rsid w:val="00EB37BE"/>
    <w:rsid w:val="00EB4AEA"/>
    <w:rsid w:val="00EB5088"/>
    <w:rsid w:val="00ED0337"/>
    <w:rsid w:val="00ED11B7"/>
    <w:rsid w:val="00ED1644"/>
    <w:rsid w:val="00ED2593"/>
    <w:rsid w:val="00ED7733"/>
    <w:rsid w:val="00ED7D55"/>
    <w:rsid w:val="00ED7D9C"/>
    <w:rsid w:val="00EE1B77"/>
    <w:rsid w:val="00EE31A2"/>
    <w:rsid w:val="00EE37E7"/>
    <w:rsid w:val="00EE3A67"/>
    <w:rsid w:val="00EF0069"/>
    <w:rsid w:val="00EF01A7"/>
    <w:rsid w:val="00EF3EDF"/>
    <w:rsid w:val="00EF44A0"/>
    <w:rsid w:val="00EF4FED"/>
    <w:rsid w:val="00EF6FB3"/>
    <w:rsid w:val="00F007C6"/>
    <w:rsid w:val="00F0172E"/>
    <w:rsid w:val="00F03355"/>
    <w:rsid w:val="00F03BCA"/>
    <w:rsid w:val="00F050BD"/>
    <w:rsid w:val="00F05657"/>
    <w:rsid w:val="00F10B6F"/>
    <w:rsid w:val="00F15173"/>
    <w:rsid w:val="00F17ED6"/>
    <w:rsid w:val="00F209E2"/>
    <w:rsid w:val="00F24F4F"/>
    <w:rsid w:val="00F25578"/>
    <w:rsid w:val="00F258E5"/>
    <w:rsid w:val="00F25B9C"/>
    <w:rsid w:val="00F26CC6"/>
    <w:rsid w:val="00F300BC"/>
    <w:rsid w:val="00F3263C"/>
    <w:rsid w:val="00F3334E"/>
    <w:rsid w:val="00F36CCB"/>
    <w:rsid w:val="00F374E5"/>
    <w:rsid w:val="00F37B93"/>
    <w:rsid w:val="00F37BAD"/>
    <w:rsid w:val="00F37ECA"/>
    <w:rsid w:val="00F4027E"/>
    <w:rsid w:val="00F40B8F"/>
    <w:rsid w:val="00F41369"/>
    <w:rsid w:val="00F415DF"/>
    <w:rsid w:val="00F43AF2"/>
    <w:rsid w:val="00F43FA5"/>
    <w:rsid w:val="00F479B1"/>
    <w:rsid w:val="00F5007E"/>
    <w:rsid w:val="00F50EC4"/>
    <w:rsid w:val="00F52232"/>
    <w:rsid w:val="00F550CF"/>
    <w:rsid w:val="00F55D20"/>
    <w:rsid w:val="00F57A6D"/>
    <w:rsid w:val="00F638CC"/>
    <w:rsid w:val="00F64C9E"/>
    <w:rsid w:val="00F64CC1"/>
    <w:rsid w:val="00F65286"/>
    <w:rsid w:val="00F66832"/>
    <w:rsid w:val="00F71620"/>
    <w:rsid w:val="00F72317"/>
    <w:rsid w:val="00F73836"/>
    <w:rsid w:val="00F77F4D"/>
    <w:rsid w:val="00F80475"/>
    <w:rsid w:val="00F8247A"/>
    <w:rsid w:val="00F82E5C"/>
    <w:rsid w:val="00F870DB"/>
    <w:rsid w:val="00F87B60"/>
    <w:rsid w:val="00F87C44"/>
    <w:rsid w:val="00F9276C"/>
    <w:rsid w:val="00F9629A"/>
    <w:rsid w:val="00F97EFC"/>
    <w:rsid w:val="00FA0A54"/>
    <w:rsid w:val="00FA1BDD"/>
    <w:rsid w:val="00FA305C"/>
    <w:rsid w:val="00FA4116"/>
    <w:rsid w:val="00FA4DD5"/>
    <w:rsid w:val="00FA5883"/>
    <w:rsid w:val="00FA6055"/>
    <w:rsid w:val="00FB088A"/>
    <w:rsid w:val="00FB0B39"/>
    <w:rsid w:val="00FB260A"/>
    <w:rsid w:val="00FB322F"/>
    <w:rsid w:val="00FB442F"/>
    <w:rsid w:val="00FB72EF"/>
    <w:rsid w:val="00FC1929"/>
    <w:rsid w:val="00FC5A7E"/>
    <w:rsid w:val="00FC5B46"/>
    <w:rsid w:val="00FC7832"/>
    <w:rsid w:val="00FD03BF"/>
    <w:rsid w:val="00FD38F6"/>
    <w:rsid w:val="00FD6186"/>
    <w:rsid w:val="00FD6D8E"/>
    <w:rsid w:val="00FE0663"/>
    <w:rsid w:val="00FE0E94"/>
    <w:rsid w:val="00FE1F7B"/>
    <w:rsid w:val="00FE3281"/>
    <w:rsid w:val="00FE3752"/>
    <w:rsid w:val="00FE3B63"/>
    <w:rsid w:val="00FE3CD9"/>
    <w:rsid w:val="00FE5560"/>
    <w:rsid w:val="00FF0058"/>
    <w:rsid w:val="00FF00BD"/>
    <w:rsid w:val="00FF1325"/>
    <w:rsid w:val="00FF1ED4"/>
    <w:rsid w:val="00FF2801"/>
    <w:rsid w:val="00FF6BA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A6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870890"/>
    <w:pPr>
      <w:numPr>
        <w:ilvl w:val="1"/>
        <w:numId w:val="1"/>
      </w:numPr>
      <w:ind w:left="720"/>
      <w:jc w:val="both"/>
    </w:pPr>
    <w:rPr>
      <w:rFonts w:eastAsiaTheme="minorHAnsi" w:cstheme="minorBidi"/>
      <w:iCs/>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870890"/>
    <w:rPr>
      <w:rFonts w:asciiTheme="minorHAnsi" w:eastAsiaTheme="minorHAnsi" w:hAnsiTheme="minorHAnsi" w:cstheme="minorBidi"/>
      <w:iCs/>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iCs/>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2"/>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customStyle="1" w:styleId="TableTextleftalign">
    <w:name w:val="Table Text left align"/>
    <w:basedOn w:val="TableTitlecentred"/>
    <w:link w:val="TableTextleftalignChar"/>
    <w:qFormat/>
    <w:rsid w:val="00106D26"/>
    <w:pPr>
      <w:jc w:val="left"/>
    </w:pPr>
    <w:rPr>
      <w:b w:val="0"/>
      <w:szCs w:val="18"/>
    </w:rPr>
  </w:style>
  <w:style w:type="paragraph" w:customStyle="1" w:styleId="TableTextcentred">
    <w:name w:val="Table Text centred"/>
    <w:basedOn w:val="Normal"/>
    <w:link w:val="TableTextcentredChar"/>
    <w:qFormat/>
    <w:rsid w:val="00106D26"/>
    <w:pPr>
      <w:jc w:val="center"/>
    </w:pPr>
    <w:rPr>
      <w:sz w:val="18"/>
      <w:szCs w:val="18"/>
      <w:lang w:eastAsia="en-US"/>
    </w:rPr>
  </w:style>
  <w:style w:type="character" w:customStyle="1" w:styleId="TableTextcentredChar">
    <w:name w:val="Table Text centred Char"/>
    <w:basedOn w:val="DefaultParagraphFont"/>
    <w:link w:val="TableTextcentred"/>
    <w:rsid w:val="00106D26"/>
    <w:rPr>
      <w:rFonts w:ascii="Calibri" w:hAnsi="Calibri"/>
      <w:sz w:val="18"/>
      <w:szCs w:val="18"/>
      <w:lang w:eastAsia="en-US"/>
    </w:rPr>
  </w:style>
  <w:style w:type="character" w:customStyle="1" w:styleId="TableTextleftalignChar">
    <w:name w:val="Table Text left align Char"/>
    <w:basedOn w:val="DefaultParagraphFont"/>
    <w:link w:val="TableTextleftalign"/>
    <w:rsid w:val="00106D26"/>
    <w:rPr>
      <w:rFonts w:ascii="Calibri" w:hAnsi="Calibri"/>
      <w:sz w:val="18"/>
      <w:szCs w:val="18"/>
      <w:lang w:eastAsia="en-US"/>
    </w:rPr>
  </w:style>
  <w:style w:type="paragraph" w:customStyle="1" w:styleId="TableTitlecentred">
    <w:name w:val="Table Title centred"/>
    <w:basedOn w:val="Normal"/>
    <w:rsid w:val="00106D26"/>
    <w:pPr>
      <w:jc w:val="center"/>
    </w:pPr>
    <w:rPr>
      <w:b/>
      <w:sz w:val="18"/>
      <w:szCs w:val="20"/>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35274E"/>
    <w:rPr>
      <w:rFonts w:ascii="Calibri" w:hAnsi="Calibri"/>
      <w:i/>
      <w:iCs/>
      <w:color w:val="000000" w:themeColor="text1"/>
      <w:sz w:val="18"/>
      <w:szCs w:val="18"/>
    </w:rPr>
  </w:style>
  <w:style w:type="paragraph" w:customStyle="1" w:styleId="TableFootnotetext">
    <w:name w:val="Table Footnote text"/>
    <w:basedOn w:val="Normal"/>
    <w:qFormat/>
    <w:rsid w:val="0035274E"/>
    <w:pPr>
      <w:jc w:val="left"/>
    </w:pPr>
    <w:rPr>
      <w:sz w:val="16"/>
      <w:szCs w:val="20"/>
      <w:lang w:eastAsia="en-US"/>
    </w:rPr>
  </w:style>
  <w:style w:type="paragraph" w:styleId="TOC2">
    <w:name w:val="toc 2"/>
    <w:basedOn w:val="Normal"/>
    <w:next w:val="Normal"/>
    <w:autoRedefine/>
    <w:uiPriority w:val="39"/>
    <w:rsid w:val="009C73AF"/>
    <w:pPr>
      <w:tabs>
        <w:tab w:val="right" w:leader="dot" w:pos="9062"/>
      </w:tabs>
      <w:ind w:left="851" w:hanging="567"/>
      <w:jc w:val="left"/>
    </w:pPr>
    <w:rPr>
      <w:sz w:val="22"/>
      <w:szCs w:val="22"/>
      <w:lang w:eastAsia="en-US"/>
    </w:rPr>
  </w:style>
  <w:style w:type="paragraph" w:styleId="FootnoteText">
    <w:name w:val="footnote text"/>
    <w:basedOn w:val="Normal"/>
    <w:link w:val="FootnoteTextChar"/>
    <w:uiPriority w:val="99"/>
    <w:unhideWhenUsed/>
    <w:rsid w:val="009B5C29"/>
    <w:rPr>
      <w:sz w:val="20"/>
      <w:szCs w:val="20"/>
    </w:rPr>
  </w:style>
  <w:style w:type="character" w:customStyle="1" w:styleId="FootnoteTextChar">
    <w:name w:val="Footnote Text Char"/>
    <w:basedOn w:val="DefaultParagraphFont"/>
    <w:link w:val="FootnoteText"/>
    <w:uiPriority w:val="99"/>
    <w:rsid w:val="009B5C29"/>
    <w:rPr>
      <w:rFonts w:ascii="Calibri" w:hAnsi="Calibri"/>
    </w:rPr>
  </w:style>
  <w:style w:type="character" w:styleId="FootnoteReference">
    <w:name w:val="footnote reference"/>
    <w:basedOn w:val="DefaultParagraphFont"/>
    <w:unhideWhenUsed/>
    <w:rsid w:val="009B5C29"/>
    <w:rPr>
      <w:vertAlign w:val="superscript"/>
    </w:rPr>
  </w:style>
  <w:style w:type="table" w:customStyle="1" w:styleId="newstyle1">
    <w:name w:val="new style1"/>
    <w:basedOn w:val="TableNormal"/>
    <w:next w:val="TableGrid"/>
    <w:uiPriority w:val="39"/>
    <w:rsid w:val="00554015"/>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Normal"/>
    <w:next w:val="Normal"/>
    <w:link w:val="CaptionTableChar"/>
    <w:autoRedefine/>
    <w:rsid w:val="00FC7832"/>
    <w:pPr>
      <w:keepNext/>
      <w:spacing w:after="60"/>
      <w:jc w:val="left"/>
    </w:pPr>
    <w:rPr>
      <w:rFonts w:ascii="Arial Narrow" w:hAnsi="Arial Narrow"/>
      <w:bCs/>
      <w:sz w:val="18"/>
      <w:szCs w:val="18"/>
      <w:lang w:eastAsia="en-US"/>
    </w:rPr>
  </w:style>
  <w:style w:type="character" w:customStyle="1" w:styleId="CaptionTableChar">
    <w:name w:val="Caption Table Char"/>
    <w:basedOn w:val="DefaultParagraphFont"/>
    <w:link w:val="CaptionTable"/>
    <w:rsid w:val="00FC7832"/>
    <w:rPr>
      <w:rFonts w:ascii="Arial Narrow" w:hAnsi="Arial Narrow"/>
      <w:bCs/>
      <w:sz w:val="18"/>
      <w:szCs w:val="18"/>
      <w:lang w:eastAsia="en-US"/>
    </w:rPr>
  </w:style>
  <w:style w:type="paragraph" w:customStyle="1" w:styleId="bulletlevel1">
    <w:name w:val="bullet level 1"/>
    <w:basedOn w:val="Normal"/>
    <w:link w:val="bulletlevel1Char"/>
    <w:rsid w:val="008C787F"/>
    <w:pPr>
      <w:numPr>
        <w:numId w:val="19"/>
      </w:numPr>
      <w:tabs>
        <w:tab w:val="clear" w:pos="567"/>
        <w:tab w:val="num" w:pos="426"/>
      </w:tabs>
      <w:ind w:left="426" w:hanging="426"/>
      <w:jc w:val="left"/>
    </w:pPr>
    <w:rPr>
      <w:sz w:val="22"/>
      <w:szCs w:val="22"/>
      <w:lang w:eastAsia="en-US"/>
    </w:rPr>
  </w:style>
  <w:style w:type="character" w:customStyle="1" w:styleId="bulletlevel1Char">
    <w:name w:val="bullet level 1 Char"/>
    <w:basedOn w:val="DefaultParagraphFont"/>
    <w:link w:val="bulletlevel1"/>
    <w:rsid w:val="008C787F"/>
    <w:rPr>
      <w:rFonts w:ascii="Calibri" w:hAnsi="Calibri"/>
      <w:sz w:val="22"/>
      <w:szCs w:val="22"/>
      <w:lang w:eastAsia="en-US"/>
    </w:rPr>
  </w:style>
  <w:style w:type="paragraph" w:customStyle="1" w:styleId="bulletlevel2">
    <w:name w:val="bullet level 2"/>
    <w:basedOn w:val="Normal"/>
    <w:link w:val="bulletlevel2Char"/>
    <w:rsid w:val="008C787F"/>
    <w:pPr>
      <w:numPr>
        <w:numId w:val="20"/>
      </w:numPr>
      <w:tabs>
        <w:tab w:val="clear" w:pos="1134"/>
        <w:tab w:val="num" w:pos="851"/>
      </w:tabs>
      <w:ind w:left="851" w:hanging="425"/>
      <w:jc w:val="left"/>
    </w:pPr>
    <w:rPr>
      <w:color w:val="000000"/>
      <w:sz w:val="22"/>
      <w:szCs w:val="22"/>
      <w:lang w:val="en-US" w:eastAsia="en-US"/>
    </w:rPr>
  </w:style>
  <w:style w:type="character" w:customStyle="1" w:styleId="bulletlevel2Char">
    <w:name w:val="bullet level 2 Char"/>
    <w:basedOn w:val="DefaultParagraphFont"/>
    <w:link w:val="bulletlevel2"/>
    <w:rsid w:val="008C787F"/>
    <w:rPr>
      <w:rFonts w:ascii="Calibri" w:hAnsi="Calibri"/>
      <w:color w:val="000000"/>
      <w:sz w:val="22"/>
      <w:szCs w:val="22"/>
      <w:lang w:val="en-US" w:eastAsia="en-US"/>
    </w:rPr>
  </w:style>
  <w:style w:type="character" w:customStyle="1" w:styleId="BodyText1Char">
    <w:name w:val="Body Text1 Char"/>
    <w:link w:val="BodyText1"/>
    <w:locked/>
    <w:rsid w:val="008C787F"/>
    <w:rPr>
      <w:rFonts w:ascii="Arial" w:hAnsi="Arial"/>
      <w:sz w:val="22"/>
      <w:szCs w:val="24"/>
      <w:lang w:eastAsia="en-GB"/>
    </w:rPr>
  </w:style>
  <w:style w:type="paragraph" w:customStyle="1" w:styleId="BodyText1">
    <w:name w:val="Body Text1"/>
    <w:basedOn w:val="Normal"/>
    <w:link w:val="BodyText1Char"/>
    <w:qFormat/>
    <w:rsid w:val="008C787F"/>
    <w:pPr>
      <w:spacing w:before="120" w:after="120" w:line="276" w:lineRule="auto"/>
    </w:pPr>
    <w:rPr>
      <w:rFonts w:ascii="Arial" w:hAnsi="Arial"/>
      <w:sz w:val="22"/>
      <w:lang w:eastAsia="en-GB"/>
    </w:rPr>
  </w:style>
  <w:style w:type="paragraph" w:customStyle="1" w:styleId="4Bodytextnumbered">
    <w:name w:val="4. Body text numbered"/>
    <w:basedOn w:val="ListParagraph"/>
    <w:qFormat/>
    <w:rsid w:val="00F10B6F"/>
    <w:pPr>
      <w:ind w:left="720" w:hanging="720"/>
      <w:jc w:val="both"/>
    </w:pPr>
    <w:rPr>
      <w:rFonts w:eastAsiaTheme="minorHAnsi" w:cstheme="minorBidi"/>
      <w:snapToGrid/>
      <w:szCs w:val="22"/>
      <w:lang w:eastAsia="en-US"/>
    </w:rPr>
  </w:style>
  <w:style w:type="paragraph" w:customStyle="1" w:styleId="Default">
    <w:name w:val="Default"/>
    <w:rsid w:val="009C1A3A"/>
    <w:pPr>
      <w:autoSpaceDE w:val="0"/>
      <w:autoSpaceDN w:val="0"/>
      <w:adjustRightInd w:val="0"/>
    </w:pPr>
    <w:rPr>
      <w:rFonts w:ascii="Calibri" w:hAnsi="Calibri" w:cs="Calibri"/>
      <w:color w:val="000000"/>
      <w:sz w:val="24"/>
      <w:szCs w:val="24"/>
    </w:rPr>
  </w:style>
  <w:style w:type="paragraph" w:styleId="Revision">
    <w:name w:val="Revision"/>
    <w:hidden/>
    <w:uiPriority w:val="71"/>
    <w:semiHidden/>
    <w:rsid w:val="00B6280D"/>
    <w:rPr>
      <w:rFonts w:ascii="Calibri" w:hAnsi="Calibri"/>
      <w:sz w:val="24"/>
      <w:szCs w:val="24"/>
    </w:rPr>
  </w:style>
  <w:style w:type="paragraph" w:customStyle="1" w:styleId="ExecSumBodyText">
    <w:name w:val="Exec Sum Body Text"/>
    <w:basedOn w:val="Normal"/>
    <w:link w:val="ExecSumBodyTextChar"/>
    <w:qFormat/>
    <w:rsid w:val="00287D89"/>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287D89"/>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3419881">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EE14-CA1E-4C08-925D-A94C92B8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3441</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2020-10-27T02:47:00Z</dcterms:created>
  <dcterms:modified xsi:type="dcterms:W3CDTF">2020-10-27T02:48:00Z</dcterms:modified>
</cp:coreProperties>
</file>