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Pr="00AB2265" w:rsidRDefault="00F378EF" w:rsidP="004A6040">
      <w:pPr>
        <w:pStyle w:val="1-MainHeading"/>
      </w:pPr>
      <w:bookmarkStart w:id="0" w:name="_Toc40711502"/>
      <w:r w:rsidRPr="00AB2265">
        <w:t>5</w:t>
      </w:r>
      <w:r w:rsidR="00433044" w:rsidRPr="00AB2265">
        <w:t>.</w:t>
      </w:r>
      <w:r w:rsidRPr="00AB2265">
        <w:t>04</w:t>
      </w:r>
      <w:r w:rsidR="00163F66" w:rsidRPr="00AB2265">
        <w:tab/>
      </w:r>
      <w:r w:rsidR="00221BA6" w:rsidRPr="00AB2265">
        <w:t>CAPLACIZUMAB</w:t>
      </w:r>
      <w:proofErr w:type="gramStart"/>
      <w:r w:rsidR="00163F66" w:rsidRPr="00AB2265">
        <w:t>,</w:t>
      </w:r>
      <w:proofErr w:type="gramEnd"/>
      <w:r w:rsidR="00163F66" w:rsidRPr="00AB2265">
        <w:br/>
      </w:r>
      <w:r w:rsidR="003D11E3" w:rsidRPr="00AB2265">
        <w:t>Injection set containing 1 vial powder for injection 10 mg and 1 pre-filled syringe solvent 1 mL</w:t>
      </w:r>
      <w:r w:rsidR="00221BA6" w:rsidRPr="00AB2265">
        <w:t>,</w:t>
      </w:r>
      <w:r w:rsidR="00163F66" w:rsidRPr="00AB2265">
        <w:br/>
      </w:r>
      <w:r w:rsidR="00221BA6" w:rsidRPr="00AB2265">
        <w:t>Cablivi</w:t>
      </w:r>
      <w:r w:rsidR="00B60939" w:rsidRPr="00AB2265">
        <w:rPr>
          <w:vertAlign w:val="superscript"/>
        </w:rPr>
        <w:t>®</w:t>
      </w:r>
      <w:r w:rsidR="004A6040" w:rsidRPr="00AB2265">
        <w:t>,</w:t>
      </w:r>
      <w:r w:rsidR="004A6040" w:rsidRPr="00AB2265">
        <w:br/>
      </w:r>
      <w:r w:rsidR="003D11E3" w:rsidRPr="00AB2265">
        <w:t>Sanofi-A</w:t>
      </w:r>
      <w:r w:rsidR="00221BA6" w:rsidRPr="00AB2265">
        <w:t>ventis</w:t>
      </w:r>
      <w:r w:rsidR="003D11E3" w:rsidRPr="00AB2265">
        <w:t xml:space="preserve"> Australia Pty Ltd</w:t>
      </w:r>
      <w:r w:rsidR="00B60939" w:rsidRPr="00AB2265">
        <w:t>.</w:t>
      </w:r>
      <w:bookmarkEnd w:id="0"/>
    </w:p>
    <w:p w:rsidR="00B50DB8" w:rsidRPr="00AB2265" w:rsidRDefault="00B50DB8" w:rsidP="004A6040">
      <w:pPr>
        <w:pStyle w:val="2-SectionHeading"/>
      </w:pPr>
      <w:bookmarkStart w:id="1" w:name="_Toc40711445"/>
      <w:bookmarkStart w:id="2" w:name="_Toc40711504"/>
      <w:r w:rsidRPr="00AB2265">
        <w:t xml:space="preserve">Purpose of </w:t>
      </w:r>
      <w:r w:rsidR="00CD7193" w:rsidRPr="00AB2265">
        <w:t>s</w:t>
      </w:r>
      <w:r w:rsidR="00BB3A45" w:rsidRPr="00AB2265">
        <w:t>ubmission</w:t>
      </w:r>
      <w:bookmarkEnd w:id="1"/>
      <w:bookmarkEnd w:id="2"/>
    </w:p>
    <w:p w:rsidR="002C2775" w:rsidRPr="00AB2265" w:rsidRDefault="007170DA" w:rsidP="004E18E9">
      <w:pPr>
        <w:pStyle w:val="ExecSumBodyText"/>
      </w:pPr>
      <w:r w:rsidRPr="00AB2265">
        <w:t xml:space="preserve">The submission requested </w:t>
      </w:r>
      <w:r w:rsidR="00A33FAB" w:rsidRPr="00AB2265">
        <w:t xml:space="preserve">a </w:t>
      </w:r>
      <w:r w:rsidR="008B1757" w:rsidRPr="00AB2265">
        <w:t>Section 100</w:t>
      </w:r>
      <w:r w:rsidR="00A33FAB" w:rsidRPr="00AB2265">
        <w:t xml:space="preserve"> (Authority Required</w:t>
      </w:r>
      <w:r w:rsidR="002A78F0">
        <w:t xml:space="preserve"> </w:t>
      </w:r>
      <w:r w:rsidR="00A33FAB" w:rsidRPr="00AB2265">
        <w:t xml:space="preserve">- telephone) </w:t>
      </w:r>
      <w:r w:rsidR="008B1757" w:rsidRPr="00AB2265">
        <w:t xml:space="preserve">listing for </w:t>
      </w:r>
      <w:r w:rsidR="00A33FAB" w:rsidRPr="00AB2265">
        <w:t>caplacizumab</w:t>
      </w:r>
      <w:r w:rsidR="008B1757" w:rsidRPr="00AB2265">
        <w:t xml:space="preserve"> for </w:t>
      </w:r>
      <w:r w:rsidR="0050174E" w:rsidRPr="00AB2265">
        <w:t xml:space="preserve">the </w:t>
      </w:r>
      <w:r w:rsidR="008B1757" w:rsidRPr="00AB2265">
        <w:t xml:space="preserve">treatment of </w:t>
      </w:r>
      <w:r w:rsidR="00A33FAB" w:rsidRPr="00AB2265">
        <w:t>acquired thrombotic thrombocytopenic purpura</w:t>
      </w:r>
      <w:r w:rsidR="00F62BA9" w:rsidRPr="00AB2265">
        <w:t xml:space="preserve"> (aTTP)</w:t>
      </w:r>
      <w:r w:rsidR="008B1757" w:rsidRPr="00AB2265">
        <w:t xml:space="preserve">. </w:t>
      </w:r>
    </w:p>
    <w:p w:rsidR="00C2778B" w:rsidRPr="00AB2265" w:rsidRDefault="005750C5" w:rsidP="004E18E9">
      <w:pPr>
        <w:pStyle w:val="ExecSumBodyText"/>
      </w:pPr>
      <w:r w:rsidRPr="00AB2265">
        <w:t xml:space="preserve">Listing was requested on the basis of a cost-effectiveness analysis versus </w:t>
      </w:r>
      <w:r w:rsidR="00A33FAB" w:rsidRPr="00AB2265">
        <w:t>current standard of care (plasma exchange and immunosuppression)</w:t>
      </w:r>
      <w:r w:rsidRPr="00AB2265">
        <w:t xml:space="preserve">. </w:t>
      </w:r>
    </w:p>
    <w:p w:rsidR="00A33FAB" w:rsidRPr="00AB2265" w:rsidRDefault="00A33FAB" w:rsidP="00A33FAB">
      <w:pPr>
        <w:pStyle w:val="TableFigureCaption"/>
      </w:pPr>
      <w:r w:rsidRPr="00AB2265">
        <w:t>Table 1: 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A33FAB" w:rsidRPr="00AB2265" w:rsidTr="00214FCB">
        <w:tc>
          <w:tcPr>
            <w:tcW w:w="1668" w:type="dxa"/>
            <w:vAlign w:val="center"/>
          </w:tcPr>
          <w:p w:rsidR="00A33FAB" w:rsidRPr="00AB2265" w:rsidRDefault="00A33FAB" w:rsidP="00214FCB">
            <w:pPr>
              <w:pStyle w:val="Tableheadingrow"/>
              <w:rPr>
                <w:lang w:val="en-AU"/>
              </w:rPr>
            </w:pPr>
            <w:r w:rsidRPr="00AB2265">
              <w:rPr>
                <w:lang w:val="en-AU"/>
              </w:rPr>
              <w:t>Component</w:t>
            </w:r>
          </w:p>
        </w:tc>
        <w:tc>
          <w:tcPr>
            <w:tcW w:w="7488" w:type="dxa"/>
            <w:vAlign w:val="center"/>
          </w:tcPr>
          <w:p w:rsidR="00A33FAB" w:rsidRPr="00AB2265" w:rsidRDefault="00A33FAB" w:rsidP="00214FCB">
            <w:pPr>
              <w:pStyle w:val="Tableheadingrow"/>
              <w:rPr>
                <w:lang w:val="en-AU"/>
              </w:rPr>
            </w:pPr>
            <w:r w:rsidRPr="00AB2265">
              <w:rPr>
                <w:lang w:val="en-AU"/>
              </w:rPr>
              <w:t>Description</w:t>
            </w:r>
          </w:p>
        </w:tc>
      </w:tr>
      <w:tr w:rsidR="00A33FAB" w:rsidRPr="00AB2265" w:rsidTr="00214FCB">
        <w:tc>
          <w:tcPr>
            <w:tcW w:w="1668" w:type="dxa"/>
            <w:vAlign w:val="center"/>
          </w:tcPr>
          <w:p w:rsidR="00A33FAB" w:rsidRPr="00AB2265" w:rsidRDefault="00A33FAB" w:rsidP="00214FCB">
            <w:pPr>
              <w:pStyle w:val="TableText"/>
            </w:pPr>
            <w:r w:rsidRPr="00AB2265">
              <w:t>Population</w:t>
            </w:r>
          </w:p>
        </w:tc>
        <w:tc>
          <w:tcPr>
            <w:tcW w:w="7488" w:type="dxa"/>
          </w:tcPr>
          <w:p w:rsidR="00A33FAB" w:rsidRPr="00AB2265" w:rsidRDefault="00A33FAB" w:rsidP="00214FCB">
            <w:pPr>
              <w:pStyle w:val="TableText"/>
            </w:pPr>
            <w:r w:rsidRPr="00AB2265">
              <w:t xml:space="preserve">Adults with acquired thrombotic thrombocytopenic purpura (aTTP) </w:t>
            </w:r>
          </w:p>
        </w:tc>
      </w:tr>
      <w:tr w:rsidR="00A33FAB" w:rsidRPr="00AB2265" w:rsidTr="00214FCB">
        <w:tc>
          <w:tcPr>
            <w:tcW w:w="1668" w:type="dxa"/>
            <w:vAlign w:val="center"/>
          </w:tcPr>
          <w:p w:rsidR="00A33FAB" w:rsidRPr="00AB2265" w:rsidRDefault="00A33FAB" w:rsidP="00214FCB">
            <w:pPr>
              <w:pStyle w:val="TableText"/>
            </w:pPr>
            <w:r w:rsidRPr="00AB2265">
              <w:t>Intervention</w:t>
            </w:r>
          </w:p>
        </w:tc>
        <w:tc>
          <w:tcPr>
            <w:tcW w:w="7488" w:type="dxa"/>
          </w:tcPr>
          <w:p w:rsidR="00A33FAB" w:rsidRPr="00AB2265" w:rsidRDefault="00A33FAB" w:rsidP="00214FCB">
            <w:pPr>
              <w:pStyle w:val="TableText"/>
            </w:pPr>
            <w:r w:rsidRPr="00AB2265">
              <w:t>Caplacizumab 10 mg daily (initial loading dose intravenous, all subsequent doses subcutaneous) in combination with plasma exchange and immunosuppression</w:t>
            </w:r>
          </w:p>
        </w:tc>
      </w:tr>
      <w:tr w:rsidR="00A33FAB" w:rsidRPr="00AB2265" w:rsidTr="00214FCB">
        <w:tc>
          <w:tcPr>
            <w:tcW w:w="1668" w:type="dxa"/>
            <w:vAlign w:val="center"/>
          </w:tcPr>
          <w:p w:rsidR="00A33FAB" w:rsidRPr="00AB2265" w:rsidRDefault="00A33FAB" w:rsidP="00214FCB">
            <w:pPr>
              <w:pStyle w:val="TableText"/>
            </w:pPr>
            <w:r w:rsidRPr="00AB2265">
              <w:t>Comparator</w:t>
            </w:r>
          </w:p>
        </w:tc>
        <w:tc>
          <w:tcPr>
            <w:tcW w:w="7488" w:type="dxa"/>
          </w:tcPr>
          <w:p w:rsidR="00A33FAB" w:rsidRPr="00AB2265" w:rsidRDefault="00A33FAB" w:rsidP="00214FCB">
            <w:pPr>
              <w:pStyle w:val="TableText"/>
            </w:pPr>
            <w:r w:rsidRPr="00AB2265">
              <w:t>Placebo (standard of care: plasma exchange and immunosuppression)</w:t>
            </w:r>
          </w:p>
        </w:tc>
      </w:tr>
      <w:tr w:rsidR="00A33FAB" w:rsidRPr="00AB2265" w:rsidTr="00214FCB">
        <w:tc>
          <w:tcPr>
            <w:tcW w:w="1668" w:type="dxa"/>
            <w:vAlign w:val="center"/>
          </w:tcPr>
          <w:p w:rsidR="00A33FAB" w:rsidRPr="00AB2265" w:rsidRDefault="00A33FAB" w:rsidP="00214FCB">
            <w:pPr>
              <w:pStyle w:val="TableText"/>
            </w:pPr>
            <w:r w:rsidRPr="00AB2265">
              <w:t>Outcomes</w:t>
            </w:r>
          </w:p>
        </w:tc>
        <w:tc>
          <w:tcPr>
            <w:tcW w:w="7488" w:type="dxa"/>
          </w:tcPr>
          <w:p w:rsidR="00A33FAB" w:rsidRPr="00AB2265" w:rsidRDefault="00A33FAB" w:rsidP="00214FCB">
            <w:pPr>
              <w:pStyle w:val="TableText"/>
            </w:pPr>
            <w:r w:rsidRPr="00AB2265">
              <w:t>Time to platelet normalisation, TTP-related death, TTP recurrence, TTP relapse, major thromboembolic events, refractory TTP, time to normalisation of organ damage markers</w:t>
            </w:r>
          </w:p>
        </w:tc>
      </w:tr>
      <w:tr w:rsidR="00A33FAB" w:rsidRPr="00AB2265" w:rsidTr="00214FCB">
        <w:tc>
          <w:tcPr>
            <w:tcW w:w="1668" w:type="dxa"/>
            <w:vAlign w:val="center"/>
          </w:tcPr>
          <w:p w:rsidR="00A33FAB" w:rsidRPr="00AB2265" w:rsidRDefault="00A33FAB" w:rsidP="00214FCB">
            <w:pPr>
              <w:pStyle w:val="TableText"/>
            </w:pPr>
            <w:r w:rsidRPr="00AB2265">
              <w:t>Clinical claim</w:t>
            </w:r>
          </w:p>
        </w:tc>
        <w:tc>
          <w:tcPr>
            <w:tcW w:w="7488" w:type="dxa"/>
          </w:tcPr>
          <w:p w:rsidR="00A33FAB" w:rsidRPr="00AB2265" w:rsidRDefault="00A33FAB" w:rsidP="00214FCB">
            <w:pPr>
              <w:pStyle w:val="TableText"/>
            </w:pPr>
            <w:r w:rsidRPr="00AB2265">
              <w:t xml:space="preserve">In the treatment of aTTP, caplacizumab in combination with plasma exchange and immunosuppression has superior efficacy and inferior safety compared to standard of care alone </w:t>
            </w:r>
          </w:p>
        </w:tc>
      </w:tr>
    </w:tbl>
    <w:p w:rsidR="00A33FAB" w:rsidRPr="00AB2265" w:rsidRDefault="00A33FAB" w:rsidP="00A33FAB">
      <w:pPr>
        <w:pStyle w:val="TableFigureFooter"/>
      </w:pPr>
      <w:r w:rsidRPr="00AB2265">
        <w:t>Source: Table 1.1, p.2 of the submission</w:t>
      </w:r>
    </w:p>
    <w:p w:rsidR="005C25FF" w:rsidRPr="00AB2265" w:rsidRDefault="005C25FF" w:rsidP="004A6040">
      <w:pPr>
        <w:pStyle w:val="2-SectionHeading"/>
      </w:pPr>
      <w:bookmarkStart w:id="3" w:name="_Toc40711446"/>
      <w:bookmarkStart w:id="4" w:name="_Toc40711505"/>
      <w:r w:rsidRPr="00AB2265">
        <w:t>Background</w:t>
      </w:r>
      <w:bookmarkEnd w:id="3"/>
      <w:bookmarkEnd w:id="4"/>
    </w:p>
    <w:p w:rsidR="005C25FF" w:rsidRPr="00AB2265" w:rsidRDefault="005C25FF" w:rsidP="004A6040">
      <w:pPr>
        <w:pStyle w:val="3-SubsectionHeading"/>
      </w:pPr>
      <w:bookmarkStart w:id="5" w:name="_Toc22897638"/>
      <w:bookmarkStart w:id="6" w:name="_Toc40711447"/>
      <w:bookmarkStart w:id="7" w:name="_Toc40711506"/>
      <w:r w:rsidRPr="00AB2265">
        <w:t>Registration status</w:t>
      </w:r>
      <w:bookmarkEnd w:id="5"/>
      <w:bookmarkEnd w:id="6"/>
      <w:bookmarkEnd w:id="7"/>
    </w:p>
    <w:p w:rsidR="005C25FF" w:rsidRPr="00AB2265" w:rsidRDefault="00A33FAB" w:rsidP="00A33FAB">
      <w:pPr>
        <w:pStyle w:val="ExecSumBodyText"/>
      </w:pPr>
      <w:r w:rsidRPr="00AB2265">
        <w:t xml:space="preserve">Caplacizumab 10 mg was submitted under the Comparable Overseas Regulator Pathway </w:t>
      </w:r>
      <w:proofErr w:type="gramStart"/>
      <w:r w:rsidRPr="00AB2265">
        <w:t>A</w:t>
      </w:r>
      <w:proofErr w:type="gramEnd"/>
      <w:r w:rsidRPr="00AB2265">
        <w:t xml:space="preserve"> application process, and was registered on the ARTG on 5 February 2020 for the following indication: treatment of adults experiencing an episode of acquired thrombotic thrombocytopenic purpura (aTTP), in conjunction with plasma exchange and immunosuppression. Caplacizumab has an orphan drug designation. </w:t>
      </w:r>
    </w:p>
    <w:p w:rsidR="00B60939" w:rsidRPr="00AB2265" w:rsidRDefault="00B50DB8" w:rsidP="004E18E9">
      <w:pPr>
        <w:pStyle w:val="2-SectionHeading"/>
      </w:pPr>
      <w:bookmarkStart w:id="8" w:name="_Toc40711448"/>
      <w:bookmarkStart w:id="9" w:name="_Toc40711507"/>
      <w:r w:rsidRPr="00AB2265">
        <w:t>Requested listing</w:t>
      </w:r>
      <w:bookmarkEnd w:id="8"/>
      <w:bookmarkEnd w:id="9"/>
    </w:p>
    <w:p w:rsidR="00C979CC" w:rsidRPr="00AB2265" w:rsidRDefault="00C979CC" w:rsidP="00C979CC">
      <w:pPr>
        <w:pStyle w:val="ExecSumBodyText"/>
      </w:pPr>
      <w:r w:rsidRPr="00AB2265">
        <w:t xml:space="preserve">Suggestions and additions proposed by the Secretariat are added in italics and suggested deletions are crossed out with strikethrough. </w:t>
      </w:r>
    </w:p>
    <w:p w:rsidR="002C77D5" w:rsidRPr="00AB2265" w:rsidRDefault="002C77D5" w:rsidP="002C77D5">
      <w:pPr>
        <w:pStyle w:val="Tableheadingrow"/>
        <w:rPr>
          <w:lang w:val="en-AU"/>
        </w:rPr>
      </w:pPr>
      <w:r w:rsidRPr="00AB2265">
        <w:rPr>
          <w:lang w:val="en-AU"/>
        </w:rPr>
        <w:lastRenderedPageBreak/>
        <w:t>Table 2: Essential elements of the requested listing: initial treatment</w:t>
      </w:r>
    </w:p>
    <w:tbl>
      <w:tblPr>
        <w:tblW w:w="9236" w:type="dxa"/>
        <w:tblBorders>
          <w:top w:val="single" w:sz="4" w:space="0" w:color="auto"/>
          <w:bottom w:val="single" w:sz="4" w:space="0" w:color="auto"/>
          <w:insideH w:val="single" w:sz="4" w:space="0" w:color="auto"/>
        </w:tblBorders>
        <w:tblLook w:val="04A0" w:firstRow="1" w:lastRow="0" w:firstColumn="1" w:lastColumn="0" w:noHBand="0" w:noVBand="1"/>
      </w:tblPr>
      <w:tblGrid>
        <w:gridCol w:w="2146"/>
        <w:gridCol w:w="974"/>
        <w:gridCol w:w="990"/>
        <w:gridCol w:w="993"/>
        <w:gridCol w:w="2382"/>
        <w:gridCol w:w="1751"/>
      </w:tblGrid>
      <w:tr w:rsidR="002C77D5" w:rsidRPr="00AB2265" w:rsidTr="00F21D71">
        <w:tc>
          <w:tcPr>
            <w:tcW w:w="0" w:type="auto"/>
          </w:tcPr>
          <w:p w:rsidR="002C77D5" w:rsidRPr="00AB2265" w:rsidRDefault="002C77D5" w:rsidP="00F21D71">
            <w:pPr>
              <w:pStyle w:val="TableFigureCaption"/>
            </w:pPr>
            <w:r w:rsidRPr="00AB2265">
              <w:t>Name, restriction, manner of administration, form</w:t>
            </w:r>
          </w:p>
        </w:tc>
        <w:tc>
          <w:tcPr>
            <w:tcW w:w="974" w:type="dxa"/>
          </w:tcPr>
          <w:p w:rsidR="002C77D5" w:rsidRPr="00AB2265" w:rsidRDefault="002C77D5" w:rsidP="00F21D71">
            <w:pPr>
              <w:pStyle w:val="TableFigureCaption"/>
              <w:jc w:val="center"/>
            </w:pPr>
            <w:r w:rsidRPr="00AB2265">
              <w:t>Maximum quantity (packs)</w:t>
            </w:r>
          </w:p>
        </w:tc>
        <w:tc>
          <w:tcPr>
            <w:tcW w:w="990" w:type="dxa"/>
          </w:tcPr>
          <w:p w:rsidR="002C77D5" w:rsidRPr="00AB2265" w:rsidRDefault="002C77D5" w:rsidP="00F21D71">
            <w:pPr>
              <w:pStyle w:val="TableFigureCaption"/>
              <w:jc w:val="center"/>
            </w:pPr>
            <w:r w:rsidRPr="00AB2265">
              <w:t>Maximum quantity (units)</w:t>
            </w:r>
          </w:p>
        </w:tc>
        <w:tc>
          <w:tcPr>
            <w:tcW w:w="993" w:type="dxa"/>
          </w:tcPr>
          <w:p w:rsidR="002C77D5" w:rsidRPr="00AB2265" w:rsidRDefault="002C77D5" w:rsidP="00F21D71">
            <w:pPr>
              <w:pStyle w:val="TableFigureCaption"/>
              <w:jc w:val="center"/>
            </w:pPr>
            <w:r w:rsidRPr="00AB2265">
              <w:t>No. of repeats</w:t>
            </w:r>
          </w:p>
        </w:tc>
        <w:tc>
          <w:tcPr>
            <w:tcW w:w="2382" w:type="dxa"/>
          </w:tcPr>
          <w:p w:rsidR="002C77D5" w:rsidRPr="00AB2265" w:rsidRDefault="002C77D5" w:rsidP="00F21D71">
            <w:pPr>
              <w:pStyle w:val="TableFigureCaption"/>
              <w:jc w:val="center"/>
            </w:pPr>
            <w:r w:rsidRPr="00AB2265">
              <w:t>Published (effective)</w:t>
            </w:r>
          </w:p>
          <w:p w:rsidR="002C77D5" w:rsidRPr="00AB2265" w:rsidRDefault="002C77D5" w:rsidP="00F21D71">
            <w:pPr>
              <w:pStyle w:val="TableFigureCaption"/>
              <w:jc w:val="center"/>
            </w:pPr>
            <w:r w:rsidRPr="00AB2265">
              <w:t>Dispensed price for maximum quantity</w:t>
            </w:r>
          </w:p>
        </w:tc>
        <w:tc>
          <w:tcPr>
            <w:tcW w:w="0" w:type="auto"/>
          </w:tcPr>
          <w:p w:rsidR="002C77D5" w:rsidRPr="00AB2265" w:rsidRDefault="002C77D5" w:rsidP="00F21D71">
            <w:pPr>
              <w:pStyle w:val="TableFigureCaption"/>
              <w:jc w:val="center"/>
            </w:pPr>
            <w:r w:rsidRPr="00AB2265">
              <w:t>Proprietary name and manufacturer</w:t>
            </w:r>
          </w:p>
        </w:tc>
      </w:tr>
      <w:tr w:rsidR="002C77D5" w:rsidRPr="00AB2265" w:rsidTr="00F21D71">
        <w:tc>
          <w:tcPr>
            <w:tcW w:w="0" w:type="auto"/>
            <w:vAlign w:val="center"/>
          </w:tcPr>
          <w:p w:rsidR="002C77D5" w:rsidRPr="00AB2265" w:rsidRDefault="002C77D5" w:rsidP="00F21D71">
            <w:pPr>
              <w:pStyle w:val="TableText"/>
            </w:pPr>
            <w:r w:rsidRPr="00AB2265">
              <w:rPr>
                <w:smallCaps/>
              </w:rPr>
              <w:t>Caplacizumab</w:t>
            </w:r>
          </w:p>
          <w:p w:rsidR="002C77D5" w:rsidRPr="00AB2265" w:rsidRDefault="002C77D5" w:rsidP="00F21D71">
            <w:pPr>
              <w:pStyle w:val="TableText"/>
              <w:rPr>
                <w:b/>
              </w:rPr>
            </w:pPr>
            <w:r w:rsidRPr="00AB2265">
              <w:t>10 mg/mL, 1 x 10 mg powder for injection</w:t>
            </w:r>
          </w:p>
        </w:tc>
        <w:tc>
          <w:tcPr>
            <w:tcW w:w="974" w:type="dxa"/>
            <w:vAlign w:val="center"/>
          </w:tcPr>
          <w:p w:rsidR="002C77D5" w:rsidRPr="00AB2265" w:rsidRDefault="002C77D5" w:rsidP="00F21D71">
            <w:pPr>
              <w:pStyle w:val="TableText"/>
              <w:jc w:val="center"/>
              <w:rPr>
                <w:rFonts w:ascii="Times" w:hAnsi="Times"/>
              </w:rPr>
            </w:pPr>
            <w:r w:rsidRPr="00AB2265">
              <w:t>4</w:t>
            </w:r>
          </w:p>
        </w:tc>
        <w:tc>
          <w:tcPr>
            <w:tcW w:w="990" w:type="dxa"/>
            <w:vAlign w:val="center"/>
          </w:tcPr>
          <w:p w:rsidR="002C77D5" w:rsidRPr="00AB2265" w:rsidRDefault="002C77D5" w:rsidP="00F21D71">
            <w:pPr>
              <w:pStyle w:val="TableText"/>
              <w:jc w:val="center"/>
              <w:rPr>
                <w:rFonts w:ascii="Times" w:hAnsi="Times"/>
              </w:rPr>
            </w:pPr>
            <w:r w:rsidRPr="00AB2265">
              <w:t>4</w:t>
            </w:r>
          </w:p>
        </w:tc>
        <w:tc>
          <w:tcPr>
            <w:tcW w:w="993" w:type="dxa"/>
            <w:vAlign w:val="center"/>
          </w:tcPr>
          <w:p w:rsidR="002C77D5" w:rsidRPr="00AB2265" w:rsidRDefault="002C77D5" w:rsidP="00F21D71">
            <w:pPr>
              <w:pStyle w:val="TableText"/>
              <w:jc w:val="center"/>
              <w:rPr>
                <w:rFonts w:ascii="Times" w:hAnsi="Times"/>
              </w:rPr>
            </w:pPr>
            <w:r w:rsidRPr="00AB2265">
              <w:t>0</w:t>
            </w:r>
          </w:p>
        </w:tc>
        <w:tc>
          <w:tcPr>
            <w:tcW w:w="2382" w:type="dxa"/>
            <w:vAlign w:val="center"/>
          </w:tcPr>
          <w:p w:rsidR="002C77D5" w:rsidRPr="00AB2265" w:rsidRDefault="002C77D5" w:rsidP="00F21D71">
            <w:pPr>
              <w:pStyle w:val="TableText"/>
              <w:jc w:val="center"/>
            </w:pPr>
            <w:r w:rsidRPr="00AB2265">
              <w:t>$22,857.16 ($</w:t>
            </w:r>
            <w:r w:rsidR="003F618D">
              <w:rPr>
                <w:noProof/>
                <w:color w:val="000000"/>
                <w:highlight w:val="black"/>
              </w:rPr>
              <w:t>''''''''''''''''''''''''</w:t>
            </w:r>
            <w:r w:rsidRPr="00AB2265">
              <w:t>)</w:t>
            </w:r>
          </w:p>
          <w:p w:rsidR="002C77D5" w:rsidRPr="00AB2265" w:rsidRDefault="002C77D5" w:rsidP="00F21D71">
            <w:pPr>
              <w:pStyle w:val="TableText"/>
              <w:jc w:val="center"/>
            </w:pPr>
            <w:r w:rsidRPr="00AB2265">
              <w:t>$22,904.55 ($</w:t>
            </w:r>
            <w:r w:rsidR="003F618D">
              <w:rPr>
                <w:noProof/>
                <w:color w:val="000000"/>
                <w:highlight w:val="black"/>
              </w:rPr>
              <w:t>'''''''''''''''''''''''''</w:t>
            </w:r>
            <w:r w:rsidRPr="00AB2265">
              <w:t>)</w:t>
            </w:r>
          </w:p>
        </w:tc>
        <w:tc>
          <w:tcPr>
            <w:tcW w:w="0" w:type="auto"/>
            <w:vAlign w:val="center"/>
          </w:tcPr>
          <w:p w:rsidR="002C77D5" w:rsidRPr="00AB2265" w:rsidRDefault="002C77D5" w:rsidP="00F21D71">
            <w:pPr>
              <w:pStyle w:val="TableText"/>
            </w:pPr>
            <w:r w:rsidRPr="00AB2265">
              <w:t>Cablivi</w:t>
            </w:r>
            <w:r w:rsidRPr="00AB2265">
              <w:rPr>
                <w:vertAlign w:val="superscript"/>
              </w:rPr>
              <w:t>®</w:t>
            </w:r>
            <w:r w:rsidRPr="00AB2265">
              <w:t xml:space="preserve">, </w:t>
            </w:r>
          </w:p>
          <w:p w:rsidR="002C77D5" w:rsidRPr="00AB2265" w:rsidRDefault="002C77D5" w:rsidP="00F21D71">
            <w:pPr>
              <w:pStyle w:val="TableText"/>
            </w:pPr>
            <w:r w:rsidRPr="00AB2265">
              <w:t>Sanofi-Aventis</w:t>
            </w:r>
          </w:p>
        </w:tc>
      </w:tr>
    </w:tbl>
    <w:p w:rsidR="002C77D5" w:rsidRPr="00AB2265" w:rsidRDefault="002C77D5" w:rsidP="002C77D5">
      <w:pPr>
        <w:pStyle w:val="TableFooter"/>
      </w:pPr>
      <w:r w:rsidRPr="00AB2265">
        <w:t>Source: Table 1.7, p.19 of the submission</w:t>
      </w:r>
    </w:p>
    <w:p w:rsidR="00650148" w:rsidRPr="00AB2265" w:rsidRDefault="00650148" w:rsidP="002C77D5">
      <w:pPr>
        <w:pStyle w:val="Tableheadingrow"/>
        <w:rPr>
          <w:lang w:val="en-AU"/>
        </w:rPr>
      </w:pPr>
    </w:p>
    <w:p w:rsidR="002C77D5" w:rsidRPr="00AB2265" w:rsidRDefault="002C77D5" w:rsidP="002C77D5">
      <w:pPr>
        <w:pStyle w:val="Tableheadingrow"/>
        <w:rPr>
          <w:lang w:val="en-AU"/>
        </w:rPr>
      </w:pPr>
      <w:r w:rsidRPr="00AB2265">
        <w:rPr>
          <w:lang w:val="en-AU"/>
        </w:rPr>
        <w:t>Table 3: Essential elements of the requested listing: initial treatment- extended initial treatment</w:t>
      </w:r>
    </w:p>
    <w:tbl>
      <w:tblPr>
        <w:tblW w:w="9236" w:type="dxa"/>
        <w:tblBorders>
          <w:top w:val="single" w:sz="4" w:space="0" w:color="auto"/>
          <w:bottom w:val="single" w:sz="4" w:space="0" w:color="auto"/>
          <w:insideH w:val="single" w:sz="4" w:space="0" w:color="auto"/>
        </w:tblBorders>
        <w:tblLook w:val="04A0" w:firstRow="1" w:lastRow="0" w:firstColumn="1" w:lastColumn="0" w:noHBand="0" w:noVBand="1"/>
      </w:tblPr>
      <w:tblGrid>
        <w:gridCol w:w="2162"/>
        <w:gridCol w:w="973"/>
        <w:gridCol w:w="978"/>
        <w:gridCol w:w="1132"/>
        <w:gridCol w:w="2229"/>
        <w:gridCol w:w="1762"/>
      </w:tblGrid>
      <w:tr w:rsidR="002C77D5" w:rsidRPr="00AB2265" w:rsidTr="00F21D71">
        <w:tc>
          <w:tcPr>
            <w:tcW w:w="0" w:type="auto"/>
          </w:tcPr>
          <w:p w:rsidR="002C77D5" w:rsidRPr="00AB2265" w:rsidRDefault="002C77D5" w:rsidP="00F21D71">
            <w:pPr>
              <w:pStyle w:val="TableFigureCaption"/>
            </w:pPr>
            <w:r w:rsidRPr="00AB2265">
              <w:t>Name, restriction, manner of administration, form</w:t>
            </w:r>
          </w:p>
        </w:tc>
        <w:tc>
          <w:tcPr>
            <w:tcW w:w="973" w:type="dxa"/>
          </w:tcPr>
          <w:p w:rsidR="002C77D5" w:rsidRPr="00AB2265" w:rsidRDefault="002C77D5" w:rsidP="00F21D71">
            <w:pPr>
              <w:pStyle w:val="TableFigureCaption"/>
              <w:jc w:val="center"/>
            </w:pPr>
            <w:r w:rsidRPr="00AB2265">
              <w:t>Maximum quantity (packs)</w:t>
            </w:r>
          </w:p>
        </w:tc>
        <w:tc>
          <w:tcPr>
            <w:tcW w:w="978" w:type="dxa"/>
          </w:tcPr>
          <w:p w:rsidR="002C77D5" w:rsidRPr="00AB2265" w:rsidRDefault="002C77D5" w:rsidP="00F21D71">
            <w:pPr>
              <w:pStyle w:val="TableFigureCaption"/>
              <w:jc w:val="center"/>
            </w:pPr>
            <w:r w:rsidRPr="00AB2265">
              <w:t>Maximum quantity (units)</w:t>
            </w:r>
          </w:p>
        </w:tc>
        <w:tc>
          <w:tcPr>
            <w:tcW w:w="1132" w:type="dxa"/>
          </w:tcPr>
          <w:p w:rsidR="002C77D5" w:rsidRPr="00AB2265" w:rsidRDefault="002C77D5" w:rsidP="00F21D71">
            <w:pPr>
              <w:pStyle w:val="TableFigureCaption"/>
              <w:jc w:val="center"/>
            </w:pPr>
            <w:r w:rsidRPr="00AB2265">
              <w:t>No. of repeats</w:t>
            </w:r>
          </w:p>
        </w:tc>
        <w:tc>
          <w:tcPr>
            <w:tcW w:w="2229" w:type="dxa"/>
          </w:tcPr>
          <w:p w:rsidR="002C77D5" w:rsidRPr="00AB2265" w:rsidRDefault="002C77D5" w:rsidP="00F21D71">
            <w:pPr>
              <w:pStyle w:val="TableFigureCaption"/>
              <w:jc w:val="center"/>
            </w:pPr>
            <w:r w:rsidRPr="00AB2265">
              <w:t>Published (effective)</w:t>
            </w:r>
          </w:p>
          <w:p w:rsidR="002C77D5" w:rsidRPr="00AB2265" w:rsidRDefault="002C77D5" w:rsidP="00F21D71">
            <w:pPr>
              <w:pStyle w:val="TableFigureCaption"/>
              <w:jc w:val="center"/>
            </w:pPr>
            <w:r w:rsidRPr="00AB2265">
              <w:t>Dispensed price for maximum quantity</w:t>
            </w:r>
          </w:p>
        </w:tc>
        <w:tc>
          <w:tcPr>
            <w:tcW w:w="0" w:type="auto"/>
          </w:tcPr>
          <w:p w:rsidR="002C77D5" w:rsidRPr="00AB2265" w:rsidRDefault="002C77D5" w:rsidP="00F21D71">
            <w:pPr>
              <w:pStyle w:val="TableFigureCaption"/>
              <w:jc w:val="center"/>
            </w:pPr>
            <w:r w:rsidRPr="00AB2265">
              <w:t>Proprietary name and manufacturer</w:t>
            </w:r>
          </w:p>
        </w:tc>
      </w:tr>
      <w:tr w:rsidR="002C77D5" w:rsidRPr="00AB2265" w:rsidTr="00F21D71">
        <w:tc>
          <w:tcPr>
            <w:tcW w:w="0" w:type="auto"/>
            <w:vAlign w:val="center"/>
          </w:tcPr>
          <w:p w:rsidR="002C77D5" w:rsidRPr="00AB2265" w:rsidRDefault="002C77D5" w:rsidP="00F21D71">
            <w:pPr>
              <w:pStyle w:val="TableText"/>
            </w:pPr>
            <w:r w:rsidRPr="00AB2265">
              <w:rPr>
                <w:smallCaps/>
              </w:rPr>
              <w:t>Caplacizumab</w:t>
            </w:r>
          </w:p>
          <w:p w:rsidR="002C77D5" w:rsidRPr="00AB2265" w:rsidRDefault="002C77D5" w:rsidP="00F21D71">
            <w:pPr>
              <w:pStyle w:val="TableText"/>
              <w:rPr>
                <w:b/>
              </w:rPr>
            </w:pPr>
            <w:r w:rsidRPr="00AB2265">
              <w:t>10 mg/mL, 1 x 10 mg powder for injection</w:t>
            </w:r>
          </w:p>
        </w:tc>
        <w:tc>
          <w:tcPr>
            <w:tcW w:w="973" w:type="dxa"/>
            <w:vAlign w:val="center"/>
          </w:tcPr>
          <w:p w:rsidR="002C77D5" w:rsidRPr="00AB2265" w:rsidRDefault="002C77D5" w:rsidP="00F21D71">
            <w:pPr>
              <w:pStyle w:val="TableText"/>
              <w:jc w:val="center"/>
              <w:rPr>
                <w:rFonts w:ascii="Times" w:hAnsi="Times"/>
              </w:rPr>
            </w:pPr>
            <w:r w:rsidRPr="00AB2265">
              <w:t>1</w:t>
            </w:r>
          </w:p>
        </w:tc>
        <w:tc>
          <w:tcPr>
            <w:tcW w:w="978" w:type="dxa"/>
            <w:vAlign w:val="center"/>
          </w:tcPr>
          <w:p w:rsidR="002C77D5" w:rsidRPr="00AB2265" w:rsidRDefault="002C77D5" w:rsidP="00F21D71">
            <w:pPr>
              <w:pStyle w:val="TableText"/>
              <w:jc w:val="center"/>
              <w:rPr>
                <w:rFonts w:ascii="Times" w:hAnsi="Times"/>
              </w:rPr>
            </w:pPr>
            <w:r w:rsidRPr="00AB2265">
              <w:t>1</w:t>
            </w:r>
          </w:p>
        </w:tc>
        <w:tc>
          <w:tcPr>
            <w:tcW w:w="1132" w:type="dxa"/>
            <w:vAlign w:val="center"/>
          </w:tcPr>
          <w:p w:rsidR="002C77D5" w:rsidRPr="00AB2265" w:rsidRDefault="002C77D5" w:rsidP="00F21D71">
            <w:pPr>
              <w:pStyle w:val="TableText"/>
              <w:jc w:val="center"/>
              <w:rPr>
                <w:rFonts w:ascii="Times" w:hAnsi="Times"/>
              </w:rPr>
            </w:pPr>
            <w:r w:rsidRPr="00AB2265">
              <w:t>4</w:t>
            </w:r>
          </w:p>
        </w:tc>
        <w:tc>
          <w:tcPr>
            <w:tcW w:w="2229" w:type="dxa"/>
            <w:vAlign w:val="center"/>
          </w:tcPr>
          <w:p w:rsidR="002C77D5" w:rsidRPr="00AB2265" w:rsidRDefault="002C77D5" w:rsidP="00F21D71">
            <w:pPr>
              <w:pStyle w:val="TableText"/>
              <w:jc w:val="center"/>
            </w:pPr>
            <w:r w:rsidRPr="00AB2265">
              <w:t>$5,714.29 ($</w:t>
            </w:r>
            <w:r w:rsidR="003F618D">
              <w:rPr>
                <w:noProof/>
                <w:color w:val="000000"/>
                <w:highlight w:val="black"/>
              </w:rPr>
              <w:t>''''''''''''''''''''''</w:t>
            </w:r>
            <w:r w:rsidRPr="00AB2265">
              <w:t>)</w:t>
            </w:r>
          </w:p>
          <w:p w:rsidR="002C77D5" w:rsidRPr="00AB2265" w:rsidRDefault="002C77D5" w:rsidP="00F21D71">
            <w:pPr>
              <w:pStyle w:val="TableText"/>
              <w:jc w:val="center"/>
            </w:pPr>
            <w:r w:rsidRPr="00AB2265">
              <w:t>$5,761.68 ($</w:t>
            </w:r>
            <w:r w:rsidR="003F618D">
              <w:rPr>
                <w:noProof/>
                <w:color w:val="000000"/>
                <w:highlight w:val="black"/>
              </w:rPr>
              <w:t>'''''''''''''''''''</w:t>
            </w:r>
            <w:r w:rsidRPr="00AB2265">
              <w:t>)</w:t>
            </w:r>
          </w:p>
        </w:tc>
        <w:tc>
          <w:tcPr>
            <w:tcW w:w="0" w:type="auto"/>
            <w:vAlign w:val="center"/>
          </w:tcPr>
          <w:p w:rsidR="002C77D5" w:rsidRPr="00AB2265" w:rsidRDefault="002C77D5" w:rsidP="00F21D71">
            <w:pPr>
              <w:pStyle w:val="TableText"/>
            </w:pPr>
            <w:r w:rsidRPr="00AB2265">
              <w:t>Cablivi</w:t>
            </w:r>
            <w:r w:rsidRPr="00AB2265">
              <w:rPr>
                <w:vertAlign w:val="superscript"/>
              </w:rPr>
              <w:t>®</w:t>
            </w:r>
            <w:r w:rsidRPr="00AB2265">
              <w:t xml:space="preserve">, </w:t>
            </w:r>
          </w:p>
          <w:p w:rsidR="002C77D5" w:rsidRPr="00AB2265" w:rsidRDefault="002C77D5" w:rsidP="00F21D71">
            <w:pPr>
              <w:pStyle w:val="TableText"/>
              <w:rPr>
                <w:rFonts w:ascii="Times" w:hAnsi="Times"/>
              </w:rPr>
            </w:pPr>
            <w:r w:rsidRPr="00AB2265">
              <w:t>Sanofi-Aventis</w:t>
            </w:r>
          </w:p>
        </w:tc>
      </w:tr>
    </w:tbl>
    <w:p w:rsidR="002C77D5" w:rsidRPr="00AB2265" w:rsidRDefault="002C77D5" w:rsidP="002C77D5">
      <w:pPr>
        <w:pStyle w:val="TableFooter"/>
      </w:pPr>
      <w:r w:rsidRPr="00AB2265">
        <w:t>Source: Table 1.8, p.19 of the submission</w:t>
      </w:r>
    </w:p>
    <w:p w:rsidR="00650148" w:rsidRPr="00AB2265" w:rsidRDefault="00650148" w:rsidP="002C77D5">
      <w:pPr>
        <w:pStyle w:val="Tableheadingrow"/>
        <w:rPr>
          <w:lang w:val="en-AU"/>
        </w:rPr>
      </w:pPr>
    </w:p>
    <w:p w:rsidR="002C77D5" w:rsidRPr="00AB2265" w:rsidRDefault="002C77D5" w:rsidP="002C77D5">
      <w:pPr>
        <w:pStyle w:val="Tableheadingrow"/>
        <w:rPr>
          <w:lang w:val="en-AU"/>
        </w:rPr>
      </w:pPr>
      <w:r w:rsidRPr="00AB2265">
        <w:rPr>
          <w:lang w:val="en-AU"/>
        </w:rPr>
        <w:t>Table 4: Essential elements of the requested listing: continuing treatment</w:t>
      </w:r>
    </w:p>
    <w:tbl>
      <w:tblPr>
        <w:tblW w:w="9236" w:type="dxa"/>
        <w:tblBorders>
          <w:top w:val="single" w:sz="4" w:space="0" w:color="auto"/>
          <w:bottom w:val="single" w:sz="4" w:space="0" w:color="auto"/>
          <w:insideH w:val="single" w:sz="4" w:space="0" w:color="auto"/>
        </w:tblBorders>
        <w:tblLook w:val="04A0" w:firstRow="1" w:lastRow="0" w:firstColumn="1" w:lastColumn="0" w:noHBand="0" w:noVBand="1"/>
      </w:tblPr>
      <w:tblGrid>
        <w:gridCol w:w="2149"/>
        <w:gridCol w:w="973"/>
        <w:gridCol w:w="988"/>
        <w:gridCol w:w="993"/>
        <w:gridCol w:w="2379"/>
        <w:gridCol w:w="1754"/>
      </w:tblGrid>
      <w:tr w:rsidR="002C77D5" w:rsidRPr="00AB2265" w:rsidTr="00F21D71">
        <w:tc>
          <w:tcPr>
            <w:tcW w:w="0" w:type="auto"/>
          </w:tcPr>
          <w:p w:rsidR="002C77D5" w:rsidRPr="00AB2265" w:rsidRDefault="002C77D5" w:rsidP="00F21D71">
            <w:pPr>
              <w:pStyle w:val="TableFigureCaption"/>
            </w:pPr>
            <w:r w:rsidRPr="00AB2265">
              <w:t>Name, restriction, manner of administration, form</w:t>
            </w:r>
          </w:p>
        </w:tc>
        <w:tc>
          <w:tcPr>
            <w:tcW w:w="973" w:type="dxa"/>
          </w:tcPr>
          <w:p w:rsidR="002C77D5" w:rsidRPr="00AB2265" w:rsidRDefault="002C77D5" w:rsidP="00F21D71">
            <w:pPr>
              <w:pStyle w:val="TableFigureCaption"/>
              <w:jc w:val="center"/>
            </w:pPr>
            <w:r w:rsidRPr="00AB2265">
              <w:t>Maximum quantity (packs)</w:t>
            </w:r>
          </w:p>
        </w:tc>
        <w:tc>
          <w:tcPr>
            <w:tcW w:w="988" w:type="dxa"/>
          </w:tcPr>
          <w:p w:rsidR="002C77D5" w:rsidRPr="00AB2265" w:rsidRDefault="002C77D5" w:rsidP="00F21D71">
            <w:pPr>
              <w:pStyle w:val="TableFigureCaption"/>
              <w:jc w:val="center"/>
            </w:pPr>
            <w:r w:rsidRPr="00AB2265">
              <w:t>Maximum quantity (units)</w:t>
            </w:r>
          </w:p>
        </w:tc>
        <w:tc>
          <w:tcPr>
            <w:tcW w:w="993" w:type="dxa"/>
          </w:tcPr>
          <w:p w:rsidR="002C77D5" w:rsidRPr="00AB2265" w:rsidRDefault="002C77D5" w:rsidP="00F21D71">
            <w:pPr>
              <w:pStyle w:val="TableFigureCaption"/>
              <w:jc w:val="center"/>
            </w:pPr>
            <w:r w:rsidRPr="00AB2265">
              <w:t>No. of repeats</w:t>
            </w:r>
          </w:p>
        </w:tc>
        <w:tc>
          <w:tcPr>
            <w:tcW w:w="2379" w:type="dxa"/>
          </w:tcPr>
          <w:p w:rsidR="002C77D5" w:rsidRPr="00AB2265" w:rsidRDefault="002C77D5" w:rsidP="00F21D71">
            <w:pPr>
              <w:pStyle w:val="TableFigureCaption"/>
              <w:jc w:val="center"/>
            </w:pPr>
            <w:r w:rsidRPr="00AB2265">
              <w:t>Published (effective)</w:t>
            </w:r>
          </w:p>
          <w:p w:rsidR="002C77D5" w:rsidRPr="00AB2265" w:rsidRDefault="002C77D5" w:rsidP="00F21D71">
            <w:pPr>
              <w:pStyle w:val="TableFigureCaption"/>
              <w:jc w:val="center"/>
            </w:pPr>
            <w:r w:rsidRPr="00AB2265">
              <w:t>Dispensed price for maximum quantity</w:t>
            </w:r>
          </w:p>
        </w:tc>
        <w:tc>
          <w:tcPr>
            <w:tcW w:w="0" w:type="auto"/>
          </w:tcPr>
          <w:p w:rsidR="002C77D5" w:rsidRPr="00AB2265" w:rsidRDefault="002C77D5" w:rsidP="00F21D71">
            <w:pPr>
              <w:pStyle w:val="TableFigureCaption"/>
              <w:jc w:val="center"/>
            </w:pPr>
            <w:r w:rsidRPr="00AB2265">
              <w:t>Proprietary name and manufacturer</w:t>
            </w:r>
          </w:p>
        </w:tc>
      </w:tr>
      <w:tr w:rsidR="002C77D5" w:rsidRPr="00AB2265" w:rsidTr="00F21D71">
        <w:tc>
          <w:tcPr>
            <w:tcW w:w="0" w:type="auto"/>
            <w:vAlign w:val="center"/>
          </w:tcPr>
          <w:p w:rsidR="002C77D5" w:rsidRPr="00AB2265" w:rsidRDefault="002C77D5" w:rsidP="00F21D71">
            <w:pPr>
              <w:pStyle w:val="TableText"/>
            </w:pPr>
            <w:r w:rsidRPr="00AB2265">
              <w:rPr>
                <w:smallCaps/>
              </w:rPr>
              <w:t>Caplacizumab</w:t>
            </w:r>
          </w:p>
          <w:p w:rsidR="002C77D5" w:rsidRPr="00AB2265" w:rsidRDefault="002C77D5" w:rsidP="00F21D71">
            <w:pPr>
              <w:pStyle w:val="TableText"/>
              <w:rPr>
                <w:b/>
              </w:rPr>
            </w:pPr>
            <w:r w:rsidRPr="00AB2265">
              <w:t>10 mg/mL, 1 x 10 mg powder for injection</w:t>
            </w:r>
          </w:p>
        </w:tc>
        <w:tc>
          <w:tcPr>
            <w:tcW w:w="973" w:type="dxa"/>
            <w:vAlign w:val="center"/>
          </w:tcPr>
          <w:p w:rsidR="002C77D5" w:rsidRPr="00AB2265" w:rsidRDefault="002C77D5" w:rsidP="00F21D71">
            <w:pPr>
              <w:pStyle w:val="TableText"/>
              <w:jc w:val="center"/>
            </w:pPr>
            <w:r w:rsidRPr="00AB2265">
              <w:t>30</w:t>
            </w:r>
          </w:p>
        </w:tc>
        <w:tc>
          <w:tcPr>
            <w:tcW w:w="988" w:type="dxa"/>
            <w:vAlign w:val="center"/>
          </w:tcPr>
          <w:p w:rsidR="002C77D5" w:rsidRPr="00AB2265" w:rsidRDefault="002C77D5" w:rsidP="00F21D71">
            <w:pPr>
              <w:pStyle w:val="TableText"/>
              <w:jc w:val="center"/>
              <w:rPr>
                <w:rFonts w:ascii="Times" w:hAnsi="Times"/>
              </w:rPr>
            </w:pPr>
            <w:r w:rsidRPr="00AB2265">
              <w:t>30</w:t>
            </w:r>
          </w:p>
        </w:tc>
        <w:tc>
          <w:tcPr>
            <w:tcW w:w="993" w:type="dxa"/>
            <w:vAlign w:val="center"/>
          </w:tcPr>
          <w:p w:rsidR="002C77D5" w:rsidRPr="00AB2265" w:rsidRDefault="002C77D5" w:rsidP="00F21D71">
            <w:pPr>
              <w:pStyle w:val="TableText"/>
              <w:jc w:val="center"/>
              <w:rPr>
                <w:rFonts w:ascii="Times" w:hAnsi="Times"/>
              </w:rPr>
            </w:pPr>
            <w:r w:rsidRPr="00AB2265">
              <w:t>0</w:t>
            </w:r>
          </w:p>
        </w:tc>
        <w:tc>
          <w:tcPr>
            <w:tcW w:w="2379" w:type="dxa"/>
            <w:vAlign w:val="center"/>
          </w:tcPr>
          <w:p w:rsidR="002C77D5" w:rsidRPr="00AB2265" w:rsidRDefault="002C77D5" w:rsidP="00F21D71">
            <w:pPr>
              <w:pStyle w:val="TableText"/>
              <w:jc w:val="center"/>
            </w:pPr>
            <w:r w:rsidRPr="00AB2265">
              <w:t>$171,428.70 ($</w:t>
            </w:r>
            <w:r w:rsidR="003F618D">
              <w:rPr>
                <w:noProof/>
                <w:color w:val="000000"/>
                <w:highlight w:val="black"/>
              </w:rPr>
              <w:t>'''''''''''''''''''''''''</w:t>
            </w:r>
            <w:r w:rsidRPr="00AB2265">
              <w:t>)</w:t>
            </w:r>
          </w:p>
          <w:p w:rsidR="002C77D5" w:rsidRPr="00AB2265" w:rsidRDefault="002C77D5" w:rsidP="00F21D71">
            <w:pPr>
              <w:pStyle w:val="TableText"/>
              <w:jc w:val="center"/>
            </w:pPr>
            <w:r w:rsidRPr="00AB2265">
              <w:t>$171,476.09 ($</w:t>
            </w:r>
            <w:r w:rsidR="003F618D">
              <w:rPr>
                <w:noProof/>
                <w:color w:val="000000"/>
                <w:highlight w:val="black"/>
              </w:rPr>
              <w:t>''''''''''''''''''''''''''</w:t>
            </w:r>
            <w:r w:rsidRPr="00AB2265">
              <w:t>)</w:t>
            </w:r>
          </w:p>
        </w:tc>
        <w:tc>
          <w:tcPr>
            <w:tcW w:w="0" w:type="auto"/>
            <w:vAlign w:val="center"/>
          </w:tcPr>
          <w:p w:rsidR="002C77D5" w:rsidRPr="00AB2265" w:rsidRDefault="002C77D5" w:rsidP="00F21D71">
            <w:pPr>
              <w:pStyle w:val="TableText"/>
            </w:pPr>
            <w:r w:rsidRPr="00AB2265">
              <w:t>Cablivi</w:t>
            </w:r>
            <w:r w:rsidRPr="00AB2265">
              <w:rPr>
                <w:vertAlign w:val="superscript"/>
              </w:rPr>
              <w:t>®</w:t>
            </w:r>
            <w:r w:rsidRPr="00AB2265">
              <w:t xml:space="preserve">, </w:t>
            </w:r>
          </w:p>
          <w:p w:rsidR="002C77D5" w:rsidRPr="00AB2265" w:rsidRDefault="002C77D5" w:rsidP="00F21D71">
            <w:pPr>
              <w:pStyle w:val="TableText"/>
              <w:rPr>
                <w:rFonts w:ascii="Times" w:hAnsi="Times"/>
              </w:rPr>
            </w:pPr>
            <w:r w:rsidRPr="00AB2265">
              <w:t>Sanofi-Aventis</w:t>
            </w:r>
          </w:p>
        </w:tc>
      </w:tr>
    </w:tbl>
    <w:p w:rsidR="002C77D5" w:rsidRPr="00AB2265" w:rsidRDefault="002C77D5" w:rsidP="002C77D5">
      <w:pPr>
        <w:pStyle w:val="TableFooter"/>
      </w:pPr>
      <w:r w:rsidRPr="00AB2265">
        <w:t>Source: Table 1.9, p.20 of the submission</w:t>
      </w:r>
    </w:p>
    <w:p w:rsidR="00650148" w:rsidRPr="00AB2265" w:rsidRDefault="00650148" w:rsidP="002C77D5">
      <w:pPr>
        <w:pStyle w:val="Tableheadingrow"/>
        <w:rPr>
          <w:lang w:val="en-AU"/>
        </w:rPr>
      </w:pPr>
    </w:p>
    <w:p w:rsidR="002C77D5" w:rsidRPr="00AB2265" w:rsidRDefault="002C77D5" w:rsidP="002C77D5">
      <w:pPr>
        <w:pStyle w:val="Tableheadingrow"/>
        <w:rPr>
          <w:lang w:val="en-AU"/>
        </w:rPr>
      </w:pPr>
      <w:r w:rsidRPr="00AB2265">
        <w:rPr>
          <w:lang w:val="en-AU"/>
        </w:rPr>
        <w:t>Table 5: Essential elements of the requested listing: continuing treatment – extended continuing treatment</w:t>
      </w:r>
    </w:p>
    <w:tbl>
      <w:tblPr>
        <w:tblW w:w="9236" w:type="dxa"/>
        <w:tblBorders>
          <w:top w:val="single" w:sz="4" w:space="0" w:color="auto"/>
          <w:bottom w:val="single" w:sz="4" w:space="0" w:color="auto"/>
          <w:insideH w:val="single" w:sz="4" w:space="0" w:color="auto"/>
        </w:tblBorders>
        <w:tblLook w:val="04A0" w:firstRow="1" w:lastRow="0" w:firstColumn="1" w:lastColumn="0" w:noHBand="0" w:noVBand="1"/>
      </w:tblPr>
      <w:tblGrid>
        <w:gridCol w:w="2164"/>
        <w:gridCol w:w="976"/>
        <w:gridCol w:w="973"/>
        <w:gridCol w:w="990"/>
        <w:gridCol w:w="2370"/>
        <w:gridCol w:w="1763"/>
      </w:tblGrid>
      <w:tr w:rsidR="002C77D5" w:rsidRPr="00AB2265" w:rsidTr="00F21D71">
        <w:tc>
          <w:tcPr>
            <w:tcW w:w="0" w:type="auto"/>
          </w:tcPr>
          <w:p w:rsidR="002C77D5" w:rsidRPr="00AB2265" w:rsidRDefault="002C77D5" w:rsidP="00F21D71">
            <w:pPr>
              <w:pStyle w:val="TableFigureCaption"/>
            </w:pPr>
            <w:r w:rsidRPr="00AB2265">
              <w:t>Name, restriction, manner of administration, form</w:t>
            </w:r>
          </w:p>
        </w:tc>
        <w:tc>
          <w:tcPr>
            <w:tcW w:w="976" w:type="dxa"/>
          </w:tcPr>
          <w:p w:rsidR="002C77D5" w:rsidRPr="00AB2265" w:rsidRDefault="002C77D5" w:rsidP="00F21D71">
            <w:pPr>
              <w:pStyle w:val="TableFigureCaption"/>
              <w:jc w:val="center"/>
            </w:pPr>
            <w:r w:rsidRPr="00AB2265">
              <w:t>Maximum quantity (packs)</w:t>
            </w:r>
          </w:p>
        </w:tc>
        <w:tc>
          <w:tcPr>
            <w:tcW w:w="973" w:type="dxa"/>
          </w:tcPr>
          <w:p w:rsidR="002C77D5" w:rsidRPr="00AB2265" w:rsidRDefault="002C77D5" w:rsidP="00F21D71">
            <w:pPr>
              <w:pStyle w:val="TableFigureCaption"/>
              <w:jc w:val="center"/>
            </w:pPr>
            <w:r w:rsidRPr="00AB2265">
              <w:t>Maximum quantity (units)</w:t>
            </w:r>
          </w:p>
        </w:tc>
        <w:tc>
          <w:tcPr>
            <w:tcW w:w="990" w:type="dxa"/>
          </w:tcPr>
          <w:p w:rsidR="002C77D5" w:rsidRPr="00AB2265" w:rsidRDefault="002C77D5" w:rsidP="00F21D71">
            <w:pPr>
              <w:pStyle w:val="TableFigureCaption"/>
              <w:jc w:val="center"/>
            </w:pPr>
            <w:r w:rsidRPr="00AB2265">
              <w:t>No. of repeats</w:t>
            </w:r>
          </w:p>
        </w:tc>
        <w:tc>
          <w:tcPr>
            <w:tcW w:w="2370" w:type="dxa"/>
          </w:tcPr>
          <w:p w:rsidR="002C77D5" w:rsidRPr="00AB2265" w:rsidRDefault="002C77D5" w:rsidP="00F21D71">
            <w:pPr>
              <w:pStyle w:val="TableFigureCaption"/>
              <w:jc w:val="center"/>
            </w:pPr>
            <w:r w:rsidRPr="00AB2265">
              <w:t>Published (effective)</w:t>
            </w:r>
          </w:p>
          <w:p w:rsidR="002C77D5" w:rsidRPr="00AB2265" w:rsidRDefault="002C77D5" w:rsidP="00F21D71">
            <w:pPr>
              <w:pStyle w:val="TableFigureCaption"/>
              <w:jc w:val="center"/>
            </w:pPr>
            <w:r w:rsidRPr="00AB2265">
              <w:t>Dispensed price for maximum quantity</w:t>
            </w:r>
          </w:p>
        </w:tc>
        <w:tc>
          <w:tcPr>
            <w:tcW w:w="0" w:type="auto"/>
          </w:tcPr>
          <w:p w:rsidR="002C77D5" w:rsidRPr="00AB2265" w:rsidRDefault="002C77D5" w:rsidP="00F21D71">
            <w:pPr>
              <w:pStyle w:val="TableFigureCaption"/>
              <w:jc w:val="center"/>
            </w:pPr>
            <w:r w:rsidRPr="00AB2265">
              <w:t>Proprietary name and manufacturer</w:t>
            </w:r>
          </w:p>
        </w:tc>
      </w:tr>
      <w:tr w:rsidR="002C77D5" w:rsidRPr="00AB2265" w:rsidTr="00F21D71">
        <w:tc>
          <w:tcPr>
            <w:tcW w:w="0" w:type="auto"/>
            <w:vAlign w:val="center"/>
          </w:tcPr>
          <w:p w:rsidR="002C77D5" w:rsidRPr="00AB2265" w:rsidRDefault="002C77D5" w:rsidP="00F21D71">
            <w:pPr>
              <w:pStyle w:val="TableText"/>
            </w:pPr>
            <w:r w:rsidRPr="00AB2265">
              <w:rPr>
                <w:smallCaps/>
              </w:rPr>
              <w:t>Caplacizumab</w:t>
            </w:r>
          </w:p>
          <w:p w:rsidR="002C77D5" w:rsidRPr="00AB2265" w:rsidRDefault="002C77D5" w:rsidP="00F21D71">
            <w:pPr>
              <w:pStyle w:val="TableText"/>
              <w:rPr>
                <w:b/>
              </w:rPr>
            </w:pPr>
            <w:r w:rsidRPr="00AB2265">
              <w:t>10 mg/mL, 1 x 10 mg powder for injection</w:t>
            </w:r>
          </w:p>
        </w:tc>
        <w:tc>
          <w:tcPr>
            <w:tcW w:w="976" w:type="dxa"/>
            <w:vAlign w:val="center"/>
          </w:tcPr>
          <w:p w:rsidR="002C77D5" w:rsidRPr="00AB2265" w:rsidRDefault="002C77D5" w:rsidP="00F21D71">
            <w:pPr>
              <w:pStyle w:val="TableText"/>
              <w:jc w:val="center"/>
              <w:rPr>
                <w:rFonts w:ascii="Times" w:hAnsi="Times"/>
              </w:rPr>
            </w:pPr>
            <w:r w:rsidRPr="00AB2265">
              <w:t>7</w:t>
            </w:r>
          </w:p>
        </w:tc>
        <w:tc>
          <w:tcPr>
            <w:tcW w:w="973" w:type="dxa"/>
            <w:vAlign w:val="center"/>
          </w:tcPr>
          <w:p w:rsidR="002C77D5" w:rsidRPr="00AB2265" w:rsidRDefault="002C77D5" w:rsidP="00F21D71">
            <w:pPr>
              <w:pStyle w:val="TableText"/>
              <w:jc w:val="center"/>
              <w:rPr>
                <w:rFonts w:ascii="Times" w:hAnsi="Times"/>
              </w:rPr>
            </w:pPr>
            <w:r w:rsidRPr="00AB2265">
              <w:t>7</w:t>
            </w:r>
          </w:p>
        </w:tc>
        <w:tc>
          <w:tcPr>
            <w:tcW w:w="990" w:type="dxa"/>
            <w:vAlign w:val="center"/>
          </w:tcPr>
          <w:p w:rsidR="002C77D5" w:rsidRPr="00AB2265" w:rsidRDefault="002C77D5" w:rsidP="00F21D71">
            <w:pPr>
              <w:pStyle w:val="TableText"/>
              <w:jc w:val="center"/>
              <w:rPr>
                <w:rFonts w:ascii="Times" w:hAnsi="Times"/>
              </w:rPr>
            </w:pPr>
            <w:r w:rsidRPr="00AB2265">
              <w:t>0</w:t>
            </w:r>
          </w:p>
        </w:tc>
        <w:tc>
          <w:tcPr>
            <w:tcW w:w="2370" w:type="dxa"/>
            <w:vAlign w:val="center"/>
          </w:tcPr>
          <w:p w:rsidR="002C77D5" w:rsidRPr="00AB2265" w:rsidRDefault="002C77D5" w:rsidP="00F21D71">
            <w:pPr>
              <w:pStyle w:val="TableText"/>
              <w:jc w:val="center"/>
            </w:pPr>
            <w:r w:rsidRPr="00AB2265">
              <w:t>$40,000.03 ($</w:t>
            </w:r>
            <w:r w:rsidR="003F618D">
              <w:rPr>
                <w:noProof/>
                <w:color w:val="000000"/>
                <w:highlight w:val="black"/>
              </w:rPr>
              <w:t>''''''''''''''''''''''''</w:t>
            </w:r>
            <w:r w:rsidRPr="00AB2265">
              <w:t xml:space="preserve">) </w:t>
            </w:r>
          </w:p>
          <w:p w:rsidR="002C77D5" w:rsidRPr="00AB2265" w:rsidRDefault="002C77D5" w:rsidP="00F21D71">
            <w:pPr>
              <w:pStyle w:val="TableText"/>
              <w:jc w:val="center"/>
            </w:pPr>
            <w:r w:rsidRPr="00AB2265">
              <w:t>$40,047.42 ($</w:t>
            </w:r>
            <w:r w:rsidR="003F618D">
              <w:rPr>
                <w:noProof/>
                <w:color w:val="000000"/>
                <w:highlight w:val="black"/>
              </w:rPr>
              <w:t>'''''''''''''''''''''''''</w:t>
            </w:r>
            <w:r w:rsidRPr="00AB2265">
              <w:t xml:space="preserve">) </w:t>
            </w:r>
          </w:p>
        </w:tc>
        <w:tc>
          <w:tcPr>
            <w:tcW w:w="0" w:type="auto"/>
            <w:vAlign w:val="center"/>
          </w:tcPr>
          <w:p w:rsidR="002C77D5" w:rsidRPr="00AB2265" w:rsidRDefault="002C77D5" w:rsidP="00F21D71">
            <w:pPr>
              <w:pStyle w:val="TableText"/>
            </w:pPr>
            <w:r w:rsidRPr="00AB2265">
              <w:t>Cablivi</w:t>
            </w:r>
            <w:r w:rsidRPr="00AB2265">
              <w:rPr>
                <w:vertAlign w:val="superscript"/>
              </w:rPr>
              <w:t>®</w:t>
            </w:r>
            <w:r w:rsidRPr="00AB2265">
              <w:t xml:space="preserve">, </w:t>
            </w:r>
          </w:p>
          <w:p w:rsidR="002C77D5" w:rsidRPr="00AB2265" w:rsidRDefault="002C77D5" w:rsidP="00F21D71">
            <w:pPr>
              <w:pStyle w:val="TableText"/>
              <w:rPr>
                <w:rFonts w:ascii="Times" w:hAnsi="Times"/>
              </w:rPr>
            </w:pPr>
            <w:r w:rsidRPr="00AB2265">
              <w:t>Sanofi-Aventis</w:t>
            </w:r>
          </w:p>
        </w:tc>
      </w:tr>
    </w:tbl>
    <w:p w:rsidR="002C77D5" w:rsidRPr="00AB2265" w:rsidRDefault="002C77D5" w:rsidP="002C77D5">
      <w:pPr>
        <w:pStyle w:val="TableFooter"/>
      </w:pPr>
      <w:r w:rsidRPr="00AB2265">
        <w:t>Source: Table 1.10, p.20 of the submission</w:t>
      </w:r>
    </w:p>
    <w:p w:rsidR="00E83E3B" w:rsidRDefault="00E83E3B" w:rsidP="00C979CC">
      <w:pPr>
        <w:pStyle w:val="Tableheadingrow"/>
        <w:rPr>
          <w:rFonts w:asciiTheme="minorHAnsi" w:hAnsiTheme="minorHAnsi" w:cstheme="minorHAnsi"/>
          <w:lang w:val="en-AU"/>
        </w:rPr>
      </w:pPr>
    </w:p>
    <w:p w:rsidR="00C979CC" w:rsidRPr="00E83E3B" w:rsidRDefault="00C979CC" w:rsidP="00C979CC">
      <w:pPr>
        <w:pStyle w:val="Tableheadingrow"/>
        <w:rPr>
          <w:rFonts w:cstheme="minorHAnsi"/>
          <w:lang w:val="en-AU"/>
        </w:rPr>
      </w:pPr>
      <w:r w:rsidRPr="00E83E3B">
        <w:rPr>
          <w:rFonts w:cstheme="minorHAnsi"/>
          <w:lang w:val="en-AU"/>
        </w:rPr>
        <w:t>Table 6: Requested listing continuing treatment an</w:t>
      </w:r>
      <w:r w:rsidR="00E83E3B" w:rsidRPr="00E83E3B">
        <w:rPr>
          <w:rFonts w:cstheme="minorHAnsi"/>
          <w:lang w:val="en-AU"/>
        </w:rPr>
        <w:t>d extended continuing treatment</w:t>
      </w:r>
    </w:p>
    <w:tbl>
      <w:tblPr>
        <w:tblStyle w:val="TableGrid1"/>
        <w:tblW w:w="0" w:type="auto"/>
        <w:tblLook w:val="04A0" w:firstRow="1" w:lastRow="0" w:firstColumn="1" w:lastColumn="0" w:noHBand="0" w:noVBand="1"/>
        <w:tblCaption w:val="Table 6: Requested listing continuing treatment and extended continuing treatment"/>
      </w:tblPr>
      <w:tblGrid>
        <w:gridCol w:w="1871"/>
        <w:gridCol w:w="7139"/>
        <w:gridCol w:w="6"/>
      </w:tblGrid>
      <w:tr w:rsidR="00C979CC" w:rsidRPr="00AB2265" w:rsidTr="00187C4E">
        <w:trPr>
          <w:gridAfter w:val="1"/>
          <w:wAfter w:w="6" w:type="dxa"/>
          <w:tblHeader/>
        </w:trPr>
        <w:tc>
          <w:tcPr>
            <w:tcW w:w="1871" w:type="dxa"/>
          </w:tcPr>
          <w:p w:rsidR="00C979CC" w:rsidRPr="00E83E3B" w:rsidRDefault="00C979CC" w:rsidP="001D0733">
            <w:pPr>
              <w:rPr>
                <w:rFonts w:ascii="Arial Narrow" w:eastAsia="Calibri" w:hAnsi="Arial Narrow" w:cs="Times New Roman"/>
                <w:b/>
                <w:sz w:val="20"/>
                <w:szCs w:val="20"/>
                <w:lang w:val="en-AU"/>
              </w:rPr>
            </w:pPr>
            <w:r w:rsidRPr="00E83E3B">
              <w:rPr>
                <w:rFonts w:ascii="Arial Narrow" w:eastAsia="Calibri" w:hAnsi="Arial Narrow" w:cs="Times New Roman"/>
                <w:b/>
                <w:sz w:val="20"/>
                <w:szCs w:val="20"/>
                <w:lang w:val="en-AU"/>
              </w:rPr>
              <w:t>Category/Program</w:t>
            </w:r>
          </w:p>
        </w:tc>
        <w:tc>
          <w:tcPr>
            <w:tcW w:w="7139" w:type="dxa"/>
          </w:tcPr>
          <w:p w:rsidR="00C979CC" w:rsidRPr="00E83E3B" w:rsidRDefault="00C979CC" w:rsidP="001D0733">
            <w:pPr>
              <w:rPr>
                <w:rFonts w:ascii="Arial Narrow" w:eastAsia="Calibri" w:hAnsi="Arial Narrow" w:cs="Times New Roman"/>
                <w:sz w:val="20"/>
                <w:szCs w:val="20"/>
                <w:lang w:val="en-AU"/>
              </w:rPr>
            </w:pPr>
            <w:r w:rsidRPr="00E83E3B">
              <w:rPr>
                <w:rFonts w:ascii="Arial Narrow" w:eastAsia="Calibri" w:hAnsi="Arial Narrow" w:cs="Times New Roman"/>
                <w:sz w:val="20"/>
                <w:szCs w:val="20"/>
                <w:lang w:val="en-AU"/>
              </w:rPr>
              <w:t>Section 100</w:t>
            </w:r>
            <w:r w:rsidR="00D23588" w:rsidRPr="00E83E3B">
              <w:rPr>
                <w:rFonts w:ascii="Arial Narrow" w:eastAsia="Calibri" w:hAnsi="Arial Narrow" w:cs="Times New Roman"/>
                <w:sz w:val="20"/>
                <w:szCs w:val="20"/>
                <w:lang w:val="en-AU"/>
              </w:rPr>
              <w:t xml:space="preserve"> HSD</w:t>
            </w:r>
          </w:p>
        </w:tc>
      </w:tr>
      <w:tr w:rsidR="00C979CC" w:rsidRPr="00AB2265" w:rsidTr="001D0733">
        <w:trPr>
          <w:gridAfter w:val="1"/>
          <w:wAfter w:w="6" w:type="dxa"/>
        </w:trPr>
        <w:tc>
          <w:tcPr>
            <w:tcW w:w="1871" w:type="dxa"/>
          </w:tcPr>
          <w:p w:rsidR="00C979CC" w:rsidRPr="00E83E3B" w:rsidRDefault="00C979CC" w:rsidP="001D0733">
            <w:pPr>
              <w:rPr>
                <w:rFonts w:ascii="Arial Narrow" w:eastAsia="Calibri" w:hAnsi="Arial Narrow" w:cs="Times New Roman"/>
                <w:b/>
                <w:sz w:val="20"/>
                <w:szCs w:val="20"/>
                <w:lang w:val="en-AU"/>
              </w:rPr>
            </w:pPr>
            <w:r w:rsidRPr="00E83E3B">
              <w:rPr>
                <w:rFonts w:ascii="Arial Narrow" w:eastAsia="Calibri" w:hAnsi="Arial Narrow" w:cs="Times New Roman"/>
                <w:b/>
                <w:sz w:val="20"/>
                <w:szCs w:val="20"/>
                <w:lang w:val="en-AU"/>
              </w:rPr>
              <w:t>Prescriber type</w:t>
            </w:r>
          </w:p>
        </w:tc>
        <w:tc>
          <w:tcPr>
            <w:tcW w:w="7139" w:type="dxa"/>
          </w:tcPr>
          <w:p w:rsidR="00C979CC" w:rsidRPr="00E83E3B" w:rsidRDefault="00187C4E" w:rsidP="00E83E3B">
            <w:pPr>
              <w:rPr>
                <w:rFonts w:ascii="Arial Narrow" w:eastAsia="Calibri" w:hAnsi="Arial Narrow" w:cs="Times New Roman"/>
                <w:sz w:val="20"/>
                <w:szCs w:val="20"/>
                <w:lang w:val="en-AU"/>
              </w:rPr>
            </w:pPr>
            <w:sdt>
              <w:sdtPr>
                <w:rPr>
                  <w:rFonts w:ascii="Arial Narrow" w:eastAsia="Calibri" w:hAnsi="Arial Narrow"/>
                  <w:sz w:val="20"/>
                  <w:szCs w:val="20"/>
                </w:rPr>
                <w:id w:val="484062948"/>
                <w14:checkbox>
                  <w14:checked w14:val="0"/>
                  <w14:checkedState w14:val="2612" w14:font="MS Gothic"/>
                  <w14:uncheckedState w14:val="2610" w14:font="MS Gothic"/>
                </w14:checkbox>
              </w:sdtPr>
              <w:sdtEndPr/>
              <w:sdtContent>
                <w:r w:rsidR="00C979CC" w:rsidRPr="00E83E3B">
                  <w:rPr>
                    <w:rFonts w:ascii="Segoe UI Symbol" w:eastAsia="Calibri" w:hAnsi="Segoe UI Symbol" w:cs="Segoe UI Symbol"/>
                    <w:sz w:val="20"/>
                    <w:szCs w:val="20"/>
                    <w:lang w:val="en-AU"/>
                  </w:rPr>
                  <w:t>☐</w:t>
                </w:r>
              </w:sdtContent>
            </w:sdt>
            <w:r w:rsidR="00C979CC" w:rsidRPr="00E83E3B">
              <w:rPr>
                <w:rFonts w:ascii="Arial Narrow" w:eastAsia="Calibri" w:hAnsi="Arial Narrow" w:cs="Times New Roman"/>
                <w:sz w:val="20"/>
                <w:szCs w:val="20"/>
                <w:lang w:val="en-AU"/>
              </w:rPr>
              <w:t xml:space="preserve">Dental </w:t>
            </w:r>
            <w:sdt>
              <w:sdtPr>
                <w:rPr>
                  <w:rFonts w:ascii="Arial Narrow" w:eastAsia="Calibri" w:hAnsi="Arial Narrow"/>
                  <w:sz w:val="20"/>
                  <w:szCs w:val="20"/>
                </w:rPr>
                <w:id w:val="746302324"/>
                <w14:checkbox>
                  <w14:checked w14:val="1"/>
                  <w14:checkedState w14:val="2612" w14:font="MS Gothic"/>
                  <w14:uncheckedState w14:val="2610" w14:font="MS Gothic"/>
                </w14:checkbox>
              </w:sdtPr>
              <w:sdtEndPr/>
              <w:sdtContent>
                <w:r w:rsidR="00C979CC" w:rsidRPr="00E83E3B">
                  <w:rPr>
                    <w:rFonts w:ascii="Segoe UI Symbol" w:eastAsia="Calibri" w:hAnsi="Segoe UI Symbol" w:cs="Segoe UI Symbol"/>
                    <w:sz w:val="20"/>
                    <w:szCs w:val="20"/>
                    <w:lang w:val="en-AU"/>
                  </w:rPr>
                  <w:t>☒</w:t>
                </w:r>
              </w:sdtContent>
            </w:sdt>
            <w:r w:rsidR="00C979CC" w:rsidRPr="00E83E3B">
              <w:rPr>
                <w:rFonts w:ascii="Arial Narrow" w:eastAsia="Calibri" w:hAnsi="Arial Narrow" w:cs="Times New Roman"/>
                <w:sz w:val="20"/>
                <w:szCs w:val="20"/>
                <w:lang w:val="en-AU"/>
              </w:rPr>
              <w:t xml:space="preserve">Medical practitioners </w:t>
            </w:r>
            <w:sdt>
              <w:sdtPr>
                <w:rPr>
                  <w:rFonts w:ascii="Arial Narrow" w:eastAsia="Calibri" w:hAnsi="Arial Narrow"/>
                  <w:sz w:val="20"/>
                  <w:szCs w:val="20"/>
                </w:rPr>
                <w:id w:val="-149671921"/>
                <w14:checkbox>
                  <w14:checked w14:val="0"/>
                  <w14:checkedState w14:val="2612" w14:font="MS Gothic"/>
                  <w14:uncheckedState w14:val="2610" w14:font="MS Gothic"/>
                </w14:checkbox>
              </w:sdtPr>
              <w:sdtEndPr/>
              <w:sdtContent>
                <w:r w:rsidR="00C979CC" w:rsidRPr="00E83E3B">
                  <w:rPr>
                    <w:rFonts w:ascii="Segoe UI Symbol" w:eastAsia="Calibri" w:hAnsi="Segoe UI Symbol" w:cs="Segoe UI Symbol"/>
                    <w:sz w:val="20"/>
                    <w:szCs w:val="20"/>
                    <w:lang w:val="en-AU"/>
                  </w:rPr>
                  <w:t>☐</w:t>
                </w:r>
              </w:sdtContent>
            </w:sdt>
            <w:r w:rsidR="00C979CC" w:rsidRPr="00E83E3B">
              <w:rPr>
                <w:rFonts w:ascii="Arial Narrow" w:eastAsia="Calibri" w:hAnsi="Arial Narrow" w:cs="Times New Roman"/>
                <w:sz w:val="20"/>
                <w:szCs w:val="20"/>
                <w:lang w:val="en-AU"/>
              </w:rPr>
              <w:t xml:space="preserve">Nurse practitioners </w:t>
            </w:r>
            <w:sdt>
              <w:sdtPr>
                <w:rPr>
                  <w:rFonts w:ascii="Arial Narrow" w:eastAsia="Calibri" w:hAnsi="Arial Narrow"/>
                  <w:sz w:val="20"/>
                  <w:szCs w:val="20"/>
                </w:rPr>
                <w:id w:val="-189760787"/>
                <w14:checkbox>
                  <w14:checked w14:val="0"/>
                  <w14:checkedState w14:val="2612" w14:font="MS Gothic"/>
                  <w14:uncheckedState w14:val="2610" w14:font="MS Gothic"/>
                </w14:checkbox>
              </w:sdtPr>
              <w:sdtEndPr/>
              <w:sdtContent>
                <w:r w:rsidR="00C979CC" w:rsidRPr="00E83E3B">
                  <w:rPr>
                    <w:rFonts w:ascii="Segoe UI Symbol" w:eastAsia="Calibri" w:hAnsi="Segoe UI Symbol" w:cs="Segoe UI Symbol"/>
                    <w:sz w:val="20"/>
                    <w:szCs w:val="20"/>
                    <w:lang w:val="en-AU"/>
                  </w:rPr>
                  <w:t>☐</w:t>
                </w:r>
              </w:sdtContent>
            </w:sdt>
            <w:r w:rsidR="00C979CC" w:rsidRPr="00E83E3B">
              <w:rPr>
                <w:rFonts w:ascii="Arial Narrow" w:eastAsia="Calibri" w:hAnsi="Arial Narrow" w:cs="Times New Roman"/>
                <w:sz w:val="20"/>
                <w:szCs w:val="20"/>
                <w:lang w:val="en-AU"/>
              </w:rPr>
              <w:t xml:space="preserve">Optometrists </w:t>
            </w:r>
            <w:sdt>
              <w:sdtPr>
                <w:rPr>
                  <w:rFonts w:ascii="Arial Narrow" w:eastAsia="Calibri" w:hAnsi="Arial Narrow"/>
                  <w:sz w:val="20"/>
                  <w:szCs w:val="20"/>
                </w:rPr>
                <w:id w:val="574473860"/>
                <w14:checkbox>
                  <w14:checked w14:val="0"/>
                  <w14:checkedState w14:val="2612" w14:font="MS Gothic"/>
                  <w14:uncheckedState w14:val="2610" w14:font="MS Gothic"/>
                </w14:checkbox>
              </w:sdtPr>
              <w:sdtEndPr/>
              <w:sdtContent>
                <w:r w:rsidR="00C979CC" w:rsidRPr="00E83E3B">
                  <w:rPr>
                    <w:rFonts w:ascii="Segoe UI Symbol" w:eastAsia="Calibri" w:hAnsi="Segoe UI Symbol" w:cs="Segoe UI Symbol"/>
                    <w:sz w:val="20"/>
                    <w:szCs w:val="20"/>
                    <w:lang w:val="en-AU"/>
                  </w:rPr>
                  <w:t>☐</w:t>
                </w:r>
              </w:sdtContent>
            </w:sdt>
            <w:r w:rsidR="00C979CC" w:rsidRPr="00E83E3B">
              <w:rPr>
                <w:rFonts w:ascii="Arial Narrow" w:eastAsia="Calibri" w:hAnsi="Arial Narrow" w:cs="Times New Roman"/>
                <w:sz w:val="20"/>
                <w:szCs w:val="20"/>
                <w:lang w:val="en-AU"/>
              </w:rPr>
              <w:t>Midwives</w:t>
            </w:r>
          </w:p>
        </w:tc>
      </w:tr>
      <w:tr w:rsidR="00C979CC" w:rsidRPr="00AB2265" w:rsidTr="001D0733">
        <w:trPr>
          <w:gridAfter w:val="1"/>
          <w:wAfter w:w="6" w:type="dxa"/>
        </w:trPr>
        <w:tc>
          <w:tcPr>
            <w:tcW w:w="1871" w:type="dxa"/>
          </w:tcPr>
          <w:p w:rsidR="00C979CC" w:rsidRPr="00E83E3B" w:rsidRDefault="00C979CC" w:rsidP="001D0733">
            <w:pPr>
              <w:rPr>
                <w:rFonts w:ascii="Arial Narrow" w:eastAsia="Calibri" w:hAnsi="Arial Narrow" w:cs="Times New Roman"/>
                <w:b/>
                <w:sz w:val="20"/>
                <w:szCs w:val="20"/>
                <w:lang w:val="en-AU"/>
              </w:rPr>
            </w:pPr>
            <w:r w:rsidRPr="00E83E3B">
              <w:rPr>
                <w:rFonts w:ascii="Arial Narrow" w:eastAsia="Calibri" w:hAnsi="Arial Narrow" w:cs="Times New Roman"/>
                <w:b/>
                <w:sz w:val="20"/>
                <w:szCs w:val="20"/>
                <w:lang w:val="en-AU"/>
              </w:rPr>
              <w:t>Episodicity</w:t>
            </w:r>
          </w:p>
        </w:tc>
        <w:tc>
          <w:tcPr>
            <w:tcW w:w="7139" w:type="dxa"/>
          </w:tcPr>
          <w:p w:rsidR="00C979CC" w:rsidRPr="00E83E3B" w:rsidRDefault="00C979CC" w:rsidP="001D0733">
            <w:pPr>
              <w:rPr>
                <w:rFonts w:ascii="Arial Narrow" w:eastAsia="Calibri" w:hAnsi="Arial Narrow" w:cs="Times New Roman"/>
                <w:sz w:val="20"/>
                <w:szCs w:val="20"/>
                <w:lang w:val="en-AU"/>
              </w:rPr>
            </w:pPr>
            <w:r w:rsidRPr="00E83E3B">
              <w:rPr>
                <w:rFonts w:ascii="Arial Narrow" w:eastAsia="Calibri" w:hAnsi="Arial Narrow" w:cs="Times New Roman"/>
                <w:sz w:val="20"/>
                <w:szCs w:val="20"/>
                <w:lang w:val="en-AU"/>
              </w:rPr>
              <w:t>Acute</w:t>
            </w:r>
          </w:p>
        </w:tc>
      </w:tr>
      <w:tr w:rsidR="00C979CC" w:rsidRPr="00AB2265" w:rsidTr="001D0733">
        <w:trPr>
          <w:gridAfter w:val="1"/>
          <w:wAfter w:w="6" w:type="dxa"/>
        </w:trPr>
        <w:tc>
          <w:tcPr>
            <w:tcW w:w="1871" w:type="dxa"/>
          </w:tcPr>
          <w:p w:rsidR="00C979CC" w:rsidRPr="00E83E3B" w:rsidRDefault="00C979CC" w:rsidP="001D0733">
            <w:pPr>
              <w:rPr>
                <w:rFonts w:ascii="Arial Narrow" w:eastAsia="Calibri" w:hAnsi="Arial Narrow" w:cs="Times New Roman"/>
                <w:b/>
                <w:sz w:val="20"/>
                <w:szCs w:val="20"/>
                <w:lang w:val="en-AU"/>
              </w:rPr>
            </w:pPr>
            <w:r w:rsidRPr="00E83E3B">
              <w:rPr>
                <w:rFonts w:ascii="Arial Narrow" w:eastAsia="Calibri" w:hAnsi="Arial Narrow" w:cs="Times New Roman"/>
                <w:b/>
                <w:sz w:val="20"/>
                <w:szCs w:val="20"/>
                <w:lang w:val="en-AU"/>
              </w:rPr>
              <w:t>Severity</w:t>
            </w:r>
          </w:p>
        </w:tc>
        <w:tc>
          <w:tcPr>
            <w:tcW w:w="7139" w:type="dxa"/>
          </w:tcPr>
          <w:p w:rsidR="00C979CC" w:rsidRPr="00E83E3B" w:rsidRDefault="00C979CC" w:rsidP="001D0733">
            <w:pPr>
              <w:rPr>
                <w:rFonts w:ascii="Arial Narrow" w:eastAsia="Calibri" w:hAnsi="Arial Narrow" w:cs="Times New Roman"/>
                <w:sz w:val="20"/>
                <w:szCs w:val="20"/>
                <w:lang w:val="en-AU"/>
              </w:rPr>
            </w:pPr>
            <w:r w:rsidRPr="00E83E3B">
              <w:rPr>
                <w:rFonts w:ascii="Arial Narrow" w:eastAsia="Calibri" w:hAnsi="Arial Narrow" w:cs="Times New Roman"/>
                <w:sz w:val="20"/>
                <w:szCs w:val="20"/>
                <w:lang w:val="en-AU"/>
              </w:rPr>
              <w:t>Not applicable</w:t>
            </w:r>
          </w:p>
        </w:tc>
      </w:tr>
      <w:tr w:rsidR="00C979CC" w:rsidRPr="00AB2265" w:rsidTr="001D0733">
        <w:trPr>
          <w:gridAfter w:val="1"/>
          <w:wAfter w:w="6" w:type="dxa"/>
        </w:trPr>
        <w:tc>
          <w:tcPr>
            <w:tcW w:w="1871" w:type="dxa"/>
          </w:tcPr>
          <w:p w:rsidR="00C979CC" w:rsidRPr="00E83E3B" w:rsidRDefault="00C979CC" w:rsidP="001D0733">
            <w:pPr>
              <w:rPr>
                <w:rFonts w:ascii="Arial Narrow" w:eastAsia="Calibri" w:hAnsi="Arial Narrow" w:cs="Times New Roman"/>
                <w:b/>
                <w:sz w:val="20"/>
                <w:szCs w:val="20"/>
                <w:lang w:val="en-AU"/>
              </w:rPr>
            </w:pPr>
            <w:r w:rsidRPr="00E83E3B">
              <w:rPr>
                <w:rFonts w:ascii="Arial Narrow" w:eastAsia="Calibri" w:hAnsi="Arial Narrow" w:cs="Times New Roman"/>
                <w:b/>
                <w:sz w:val="20"/>
                <w:szCs w:val="20"/>
                <w:lang w:val="en-AU"/>
              </w:rPr>
              <w:t>Condition</w:t>
            </w:r>
          </w:p>
        </w:tc>
        <w:tc>
          <w:tcPr>
            <w:tcW w:w="7139" w:type="dxa"/>
          </w:tcPr>
          <w:p w:rsidR="00C979CC" w:rsidRPr="00E83E3B" w:rsidRDefault="00C979CC" w:rsidP="001D0733">
            <w:pPr>
              <w:rPr>
                <w:rFonts w:ascii="Arial Narrow" w:eastAsia="Calibri" w:hAnsi="Arial Narrow" w:cs="Times New Roman"/>
                <w:sz w:val="20"/>
                <w:szCs w:val="20"/>
                <w:lang w:val="en-AU"/>
              </w:rPr>
            </w:pPr>
            <w:r w:rsidRPr="00E83E3B">
              <w:rPr>
                <w:rFonts w:ascii="Arial Narrow" w:eastAsia="Calibri" w:hAnsi="Arial Narrow" w:cs="Times New Roman"/>
                <w:sz w:val="20"/>
                <w:szCs w:val="20"/>
                <w:lang w:val="en-AU"/>
              </w:rPr>
              <w:t>Acquired thrombotic thrombocytopenic purpura</w:t>
            </w:r>
          </w:p>
        </w:tc>
      </w:tr>
      <w:tr w:rsidR="00C979CC" w:rsidRPr="00AB2265" w:rsidTr="001D0733">
        <w:trPr>
          <w:gridAfter w:val="1"/>
          <w:wAfter w:w="6" w:type="dxa"/>
        </w:trPr>
        <w:tc>
          <w:tcPr>
            <w:tcW w:w="1871" w:type="dxa"/>
          </w:tcPr>
          <w:p w:rsidR="00C979CC" w:rsidRPr="00E83E3B" w:rsidRDefault="00C979CC" w:rsidP="001D0733">
            <w:pPr>
              <w:rPr>
                <w:rFonts w:ascii="Arial Narrow" w:eastAsia="Calibri" w:hAnsi="Arial Narrow" w:cs="Times New Roman"/>
                <w:b/>
                <w:sz w:val="20"/>
                <w:szCs w:val="20"/>
                <w:lang w:val="en-AU"/>
              </w:rPr>
            </w:pPr>
            <w:r w:rsidRPr="00E83E3B">
              <w:rPr>
                <w:rFonts w:ascii="Arial Narrow" w:eastAsia="Calibri" w:hAnsi="Arial Narrow" w:cs="Times New Roman"/>
                <w:b/>
                <w:sz w:val="20"/>
                <w:szCs w:val="20"/>
                <w:lang w:val="en-AU"/>
              </w:rPr>
              <w:t>PBS indication</w:t>
            </w:r>
          </w:p>
        </w:tc>
        <w:tc>
          <w:tcPr>
            <w:tcW w:w="7139" w:type="dxa"/>
          </w:tcPr>
          <w:p w:rsidR="00C979CC" w:rsidRPr="00E83E3B" w:rsidRDefault="00C979CC" w:rsidP="001D0733">
            <w:pPr>
              <w:rPr>
                <w:rFonts w:ascii="Arial Narrow" w:eastAsia="Calibri" w:hAnsi="Arial Narrow" w:cs="Times New Roman"/>
                <w:sz w:val="20"/>
                <w:szCs w:val="20"/>
                <w:lang w:val="en-AU"/>
              </w:rPr>
            </w:pPr>
            <w:r w:rsidRPr="00E83E3B">
              <w:rPr>
                <w:rFonts w:ascii="Arial Narrow" w:eastAsia="Calibri" w:hAnsi="Arial Narrow" w:cs="Times New Roman"/>
                <w:sz w:val="20"/>
                <w:szCs w:val="20"/>
                <w:lang w:val="en-AU"/>
              </w:rPr>
              <w:t>Acquired thrombotic thrombocytopenic purpura</w:t>
            </w:r>
          </w:p>
        </w:tc>
      </w:tr>
      <w:tr w:rsidR="00C979CC" w:rsidRPr="00AB2265" w:rsidTr="001D0733">
        <w:trPr>
          <w:gridAfter w:val="1"/>
          <w:wAfter w:w="6" w:type="dxa"/>
        </w:trPr>
        <w:tc>
          <w:tcPr>
            <w:tcW w:w="1871" w:type="dxa"/>
          </w:tcPr>
          <w:p w:rsidR="00C979CC" w:rsidRPr="00E83E3B" w:rsidRDefault="00C979CC" w:rsidP="001D0733">
            <w:pPr>
              <w:rPr>
                <w:rFonts w:ascii="Arial Narrow" w:eastAsia="Calibri" w:hAnsi="Arial Narrow" w:cs="Times New Roman"/>
                <w:b/>
                <w:sz w:val="20"/>
                <w:szCs w:val="20"/>
                <w:lang w:val="en-AU"/>
              </w:rPr>
            </w:pPr>
            <w:r w:rsidRPr="00E83E3B">
              <w:rPr>
                <w:rFonts w:ascii="Arial Narrow" w:eastAsia="Calibri" w:hAnsi="Arial Narrow" w:cs="Times New Roman"/>
                <w:b/>
                <w:sz w:val="20"/>
                <w:szCs w:val="20"/>
                <w:lang w:val="en-AU"/>
              </w:rPr>
              <w:t>Treatment phase</w:t>
            </w:r>
          </w:p>
        </w:tc>
        <w:tc>
          <w:tcPr>
            <w:tcW w:w="7139" w:type="dxa"/>
          </w:tcPr>
          <w:p w:rsidR="00C979CC" w:rsidRPr="00E83E3B" w:rsidRDefault="00C979CC" w:rsidP="001D0733">
            <w:pPr>
              <w:rPr>
                <w:rFonts w:ascii="Arial Narrow" w:eastAsia="Calibri" w:hAnsi="Arial Narrow" w:cs="Times New Roman"/>
                <w:sz w:val="20"/>
                <w:szCs w:val="20"/>
                <w:lang w:val="en-AU"/>
              </w:rPr>
            </w:pPr>
            <w:r w:rsidRPr="00E83E3B">
              <w:rPr>
                <w:rFonts w:ascii="Arial Narrow" w:eastAsia="Calibri" w:hAnsi="Arial Narrow" w:cs="Times New Roman"/>
                <w:sz w:val="20"/>
                <w:szCs w:val="20"/>
                <w:lang w:val="en-AU"/>
              </w:rPr>
              <w:t>Continuing treatment</w:t>
            </w:r>
          </w:p>
        </w:tc>
      </w:tr>
      <w:tr w:rsidR="00C979CC" w:rsidRPr="00AB2265" w:rsidTr="001D0733">
        <w:trPr>
          <w:gridAfter w:val="1"/>
          <w:wAfter w:w="6" w:type="dxa"/>
        </w:trPr>
        <w:tc>
          <w:tcPr>
            <w:tcW w:w="1871" w:type="dxa"/>
          </w:tcPr>
          <w:p w:rsidR="00C979CC" w:rsidRPr="00E83E3B" w:rsidRDefault="00C979CC" w:rsidP="001D0733">
            <w:pPr>
              <w:rPr>
                <w:rFonts w:ascii="Arial Narrow" w:eastAsia="Calibri" w:hAnsi="Arial Narrow" w:cs="Times New Roman"/>
                <w:b/>
                <w:sz w:val="20"/>
                <w:szCs w:val="20"/>
                <w:lang w:val="en-AU"/>
              </w:rPr>
            </w:pPr>
            <w:r w:rsidRPr="00E83E3B">
              <w:rPr>
                <w:rFonts w:ascii="Arial Narrow" w:eastAsia="Calibri" w:hAnsi="Arial Narrow" w:cs="Times New Roman"/>
                <w:b/>
                <w:sz w:val="20"/>
                <w:szCs w:val="20"/>
                <w:lang w:val="en-AU"/>
              </w:rPr>
              <w:t>Restriction level/Method</w:t>
            </w:r>
          </w:p>
        </w:tc>
        <w:tc>
          <w:tcPr>
            <w:tcW w:w="7139" w:type="dxa"/>
          </w:tcPr>
          <w:p w:rsidR="00C979CC" w:rsidRPr="00E83E3B" w:rsidRDefault="00187C4E" w:rsidP="001D0733">
            <w:pPr>
              <w:rPr>
                <w:rFonts w:ascii="Arial Narrow" w:eastAsia="Calibri" w:hAnsi="Arial Narrow" w:cs="Times New Roman"/>
                <w:sz w:val="20"/>
                <w:szCs w:val="20"/>
                <w:lang w:val="en-AU"/>
              </w:rPr>
            </w:pPr>
            <w:sdt>
              <w:sdtPr>
                <w:rPr>
                  <w:rFonts w:ascii="Arial Narrow" w:eastAsia="Calibri" w:hAnsi="Arial Narrow"/>
                  <w:sz w:val="20"/>
                  <w:szCs w:val="20"/>
                </w:rPr>
                <w:id w:val="526994391"/>
                <w14:checkbox>
                  <w14:checked w14:val="0"/>
                  <w14:checkedState w14:val="2612" w14:font="MS Gothic"/>
                  <w14:uncheckedState w14:val="2610" w14:font="MS Gothic"/>
                </w14:checkbox>
              </w:sdtPr>
              <w:sdtEndPr/>
              <w:sdtContent>
                <w:r w:rsidR="00C979CC" w:rsidRPr="00E83E3B">
                  <w:rPr>
                    <w:rFonts w:ascii="Segoe UI Symbol" w:eastAsia="Calibri" w:hAnsi="Segoe UI Symbol" w:cs="Segoe UI Symbol"/>
                    <w:sz w:val="20"/>
                    <w:szCs w:val="20"/>
                    <w:lang w:val="en-AU"/>
                  </w:rPr>
                  <w:t>☐</w:t>
                </w:r>
              </w:sdtContent>
            </w:sdt>
            <w:r w:rsidR="00C979CC" w:rsidRPr="00E83E3B">
              <w:rPr>
                <w:rFonts w:ascii="Arial Narrow" w:eastAsia="Calibri" w:hAnsi="Arial Narrow" w:cs="Times New Roman"/>
                <w:sz w:val="20"/>
                <w:szCs w:val="20"/>
                <w:lang w:val="en-AU"/>
              </w:rPr>
              <w:t>Restricted benefit</w:t>
            </w:r>
          </w:p>
          <w:p w:rsidR="00C979CC" w:rsidRPr="00E83E3B" w:rsidRDefault="00187C4E" w:rsidP="001D0733">
            <w:pPr>
              <w:rPr>
                <w:rFonts w:ascii="Arial Narrow" w:eastAsia="Calibri" w:hAnsi="Arial Narrow" w:cs="Times New Roman"/>
                <w:sz w:val="20"/>
                <w:szCs w:val="20"/>
                <w:lang w:val="en-AU"/>
              </w:rPr>
            </w:pPr>
            <w:sdt>
              <w:sdtPr>
                <w:rPr>
                  <w:rFonts w:ascii="Arial Narrow" w:eastAsia="Calibri" w:hAnsi="Arial Narrow"/>
                  <w:sz w:val="20"/>
                  <w:szCs w:val="20"/>
                </w:rPr>
                <w:id w:val="-714121184"/>
                <w14:checkbox>
                  <w14:checked w14:val="0"/>
                  <w14:checkedState w14:val="2612" w14:font="MS Gothic"/>
                  <w14:uncheckedState w14:val="2610" w14:font="MS Gothic"/>
                </w14:checkbox>
              </w:sdtPr>
              <w:sdtEndPr/>
              <w:sdtContent>
                <w:r w:rsidR="00C979CC" w:rsidRPr="00E83E3B">
                  <w:rPr>
                    <w:rFonts w:ascii="Segoe UI Symbol" w:eastAsia="Calibri" w:hAnsi="Segoe UI Symbol" w:cs="Segoe UI Symbol"/>
                    <w:sz w:val="20"/>
                    <w:szCs w:val="20"/>
                    <w:lang w:val="en-AU"/>
                  </w:rPr>
                  <w:t>☐</w:t>
                </w:r>
              </w:sdtContent>
            </w:sdt>
            <w:r w:rsidR="00C979CC" w:rsidRPr="00E83E3B">
              <w:rPr>
                <w:rFonts w:ascii="Arial Narrow" w:eastAsia="Calibri" w:hAnsi="Arial Narrow" w:cs="Times New Roman"/>
                <w:sz w:val="20"/>
                <w:szCs w:val="20"/>
                <w:lang w:val="en-AU"/>
              </w:rPr>
              <w:t>Authority required – In writing</w:t>
            </w:r>
          </w:p>
          <w:p w:rsidR="00C979CC" w:rsidRPr="00E83E3B" w:rsidRDefault="00187C4E" w:rsidP="001D0733">
            <w:pPr>
              <w:rPr>
                <w:rFonts w:ascii="Arial Narrow" w:eastAsia="Calibri" w:hAnsi="Arial Narrow" w:cs="Times New Roman"/>
                <w:sz w:val="20"/>
                <w:szCs w:val="20"/>
                <w:lang w:val="en-AU"/>
              </w:rPr>
            </w:pPr>
            <w:sdt>
              <w:sdtPr>
                <w:rPr>
                  <w:rFonts w:ascii="Arial Narrow" w:eastAsia="Calibri" w:hAnsi="Arial Narrow"/>
                  <w:sz w:val="20"/>
                  <w:szCs w:val="20"/>
                </w:rPr>
                <w:id w:val="254568261"/>
                <w14:checkbox>
                  <w14:checked w14:val="1"/>
                  <w14:checkedState w14:val="2612" w14:font="MS Gothic"/>
                  <w14:uncheckedState w14:val="2610" w14:font="MS Gothic"/>
                </w14:checkbox>
              </w:sdtPr>
              <w:sdtEndPr/>
              <w:sdtContent>
                <w:r w:rsidR="00C979CC" w:rsidRPr="00E83E3B">
                  <w:rPr>
                    <w:rFonts w:ascii="Segoe UI Symbol" w:eastAsia="Calibri" w:hAnsi="Segoe UI Symbol" w:cs="Segoe UI Symbol"/>
                    <w:sz w:val="20"/>
                    <w:szCs w:val="20"/>
                    <w:lang w:val="en-AU"/>
                  </w:rPr>
                  <w:t>☒</w:t>
                </w:r>
              </w:sdtContent>
            </w:sdt>
            <w:r w:rsidR="00C979CC" w:rsidRPr="00E83E3B">
              <w:rPr>
                <w:rFonts w:ascii="Arial Narrow" w:eastAsia="Calibri" w:hAnsi="Arial Narrow" w:cs="Times New Roman"/>
                <w:sz w:val="20"/>
                <w:szCs w:val="20"/>
                <w:lang w:val="en-AU"/>
              </w:rPr>
              <w:t>Authority required – Telephone</w:t>
            </w:r>
          </w:p>
          <w:p w:rsidR="00C979CC" w:rsidRPr="00E83E3B" w:rsidRDefault="00187C4E" w:rsidP="001D0733">
            <w:pPr>
              <w:rPr>
                <w:rFonts w:ascii="Arial Narrow" w:eastAsia="Calibri" w:hAnsi="Arial Narrow" w:cs="Times New Roman"/>
                <w:sz w:val="20"/>
                <w:szCs w:val="20"/>
                <w:lang w:val="en-AU"/>
              </w:rPr>
            </w:pPr>
            <w:sdt>
              <w:sdtPr>
                <w:rPr>
                  <w:rFonts w:ascii="Arial Narrow" w:eastAsia="Calibri" w:hAnsi="Arial Narrow"/>
                  <w:sz w:val="20"/>
                  <w:szCs w:val="20"/>
                </w:rPr>
                <w:id w:val="369433438"/>
                <w14:checkbox>
                  <w14:checked w14:val="0"/>
                  <w14:checkedState w14:val="2612" w14:font="MS Gothic"/>
                  <w14:uncheckedState w14:val="2610" w14:font="MS Gothic"/>
                </w14:checkbox>
              </w:sdtPr>
              <w:sdtEndPr/>
              <w:sdtContent>
                <w:r w:rsidR="00C979CC" w:rsidRPr="00E83E3B">
                  <w:rPr>
                    <w:rFonts w:ascii="Segoe UI Symbol" w:eastAsia="Calibri" w:hAnsi="Segoe UI Symbol" w:cs="Segoe UI Symbol"/>
                    <w:sz w:val="20"/>
                    <w:szCs w:val="20"/>
                    <w:lang w:val="en-AU"/>
                  </w:rPr>
                  <w:t>☐</w:t>
                </w:r>
              </w:sdtContent>
            </w:sdt>
            <w:r w:rsidR="00C979CC" w:rsidRPr="00E83E3B">
              <w:rPr>
                <w:rFonts w:ascii="Arial Narrow" w:eastAsia="Calibri" w:hAnsi="Arial Narrow" w:cs="Times New Roman"/>
                <w:sz w:val="20"/>
                <w:szCs w:val="20"/>
                <w:lang w:val="en-AU"/>
              </w:rPr>
              <w:t xml:space="preserve"> Authority required – Emergency</w:t>
            </w:r>
          </w:p>
          <w:p w:rsidR="00C979CC" w:rsidRPr="00E83E3B" w:rsidRDefault="00187C4E" w:rsidP="001D0733">
            <w:pPr>
              <w:rPr>
                <w:rFonts w:ascii="Arial Narrow" w:eastAsia="Calibri" w:hAnsi="Arial Narrow" w:cs="Times New Roman"/>
                <w:sz w:val="20"/>
                <w:szCs w:val="20"/>
                <w:lang w:val="en-AU"/>
              </w:rPr>
            </w:pPr>
            <w:sdt>
              <w:sdtPr>
                <w:rPr>
                  <w:rFonts w:ascii="Arial Narrow" w:eastAsia="Calibri" w:hAnsi="Arial Narrow"/>
                  <w:sz w:val="20"/>
                  <w:szCs w:val="20"/>
                </w:rPr>
                <w:id w:val="711160626"/>
                <w14:checkbox>
                  <w14:checked w14:val="0"/>
                  <w14:checkedState w14:val="2612" w14:font="MS Gothic"/>
                  <w14:uncheckedState w14:val="2610" w14:font="MS Gothic"/>
                </w14:checkbox>
              </w:sdtPr>
              <w:sdtEndPr/>
              <w:sdtContent>
                <w:r w:rsidR="00C979CC" w:rsidRPr="00E83E3B">
                  <w:rPr>
                    <w:rFonts w:ascii="Segoe UI Symbol" w:eastAsia="Calibri" w:hAnsi="Segoe UI Symbol" w:cs="Segoe UI Symbol"/>
                    <w:sz w:val="20"/>
                    <w:szCs w:val="20"/>
                    <w:lang w:val="en-AU"/>
                  </w:rPr>
                  <w:t>☐</w:t>
                </w:r>
              </w:sdtContent>
            </w:sdt>
            <w:r w:rsidR="00C979CC" w:rsidRPr="00E83E3B">
              <w:rPr>
                <w:rFonts w:ascii="Arial Narrow" w:eastAsia="Calibri" w:hAnsi="Arial Narrow" w:cs="Times New Roman"/>
                <w:sz w:val="20"/>
                <w:szCs w:val="20"/>
                <w:lang w:val="en-AU"/>
              </w:rPr>
              <w:t xml:space="preserve"> Authority required – Electronic</w:t>
            </w:r>
          </w:p>
          <w:p w:rsidR="00C979CC" w:rsidRPr="00E83E3B" w:rsidRDefault="00187C4E" w:rsidP="001D0733">
            <w:pPr>
              <w:rPr>
                <w:rFonts w:ascii="Arial Narrow" w:eastAsia="Calibri" w:hAnsi="Arial Narrow" w:cs="Times New Roman"/>
                <w:sz w:val="20"/>
                <w:szCs w:val="20"/>
                <w:lang w:val="en-AU"/>
              </w:rPr>
            </w:pPr>
            <w:sdt>
              <w:sdtPr>
                <w:rPr>
                  <w:rFonts w:ascii="Arial Narrow" w:eastAsia="Calibri" w:hAnsi="Arial Narrow"/>
                  <w:sz w:val="20"/>
                  <w:szCs w:val="20"/>
                </w:rPr>
                <w:id w:val="-1697000931"/>
                <w14:checkbox>
                  <w14:checked w14:val="0"/>
                  <w14:checkedState w14:val="2612" w14:font="MS Gothic"/>
                  <w14:uncheckedState w14:val="2610" w14:font="MS Gothic"/>
                </w14:checkbox>
              </w:sdtPr>
              <w:sdtEndPr/>
              <w:sdtContent>
                <w:r w:rsidR="00C979CC" w:rsidRPr="00E83E3B">
                  <w:rPr>
                    <w:rFonts w:ascii="Segoe UI Symbol" w:eastAsia="Calibri" w:hAnsi="Segoe UI Symbol" w:cs="Segoe UI Symbol"/>
                    <w:sz w:val="20"/>
                    <w:szCs w:val="20"/>
                    <w:lang w:val="en-AU"/>
                  </w:rPr>
                  <w:t>☐</w:t>
                </w:r>
              </w:sdtContent>
            </w:sdt>
            <w:r w:rsidR="00C979CC" w:rsidRPr="00E83E3B">
              <w:rPr>
                <w:rFonts w:ascii="Arial Narrow" w:eastAsia="Calibri" w:hAnsi="Arial Narrow" w:cs="Times New Roman"/>
                <w:sz w:val="20"/>
                <w:szCs w:val="20"/>
                <w:lang w:val="en-AU"/>
              </w:rPr>
              <w:t>Streamlined</w:t>
            </w:r>
            <w:bookmarkStart w:id="10" w:name="_GoBack"/>
            <w:bookmarkEnd w:id="10"/>
          </w:p>
        </w:tc>
      </w:tr>
      <w:tr w:rsidR="00C979CC" w:rsidRPr="00AB2265" w:rsidTr="001D0733">
        <w:trPr>
          <w:gridAfter w:val="1"/>
          <w:wAfter w:w="6" w:type="dxa"/>
        </w:trPr>
        <w:tc>
          <w:tcPr>
            <w:tcW w:w="1871" w:type="dxa"/>
          </w:tcPr>
          <w:p w:rsidR="00C979CC" w:rsidRPr="00E83E3B" w:rsidRDefault="00C979CC" w:rsidP="001D0733">
            <w:pPr>
              <w:rPr>
                <w:rFonts w:ascii="Arial Narrow" w:eastAsia="Calibri" w:hAnsi="Arial Narrow" w:cs="Times New Roman"/>
                <w:b/>
                <w:sz w:val="20"/>
                <w:szCs w:val="20"/>
                <w:lang w:val="en-AU"/>
              </w:rPr>
            </w:pPr>
            <w:r w:rsidRPr="00E83E3B">
              <w:rPr>
                <w:rFonts w:ascii="Arial Narrow" w:eastAsia="Calibri" w:hAnsi="Arial Narrow" w:cs="Times New Roman"/>
                <w:b/>
                <w:sz w:val="20"/>
                <w:szCs w:val="20"/>
                <w:lang w:val="en-AU"/>
              </w:rPr>
              <w:lastRenderedPageBreak/>
              <w:t>Treatment criteria</w:t>
            </w:r>
          </w:p>
        </w:tc>
        <w:tc>
          <w:tcPr>
            <w:tcW w:w="7139" w:type="dxa"/>
          </w:tcPr>
          <w:p w:rsidR="00C979CC" w:rsidRPr="00E83E3B" w:rsidRDefault="00C979CC" w:rsidP="001D0733">
            <w:pPr>
              <w:rPr>
                <w:rFonts w:ascii="Arial Narrow" w:eastAsia="Calibri" w:hAnsi="Arial Narrow" w:cs="Times New Roman"/>
                <w:strike/>
                <w:sz w:val="20"/>
                <w:szCs w:val="20"/>
                <w:lang w:val="en-AU"/>
              </w:rPr>
            </w:pPr>
            <w:r w:rsidRPr="00E83E3B">
              <w:rPr>
                <w:rFonts w:ascii="Arial Narrow" w:eastAsia="Calibri" w:hAnsi="Arial Narrow" w:cs="Times New Roman"/>
                <w:strike/>
                <w:sz w:val="20"/>
                <w:szCs w:val="20"/>
                <w:lang w:val="en-AU"/>
              </w:rPr>
              <w:t xml:space="preserve">Patient must be treated by a physician experienced in the treatment of patients with thrombotic microangiopathies </w:t>
            </w:r>
            <w:r w:rsidRPr="00E83E3B">
              <w:rPr>
                <w:rFonts w:ascii="Arial Narrow" w:eastAsia="Calibri" w:hAnsi="Arial Narrow" w:cs="Times New Roman"/>
                <w:i/>
                <w:sz w:val="20"/>
                <w:szCs w:val="20"/>
                <w:lang w:val="en-AU"/>
              </w:rPr>
              <w:t>Must be treated by, a nephrologist, or a haematologist, or, must be in consultation a nephrologist,</w:t>
            </w:r>
            <w:r w:rsidR="00AB2265" w:rsidRPr="00E83E3B">
              <w:rPr>
                <w:rFonts w:ascii="Arial Narrow" w:eastAsia="Calibri" w:hAnsi="Arial Narrow" w:cs="Times New Roman"/>
                <w:i/>
                <w:sz w:val="20"/>
                <w:szCs w:val="20"/>
                <w:lang w:val="en-AU"/>
              </w:rPr>
              <w:t xml:space="preserve"> </w:t>
            </w:r>
            <w:r w:rsidRPr="00E83E3B">
              <w:rPr>
                <w:rFonts w:ascii="Arial Narrow" w:eastAsia="Calibri" w:hAnsi="Arial Narrow" w:cs="Times New Roman"/>
                <w:i/>
                <w:sz w:val="20"/>
                <w:szCs w:val="20"/>
                <w:lang w:val="en-AU"/>
              </w:rPr>
              <w:t>or a haematologist</w:t>
            </w:r>
          </w:p>
        </w:tc>
      </w:tr>
      <w:tr w:rsidR="00C979CC" w:rsidRPr="00AB2265" w:rsidTr="001D0733">
        <w:trPr>
          <w:gridAfter w:val="1"/>
          <w:wAfter w:w="6" w:type="dxa"/>
        </w:trPr>
        <w:tc>
          <w:tcPr>
            <w:tcW w:w="1871" w:type="dxa"/>
          </w:tcPr>
          <w:p w:rsidR="00C979CC" w:rsidRPr="00E83E3B" w:rsidRDefault="00C979CC" w:rsidP="001D0733">
            <w:pPr>
              <w:rPr>
                <w:rFonts w:ascii="Arial Narrow" w:eastAsia="Calibri" w:hAnsi="Arial Narrow" w:cs="Times New Roman"/>
                <w:b/>
                <w:sz w:val="20"/>
                <w:szCs w:val="20"/>
                <w:lang w:val="en-AU"/>
              </w:rPr>
            </w:pPr>
            <w:r w:rsidRPr="00E83E3B">
              <w:rPr>
                <w:rFonts w:ascii="Arial Narrow" w:eastAsia="Calibri" w:hAnsi="Arial Narrow" w:cs="Times New Roman"/>
                <w:b/>
                <w:sz w:val="20"/>
                <w:szCs w:val="20"/>
                <w:lang w:val="en-AU"/>
              </w:rPr>
              <w:t>Clinical criteria</w:t>
            </w:r>
          </w:p>
        </w:tc>
        <w:tc>
          <w:tcPr>
            <w:tcW w:w="7139" w:type="dxa"/>
          </w:tcPr>
          <w:p w:rsidR="00C979CC" w:rsidRPr="00E83E3B" w:rsidRDefault="00C979CC" w:rsidP="001D0733">
            <w:pPr>
              <w:rPr>
                <w:rFonts w:ascii="Arial Narrow" w:eastAsia="Calibri" w:hAnsi="Arial Narrow" w:cs="Times New Roman"/>
                <w:strike/>
                <w:sz w:val="20"/>
                <w:szCs w:val="20"/>
                <w:lang w:val="en-AU"/>
              </w:rPr>
            </w:pPr>
            <w:r w:rsidRPr="00E83E3B">
              <w:rPr>
                <w:rFonts w:ascii="Arial Narrow" w:eastAsia="Calibri" w:hAnsi="Arial Narrow" w:cs="Times New Roman"/>
                <w:strike/>
                <w:sz w:val="20"/>
                <w:szCs w:val="20"/>
                <w:lang w:val="en-AU"/>
              </w:rPr>
              <w:t>Patient must have received treatment with caplacizumab under the Initial or Initial – Extended Initial Treatment of restrictions</w:t>
            </w:r>
          </w:p>
          <w:p w:rsidR="00C979CC" w:rsidRPr="00E83E3B" w:rsidRDefault="00C979CC" w:rsidP="001D0733">
            <w:pPr>
              <w:rPr>
                <w:rFonts w:ascii="Arial Narrow" w:eastAsia="Calibri" w:hAnsi="Arial Narrow" w:cs="Times New Roman"/>
                <w:i/>
                <w:sz w:val="20"/>
                <w:szCs w:val="20"/>
                <w:lang w:val="en-AU"/>
              </w:rPr>
            </w:pPr>
            <w:r w:rsidRPr="00E83E3B">
              <w:rPr>
                <w:rFonts w:ascii="Arial Narrow" w:eastAsia="Calibri" w:hAnsi="Arial Narrow" w:cs="Times New Roman"/>
                <w:i/>
                <w:sz w:val="20"/>
                <w:szCs w:val="20"/>
                <w:lang w:val="en-AU"/>
              </w:rPr>
              <w:t xml:space="preserve">Patient must have been treated in hospital for confirmed aTTP with caplacizumab used in combination with plasma exchange and immunosuppression </w:t>
            </w:r>
          </w:p>
          <w:p w:rsidR="00C979CC" w:rsidRPr="00E83E3B" w:rsidRDefault="00C979CC" w:rsidP="001D0733">
            <w:pPr>
              <w:rPr>
                <w:rFonts w:ascii="Arial Narrow" w:eastAsia="Calibri" w:hAnsi="Arial Narrow" w:cs="Times New Roman"/>
                <w:b/>
                <w:bCs/>
                <w:sz w:val="20"/>
                <w:szCs w:val="20"/>
                <w:lang w:val="en-AU"/>
              </w:rPr>
            </w:pPr>
            <w:r w:rsidRPr="00E83E3B">
              <w:rPr>
                <w:rFonts w:ascii="Arial Narrow" w:eastAsia="Calibri" w:hAnsi="Arial Narrow" w:cs="Times New Roman"/>
                <w:b/>
                <w:bCs/>
                <w:sz w:val="20"/>
                <w:szCs w:val="20"/>
                <w:lang w:val="en-AU"/>
              </w:rPr>
              <w:t>AND</w:t>
            </w:r>
          </w:p>
          <w:p w:rsidR="00C979CC" w:rsidRPr="00E83E3B" w:rsidRDefault="00C979CC" w:rsidP="001D0733">
            <w:pPr>
              <w:rPr>
                <w:rFonts w:ascii="Arial Narrow" w:eastAsia="Calibri" w:hAnsi="Arial Narrow" w:cs="Times New Roman"/>
                <w:i/>
                <w:sz w:val="20"/>
                <w:szCs w:val="20"/>
                <w:lang w:val="en-AU"/>
              </w:rPr>
            </w:pPr>
            <w:r w:rsidRPr="00E83E3B">
              <w:rPr>
                <w:rFonts w:ascii="Arial Narrow" w:eastAsia="Calibri" w:hAnsi="Arial Narrow" w:cs="Times New Roman"/>
                <w:i/>
                <w:sz w:val="20"/>
                <w:szCs w:val="20"/>
                <w:lang w:val="en-AU"/>
              </w:rPr>
              <w:t>Patient must have had a normalised platelet count of greater than 150 x 10</w:t>
            </w:r>
            <w:r w:rsidRPr="00E83E3B">
              <w:rPr>
                <w:rFonts w:ascii="Arial Narrow" w:eastAsia="Calibri" w:hAnsi="Arial Narrow" w:cs="Times New Roman"/>
                <w:i/>
                <w:sz w:val="20"/>
                <w:szCs w:val="20"/>
                <w:vertAlign w:val="superscript"/>
                <w:lang w:val="en-AU"/>
              </w:rPr>
              <w:t>9</w:t>
            </w:r>
            <w:r w:rsidRPr="00E83E3B">
              <w:rPr>
                <w:rFonts w:ascii="Arial Narrow" w:eastAsia="Calibri" w:hAnsi="Arial Narrow" w:cs="Times New Roman"/>
                <w:i/>
                <w:sz w:val="20"/>
                <w:szCs w:val="20"/>
                <w:lang w:val="en-AU"/>
              </w:rPr>
              <w:t xml:space="preserve"> platelets per litre for at least two consecutive days </w:t>
            </w:r>
          </w:p>
          <w:p w:rsidR="00C979CC" w:rsidRPr="00E83E3B" w:rsidRDefault="00C979CC" w:rsidP="001D0733">
            <w:pPr>
              <w:rPr>
                <w:rFonts w:ascii="Arial Narrow" w:eastAsia="Calibri" w:hAnsi="Arial Narrow" w:cs="Times New Roman"/>
                <w:bCs/>
                <w:i/>
                <w:sz w:val="20"/>
                <w:szCs w:val="20"/>
                <w:lang w:val="en-AU"/>
              </w:rPr>
            </w:pPr>
            <w:r w:rsidRPr="00E83E3B">
              <w:rPr>
                <w:rFonts w:ascii="Arial Narrow" w:eastAsia="Calibri" w:hAnsi="Arial Narrow" w:cs="Times New Roman"/>
                <w:bCs/>
                <w:i/>
                <w:sz w:val="20"/>
                <w:szCs w:val="20"/>
                <w:lang w:val="en-AU"/>
              </w:rPr>
              <w:t>AND</w:t>
            </w:r>
          </w:p>
          <w:p w:rsidR="00C979CC" w:rsidRPr="00E83E3B" w:rsidRDefault="00C979CC" w:rsidP="001D0733">
            <w:pPr>
              <w:rPr>
                <w:rFonts w:ascii="Arial Narrow" w:eastAsia="Calibri" w:hAnsi="Arial Narrow" w:cs="Times New Roman"/>
                <w:i/>
                <w:sz w:val="20"/>
                <w:szCs w:val="20"/>
                <w:lang w:val="en-AU"/>
              </w:rPr>
            </w:pPr>
            <w:r w:rsidRPr="00E83E3B">
              <w:rPr>
                <w:rFonts w:ascii="Arial Narrow" w:eastAsia="Calibri" w:hAnsi="Arial Narrow" w:cs="Times New Roman"/>
                <w:i/>
                <w:sz w:val="20"/>
                <w:szCs w:val="20"/>
                <w:lang w:val="en-AU"/>
              </w:rPr>
              <w:t xml:space="preserve">Patient must have ceased treatment with plasma exchange </w:t>
            </w:r>
          </w:p>
          <w:p w:rsidR="00C979CC" w:rsidRPr="00E83E3B" w:rsidRDefault="00C979CC" w:rsidP="001D0733">
            <w:pPr>
              <w:rPr>
                <w:rFonts w:ascii="Arial Narrow" w:eastAsia="Calibri" w:hAnsi="Arial Narrow" w:cs="Times New Roman"/>
                <w:bCs/>
                <w:i/>
                <w:sz w:val="20"/>
                <w:szCs w:val="20"/>
                <w:lang w:val="en-AU"/>
              </w:rPr>
            </w:pPr>
            <w:r w:rsidRPr="00E83E3B">
              <w:rPr>
                <w:rFonts w:ascii="Arial Narrow" w:eastAsia="Calibri" w:hAnsi="Arial Narrow" w:cs="Times New Roman"/>
                <w:bCs/>
                <w:i/>
                <w:sz w:val="20"/>
                <w:szCs w:val="20"/>
                <w:lang w:val="en-AU"/>
              </w:rPr>
              <w:t>AND</w:t>
            </w:r>
          </w:p>
          <w:p w:rsidR="00C979CC" w:rsidRPr="00E83E3B" w:rsidRDefault="00C979CC" w:rsidP="001D0733">
            <w:pPr>
              <w:rPr>
                <w:rFonts w:ascii="Arial Narrow" w:eastAsia="Calibri" w:hAnsi="Arial Narrow" w:cs="Times New Roman"/>
                <w:sz w:val="20"/>
                <w:szCs w:val="20"/>
                <w:lang w:val="en-AU"/>
              </w:rPr>
            </w:pPr>
            <w:r w:rsidRPr="00E83E3B">
              <w:rPr>
                <w:rFonts w:ascii="Arial Narrow" w:eastAsia="Calibri" w:hAnsi="Arial Narrow" w:cs="Times New Roman"/>
                <w:sz w:val="20"/>
                <w:szCs w:val="20"/>
                <w:lang w:val="en-AU"/>
              </w:rPr>
              <w:t>Patient must not receive more than 30 days of treatment under this restriction</w:t>
            </w:r>
          </w:p>
        </w:tc>
      </w:tr>
      <w:tr w:rsidR="00C979CC" w:rsidRPr="00AB2265" w:rsidTr="001D0733">
        <w:trPr>
          <w:gridAfter w:val="1"/>
          <w:wAfter w:w="6" w:type="dxa"/>
        </w:trPr>
        <w:tc>
          <w:tcPr>
            <w:tcW w:w="1871" w:type="dxa"/>
          </w:tcPr>
          <w:p w:rsidR="00C979CC" w:rsidRPr="00E83E3B" w:rsidRDefault="00C979CC" w:rsidP="001D0733">
            <w:pPr>
              <w:rPr>
                <w:rFonts w:ascii="Arial Narrow" w:eastAsia="Calibri" w:hAnsi="Arial Narrow" w:cs="Times New Roman"/>
                <w:b/>
                <w:sz w:val="20"/>
                <w:szCs w:val="20"/>
                <w:lang w:val="en-AU"/>
              </w:rPr>
            </w:pPr>
            <w:r w:rsidRPr="00E83E3B">
              <w:rPr>
                <w:rFonts w:ascii="Arial Narrow" w:eastAsia="Calibri" w:hAnsi="Arial Narrow" w:cs="Times New Roman"/>
                <w:b/>
                <w:sz w:val="20"/>
                <w:szCs w:val="20"/>
                <w:lang w:val="en-AU"/>
              </w:rPr>
              <w:t>Population criteria</w:t>
            </w:r>
          </w:p>
        </w:tc>
        <w:tc>
          <w:tcPr>
            <w:tcW w:w="7139" w:type="dxa"/>
          </w:tcPr>
          <w:p w:rsidR="00C979CC" w:rsidRPr="00E83E3B" w:rsidRDefault="00C979CC" w:rsidP="001D0733">
            <w:pPr>
              <w:rPr>
                <w:rFonts w:ascii="Arial Narrow" w:eastAsia="Calibri" w:hAnsi="Arial Narrow" w:cs="Times New Roman"/>
                <w:sz w:val="20"/>
                <w:szCs w:val="20"/>
                <w:lang w:val="en-AU"/>
              </w:rPr>
            </w:pPr>
            <w:r w:rsidRPr="00E83E3B">
              <w:rPr>
                <w:rFonts w:ascii="Arial Narrow" w:eastAsia="Calibri" w:hAnsi="Arial Narrow" w:cs="Times New Roman"/>
                <w:sz w:val="20"/>
                <w:szCs w:val="20"/>
                <w:lang w:val="en-AU"/>
              </w:rPr>
              <w:t>Patient must be 18 years of age or older</w:t>
            </w:r>
          </w:p>
        </w:tc>
      </w:tr>
      <w:tr w:rsidR="00C979CC" w:rsidRPr="00AB2265" w:rsidTr="001D0733">
        <w:trPr>
          <w:gridAfter w:val="1"/>
          <w:wAfter w:w="6" w:type="dxa"/>
        </w:trPr>
        <w:tc>
          <w:tcPr>
            <w:tcW w:w="1871" w:type="dxa"/>
          </w:tcPr>
          <w:p w:rsidR="00C979CC" w:rsidRPr="00E83E3B" w:rsidRDefault="00C979CC" w:rsidP="001D0733">
            <w:pPr>
              <w:rPr>
                <w:rFonts w:ascii="Arial Narrow" w:eastAsia="Calibri" w:hAnsi="Arial Narrow" w:cs="Times New Roman"/>
                <w:b/>
                <w:sz w:val="20"/>
                <w:szCs w:val="20"/>
                <w:lang w:val="en-AU"/>
              </w:rPr>
            </w:pPr>
            <w:r w:rsidRPr="00E83E3B">
              <w:rPr>
                <w:rFonts w:ascii="Arial Narrow" w:eastAsia="Calibri" w:hAnsi="Arial Narrow" w:cs="Times New Roman"/>
                <w:b/>
                <w:sz w:val="20"/>
                <w:szCs w:val="20"/>
                <w:lang w:val="en-AU"/>
              </w:rPr>
              <w:t>Prescriber instructions</w:t>
            </w:r>
          </w:p>
        </w:tc>
        <w:tc>
          <w:tcPr>
            <w:tcW w:w="7139" w:type="dxa"/>
          </w:tcPr>
          <w:p w:rsidR="00C979CC" w:rsidRPr="00E83E3B" w:rsidRDefault="00C979CC" w:rsidP="001D0733">
            <w:pPr>
              <w:rPr>
                <w:rFonts w:ascii="Arial Narrow" w:eastAsia="Calibri" w:hAnsi="Arial Narrow" w:cs="Times New Roman"/>
                <w:sz w:val="20"/>
                <w:szCs w:val="20"/>
                <w:lang w:val="en-AU"/>
              </w:rPr>
            </w:pPr>
            <w:r w:rsidRPr="00E83E3B">
              <w:rPr>
                <w:rFonts w:ascii="Arial Narrow" w:eastAsia="Calibri" w:hAnsi="Arial Narrow" w:cs="Times New Roman"/>
                <w:sz w:val="20"/>
                <w:szCs w:val="20"/>
                <w:lang w:val="en-AU"/>
              </w:rPr>
              <w:t>The authority application must be made by telephone and must include:</w:t>
            </w:r>
          </w:p>
          <w:p w:rsidR="00C979CC" w:rsidRPr="00E83E3B" w:rsidRDefault="00C979CC" w:rsidP="001D0733">
            <w:pPr>
              <w:numPr>
                <w:ilvl w:val="0"/>
                <w:numId w:val="15"/>
              </w:numPr>
              <w:contextualSpacing/>
              <w:jc w:val="left"/>
              <w:rPr>
                <w:rFonts w:ascii="Arial Narrow" w:eastAsia="Calibri" w:hAnsi="Arial Narrow" w:cs="Times New Roman"/>
                <w:sz w:val="20"/>
                <w:szCs w:val="20"/>
                <w:lang w:val="en-AU"/>
              </w:rPr>
            </w:pPr>
            <w:r w:rsidRPr="00E83E3B">
              <w:rPr>
                <w:rFonts w:ascii="Arial Narrow" w:eastAsia="Calibri" w:hAnsi="Arial Narrow" w:cs="Times New Roman"/>
                <w:sz w:val="20"/>
                <w:szCs w:val="20"/>
                <w:lang w:val="en-AU"/>
              </w:rPr>
              <w:t>A completed authority prescription form; and</w:t>
            </w:r>
          </w:p>
          <w:p w:rsidR="00C979CC" w:rsidRPr="00E83E3B" w:rsidRDefault="00C979CC" w:rsidP="001D0733">
            <w:pPr>
              <w:numPr>
                <w:ilvl w:val="0"/>
                <w:numId w:val="15"/>
              </w:numPr>
              <w:contextualSpacing/>
              <w:jc w:val="left"/>
              <w:rPr>
                <w:rFonts w:ascii="Arial Narrow" w:eastAsia="Calibri" w:hAnsi="Arial Narrow" w:cs="Times New Roman"/>
                <w:sz w:val="20"/>
                <w:szCs w:val="20"/>
                <w:lang w:val="en-AU"/>
              </w:rPr>
            </w:pPr>
            <w:r w:rsidRPr="00E83E3B">
              <w:rPr>
                <w:rFonts w:ascii="Arial Narrow" w:eastAsia="Calibri" w:hAnsi="Arial Narrow" w:cs="Times New Roman"/>
                <w:sz w:val="20"/>
                <w:szCs w:val="20"/>
                <w:lang w:val="en-AU"/>
              </w:rPr>
              <w:t>A completed aTTP caplacizumab Authority Application for Continuing Treatment.</w:t>
            </w:r>
          </w:p>
          <w:p w:rsidR="00C979CC" w:rsidRPr="00E83E3B" w:rsidRDefault="00C979CC" w:rsidP="00E83E3B">
            <w:pPr>
              <w:rPr>
                <w:rFonts w:ascii="Arial Narrow" w:eastAsia="Calibri" w:hAnsi="Arial Narrow" w:cs="Times New Roman"/>
                <w:i/>
                <w:sz w:val="20"/>
                <w:szCs w:val="20"/>
                <w:lang w:val="en-AU"/>
              </w:rPr>
            </w:pPr>
            <w:r w:rsidRPr="00E83E3B">
              <w:rPr>
                <w:rFonts w:ascii="Arial Narrow" w:eastAsia="Calibri" w:hAnsi="Arial Narrow" w:cs="Times New Roman"/>
                <w:i/>
                <w:sz w:val="20"/>
                <w:szCs w:val="20"/>
                <w:lang w:val="en-AU"/>
              </w:rPr>
              <w:t>A confirmed diagnosis of aTTP is defined as ADAMTS13 activity less than 10% on a blood sample taken prior</w:t>
            </w:r>
            <w:r w:rsidR="00E83E3B">
              <w:rPr>
                <w:rFonts w:ascii="Arial Narrow" w:eastAsia="Calibri" w:hAnsi="Arial Narrow" w:cs="Times New Roman"/>
                <w:i/>
                <w:sz w:val="20"/>
                <w:szCs w:val="20"/>
                <w:lang w:val="en-AU"/>
              </w:rPr>
              <w:t xml:space="preserve"> to plasma exchange or infusion</w:t>
            </w:r>
          </w:p>
        </w:tc>
      </w:tr>
      <w:tr w:rsidR="00C979CC" w:rsidRPr="00AB2265" w:rsidTr="001D0733">
        <w:trPr>
          <w:gridAfter w:val="1"/>
          <w:wAfter w:w="6" w:type="dxa"/>
        </w:trPr>
        <w:tc>
          <w:tcPr>
            <w:tcW w:w="1871" w:type="dxa"/>
          </w:tcPr>
          <w:p w:rsidR="00C979CC" w:rsidRPr="00E83E3B" w:rsidRDefault="00C979CC" w:rsidP="001D0733">
            <w:pPr>
              <w:rPr>
                <w:rFonts w:ascii="Arial Narrow" w:eastAsia="Calibri" w:hAnsi="Arial Narrow"/>
                <w:b/>
                <w:sz w:val="20"/>
                <w:szCs w:val="20"/>
                <w:lang w:val="en-AU"/>
              </w:rPr>
            </w:pPr>
            <w:r w:rsidRPr="00E83E3B">
              <w:rPr>
                <w:rFonts w:ascii="Arial Narrow" w:eastAsia="Calibri" w:hAnsi="Arial Narrow"/>
                <w:b/>
                <w:sz w:val="20"/>
                <w:szCs w:val="20"/>
                <w:lang w:val="en-AU"/>
              </w:rPr>
              <w:t>Administrative Advice</w:t>
            </w:r>
          </w:p>
        </w:tc>
        <w:tc>
          <w:tcPr>
            <w:tcW w:w="7139" w:type="dxa"/>
          </w:tcPr>
          <w:p w:rsidR="00C979CC" w:rsidRPr="00E83E3B" w:rsidRDefault="00C979CC" w:rsidP="001D0733">
            <w:pPr>
              <w:rPr>
                <w:rFonts w:ascii="Arial Narrow" w:eastAsia="Calibri" w:hAnsi="Arial Narrow"/>
                <w:i/>
                <w:sz w:val="20"/>
                <w:szCs w:val="20"/>
                <w:lang w:val="en-AU"/>
              </w:rPr>
            </w:pPr>
            <w:r w:rsidRPr="00E83E3B">
              <w:rPr>
                <w:rFonts w:ascii="Arial Narrow" w:eastAsia="Calibri" w:hAnsi="Arial Narrow"/>
                <w:i/>
                <w:sz w:val="20"/>
                <w:szCs w:val="20"/>
                <w:lang w:val="en-AU"/>
              </w:rPr>
              <w:t>Special Pricing arrangements apply</w:t>
            </w:r>
          </w:p>
        </w:tc>
      </w:tr>
      <w:tr w:rsidR="00C979CC" w:rsidRPr="00AB2265" w:rsidTr="00E83E3B">
        <w:tc>
          <w:tcPr>
            <w:tcW w:w="1871" w:type="dxa"/>
            <w:tcBorders>
              <w:top w:val="single" w:sz="12" w:space="0" w:color="auto"/>
            </w:tcBorders>
          </w:tcPr>
          <w:p w:rsidR="00C979CC" w:rsidRPr="00E83E3B" w:rsidRDefault="00C979CC" w:rsidP="001D0733">
            <w:pPr>
              <w:rPr>
                <w:rFonts w:ascii="Arial Narrow" w:eastAsia="Calibri" w:hAnsi="Arial Narrow" w:cs="Times New Roman"/>
                <w:b/>
                <w:sz w:val="20"/>
                <w:szCs w:val="20"/>
                <w:lang w:val="en-AU"/>
              </w:rPr>
            </w:pPr>
            <w:r w:rsidRPr="00E83E3B">
              <w:rPr>
                <w:rFonts w:ascii="Arial Narrow" w:eastAsia="Calibri" w:hAnsi="Arial Narrow" w:cs="Times New Roman"/>
                <w:b/>
                <w:sz w:val="20"/>
                <w:szCs w:val="20"/>
                <w:lang w:val="en-AU"/>
              </w:rPr>
              <w:t>Category/Program</w:t>
            </w:r>
          </w:p>
        </w:tc>
        <w:tc>
          <w:tcPr>
            <w:tcW w:w="7145" w:type="dxa"/>
            <w:gridSpan w:val="2"/>
            <w:tcBorders>
              <w:top w:val="single" w:sz="12" w:space="0" w:color="auto"/>
            </w:tcBorders>
          </w:tcPr>
          <w:p w:rsidR="00C979CC" w:rsidRPr="00E83E3B" w:rsidRDefault="00C979CC" w:rsidP="001D0733">
            <w:pPr>
              <w:rPr>
                <w:rFonts w:ascii="Arial Narrow" w:eastAsia="Calibri" w:hAnsi="Arial Narrow" w:cs="Times New Roman"/>
                <w:sz w:val="20"/>
                <w:szCs w:val="20"/>
                <w:lang w:val="en-AU"/>
              </w:rPr>
            </w:pPr>
            <w:r w:rsidRPr="00E83E3B">
              <w:rPr>
                <w:rFonts w:ascii="Arial Narrow" w:eastAsia="Calibri" w:hAnsi="Arial Narrow" w:cs="Times New Roman"/>
                <w:sz w:val="20"/>
                <w:szCs w:val="20"/>
                <w:lang w:val="en-AU"/>
              </w:rPr>
              <w:t>Section 100</w:t>
            </w:r>
          </w:p>
        </w:tc>
      </w:tr>
      <w:tr w:rsidR="00C979CC" w:rsidRPr="00AB2265" w:rsidTr="001D0733">
        <w:tc>
          <w:tcPr>
            <w:tcW w:w="1871" w:type="dxa"/>
          </w:tcPr>
          <w:p w:rsidR="00C979CC" w:rsidRPr="00E83E3B" w:rsidRDefault="00C979CC" w:rsidP="001D0733">
            <w:pPr>
              <w:rPr>
                <w:rFonts w:ascii="Arial Narrow" w:eastAsia="Calibri" w:hAnsi="Arial Narrow" w:cs="Times New Roman"/>
                <w:b/>
                <w:sz w:val="20"/>
                <w:szCs w:val="20"/>
                <w:lang w:val="en-AU"/>
              </w:rPr>
            </w:pPr>
            <w:r w:rsidRPr="00E83E3B">
              <w:rPr>
                <w:rFonts w:ascii="Arial Narrow" w:eastAsia="Calibri" w:hAnsi="Arial Narrow" w:cs="Times New Roman"/>
                <w:b/>
                <w:sz w:val="20"/>
                <w:szCs w:val="20"/>
                <w:lang w:val="en-AU"/>
              </w:rPr>
              <w:t>Prescriber type</w:t>
            </w:r>
          </w:p>
        </w:tc>
        <w:tc>
          <w:tcPr>
            <w:tcW w:w="7145" w:type="dxa"/>
            <w:gridSpan w:val="2"/>
          </w:tcPr>
          <w:p w:rsidR="00C979CC" w:rsidRPr="00E83E3B" w:rsidRDefault="00187C4E" w:rsidP="00E83E3B">
            <w:pPr>
              <w:rPr>
                <w:rFonts w:ascii="Arial Narrow" w:eastAsia="Calibri" w:hAnsi="Arial Narrow" w:cs="Times New Roman"/>
                <w:sz w:val="20"/>
                <w:szCs w:val="20"/>
                <w:lang w:val="en-AU"/>
              </w:rPr>
            </w:pPr>
            <w:sdt>
              <w:sdtPr>
                <w:rPr>
                  <w:rFonts w:ascii="Arial Narrow" w:eastAsia="Calibri" w:hAnsi="Arial Narrow"/>
                  <w:sz w:val="20"/>
                  <w:szCs w:val="20"/>
                </w:rPr>
                <w:id w:val="-93627624"/>
                <w14:checkbox>
                  <w14:checked w14:val="0"/>
                  <w14:checkedState w14:val="2612" w14:font="MS Gothic"/>
                  <w14:uncheckedState w14:val="2610" w14:font="MS Gothic"/>
                </w14:checkbox>
              </w:sdtPr>
              <w:sdtEndPr/>
              <w:sdtContent>
                <w:r w:rsidR="00C979CC" w:rsidRPr="00E83E3B">
                  <w:rPr>
                    <w:rFonts w:ascii="Segoe UI Symbol" w:eastAsia="Calibri" w:hAnsi="Segoe UI Symbol" w:cs="Segoe UI Symbol"/>
                    <w:sz w:val="20"/>
                    <w:szCs w:val="20"/>
                    <w:lang w:val="en-AU"/>
                  </w:rPr>
                  <w:t>☐</w:t>
                </w:r>
              </w:sdtContent>
            </w:sdt>
            <w:r w:rsidR="00C979CC" w:rsidRPr="00E83E3B">
              <w:rPr>
                <w:rFonts w:ascii="Arial Narrow" w:eastAsia="Calibri" w:hAnsi="Arial Narrow" w:cs="Times New Roman"/>
                <w:sz w:val="20"/>
                <w:szCs w:val="20"/>
                <w:lang w:val="en-AU"/>
              </w:rPr>
              <w:t xml:space="preserve">Dental </w:t>
            </w:r>
            <w:sdt>
              <w:sdtPr>
                <w:rPr>
                  <w:rFonts w:ascii="Arial Narrow" w:eastAsia="Calibri" w:hAnsi="Arial Narrow"/>
                  <w:sz w:val="20"/>
                  <w:szCs w:val="20"/>
                </w:rPr>
                <w:id w:val="59454834"/>
                <w14:checkbox>
                  <w14:checked w14:val="1"/>
                  <w14:checkedState w14:val="2612" w14:font="MS Gothic"/>
                  <w14:uncheckedState w14:val="2610" w14:font="MS Gothic"/>
                </w14:checkbox>
              </w:sdtPr>
              <w:sdtEndPr/>
              <w:sdtContent>
                <w:r w:rsidR="00C979CC" w:rsidRPr="00E83E3B">
                  <w:rPr>
                    <w:rFonts w:ascii="Segoe UI Symbol" w:eastAsia="Calibri" w:hAnsi="Segoe UI Symbol" w:cs="Segoe UI Symbol"/>
                    <w:sz w:val="20"/>
                    <w:szCs w:val="20"/>
                    <w:lang w:val="en-AU"/>
                  </w:rPr>
                  <w:t>☒</w:t>
                </w:r>
              </w:sdtContent>
            </w:sdt>
            <w:r w:rsidR="00C979CC" w:rsidRPr="00E83E3B">
              <w:rPr>
                <w:rFonts w:ascii="Arial Narrow" w:eastAsia="Calibri" w:hAnsi="Arial Narrow" w:cs="Times New Roman"/>
                <w:sz w:val="20"/>
                <w:szCs w:val="20"/>
                <w:lang w:val="en-AU"/>
              </w:rPr>
              <w:t xml:space="preserve">Medical practitioners </w:t>
            </w:r>
            <w:sdt>
              <w:sdtPr>
                <w:rPr>
                  <w:rFonts w:ascii="Arial Narrow" w:eastAsia="Calibri" w:hAnsi="Arial Narrow"/>
                  <w:sz w:val="20"/>
                  <w:szCs w:val="20"/>
                </w:rPr>
                <w:id w:val="-1682660035"/>
                <w14:checkbox>
                  <w14:checked w14:val="0"/>
                  <w14:checkedState w14:val="2612" w14:font="MS Gothic"/>
                  <w14:uncheckedState w14:val="2610" w14:font="MS Gothic"/>
                </w14:checkbox>
              </w:sdtPr>
              <w:sdtEndPr/>
              <w:sdtContent>
                <w:r w:rsidR="00C979CC" w:rsidRPr="00E83E3B">
                  <w:rPr>
                    <w:rFonts w:ascii="Segoe UI Symbol" w:eastAsia="Calibri" w:hAnsi="Segoe UI Symbol" w:cs="Segoe UI Symbol"/>
                    <w:sz w:val="20"/>
                    <w:szCs w:val="20"/>
                    <w:lang w:val="en-AU"/>
                  </w:rPr>
                  <w:t>☐</w:t>
                </w:r>
              </w:sdtContent>
            </w:sdt>
            <w:r w:rsidR="00C979CC" w:rsidRPr="00E83E3B">
              <w:rPr>
                <w:rFonts w:ascii="Arial Narrow" w:eastAsia="Calibri" w:hAnsi="Arial Narrow" w:cs="Times New Roman"/>
                <w:sz w:val="20"/>
                <w:szCs w:val="20"/>
                <w:lang w:val="en-AU"/>
              </w:rPr>
              <w:t xml:space="preserve">Nurse practitioners </w:t>
            </w:r>
            <w:sdt>
              <w:sdtPr>
                <w:rPr>
                  <w:rFonts w:ascii="Arial Narrow" w:eastAsia="Calibri" w:hAnsi="Arial Narrow"/>
                  <w:sz w:val="20"/>
                  <w:szCs w:val="20"/>
                </w:rPr>
                <w:id w:val="-2071873381"/>
                <w14:checkbox>
                  <w14:checked w14:val="0"/>
                  <w14:checkedState w14:val="2612" w14:font="MS Gothic"/>
                  <w14:uncheckedState w14:val="2610" w14:font="MS Gothic"/>
                </w14:checkbox>
              </w:sdtPr>
              <w:sdtEndPr/>
              <w:sdtContent>
                <w:r w:rsidR="00C979CC" w:rsidRPr="00E83E3B">
                  <w:rPr>
                    <w:rFonts w:ascii="Segoe UI Symbol" w:eastAsia="Calibri" w:hAnsi="Segoe UI Symbol" w:cs="Segoe UI Symbol"/>
                    <w:sz w:val="20"/>
                    <w:szCs w:val="20"/>
                    <w:lang w:val="en-AU"/>
                  </w:rPr>
                  <w:t>☐</w:t>
                </w:r>
              </w:sdtContent>
            </w:sdt>
            <w:r w:rsidR="00C979CC" w:rsidRPr="00E83E3B">
              <w:rPr>
                <w:rFonts w:ascii="Arial Narrow" w:eastAsia="Calibri" w:hAnsi="Arial Narrow" w:cs="Times New Roman"/>
                <w:sz w:val="20"/>
                <w:szCs w:val="20"/>
                <w:lang w:val="en-AU"/>
              </w:rPr>
              <w:t xml:space="preserve">Optometrists </w:t>
            </w:r>
            <w:sdt>
              <w:sdtPr>
                <w:rPr>
                  <w:rFonts w:ascii="Arial Narrow" w:eastAsia="Calibri" w:hAnsi="Arial Narrow"/>
                  <w:sz w:val="20"/>
                  <w:szCs w:val="20"/>
                </w:rPr>
                <w:id w:val="1952978095"/>
                <w14:checkbox>
                  <w14:checked w14:val="0"/>
                  <w14:checkedState w14:val="2612" w14:font="MS Gothic"/>
                  <w14:uncheckedState w14:val="2610" w14:font="MS Gothic"/>
                </w14:checkbox>
              </w:sdtPr>
              <w:sdtEndPr/>
              <w:sdtContent>
                <w:r w:rsidR="00C979CC" w:rsidRPr="00E83E3B">
                  <w:rPr>
                    <w:rFonts w:ascii="Segoe UI Symbol" w:eastAsia="Calibri" w:hAnsi="Segoe UI Symbol" w:cs="Segoe UI Symbol"/>
                    <w:sz w:val="20"/>
                    <w:szCs w:val="20"/>
                    <w:lang w:val="en-AU"/>
                  </w:rPr>
                  <w:t>☐</w:t>
                </w:r>
              </w:sdtContent>
            </w:sdt>
            <w:r w:rsidR="00C979CC" w:rsidRPr="00E83E3B">
              <w:rPr>
                <w:rFonts w:ascii="Arial Narrow" w:eastAsia="Calibri" w:hAnsi="Arial Narrow" w:cs="Times New Roman"/>
                <w:sz w:val="20"/>
                <w:szCs w:val="20"/>
                <w:lang w:val="en-AU"/>
              </w:rPr>
              <w:t>Midwives</w:t>
            </w:r>
          </w:p>
        </w:tc>
      </w:tr>
      <w:tr w:rsidR="00C979CC" w:rsidRPr="00AB2265" w:rsidTr="001D0733">
        <w:tc>
          <w:tcPr>
            <w:tcW w:w="1871" w:type="dxa"/>
          </w:tcPr>
          <w:p w:rsidR="00C979CC" w:rsidRPr="00E83E3B" w:rsidRDefault="00C979CC" w:rsidP="001D0733">
            <w:pPr>
              <w:rPr>
                <w:rFonts w:ascii="Arial Narrow" w:eastAsia="Calibri" w:hAnsi="Arial Narrow" w:cs="Times New Roman"/>
                <w:b/>
                <w:sz w:val="20"/>
                <w:szCs w:val="20"/>
                <w:lang w:val="en-AU"/>
              </w:rPr>
            </w:pPr>
            <w:r w:rsidRPr="00E83E3B">
              <w:rPr>
                <w:rFonts w:ascii="Arial Narrow" w:eastAsia="Calibri" w:hAnsi="Arial Narrow" w:cs="Times New Roman"/>
                <w:b/>
                <w:sz w:val="20"/>
                <w:szCs w:val="20"/>
                <w:lang w:val="en-AU"/>
              </w:rPr>
              <w:t>Episodicity</w:t>
            </w:r>
          </w:p>
        </w:tc>
        <w:tc>
          <w:tcPr>
            <w:tcW w:w="7145" w:type="dxa"/>
            <w:gridSpan w:val="2"/>
          </w:tcPr>
          <w:p w:rsidR="00C979CC" w:rsidRPr="00E83E3B" w:rsidRDefault="00C979CC" w:rsidP="001D0733">
            <w:pPr>
              <w:rPr>
                <w:rFonts w:ascii="Arial Narrow" w:eastAsia="Calibri" w:hAnsi="Arial Narrow" w:cs="Times New Roman"/>
                <w:sz w:val="20"/>
                <w:szCs w:val="20"/>
                <w:lang w:val="en-AU"/>
              </w:rPr>
            </w:pPr>
            <w:r w:rsidRPr="00E83E3B">
              <w:rPr>
                <w:rFonts w:ascii="Arial Narrow" w:eastAsia="Calibri" w:hAnsi="Arial Narrow" w:cs="Times New Roman"/>
                <w:sz w:val="20"/>
                <w:szCs w:val="20"/>
                <w:lang w:val="en-AU"/>
              </w:rPr>
              <w:t>Acute</w:t>
            </w:r>
          </w:p>
        </w:tc>
      </w:tr>
      <w:tr w:rsidR="00C979CC" w:rsidRPr="00AB2265" w:rsidTr="001D0733">
        <w:tc>
          <w:tcPr>
            <w:tcW w:w="1871" w:type="dxa"/>
          </w:tcPr>
          <w:p w:rsidR="00C979CC" w:rsidRPr="00E83E3B" w:rsidRDefault="00C979CC" w:rsidP="001D0733">
            <w:pPr>
              <w:rPr>
                <w:rFonts w:ascii="Arial Narrow" w:eastAsia="Calibri" w:hAnsi="Arial Narrow" w:cs="Times New Roman"/>
                <w:b/>
                <w:sz w:val="20"/>
                <w:szCs w:val="20"/>
                <w:lang w:val="en-AU"/>
              </w:rPr>
            </w:pPr>
            <w:r w:rsidRPr="00E83E3B">
              <w:rPr>
                <w:rFonts w:ascii="Arial Narrow" w:eastAsia="Calibri" w:hAnsi="Arial Narrow" w:cs="Times New Roman"/>
                <w:b/>
                <w:sz w:val="20"/>
                <w:szCs w:val="20"/>
                <w:lang w:val="en-AU"/>
              </w:rPr>
              <w:t>Severity</w:t>
            </w:r>
          </w:p>
        </w:tc>
        <w:tc>
          <w:tcPr>
            <w:tcW w:w="7145" w:type="dxa"/>
            <w:gridSpan w:val="2"/>
          </w:tcPr>
          <w:p w:rsidR="00C979CC" w:rsidRPr="00E83E3B" w:rsidRDefault="00C979CC" w:rsidP="001D0733">
            <w:pPr>
              <w:rPr>
                <w:rFonts w:ascii="Arial Narrow" w:eastAsia="Calibri" w:hAnsi="Arial Narrow" w:cs="Times New Roman"/>
                <w:sz w:val="20"/>
                <w:szCs w:val="20"/>
                <w:lang w:val="en-AU"/>
              </w:rPr>
            </w:pPr>
            <w:r w:rsidRPr="00E83E3B">
              <w:rPr>
                <w:rFonts w:ascii="Arial Narrow" w:eastAsia="Calibri" w:hAnsi="Arial Narrow" w:cs="Times New Roman"/>
                <w:sz w:val="20"/>
                <w:szCs w:val="20"/>
                <w:lang w:val="en-AU"/>
              </w:rPr>
              <w:t>Not applicable</w:t>
            </w:r>
          </w:p>
        </w:tc>
      </w:tr>
      <w:tr w:rsidR="00C979CC" w:rsidRPr="00AB2265" w:rsidTr="001D0733">
        <w:tc>
          <w:tcPr>
            <w:tcW w:w="1871" w:type="dxa"/>
          </w:tcPr>
          <w:p w:rsidR="00C979CC" w:rsidRPr="00E83E3B" w:rsidRDefault="00C979CC" w:rsidP="001D0733">
            <w:pPr>
              <w:rPr>
                <w:rFonts w:ascii="Arial Narrow" w:eastAsia="Calibri" w:hAnsi="Arial Narrow" w:cs="Times New Roman"/>
                <w:b/>
                <w:sz w:val="20"/>
                <w:szCs w:val="20"/>
                <w:lang w:val="en-AU"/>
              </w:rPr>
            </w:pPr>
            <w:r w:rsidRPr="00E83E3B">
              <w:rPr>
                <w:rFonts w:ascii="Arial Narrow" w:eastAsia="Calibri" w:hAnsi="Arial Narrow" w:cs="Times New Roman"/>
                <w:b/>
                <w:sz w:val="20"/>
                <w:szCs w:val="20"/>
                <w:lang w:val="en-AU"/>
              </w:rPr>
              <w:t>Condition</w:t>
            </w:r>
          </w:p>
        </w:tc>
        <w:tc>
          <w:tcPr>
            <w:tcW w:w="7145" w:type="dxa"/>
            <w:gridSpan w:val="2"/>
          </w:tcPr>
          <w:p w:rsidR="00C979CC" w:rsidRPr="00E83E3B" w:rsidRDefault="00C979CC" w:rsidP="001D0733">
            <w:pPr>
              <w:rPr>
                <w:rFonts w:ascii="Arial Narrow" w:eastAsia="Calibri" w:hAnsi="Arial Narrow" w:cs="Times New Roman"/>
                <w:sz w:val="20"/>
                <w:szCs w:val="20"/>
                <w:lang w:val="en-AU"/>
              </w:rPr>
            </w:pPr>
            <w:r w:rsidRPr="00E83E3B">
              <w:rPr>
                <w:rFonts w:ascii="Arial Narrow" w:eastAsia="Calibri" w:hAnsi="Arial Narrow" w:cs="Times New Roman"/>
                <w:sz w:val="20"/>
                <w:szCs w:val="20"/>
                <w:lang w:val="en-AU"/>
              </w:rPr>
              <w:t>Acquired thrombotic thrombocytopenic purpura</w:t>
            </w:r>
          </w:p>
        </w:tc>
      </w:tr>
      <w:tr w:rsidR="00C979CC" w:rsidRPr="00AB2265" w:rsidTr="001D0733">
        <w:tc>
          <w:tcPr>
            <w:tcW w:w="1871" w:type="dxa"/>
          </w:tcPr>
          <w:p w:rsidR="00C979CC" w:rsidRPr="00E83E3B" w:rsidRDefault="00C979CC" w:rsidP="001D0733">
            <w:pPr>
              <w:rPr>
                <w:rFonts w:ascii="Arial Narrow" w:eastAsia="Calibri" w:hAnsi="Arial Narrow" w:cs="Times New Roman"/>
                <w:b/>
                <w:sz w:val="20"/>
                <w:szCs w:val="20"/>
                <w:lang w:val="en-AU"/>
              </w:rPr>
            </w:pPr>
            <w:r w:rsidRPr="00E83E3B">
              <w:rPr>
                <w:rFonts w:ascii="Arial Narrow" w:eastAsia="Calibri" w:hAnsi="Arial Narrow" w:cs="Times New Roman"/>
                <w:b/>
                <w:sz w:val="20"/>
                <w:szCs w:val="20"/>
                <w:lang w:val="en-AU"/>
              </w:rPr>
              <w:t>PBS indication</w:t>
            </w:r>
          </w:p>
        </w:tc>
        <w:tc>
          <w:tcPr>
            <w:tcW w:w="7145" w:type="dxa"/>
            <w:gridSpan w:val="2"/>
          </w:tcPr>
          <w:p w:rsidR="00C979CC" w:rsidRPr="00E83E3B" w:rsidRDefault="00C979CC" w:rsidP="001D0733">
            <w:pPr>
              <w:rPr>
                <w:rFonts w:ascii="Arial Narrow" w:eastAsia="Calibri" w:hAnsi="Arial Narrow" w:cs="Times New Roman"/>
                <w:sz w:val="20"/>
                <w:szCs w:val="20"/>
                <w:lang w:val="en-AU"/>
              </w:rPr>
            </w:pPr>
            <w:r w:rsidRPr="00E83E3B">
              <w:rPr>
                <w:rFonts w:ascii="Arial Narrow" w:eastAsia="Calibri" w:hAnsi="Arial Narrow" w:cs="Times New Roman"/>
                <w:sz w:val="20"/>
                <w:szCs w:val="20"/>
                <w:lang w:val="en-AU"/>
              </w:rPr>
              <w:t>Acquired thrombotic thrombocytopenic purpura</w:t>
            </w:r>
          </w:p>
        </w:tc>
      </w:tr>
      <w:tr w:rsidR="00C979CC" w:rsidRPr="00AB2265" w:rsidTr="001D0733">
        <w:tc>
          <w:tcPr>
            <w:tcW w:w="1871" w:type="dxa"/>
          </w:tcPr>
          <w:p w:rsidR="00C979CC" w:rsidRPr="00E83E3B" w:rsidRDefault="00C979CC" w:rsidP="001D0733">
            <w:pPr>
              <w:rPr>
                <w:rFonts w:ascii="Arial Narrow" w:eastAsia="Calibri" w:hAnsi="Arial Narrow" w:cs="Times New Roman"/>
                <w:b/>
                <w:sz w:val="20"/>
                <w:szCs w:val="20"/>
                <w:lang w:val="en-AU"/>
              </w:rPr>
            </w:pPr>
            <w:r w:rsidRPr="00E83E3B">
              <w:rPr>
                <w:rFonts w:ascii="Arial Narrow" w:eastAsia="Calibri" w:hAnsi="Arial Narrow" w:cs="Times New Roman"/>
                <w:b/>
                <w:sz w:val="20"/>
                <w:szCs w:val="20"/>
                <w:lang w:val="en-AU"/>
              </w:rPr>
              <w:t>Treatment phase</w:t>
            </w:r>
          </w:p>
        </w:tc>
        <w:tc>
          <w:tcPr>
            <w:tcW w:w="7145" w:type="dxa"/>
            <w:gridSpan w:val="2"/>
          </w:tcPr>
          <w:p w:rsidR="00C979CC" w:rsidRPr="00E83E3B" w:rsidRDefault="00C979CC" w:rsidP="001D0733">
            <w:pPr>
              <w:rPr>
                <w:rFonts w:ascii="Arial Narrow" w:eastAsia="Calibri" w:hAnsi="Arial Narrow" w:cs="Times New Roman"/>
                <w:sz w:val="20"/>
                <w:szCs w:val="20"/>
                <w:lang w:val="en-AU"/>
              </w:rPr>
            </w:pPr>
            <w:r w:rsidRPr="00E83E3B">
              <w:rPr>
                <w:rFonts w:ascii="Arial Narrow" w:eastAsia="Calibri" w:hAnsi="Arial Narrow" w:cs="Times New Roman"/>
                <w:sz w:val="20"/>
                <w:szCs w:val="20"/>
                <w:lang w:val="en-AU"/>
              </w:rPr>
              <w:t>Extended continuing treatment</w:t>
            </w:r>
          </w:p>
        </w:tc>
      </w:tr>
      <w:tr w:rsidR="00C979CC" w:rsidRPr="00AB2265" w:rsidTr="001D0733">
        <w:tc>
          <w:tcPr>
            <w:tcW w:w="1871" w:type="dxa"/>
          </w:tcPr>
          <w:p w:rsidR="00C979CC" w:rsidRPr="00E83E3B" w:rsidRDefault="00C979CC" w:rsidP="001D0733">
            <w:pPr>
              <w:rPr>
                <w:rFonts w:ascii="Arial Narrow" w:eastAsia="Calibri" w:hAnsi="Arial Narrow" w:cs="Times New Roman"/>
                <w:b/>
                <w:sz w:val="20"/>
                <w:szCs w:val="20"/>
                <w:lang w:val="en-AU"/>
              </w:rPr>
            </w:pPr>
            <w:r w:rsidRPr="00E83E3B">
              <w:rPr>
                <w:rFonts w:ascii="Arial Narrow" w:eastAsia="Calibri" w:hAnsi="Arial Narrow" w:cs="Times New Roman"/>
                <w:b/>
                <w:sz w:val="20"/>
                <w:szCs w:val="20"/>
                <w:lang w:val="en-AU"/>
              </w:rPr>
              <w:t>Restriction level/Method</w:t>
            </w:r>
          </w:p>
        </w:tc>
        <w:tc>
          <w:tcPr>
            <w:tcW w:w="7145" w:type="dxa"/>
            <w:gridSpan w:val="2"/>
          </w:tcPr>
          <w:p w:rsidR="00C979CC" w:rsidRPr="00E83E3B" w:rsidRDefault="00187C4E" w:rsidP="001D0733">
            <w:pPr>
              <w:rPr>
                <w:rFonts w:ascii="Arial Narrow" w:eastAsia="Calibri" w:hAnsi="Arial Narrow" w:cs="Times New Roman"/>
                <w:sz w:val="20"/>
                <w:szCs w:val="20"/>
                <w:lang w:val="en-AU"/>
              </w:rPr>
            </w:pPr>
            <w:sdt>
              <w:sdtPr>
                <w:rPr>
                  <w:rFonts w:ascii="Arial Narrow" w:eastAsia="Calibri" w:hAnsi="Arial Narrow"/>
                  <w:sz w:val="20"/>
                  <w:szCs w:val="20"/>
                </w:rPr>
                <w:id w:val="-1000732594"/>
                <w14:checkbox>
                  <w14:checked w14:val="0"/>
                  <w14:checkedState w14:val="2612" w14:font="MS Gothic"/>
                  <w14:uncheckedState w14:val="2610" w14:font="MS Gothic"/>
                </w14:checkbox>
              </w:sdtPr>
              <w:sdtEndPr/>
              <w:sdtContent>
                <w:r w:rsidR="00C979CC" w:rsidRPr="00E83E3B">
                  <w:rPr>
                    <w:rFonts w:ascii="Segoe UI Symbol" w:eastAsia="Calibri" w:hAnsi="Segoe UI Symbol" w:cs="Segoe UI Symbol"/>
                    <w:sz w:val="20"/>
                    <w:szCs w:val="20"/>
                    <w:lang w:val="en-AU"/>
                  </w:rPr>
                  <w:t>☐</w:t>
                </w:r>
              </w:sdtContent>
            </w:sdt>
            <w:r w:rsidR="00C979CC" w:rsidRPr="00E83E3B">
              <w:rPr>
                <w:rFonts w:ascii="Arial Narrow" w:eastAsia="Calibri" w:hAnsi="Arial Narrow" w:cs="Times New Roman"/>
                <w:sz w:val="20"/>
                <w:szCs w:val="20"/>
                <w:lang w:val="en-AU"/>
              </w:rPr>
              <w:t>Restricted benefit</w:t>
            </w:r>
          </w:p>
          <w:p w:rsidR="00C979CC" w:rsidRPr="00E83E3B" w:rsidRDefault="00187C4E" w:rsidP="001D0733">
            <w:pPr>
              <w:rPr>
                <w:rFonts w:ascii="Arial Narrow" w:eastAsia="Calibri" w:hAnsi="Arial Narrow" w:cs="Times New Roman"/>
                <w:sz w:val="20"/>
                <w:szCs w:val="20"/>
                <w:lang w:val="en-AU"/>
              </w:rPr>
            </w:pPr>
            <w:sdt>
              <w:sdtPr>
                <w:rPr>
                  <w:rFonts w:ascii="Arial Narrow" w:eastAsia="Calibri" w:hAnsi="Arial Narrow"/>
                  <w:sz w:val="20"/>
                  <w:szCs w:val="20"/>
                </w:rPr>
                <w:id w:val="-384801544"/>
                <w14:checkbox>
                  <w14:checked w14:val="0"/>
                  <w14:checkedState w14:val="2612" w14:font="MS Gothic"/>
                  <w14:uncheckedState w14:val="2610" w14:font="MS Gothic"/>
                </w14:checkbox>
              </w:sdtPr>
              <w:sdtEndPr/>
              <w:sdtContent>
                <w:r w:rsidR="00C979CC" w:rsidRPr="00E83E3B">
                  <w:rPr>
                    <w:rFonts w:ascii="Segoe UI Symbol" w:eastAsia="Calibri" w:hAnsi="Segoe UI Symbol" w:cs="Segoe UI Symbol"/>
                    <w:sz w:val="20"/>
                    <w:szCs w:val="20"/>
                    <w:lang w:val="en-AU"/>
                  </w:rPr>
                  <w:t>☐</w:t>
                </w:r>
              </w:sdtContent>
            </w:sdt>
            <w:r w:rsidR="00C979CC" w:rsidRPr="00E83E3B">
              <w:rPr>
                <w:rFonts w:ascii="Arial Narrow" w:eastAsia="Calibri" w:hAnsi="Arial Narrow" w:cs="Times New Roman"/>
                <w:sz w:val="20"/>
                <w:szCs w:val="20"/>
                <w:lang w:val="en-AU"/>
              </w:rPr>
              <w:t>Authority required – In writing</w:t>
            </w:r>
          </w:p>
          <w:p w:rsidR="00C979CC" w:rsidRPr="00E83E3B" w:rsidRDefault="00187C4E" w:rsidP="001D0733">
            <w:pPr>
              <w:rPr>
                <w:rFonts w:ascii="Arial Narrow" w:eastAsia="Calibri" w:hAnsi="Arial Narrow" w:cs="Times New Roman"/>
                <w:sz w:val="20"/>
                <w:szCs w:val="20"/>
                <w:lang w:val="en-AU"/>
              </w:rPr>
            </w:pPr>
            <w:sdt>
              <w:sdtPr>
                <w:rPr>
                  <w:rFonts w:ascii="Arial Narrow" w:eastAsia="Calibri" w:hAnsi="Arial Narrow"/>
                  <w:sz w:val="20"/>
                  <w:szCs w:val="20"/>
                </w:rPr>
                <w:id w:val="-647900584"/>
                <w14:checkbox>
                  <w14:checked w14:val="1"/>
                  <w14:checkedState w14:val="2612" w14:font="MS Gothic"/>
                  <w14:uncheckedState w14:val="2610" w14:font="MS Gothic"/>
                </w14:checkbox>
              </w:sdtPr>
              <w:sdtEndPr/>
              <w:sdtContent>
                <w:r w:rsidR="00C979CC" w:rsidRPr="00E83E3B">
                  <w:rPr>
                    <w:rFonts w:ascii="Segoe UI Symbol" w:eastAsia="Calibri" w:hAnsi="Segoe UI Symbol" w:cs="Segoe UI Symbol"/>
                    <w:sz w:val="20"/>
                    <w:szCs w:val="20"/>
                    <w:lang w:val="en-AU"/>
                  </w:rPr>
                  <w:t>☒</w:t>
                </w:r>
              </w:sdtContent>
            </w:sdt>
            <w:r w:rsidR="00C979CC" w:rsidRPr="00E83E3B">
              <w:rPr>
                <w:rFonts w:ascii="Arial Narrow" w:eastAsia="Calibri" w:hAnsi="Arial Narrow" w:cs="Times New Roman"/>
                <w:sz w:val="20"/>
                <w:szCs w:val="20"/>
                <w:lang w:val="en-AU"/>
              </w:rPr>
              <w:t>Authority required – Telephone</w:t>
            </w:r>
          </w:p>
          <w:p w:rsidR="00C979CC" w:rsidRPr="00E83E3B" w:rsidRDefault="00187C4E" w:rsidP="001D0733">
            <w:pPr>
              <w:rPr>
                <w:rFonts w:ascii="Arial Narrow" w:eastAsia="Calibri" w:hAnsi="Arial Narrow" w:cs="Times New Roman"/>
                <w:sz w:val="20"/>
                <w:szCs w:val="20"/>
                <w:lang w:val="en-AU"/>
              </w:rPr>
            </w:pPr>
            <w:sdt>
              <w:sdtPr>
                <w:rPr>
                  <w:rFonts w:ascii="Arial Narrow" w:eastAsia="Calibri" w:hAnsi="Arial Narrow"/>
                  <w:sz w:val="20"/>
                  <w:szCs w:val="20"/>
                </w:rPr>
                <w:id w:val="-255597154"/>
                <w14:checkbox>
                  <w14:checked w14:val="0"/>
                  <w14:checkedState w14:val="2612" w14:font="MS Gothic"/>
                  <w14:uncheckedState w14:val="2610" w14:font="MS Gothic"/>
                </w14:checkbox>
              </w:sdtPr>
              <w:sdtEndPr/>
              <w:sdtContent>
                <w:r w:rsidR="00C979CC" w:rsidRPr="00E83E3B">
                  <w:rPr>
                    <w:rFonts w:ascii="Segoe UI Symbol" w:eastAsia="Calibri" w:hAnsi="Segoe UI Symbol" w:cs="Segoe UI Symbol"/>
                    <w:sz w:val="20"/>
                    <w:szCs w:val="20"/>
                    <w:lang w:val="en-AU"/>
                  </w:rPr>
                  <w:t>☐</w:t>
                </w:r>
              </w:sdtContent>
            </w:sdt>
            <w:r w:rsidR="00C979CC" w:rsidRPr="00E83E3B">
              <w:rPr>
                <w:rFonts w:ascii="Arial Narrow" w:eastAsia="Calibri" w:hAnsi="Arial Narrow" w:cs="Times New Roman"/>
                <w:sz w:val="20"/>
                <w:szCs w:val="20"/>
                <w:lang w:val="en-AU"/>
              </w:rPr>
              <w:t xml:space="preserve"> Authority required – Emergency</w:t>
            </w:r>
          </w:p>
          <w:p w:rsidR="00C979CC" w:rsidRPr="00E83E3B" w:rsidRDefault="00187C4E" w:rsidP="001D0733">
            <w:pPr>
              <w:rPr>
                <w:rFonts w:ascii="Arial Narrow" w:eastAsia="Calibri" w:hAnsi="Arial Narrow" w:cs="Times New Roman"/>
                <w:sz w:val="20"/>
                <w:szCs w:val="20"/>
                <w:lang w:val="en-AU"/>
              </w:rPr>
            </w:pPr>
            <w:sdt>
              <w:sdtPr>
                <w:rPr>
                  <w:rFonts w:ascii="Arial Narrow" w:eastAsia="Calibri" w:hAnsi="Arial Narrow"/>
                  <w:sz w:val="20"/>
                  <w:szCs w:val="20"/>
                </w:rPr>
                <w:id w:val="1526441665"/>
                <w14:checkbox>
                  <w14:checked w14:val="0"/>
                  <w14:checkedState w14:val="2612" w14:font="MS Gothic"/>
                  <w14:uncheckedState w14:val="2610" w14:font="MS Gothic"/>
                </w14:checkbox>
              </w:sdtPr>
              <w:sdtEndPr/>
              <w:sdtContent>
                <w:r w:rsidR="00C979CC" w:rsidRPr="00E83E3B">
                  <w:rPr>
                    <w:rFonts w:ascii="Segoe UI Symbol" w:eastAsia="Calibri" w:hAnsi="Segoe UI Symbol" w:cs="Segoe UI Symbol"/>
                    <w:sz w:val="20"/>
                    <w:szCs w:val="20"/>
                    <w:lang w:val="en-AU"/>
                  </w:rPr>
                  <w:t>☐</w:t>
                </w:r>
              </w:sdtContent>
            </w:sdt>
            <w:r w:rsidR="00C979CC" w:rsidRPr="00E83E3B">
              <w:rPr>
                <w:rFonts w:ascii="Arial Narrow" w:eastAsia="Calibri" w:hAnsi="Arial Narrow" w:cs="Times New Roman"/>
                <w:sz w:val="20"/>
                <w:szCs w:val="20"/>
                <w:lang w:val="en-AU"/>
              </w:rPr>
              <w:t xml:space="preserve"> Authority required – Electronic</w:t>
            </w:r>
          </w:p>
          <w:p w:rsidR="00C979CC" w:rsidRPr="00E83E3B" w:rsidRDefault="00187C4E" w:rsidP="001D0733">
            <w:pPr>
              <w:rPr>
                <w:rFonts w:ascii="Arial Narrow" w:eastAsia="Calibri" w:hAnsi="Arial Narrow" w:cs="Times New Roman"/>
                <w:sz w:val="20"/>
                <w:szCs w:val="20"/>
                <w:lang w:val="en-AU"/>
              </w:rPr>
            </w:pPr>
            <w:sdt>
              <w:sdtPr>
                <w:rPr>
                  <w:rFonts w:ascii="Arial Narrow" w:eastAsia="Calibri" w:hAnsi="Arial Narrow"/>
                  <w:sz w:val="20"/>
                  <w:szCs w:val="20"/>
                </w:rPr>
                <w:id w:val="-1391032434"/>
                <w14:checkbox>
                  <w14:checked w14:val="0"/>
                  <w14:checkedState w14:val="2612" w14:font="MS Gothic"/>
                  <w14:uncheckedState w14:val="2610" w14:font="MS Gothic"/>
                </w14:checkbox>
              </w:sdtPr>
              <w:sdtEndPr/>
              <w:sdtContent>
                <w:r w:rsidR="00C979CC" w:rsidRPr="00E83E3B">
                  <w:rPr>
                    <w:rFonts w:ascii="Segoe UI Symbol" w:eastAsia="Calibri" w:hAnsi="Segoe UI Symbol" w:cs="Segoe UI Symbol"/>
                    <w:sz w:val="20"/>
                    <w:szCs w:val="20"/>
                    <w:lang w:val="en-AU"/>
                  </w:rPr>
                  <w:t>☐</w:t>
                </w:r>
              </w:sdtContent>
            </w:sdt>
            <w:r w:rsidR="00C979CC" w:rsidRPr="00E83E3B">
              <w:rPr>
                <w:rFonts w:ascii="Arial Narrow" w:eastAsia="Calibri" w:hAnsi="Arial Narrow" w:cs="Times New Roman"/>
                <w:sz w:val="20"/>
                <w:szCs w:val="20"/>
                <w:lang w:val="en-AU"/>
              </w:rPr>
              <w:t>Streamlined</w:t>
            </w:r>
          </w:p>
        </w:tc>
      </w:tr>
      <w:tr w:rsidR="00C979CC" w:rsidRPr="00AB2265" w:rsidTr="001D0733">
        <w:tc>
          <w:tcPr>
            <w:tcW w:w="1871" w:type="dxa"/>
          </w:tcPr>
          <w:p w:rsidR="00C979CC" w:rsidRPr="00E83E3B" w:rsidRDefault="00C979CC" w:rsidP="001D0733">
            <w:pPr>
              <w:rPr>
                <w:rFonts w:ascii="Arial Narrow" w:eastAsia="Calibri" w:hAnsi="Arial Narrow" w:cs="Times New Roman"/>
                <w:b/>
                <w:sz w:val="20"/>
                <w:szCs w:val="20"/>
                <w:lang w:val="en-AU"/>
              </w:rPr>
            </w:pPr>
            <w:r w:rsidRPr="00E83E3B">
              <w:rPr>
                <w:rFonts w:ascii="Arial Narrow" w:eastAsia="Calibri" w:hAnsi="Arial Narrow" w:cs="Times New Roman"/>
                <w:b/>
                <w:sz w:val="20"/>
                <w:szCs w:val="20"/>
                <w:lang w:val="en-AU"/>
              </w:rPr>
              <w:t>Treatment criteria</w:t>
            </w:r>
          </w:p>
        </w:tc>
        <w:tc>
          <w:tcPr>
            <w:tcW w:w="7145" w:type="dxa"/>
            <w:gridSpan w:val="2"/>
          </w:tcPr>
          <w:p w:rsidR="00C979CC" w:rsidRPr="00E83E3B" w:rsidRDefault="00C979CC" w:rsidP="001D0733">
            <w:pPr>
              <w:rPr>
                <w:rFonts w:ascii="Arial Narrow" w:eastAsia="Calibri" w:hAnsi="Arial Narrow" w:cs="Times New Roman"/>
                <w:sz w:val="20"/>
                <w:szCs w:val="20"/>
                <w:lang w:val="en-AU"/>
              </w:rPr>
            </w:pPr>
            <w:r w:rsidRPr="00E83E3B">
              <w:rPr>
                <w:rFonts w:ascii="Arial Narrow" w:eastAsia="Calibri" w:hAnsi="Arial Narrow" w:cs="Times New Roman"/>
                <w:strike/>
                <w:sz w:val="20"/>
                <w:szCs w:val="20"/>
                <w:lang w:val="en-AU"/>
              </w:rPr>
              <w:t xml:space="preserve">Patient must be treated by a physician experienced in the treatment of patients with thrombotic microangiopathies </w:t>
            </w:r>
            <w:r w:rsidRPr="00E83E3B">
              <w:rPr>
                <w:rFonts w:ascii="Arial Narrow" w:eastAsia="Calibri" w:hAnsi="Arial Narrow" w:cs="Times New Roman"/>
                <w:i/>
                <w:sz w:val="20"/>
                <w:szCs w:val="20"/>
                <w:lang w:val="en-AU"/>
              </w:rPr>
              <w:t>Must be treated by, a nephrologist, or a haematologist, or, must be in consultation a nephrologist, or a haematologist</w:t>
            </w:r>
          </w:p>
        </w:tc>
      </w:tr>
      <w:tr w:rsidR="00C979CC" w:rsidRPr="00AB2265" w:rsidTr="001D0733">
        <w:tc>
          <w:tcPr>
            <w:tcW w:w="1871" w:type="dxa"/>
          </w:tcPr>
          <w:p w:rsidR="00C979CC" w:rsidRPr="00E83E3B" w:rsidRDefault="00C979CC" w:rsidP="001D0733">
            <w:pPr>
              <w:rPr>
                <w:rFonts w:ascii="Arial Narrow" w:eastAsia="Calibri" w:hAnsi="Arial Narrow" w:cs="Times New Roman"/>
                <w:b/>
                <w:sz w:val="20"/>
                <w:szCs w:val="20"/>
                <w:lang w:val="en-AU"/>
              </w:rPr>
            </w:pPr>
            <w:r w:rsidRPr="00E83E3B">
              <w:rPr>
                <w:rFonts w:ascii="Arial Narrow" w:eastAsia="Calibri" w:hAnsi="Arial Narrow" w:cs="Times New Roman"/>
                <w:b/>
                <w:sz w:val="20"/>
                <w:szCs w:val="20"/>
                <w:lang w:val="en-AU"/>
              </w:rPr>
              <w:t>Clinical criteria</w:t>
            </w:r>
          </w:p>
        </w:tc>
        <w:tc>
          <w:tcPr>
            <w:tcW w:w="7145" w:type="dxa"/>
            <w:gridSpan w:val="2"/>
          </w:tcPr>
          <w:p w:rsidR="00C979CC" w:rsidRPr="00E83E3B" w:rsidRDefault="00C979CC" w:rsidP="001D0733">
            <w:pPr>
              <w:rPr>
                <w:rFonts w:ascii="Arial Narrow" w:eastAsia="Calibri" w:hAnsi="Arial Narrow" w:cs="Times New Roman"/>
                <w:sz w:val="20"/>
                <w:szCs w:val="20"/>
                <w:lang w:val="en-AU"/>
              </w:rPr>
            </w:pPr>
            <w:r w:rsidRPr="00E83E3B">
              <w:rPr>
                <w:rFonts w:ascii="Arial Narrow" w:eastAsia="Calibri" w:hAnsi="Arial Narrow" w:cs="Times New Roman"/>
                <w:sz w:val="20"/>
                <w:szCs w:val="20"/>
                <w:lang w:val="en-AU"/>
              </w:rPr>
              <w:t>Patient must have received treatment with caplacizumab under the Continuing Treatment restriction</w:t>
            </w:r>
          </w:p>
          <w:p w:rsidR="00C979CC" w:rsidRPr="00E83E3B" w:rsidRDefault="00C979CC" w:rsidP="001D0733">
            <w:pPr>
              <w:rPr>
                <w:rFonts w:ascii="Arial Narrow" w:eastAsia="Calibri" w:hAnsi="Arial Narrow" w:cs="Times New Roman"/>
                <w:sz w:val="20"/>
                <w:szCs w:val="20"/>
                <w:lang w:val="en-AU"/>
              </w:rPr>
            </w:pPr>
            <w:r w:rsidRPr="00E83E3B">
              <w:rPr>
                <w:rFonts w:ascii="Arial Narrow" w:eastAsia="Calibri" w:hAnsi="Arial Narrow" w:cs="Times New Roman"/>
                <w:b/>
                <w:bCs/>
                <w:sz w:val="20"/>
                <w:szCs w:val="20"/>
                <w:lang w:val="en-AU"/>
              </w:rPr>
              <w:t>AND</w:t>
            </w:r>
          </w:p>
          <w:p w:rsidR="00C979CC" w:rsidRPr="00E83E3B" w:rsidRDefault="00C979CC" w:rsidP="001D0733">
            <w:pPr>
              <w:rPr>
                <w:rFonts w:ascii="Arial Narrow" w:eastAsia="Calibri" w:hAnsi="Arial Narrow" w:cs="Times New Roman"/>
                <w:i/>
                <w:sz w:val="20"/>
                <w:szCs w:val="20"/>
                <w:lang w:val="en-AU"/>
              </w:rPr>
            </w:pPr>
            <w:r w:rsidRPr="00E83E3B">
              <w:rPr>
                <w:rFonts w:ascii="Arial Narrow" w:eastAsia="Calibri" w:hAnsi="Arial Narrow" w:cs="Times New Roman"/>
                <w:sz w:val="20"/>
                <w:szCs w:val="20"/>
                <w:lang w:val="en-AU"/>
              </w:rPr>
              <w:t xml:space="preserve">Patient must have evidence of ongoing immunological disease, </w:t>
            </w:r>
            <w:r w:rsidRPr="00E83E3B">
              <w:rPr>
                <w:rFonts w:ascii="Arial Narrow" w:eastAsia="Calibri" w:hAnsi="Arial Narrow" w:cs="Times New Roman"/>
                <w:i/>
                <w:sz w:val="20"/>
                <w:szCs w:val="20"/>
                <w:lang w:val="en-AU"/>
              </w:rPr>
              <w:t>defined as ADAMTS13 activity less than 10%</w:t>
            </w:r>
          </w:p>
          <w:p w:rsidR="00C979CC" w:rsidRPr="00E83E3B" w:rsidRDefault="00C979CC" w:rsidP="001D0733">
            <w:pPr>
              <w:rPr>
                <w:rFonts w:ascii="Arial Narrow" w:eastAsia="Calibri" w:hAnsi="Arial Narrow" w:cs="Times New Roman"/>
                <w:sz w:val="20"/>
                <w:szCs w:val="20"/>
                <w:lang w:val="en-AU"/>
              </w:rPr>
            </w:pPr>
            <w:r w:rsidRPr="00E83E3B">
              <w:rPr>
                <w:rFonts w:ascii="Arial Narrow" w:eastAsia="Calibri" w:hAnsi="Arial Narrow" w:cs="Times New Roman"/>
                <w:b/>
                <w:bCs/>
                <w:sz w:val="20"/>
                <w:szCs w:val="20"/>
                <w:lang w:val="en-AU"/>
              </w:rPr>
              <w:t>AND</w:t>
            </w:r>
          </w:p>
          <w:p w:rsidR="00C979CC" w:rsidRPr="00E83E3B" w:rsidRDefault="00C979CC" w:rsidP="001D0733">
            <w:pPr>
              <w:rPr>
                <w:rFonts w:ascii="Arial Narrow" w:eastAsia="Calibri" w:hAnsi="Arial Narrow" w:cs="Times New Roman"/>
                <w:sz w:val="20"/>
                <w:szCs w:val="20"/>
                <w:lang w:val="en-AU"/>
              </w:rPr>
            </w:pPr>
            <w:r w:rsidRPr="00E83E3B">
              <w:rPr>
                <w:rFonts w:ascii="Arial Narrow" w:eastAsia="Calibri" w:hAnsi="Arial Narrow" w:cs="Times New Roman"/>
                <w:sz w:val="20"/>
                <w:szCs w:val="20"/>
                <w:lang w:val="en-AU"/>
              </w:rPr>
              <w:t>A patient may only receive treatment under this restriction a maximum of four times</w:t>
            </w:r>
          </w:p>
        </w:tc>
      </w:tr>
      <w:tr w:rsidR="00C979CC" w:rsidRPr="00AB2265" w:rsidTr="001D0733">
        <w:tc>
          <w:tcPr>
            <w:tcW w:w="1871" w:type="dxa"/>
          </w:tcPr>
          <w:p w:rsidR="00C979CC" w:rsidRPr="00E83E3B" w:rsidRDefault="00C979CC" w:rsidP="001D0733">
            <w:pPr>
              <w:rPr>
                <w:rFonts w:ascii="Arial Narrow" w:eastAsia="Calibri" w:hAnsi="Arial Narrow" w:cs="Times New Roman"/>
                <w:b/>
                <w:sz w:val="20"/>
                <w:szCs w:val="20"/>
                <w:lang w:val="en-AU"/>
              </w:rPr>
            </w:pPr>
            <w:r w:rsidRPr="00E83E3B">
              <w:rPr>
                <w:rFonts w:ascii="Arial Narrow" w:eastAsia="Calibri" w:hAnsi="Arial Narrow" w:cs="Times New Roman"/>
                <w:b/>
                <w:sz w:val="20"/>
                <w:szCs w:val="20"/>
                <w:lang w:val="en-AU"/>
              </w:rPr>
              <w:t>Population criteria</w:t>
            </w:r>
          </w:p>
        </w:tc>
        <w:tc>
          <w:tcPr>
            <w:tcW w:w="7145" w:type="dxa"/>
            <w:gridSpan w:val="2"/>
          </w:tcPr>
          <w:p w:rsidR="00C979CC" w:rsidRPr="00E83E3B" w:rsidRDefault="00C979CC" w:rsidP="001D0733">
            <w:pPr>
              <w:rPr>
                <w:rFonts w:ascii="Arial Narrow" w:eastAsia="Calibri" w:hAnsi="Arial Narrow" w:cs="Times New Roman"/>
                <w:sz w:val="20"/>
                <w:szCs w:val="20"/>
                <w:lang w:val="en-AU"/>
              </w:rPr>
            </w:pPr>
            <w:r w:rsidRPr="00E83E3B">
              <w:rPr>
                <w:rFonts w:ascii="Arial Narrow" w:eastAsia="Calibri" w:hAnsi="Arial Narrow" w:cs="Times New Roman"/>
                <w:sz w:val="20"/>
                <w:szCs w:val="20"/>
                <w:lang w:val="en-AU"/>
              </w:rPr>
              <w:t>Patient must be 18 years of age or older</w:t>
            </w:r>
          </w:p>
        </w:tc>
      </w:tr>
      <w:tr w:rsidR="00C979CC" w:rsidRPr="00AB2265" w:rsidTr="001D0733">
        <w:tc>
          <w:tcPr>
            <w:tcW w:w="1871" w:type="dxa"/>
          </w:tcPr>
          <w:p w:rsidR="00C979CC" w:rsidRPr="00E83E3B" w:rsidRDefault="00C979CC" w:rsidP="001D0733">
            <w:pPr>
              <w:rPr>
                <w:rFonts w:ascii="Arial Narrow" w:eastAsia="Calibri" w:hAnsi="Arial Narrow" w:cs="Times New Roman"/>
                <w:b/>
                <w:sz w:val="20"/>
                <w:szCs w:val="20"/>
                <w:lang w:val="en-AU"/>
              </w:rPr>
            </w:pPr>
            <w:r w:rsidRPr="00E83E3B">
              <w:rPr>
                <w:rFonts w:ascii="Arial Narrow" w:eastAsia="Calibri" w:hAnsi="Arial Narrow" w:cs="Times New Roman"/>
                <w:b/>
                <w:sz w:val="20"/>
                <w:szCs w:val="20"/>
                <w:lang w:val="en-AU"/>
              </w:rPr>
              <w:t>Prescriber instructions</w:t>
            </w:r>
          </w:p>
        </w:tc>
        <w:tc>
          <w:tcPr>
            <w:tcW w:w="7145" w:type="dxa"/>
            <w:gridSpan w:val="2"/>
          </w:tcPr>
          <w:p w:rsidR="00C979CC" w:rsidRPr="00E83E3B" w:rsidRDefault="00C979CC" w:rsidP="001D0733">
            <w:pPr>
              <w:rPr>
                <w:rFonts w:ascii="Arial Narrow" w:eastAsia="Calibri" w:hAnsi="Arial Narrow" w:cs="Times New Roman"/>
                <w:sz w:val="20"/>
                <w:szCs w:val="20"/>
                <w:lang w:val="en-AU"/>
              </w:rPr>
            </w:pPr>
            <w:r w:rsidRPr="00E83E3B">
              <w:rPr>
                <w:rFonts w:ascii="Arial Narrow" w:eastAsia="Calibri" w:hAnsi="Arial Narrow" w:cs="Times New Roman"/>
                <w:sz w:val="20"/>
                <w:szCs w:val="20"/>
                <w:lang w:val="en-AU"/>
              </w:rPr>
              <w:t>The authority application must be made by telephone and must include:</w:t>
            </w:r>
          </w:p>
          <w:p w:rsidR="00C979CC" w:rsidRPr="00E83E3B" w:rsidRDefault="00C979CC" w:rsidP="001D0733">
            <w:pPr>
              <w:numPr>
                <w:ilvl w:val="0"/>
                <w:numId w:val="16"/>
              </w:numPr>
              <w:contextualSpacing/>
              <w:jc w:val="left"/>
              <w:rPr>
                <w:rFonts w:ascii="Arial Narrow" w:eastAsia="Calibri" w:hAnsi="Arial Narrow" w:cs="Times New Roman"/>
                <w:sz w:val="20"/>
                <w:szCs w:val="20"/>
                <w:lang w:val="en-AU"/>
              </w:rPr>
            </w:pPr>
            <w:r w:rsidRPr="00E83E3B">
              <w:rPr>
                <w:rFonts w:ascii="Arial Narrow" w:eastAsia="Calibri" w:hAnsi="Arial Narrow" w:cs="Times New Roman"/>
                <w:sz w:val="20"/>
                <w:szCs w:val="20"/>
                <w:lang w:val="en-AU"/>
              </w:rPr>
              <w:t>A completed authority prescription form; and</w:t>
            </w:r>
          </w:p>
          <w:p w:rsidR="00C979CC" w:rsidRPr="00E83E3B" w:rsidRDefault="00C979CC" w:rsidP="001D0733">
            <w:pPr>
              <w:numPr>
                <w:ilvl w:val="0"/>
                <w:numId w:val="16"/>
              </w:numPr>
              <w:contextualSpacing/>
              <w:jc w:val="left"/>
              <w:rPr>
                <w:rFonts w:ascii="Arial Narrow" w:eastAsia="Calibri" w:hAnsi="Arial Narrow" w:cs="Times New Roman"/>
                <w:sz w:val="20"/>
                <w:szCs w:val="20"/>
                <w:lang w:val="en-AU"/>
              </w:rPr>
            </w:pPr>
            <w:r w:rsidRPr="00E83E3B">
              <w:rPr>
                <w:rFonts w:ascii="Arial Narrow" w:eastAsia="Calibri" w:hAnsi="Arial Narrow" w:cs="Times New Roman"/>
                <w:sz w:val="20"/>
                <w:szCs w:val="20"/>
                <w:lang w:val="en-AU"/>
              </w:rPr>
              <w:t>A completed aTTP caplacizumab Authority Application.</w:t>
            </w:r>
          </w:p>
          <w:p w:rsidR="00C979CC" w:rsidRPr="00E83E3B" w:rsidRDefault="00C979CC" w:rsidP="001D0733">
            <w:pPr>
              <w:contextualSpacing/>
              <w:rPr>
                <w:rFonts w:ascii="Arial Narrow" w:eastAsia="Calibri" w:hAnsi="Arial Narrow" w:cs="Times New Roman"/>
                <w:sz w:val="20"/>
                <w:szCs w:val="20"/>
                <w:lang w:val="en-AU"/>
              </w:rPr>
            </w:pPr>
            <w:r w:rsidRPr="00E83E3B">
              <w:rPr>
                <w:rFonts w:ascii="Arial Narrow" w:eastAsia="Calibri" w:hAnsi="Arial Narrow" w:cs="Times New Roman"/>
                <w:sz w:val="20"/>
                <w:szCs w:val="20"/>
                <w:lang w:val="en-AU"/>
              </w:rPr>
              <w:t>The following documents must be kept on file:</w:t>
            </w:r>
          </w:p>
          <w:p w:rsidR="00C979CC" w:rsidRPr="00E83E3B" w:rsidRDefault="00C979CC" w:rsidP="001D0733">
            <w:pPr>
              <w:numPr>
                <w:ilvl w:val="0"/>
                <w:numId w:val="16"/>
              </w:numPr>
              <w:contextualSpacing/>
              <w:jc w:val="left"/>
              <w:rPr>
                <w:rFonts w:ascii="Arial Narrow" w:eastAsia="Calibri" w:hAnsi="Arial Narrow" w:cs="Times New Roman"/>
                <w:sz w:val="20"/>
                <w:szCs w:val="20"/>
                <w:lang w:val="en-AU"/>
              </w:rPr>
            </w:pPr>
            <w:r w:rsidRPr="00E83E3B">
              <w:rPr>
                <w:rFonts w:ascii="Arial Narrow" w:eastAsia="Calibri" w:hAnsi="Arial Narrow" w:cs="Times New Roman"/>
                <w:sz w:val="20"/>
                <w:szCs w:val="20"/>
                <w:lang w:val="en-AU"/>
              </w:rPr>
              <w:lastRenderedPageBreak/>
              <w:t>The result of ADAMTS13 activity and the date and time that the sample for the ADAMTS13 assay was collected.</w:t>
            </w:r>
          </w:p>
        </w:tc>
      </w:tr>
      <w:tr w:rsidR="00C979CC" w:rsidRPr="00AB2265" w:rsidTr="001D0733">
        <w:tc>
          <w:tcPr>
            <w:tcW w:w="1871" w:type="dxa"/>
          </w:tcPr>
          <w:p w:rsidR="00C979CC" w:rsidRPr="00E83E3B" w:rsidRDefault="00C979CC" w:rsidP="001D0733">
            <w:pPr>
              <w:rPr>
                <w:rFonts w:ascii="Arial Narrow" w:eastAsia="Calibri" w:hAnsi="Arial Narrow" w:cs="Times New Roman"/>
                <w:b/>
                <w:sz w:val="20"/>
                <w:szCs w:val="20"/>
                <w:lang w:val="en-AU"/>
              </w:rPr>
            </w:pPr>
            <w:r w:rsidRPr="00E83E3B">
              <w:rPr>
                <w:rFonts w:ascii="Arial Narrow" w:eastAsia="Calibri" w:hAnsi="Arial Narrow" w:cs="Times New Roman"/>
                <w:b/>
                <w:sz w:val="20"/>
                <w:szCs w:val="20"/>
                <w:lang w:val="en-AU"/>
              </w:rPr>
              <w:lastRenderedPageBreak/>
              <w:t>Administrative advice</w:t>
            </w:r>
          </w:p>
        </w:tc>
        <w:tc>
          <w:tcPr>
            <w:tcW w:w="7145" w:type="dxa"/>
            <w:gridSpan w:val="2"/>
          </w:tcPr>
          <w:p w:rsidR="00C979CC" w:rsidRPr="00E83E3B" w:rsidRDefault="00C979CC" w:rsidP="001D0733">
            <w:pPr>
              <w:rPr>
                <w:rFonts w:ascii="Arial Narrow" w:eastAsia="Calibri" w:hAnsi="Arial Narrow" w:cs="Times New Roman"/>
                <w:strike/>
                <w:sz w:val="20"/>
                <w:szCs w:val="20"/>
                <w:lang w:val="en-AU"/>
              </w:rPr>
            </w:pPr>
            <w:r w:rsidRPr="00E83E3B">
              <w:rPr>
                <w:rFonts w:ascii="Arial Narrow" w:eastAsia="Calibri" w:hAnsi="Arial Narrow" w:cs="Times New Roman"/>
                <w:sz w:val="20"/>
                <w:szCs w:val="20"/>
                <w:lang w:val="en-AU"/>
              </w:rPr>
              <w:t xml:space="preserve"> </w:t>
            </w:r>
            <w:r w:rsidRPr="00E83E3B">
              <w:rPr>
                <w:rFonts w:ascii="Arial Narrow" w:eastAsia="Calibri" w:hAnsi="Arial Narrow" w:cs="Times New Roman"/>
                <w:strike/>
                <w:sz w:val="20"/>
                <w:szCs w:val="20"/>
                <w:lang w:val="en-AU"/>
              </w:rPr>
              <w:t>Ongoing immunological disease is defined as ADAMTS13 activity less than 10%</w:t>
            </w:r>
          </w:p>
          <w:p w:rsidR="00C979CC" w:rsidRPr="00E83E3B" w:rsidRDefault="00C979CC" w:rsidP="001D0733">
            <w:pPr>
              <w:rPr>
                <w:rFonts w:ascii="Arial Narrow" w:eastAsia="Calibri" w:hAnsi="Arial Narrow" w:cs="Times New Roman"/>
                <w:strike/>
                <w:sz w:val="20"/>
                <w:szCs w:val="20"/>
                <w:lang w:val="en-AU"/>
              </w:rPr>
            </w:pPr>
            <w:r w:rsidRPr="00E83E3B">
              <w:rPr>
                <w:rFonts w:ascii="Arial Narrow" w:eastAsia="Calibri" w:hAnsi="Arial Narrow"/>
                <w:i/>
                <w:sz w:val="20"/>
                <w:szCs w:val="20"/>
                <w:lang w:val="en-AU"/>
              </w:rPr>
              <w:t>Special Pricing arrangements apply</w:t>
            </w:r>
          </w:p>
        </w:tc>
      </w:tr>
    </w:tbl>
    <w:p w:rsidR="00591957" w:rsidRPr="00AB2265" w:rsidRDefault="00976B1D" w:rsidP="00DA0C7D">
      <w:pPr>
        <w:pStyle w:val="ExecSumBodyText"/>
        <w:spacing w:before="120"/>
      </w:pPr>
      <w:r w:rsidRPr="00AB2265">
        <w:t xml:space="preserve">The submission proposed a special pricing arrangement consisting of a </w:t>
      </w:r>
      <w:r w:rsidR="003F618D">
        <w:rPr>
          <w:noProof/>
          <w:color w:val="000000"/>
          <w:highlight w:val="black"/>
        </w:rPr>
        <w:t>'''''''''</w:t>
      </w:r>
      <w:r w:rsidRPr="00AB2265">
        <w:t xml:space="preserve">% discount on the published AEMP of $5,714.29 per </w:t>
      </w:r>
      <w:r w:rsidR="00C2775B" w:rsidRPr="00AB2265">
        <w:t>vial</w:t>
      </w:r>
      <w:r w:rsidRPr="00AB2265">
        <w:t xml:space="preserve"> (effective price $</w:t>
      </w:r>
      <w:r w:rsidR="003F618D">
        <w:rPr>
          <w:noProof/>
          <w:color w:val="000000"/>
          <w:highlight w:val="black"/>
        </w:rPr>
        <w:t>'''''''''''</w:t>
      </w:r>
      <w:r w:rsidRPr="00AB2265">
        <w:t xml:space="preserve"> per </w:t>
      </w:r>
      <w:r w:rsidR="00C2775B" w:rsidRPr="00AB2265">
        <w:t>vial</w:t>
      </w:r>
      <w:r w:rsidRPr="00AB2265">
        <w:t xml:space="preserve">). </w:t>
      </w:r>
    </w:p>
    <w:p w:rsidR="002D35EB" w:rsidRPr="00AB2265" w:rsidRDefault="00DE2DC7" w:rsidP="002D35EB">
      <w:pPr>
        <w:pStyle w:val="ExecSumBodyText"/>
      </w:pPr>
      <w:r w:rsidRPr="00AB2265">
        <w:t>Caplacizumab is to be administered intravenously</w:t>
      </w:r>
      <w:r w:rsidR="00DA0C7D" w:rsidRPr="00AB2265">
        <w:t>,</w:t>
      </w:r>
      <w:r w:rsidRPr="00AB2265">
        <w:t xml:space="preserve"> once</w:t>
      </w:r>
      <w:r w:rsidR="00DA0C7D" w:rsidRPr="00AB2265">
        <w:t>,</w:t>
      </w:r>
      <w:r w:rsidRPr="00AB2265">
        <w:t xml:space="preserve"> prior to the commencement of plasma exchange, and </w:t>
      </w:r>
      <w:r w:rsidR="00AA754D" w:rsidRPr="00AB2265">
        <w:t xml:space="preserve">subcutaneously </w:t>
      </w:r>
      <w:r w:rsidRPr="00AB2265">
        <w:t xml:space="preserve">once daily </w:t>
      </w:r>
      <w:r w:rsidR="00F5625D" w:rsidRPr="00AB2265">
        <w:t xml:space="preserve">following daily plasma exchange. </w:t>
      </w:r>
      <w:r w:rsidR="00D26D8A" w:rsidRPr="00AB2265">
        <w:t xml:space="preserve">Two doses are therefore administered on day 1 of treatment. </w:t>
      </w:r>
      <w:r w:rsidR="00F5625D" w:rsidRPr="00AB2265">
        <w:t>Treatment is to continue</w:t>
      </w:r>
      <w:r w:rsidRPr="00AB2265">
        <w:t xml:space="preserve"> until 30 days after </w:t>
      </w:r>
      <w:r w:rsidR="00D26D8A" w:rsidRPr="00AB2265">
        <w:t xml:space="preserve">cessation of </w:t>
      </w:r>
      <w:r w:rsidRPr="00AB2265">
        <w:t>plasma exchange. The sponsor proposed providing the first 2 days (equivalent to 3 doses) of caplacizumab</w:t>
      </w:r>
      <w:r w:rsidR="00F5625D" w:rsidRPr="00AB2265">
        <w:t xml:space="preserve"> without charge, until diagnosis of aTTP is confirmed via ADAMTS13 activity test results. </w:t>
      </w:r>
      <w:r w:rsidR="00D26D8A" w:rsidRPr="00AB2265">
        <w:t>No mechanism was suggested for the provision of these initial doses in the submission.</w:t>
      </w:r>
      <w:r w:rsidR="002D35EB" w:rsidRPr="00AB2265">
        <w:t xml:space="preserve"> The ESC considered this did not impact the cost to the PBS as caplacizumab would only ever be initiated in the in-hospital setting, with in-patient use not suitable for funding on the PBS</w:t>
      </w:r>
      <w:r w:rsidR="00AB2265">
        <w:t xml:space="preserve">. </w:t>
      </w:r>
    </w:p>
    <w:p w:rsidR="00976B1D" w:rsidRPr="00AB2265" w:rsidRDefault="00976B1D" w:rsidP="00976B1D">
      <w:pPr>
        <w:pStyle w:val="ExecSumBodyText"/>
      </w:pPr>
      <w:r w:rsidRPr="00AB2265">
        <w:t>The requested listing was broadly consistent with the TGA indication for caplacizumab. Four restrictions were proposed:</w:t>
      </w:r>
    </w:p>
    <w:p w:rsidR="00976B1D" w:rsidRPr="00AB2265" w:rsidRDefault="00976B1D" w:rsidP="00DA7AE5">
      <w:pPr>
        <w:pStyle w:val="ExecSumBodyText"/>
        <w:numPr>
          <w:ilvl w:val="1"/>
          <w:numId w:val="6"/>
        </w:numPr>
      </w:pPr>
      <w:r w:rsidRPr="00AB2265">
        <w:t xml:space="preserve">Initial treatment (4 </w:t>
      </w:r>
      <w:r w:rsidR="00F33EB9" w:rsidRPr="00AB2265">
        <w:t>vials</w:t>
      </w:r>
      <w:r w:rsidRPr="00AB2265">
        <w:t>): to provide caplacizumab during the plasma exchange treatment period following the proposed sponsor-reimbursed period (first 2 days) prior to confirmation of diagnosis;</w:t>
      </w:r>
    </w:p>
    <w:p w:rsidR="00976B1D" w:rsidRPr="00AB2265" w:rsidRDefault="00976B1D" w:rsidP="00DA7AE5">
      <w:pPr>
        <w:pStyle w:val="ExecSumBodyText"/>
        <w:numPr>
          <w:ilvl w:val="1"/>
          <w:numId w:val="6"/>
        </w:numPr>
      </w:pPr>
      <w:r w:rsidRPr="00AB2265">
        <w:t xml:space="preserve">Initial treatment – extended initial treatment (up to 5 additional </w:t>
      </w:r>
      <w:r w:rsidR="00F33EB9" w:rsidRPr="00AB2265">
        <w:t>vials</w:t>
      </w:r>
      <w:r w:rsidRPr="00AB2265">
        <w:t>): to provide caplacizumab for patients requiring more than the average (5.</w:t>
      </w:r>
      <w:r w:rsidR="00C2775B" w:rsidRPr="00AB2265">
        <w:t>5</w:t>
      </w:r>
      <w:r w:rsidRPr="00AB2265">
        <w:t xml:space="preserve"> days) duration of plasma exchange;</w:t>
      </w:r>
    </w:p>
    <w:p w:rsidR="00976B1D" w:rsidRPr="00AB2265" w:rsidRDefault="00976B1D" w:rsidP="00DA7AE5">
      <w:pPr>
        <w:pStyle w:val="ExecSumBodyText"/>
        <w:numPr>
          <w:ilvl w:val="1"/>
          <w:numId w:val="6"/>
        </w:numPr>
      </w:pPr>
      <w:r w:rsidRPr="00AB2265">
        <w:t xml:space="preserve">Continuing treatment (30 </w:t>
      </w:r>
      <w:r w:rsidR="00F33EB9" w:rsidRPr="00AB2265">
        <w:t>vials</w:t>
      </w:r>
      <w:r w:rsidRPr="00AB2265">
        <w:t>): To provide treatment with caplacizumab for 30 days following the cessation of daily plasma exchange treatment;</w:t>
      </w:r>
    </w:p>
    <w:p w:rsidR="00976B1D" w:rsidRPr="00AB2265" w:rsidRDefault="00976B1D" w:rsidP="00DA7AE5">
      <w:pPr>
        <w:pStyle w:val="ExecSumBodyText"/>
        <w:numPr>
          <w:ilvl w:val="1"/>
          <w:numId w:val="6"/>
        </w:numPr>
      </w:pPr>
      <w:r w:rsidRPr="00AB2265">
        <w:t xml:space="preserve">Extended continuing treatment (7 </w:t>
      </w:r>
      <w:r w:rsidR="00F33EB9" w:rsidRPr="00AB2265">
        <w:t>vials</w:t>
      </w:r>
      <w:r w:rsidRPr="00AB2265">
        <w:t>): For patients requiring extended treatment due to evidence of ongoing immunological disease following the standard 30-days of post-plasma exchange treatment.</w:t>
      </w:r>
    </w:p>
    <w:p w:rsidR="009A0104" w:rsidRPr="00AB2265" w:rsidRDefault="00F33EB9" w:rsidP="009A0104">
      <w:pPr>
        <w:pStyle w:val="ExecSumBodyText"/>
      </w:pPr>
      <w:r w:rsidRPr="00AB2265">
        <w:t xml:space="preserve">Eligibility for extended treatment will be dependent on demonstration of ongoing immunological disease via ADAMTS13 activity testing, whereby evidence of ADAMTS13 activity less than 10% of normal indicates the requirement for extended treatment. The measurement of ADAMTS13 levels is a part of routine follow up in clinical practice, as ADAMTS13 deficiency can predict exacerbation or relapse. The cut off of &lt;10% ADAMTS13 activity is broadly considered indicative of TTP, and is appropriate for monitoring disease activity. However, as caplacizumab does not target the underlying cause of the disease, </w:t>
      </w:r>
      <w:r w:rsidR="00A15B73" w:rsidRPr="00AB2265">
        <w:t>the evaluation suggested</w:t>
      </w:r>
      <w:r w:rsidR="00A15B73" w:rsidRPr="00AB2265">
        <w:rPr>
          <w:i/>
        </w:rPr>
        <w:t xml:space="preserve"> </w:t>
      </w:r>
      <w:r w:rsidR="00A15B73" w:rsidRPr="00AB2265">
        <w:t>it wa</w:t>
      </w:r>
      <w:r w:rsidRPr="00AB2265">
        <w:t>s unclear if ADAMTS13 deficiency is the most appropriate criteri</w:t>
      </w:r>
      <w:r w:rsidR="00C2775B" w:rsidRPr="00AB2265">
        <w:t>on</w:t>
      </w:r>
      <w:r w:rsidRPr="00AB2265">
        <w:t xml:space="preserve"> for determining eligibility for treatment extension. </w:t>
      </w:r>
      <w:r w:rsidR="00050757" w:rsidRPr="00AB2265">
        <w:t xml:space="preserve">The ESC </w:t>
      </w:r>
      <w:r w:rsidR="00A219D4" w:rsidRPr="00AB2265">
        <w:t>considered</w:t>
      </w:r>
      <w:r w:rsidR="00050757" w:rsidRPr="00AB2265">
        <w:t xml:space="preserve"> ADAMTS13</w:t>
      </w:r>
      <w:r w:rsidR="009A0104" w:rsidRPr="00AB2265">
        <w:t xml:space="preserve"> activity</w:t>
      </w:r>
      <w:r w:rsidR="00050757" w:rsidRPr="00AB2265">
        <w:t xml:space="preserve"> was the most</w:t>
      </w:r>
      <w:r w:rsidR="009A0104" w:rsidRPr="00AB2265">
        <w:t xml:space="preserve"> reliable and</w:t>
      </w:r>
      <w:r w:rsidR="00050757" w:rsidRPr="00AB2265">
        <w:t xml:space="preserve"> specific marker </w:t>
      </w:r>
      <w:r w:rsidR="009A0104" w:rsidRPr="00AB2265">
        <w:t xml:space="preserve">of </w:t>
      </w:r>
      <w:r w:rsidR="00050757" w:rsidRPr="00AB2265">
        <w:t xml:space="preserve">disease activity. </w:t>
      </w:r>
      <w:r w:rsidR="009A0104" w:rsidRPr="00AB2265">
        <w:t xml:space="preserve">The ESC considered that using other markers </w:t>
      </w:r>
      <w:r w:rsidR="009A0104" w:rsidRPr="00AB2265">
        <w:lastRenderedPageBreak/>
        <w:t xml:space="preserve">such as LDH or </w:t>
      </w:r>
      <w:proofErr w:type="spellStart"/>
      <w:r w:rsidR="009A0104" w:rsidRPr="00AB2265">
        <w:t>haptoglobin</w:t>
      </w:r>
      <w:proofErr w:type="spellEnd"/>
      <w:r w:rsidR="009A0104" w:rsidRPr="00AB2265">
        <w:t xml:space="preserve"> would lead to non-specific use of caplacizumab and also would miss early relapse resulting in potential for more severe relapse an</w:t>
      </w:r>
      <w:r w:rsidR="009407A1" w:rsidRPr="00AB2265">
        <w:t>d increased morbidity and morta</w:t>
      </w:r>
      <w:r w:rsidR="009A0104" w:rsidRPr="00AB2265">
        <w:t xml:space="preserve">lity. </w:t>
      </w:r>
      <w:r w:rsidR="00A15B73" w:rsidRPr="00AB2265">
        <w:t>The ESC noted that while ADAMTS13 antibody testing is also specific to measuring disease activity, it is not clinically available for use.</w:t>
      </w:r>
    </w:p>
    <w:p w:rsidR="00F33EB9" w:rsidRPr="00AB2265" w:rsidRDefault="002D35EB" w:rsidP="002D35EB">
      <w:pPr>
        <w:pStyle w:val="ExecSumBodyText"/>
      </w:pPr>
      <w:r w:rsidRPr="00AB2265">
        <w:t xml:space="preserve">The ESC considered it would be reasonable to expect monitoring of ADAMTS13 levels every 7 days in the initial 30-day post PEX period. </w:t>
      </w:r>
    </w:p>
    <w:p w:rsidR="00033C79" w:rsidRPr="00AB2265" w:rsidRDefault="00F33EB9" w:rsidP="00F33EB9">
      <w:pPr>
        <w:pStyle w:val="ExecSumBodyText"/>
      </w:pPr>
      <w:r w:rsidRPr="00AB2265">
        <w:t xml:space="preserve">The four restrictions were designed based on the average duration of plasma exchange in the HERCULES trial. However, the duration of plasma exchange within the </w:t>
      </w:r>
      <w:r w:rsidR="00C2775B" w:rsidRPr="00AB2265">
        <w:t>trial</w:t>
      </w:r>
      <w:r w:rsidRPr="00AB2265">
        <w:t xml:space="preserve"> was highly variable (range: 1-35 days), and therefore the likely duration of treatment and suitability of the proposed restrictions is unclear.</w:t>
      </w:r>
      <w:r w:rsidR="00050757" w:rsidRPr="00AB2265">
        <w:t xml:space="preserve"> The ESC noted aTTP is a heterogeneous disease, with patients experiencing varied response times to treatment with PEX</w:t>
      </w:r>
      <w:r w:rsidR="00AB2265">
        <w:t xml:space="preserve">. </w:t>
      </w:r>
    </w:p>
    <w:p w:rsidR="00F33EB9" w:rsidRPr="00AB2265" w:rsidRDefault="00F33EB9" w:rsidP="00F33EB9">
      <w:pPr>
        <w:pStyle w:val="ExecSumBodyText"/>
      </w:pPr>
      <w:r w:rsidRPr="00AB2265">
        <w:t xml:space="preserve">Caplacizumab will be initiated as an inpatient treatment during plasma exchange. The length of time a patient will remain hospitalised following cessation of daily plasma exchange varies from patient to patient, and is dependent on the patient’s clinical status and the presence or absence of any ongoing signs or symptoms related to ischemic organ damage. As such, the entire period of co-administration alongside plasma exchange and a proportion of the 30 day post-plasma exchange caplacizumab treatment will occur whilst the patient remains in hospital, with the remainder being self-administered in the outpatient setting, with the relative length of each period varying from patient to patient. </w:t>
      </w:r>
      <w:r w:rsidR="00B45991" w:rsidRPr="00AB2265">
        <w:t>The ESC re</w:t>
      </w:r>
      <w:r w:rsidR="0034049C" w:rsidRPr="00AB2265">
        <w:t>called</w:t>
      </w:r>
      <w:r w:rsidR="0034049C" w:rsidRPr="00AB2265">
        <w:rPr>
          <w:i/>
        </w:rPr>
        <w:t xml:space="preserve"> </w:t>
      </w:r>
      <w:r w:rsidR="00B45991" w:rsidRPr="00AB2265">
        <w:t>that</w:t>
      </w:r>
      <w:r w:rsidR="00571DDC" w:rsidRPr="00AB2265">
        <w:t xml:space="preserve"> public hospital</w:t>
      </w:r>
      <w:r w:rsidR="00B45991" w:rsidRPr="00AB2265">
        <w:t xml:space="preserve"> i</w:t>
      </w:r>
      <w:r w:rsidRPr="00AB2265">
        <w:t xml:space="preserve">npatient treatment is not subsidised by the PBS. Therefore, </w:t>
      </w:r>
      <w:r w:rsidR="00CD486A" w:rsidRPr="00AB2265">
        <w:t>the</w:t>
      </w:r>
      <w:r w:rsidR="00B45991" w:rsidRPr="00AB2265">
        <w:t xml:space="preserve"> ESC </w:t>
      </w:r>
      <w:r w:rsidR="00DA0C7D" w:rsidRPr="00AB2265">
        <w:t>not</w:t>
      </w:r>
      <w:r w:rsidR="00B45991" w:rsidRPr="00AB2265">
        <w:t>ed that</w:t>
      </w:r>
      <w:r w:rsidR="00CD486A" w:rsidRPr="00AB2265">
        <w:t xml:space="preserve"> </w:t>
      </w:r>
      <w:r w:rsidR="00A219D4" w:rsidRPr="00AB2265">
        <w:t xml:space="preserve">the </w:t>
      </w:r>
      <w:r w:rsidR="00CD486A" w:rsidRPr="00AB2265">
        <w:t>inpatient component of funding in public hospitals will require joint funding between the Commonwealth, states and territories under the usual National Health Reform Agreement (NHRA) arrangements</w:t>
      </w:r>
      <w:r w:rsidRPr="00AB2265">
        <w:t>, with only outpatient treatment to be subsidised under the PBS. The total duration of hospitalisation was variable in the HERCULES trial (median of 9 days, range: 2-37 days).</w:t>
      </w:r>
      <w:r w:rsidR="002D35EB" w:rsidRPr="00AB2265">
        <w:t xml:space="preserve"> The ESC advised that the appropriate number of vials dispensed on the PBS needs to take into consideration that a significant component of the treatment may occur during inpatient stay</w:t>
      </w:r>
      <w:r w:rsidR="00AB2265">
        <w:t xml:space="preserve">. </w:t>
      </w:r>
    </w:p>
    <w:p w:rsidR="00CC35EA" w:rsidRPr="00AB2265" w:rsidRDefault="00F33EB9" w:rsidP="00F33EB9">
      <w:pPr>
        <w:pStyle w:val="ExecSumBodyText"/>
      </w:pPr>
      <w:r w:rsidRPr="00AB2265">
        <w:t xml:space="preserve">The proposed restriction requests that following the completion of plasma exchange, patients continue treatment with caplacizumab for an additional 30 days. It is therefore proposed that, for the continuing treatment restriction, patients will be dispensed with 30 vials on day one of the continuing treatment, with the intention that the hospital pharmacy will supply one vial daily whilst the patient remains in hospital, with any remaining vials supplied to the patient on discharge. This quantity may not be appropriate given the proposed price of caplacizumab. </w:t>
      </w:r>
      <w:r w:rsidR="00CB33B2" w:rsidRPr="00AB2265">
        <w:t>The ESC a</w:t>
      </w:r>
      <w:r w:rsidR="00A34081" w:rsidRPr="00AB2265">
        <w:t>dvis</w:t>
      </w:r>
      <w:r w:rsidR="00CB33B2" w:rsidRPr="00AB2265">
        <w:t>ed that some patients will be discharged with significantly less than 30 days of post-PEX treatment with caplacizumab remaining. Therefore the ESC considered</w:t>
      </w:r>
      <w:r w:rsidR="00A219D4" w:rsidRPr="00AB2265">
        <w:t xml:space="preserve"> it was appropriate for the </w:t>
      </w:r>
      <w:r w:rsidR="00CB33B2" w:rsidRPr="00AB2265">
        <w:t xml:space="preserve">continuing treatment restriction be revised to provide patients with a reduced maximum quantity and increased number of repeats (up to 30 days’ worth of treatment). </w:t>
      </w:r>
    </w:p>
    <w:p w:rsidR="0032686E" w:rsidRPr="00AB2265" w:rsidRDefault="0032686E" w:rsidP="002A78F0">
      <w:pPr>
        <w:ind w:firstLine="720"/>
        <w:rPr>
          <w:i/>
        </w:rPr>
      </w:pPr>
      <w:r w:rsidRPr="00AB2265">
        <w:rPr>
          <w:i/>
        </w:rPr>
        <w:lastRenderedPageBreak/>
        <w:t>For more detail on PBAC’s view, see section 7 PBAC outcome.</w:t>
      </w:r>
    </w:p>
    <w:p w:rsidR="00B50DB8" w:rsidRPr="00AB2265" w:rsidRDefault="00203181" w:rsidP="004E18E9">
      <w:pPr>
        <w:pStyle w:val="2-SectionHeading"/>
      </w:pPr>
      <w:bookmarkStart w:id="11" w:name="_Toc40711449"/>
      <w:bookmarkStart w:id="12" w:name="_Toc40711508"/>
      <w:r w:rsidRPr="00AB2265">
        <w:t xml:space="preserve">Population and </w:t>
      </w:r>
      <w:r w:rsidR="008E0D3C" w:rsidRPr="00AB2265">
        <w:t>d</w:t>
      </w:r>
      <w:r w:rsidRPr="00AB2265">
        <w:t>isease</w:t>
      </w:r>
      <w:bookmarkEnd w:id="11"/>
      <w:bookmarkEnd w:id="12"/>
    </w:p>
    <w:p w:rsidR="00BC3341" w:rsidRPr="00AB2265" w:rsidRDefault="00BC3341" w:rsidP="001464E1">
      <w:pPr>
        <w:pStyle w:val="ExecSumBodyText"/>
      </w:pPr>
      <w:r w:rsidRPr="00AB2265">
        <w:t xml:space="preserve">Thrombotic thrombocytopenic purpura (TTP) is a well-defined entity of a heterogeneous group of disorders, the thrombotic microangiopathies. Acquired thrombotic thrombocytopenic purpura (aTTP) is a life-threatening, autoimmune blood clotting disorder manifested by microvascular occlusions and consequent thrombocytopenia, haemolytic anaemia with red cell fragmentation, and organ ischemia due to disturbed microcirculation. It is a rare disease with an incidence of 1.2 to 11 cases per million per year. The incidence in children (&lt;18 years) is low, about 3% of that in adults. </w:t>
      </w:r>
      <w:proofErr w:type="gramStart"/>
      <w:r w:rsidRPr="00AB2265">
        <w:t>aTTP</w:t>
      </w:r>
      <w:proofErr w:type="gramEnd"/>
      <w:r w:rsidRPr="00AB2265">
        <w:t xml:space="preserve"> generally occurs in adulthood and is more common in women (2:1 vs men) and people of African descent. The median age at diagnosis is approximately 40 years. A trigger, including physical stress (such as surgery), infections, drug intake or a pregnancy may precipitate the disease.</w:t>
      </w:r>
    </w:p>
    <w:p w:rsidR="00BC3341" w:rsidRPr="00AB2265" w:rsidRDefault="00BC3341" w:rsidP="001464E1">
      <w:pPr>
        <w:pStyle w:val="ExecSumBodyText"/>
      </w:pPr>
      <w:proofErr w:type="gramStart"/>
      <w:r w:rsidRPr="00AB2265">
        <w:t>aTTP</w:t>
      </w:r>
      <w:proofErr w:type="gramEnd"/>
      <w:r w:rsidRPr="00AB2265">
        <w:t xml:space="preserve"> is characterised by the production of inhibitory autoantibodies to the metalloproteinase ADAMTS13 (a disintegrin and metalloproteinase with thrombospondin type 1 motif, 13), which is responsible for cleaving ultra-large von Willebrand Factor multimers into their individual subunits. Decreased ADAMTS13 activity leads to an accumulation of von Willebrand Factor multimers which bind to platelets and induce adhesion. The consumption of platelets into these microthrombi causes severe thrombocytopenia, tissue ischemia and organ dysfunction, commonly involving the brain, heart, and kidneys, and resulting in acute thromboembolic events such as stroke, myocardial infarction, and venous thrombosis, and early death. Left untreated, aTTP is progressive, with irreversible renal failure, neurological deterioration and 90% mortality. With prompt initiation of empirical therapeutic plasma exchange, the average survival rate from a first episode of TTP is 80% to 90%.</w:t>
      </w:r>
    </w:p>
    <w:p w:rsidR="00BC3341" w:rsidRPr="00AB2265" w:rsidRDefault="00BC3341" w:rsidP="00D14F7F">
      <w:pPr>
        <w:pStyle w:val="ExecSumBodyText"/>
      </w:pPr>
      <w:r w:rsidRPr="00AB2265">
        <w:t>TTP is characterised by thrombotic microangiopathy, or the formation of blood clots in small blood vessels throughout the body, which can lead to microangiopathic haemolytic anaemia and thrombocytopenia. This characteristic is shared by two related syndromes, haemolytic-uremic syndrome (HUS) and atypical haemolytic uremic syndrome (aHUS). Consequently, differential diagnosis is essential. Unlike HUS and aHUS, aTTP is known to be caused by an acquired defect in the ADAMTS13 protein, so a lab test showing ≤10% of normal ADAMTS13 levels is indicative of aTTP. ADAMTS13 activity testing is an important adjunct for the clinical diagnosis, but this testing cannot be used in isolation, nor should therapy be delayed when appropriate while waiting for results of thi</w:t>
      </w:r>
      <w:r w:rsidR="00D14F7F" w:rsidRPr="00AB2265">
        <w:t>s testing.</w:t>
      </w:r>
    </w:p>
    <w:p w:rsidR="00BC3341" w:rsidRPr="00AB2265" w:rsidRDefault="00BC3341" w:rsidP="00D14F7F">
      <w:pPr>
        <w:pStyle w:val="ExecSumBodyText"/>
      </w:pPr>
      <w:r w:rsidRPr="00AB2265">
        <w:t xml:space="preserve">The disease course is unpredictable. The key clinical symptoms of aTTP are, as for all types of thrombotic microangiopathy, symptoms of Coombs negative haemolysis with red cell fragmentation, consumption thrombocytopenia and signs of disturbed microcirculation. The symptoms of organ dysfunction are often nonspecific and very </w:t>
      </w:r>
      <w:r w:rsidRPr="00AB2265">
        <w:lastRenderedPageBreak/>
        <w:t>variable, possibly involving the brain, kidneys, heart, lungs, pancreas, or gut. Initially, a presumptive diagnosis of aTTP is made based on clinical features and initial laboratory testing, with treatment initiated whilst awaiting ADAMTS13 activity testing results. Concurrently with initiation of therapy, individuals with a presumptive diagnosis of aTTP should have ongoing consideration of other possible causes of their symptoms, including other primary thrombotic microangiopathies</w:t>
      </w:r>
      <w:r w:rsidR="00D14F7F" w:rsidRPr="00AB2265">
        <w:t xml:space="preserve"> and other systemic conditions.</w:t>
      </w:r>
    </w:p>
    <w:p w:rsidR="00BC3341" w:rsidRPr="00AB2265" w:rsidRDefault="00BC3341" w:rsidP="00D14F7F">
      <w:pPr>
        <w:pStyle w:val="ExecSumBodyText"/>
      </w:pPr>
      <w:r w:rsidRPr="00AB2265">
        <w:t>Most patients (85 to 90 percent) with aTTP ultimately recover following treatment with plasma exchange, glucocorticoids, and rituximab. Relapses have been reported in 30-40% of patients. Whilst most patients with aTTP do not experience a relapse, a relapse may be triggered by illness, surgery, major trauma, or pregnancy. Patients are monitored over time for the purpose of detecting relapse. Relapses are generally identified because the patient develops symptoms similar to their initial episode such as bruising, dark urine, neurologic symptoms,</w:t>
      </w:r>
      <w:r w:rsidR="00D14F7F" w:rsidRPr="00AB2265">
        <w:t xml:space="preserve"> or unexplained severe fatigue.</w:t>
      </w:r>
    </w:p>
    <w:p w:rsidR="001C1CC9" w:rsidRPr="00AB2265" w:rsidRDefault="001C1CC9" w:rsidP="00D14F7F">
      <w:pPr>
        <w:pStyle w:val="ExecSumBodyText"/>
      </w:pPr>
      <w:r w:rsidRPr="00AB2265">
        <w:t xml:space="preserve">The ESC </w:t>
      </w:r>
      <w:r w:rsidR="00516181" w:rsidRPr="00AB2265">
        <w:t>advis</w:t>
      </w:r>
      <w:r w:rsidRPr="00AB2265">
        <w:t>ed that patients are monitored for re</w:t>
      </w:r>
      <w:r w:rsidR="00A15B73" w:rsidRPr="00AB2265">
        <w:t>currenc</w:t>
      </w:r>
      <w:r w:rsidRPr="00AB2265">
        <w:t xml:space="preserve">e </w:t>
      </w:r>
      <w:r w:rsidR="00E525EE" w:rsidRPr="00AB2265">
        <w:t xml:space="preserve">after platelet normalisation </w:t>
      </w:r>
      <w:r w:rsidRPr="00AB2265">
        <w:t xml:space="preserve">by measuring ADAMTS13 levels. If levels drop below 10% and a patient is clinically well, they </w:t>
      </w:r>
      <w:r w:rsidR="00516181" w:rsidRPr="00AB2265">
        <w:t>may be</w:t>
      </w:r>
      <w:r w:rsidRPr="00AB2265">
        <w:t xml:space="preserve"> treated with rituximab alone, </w:t>
      </w:r>
      <w:r w:rsidR="00516181" w:rsidRPr="00AB2265">
        <w:t xml:space="preserve">or </w:t>
      </w:r>
      <w:r w:rsidRPr="00AB2265">
        <w:t>used</w:t>
      </w:r>
      <w:r w:rsidR="00516181" w:rsidRPr="00AB2265">
        <w:t xml:space="preserve"> with</w:t>
      </w:r>
      <w:r w:rsidRPr="00AB2265">
        <w:t xml:space="preserve"> an immunosuppressant. However in certain circumstances, PEX + corticosteroids will have to be reinstated in order to effectively treat </w:t>
      </w:r>
      <w:r w:rsidR="00E525EE" w:rsidRPr="00AB2265">
        <w:t>an exacerbation</w:t>
      </w:r>
      <w:r w:rsidR="00AB2265">
        <w:t xml:space="preserve">. </w:t>
      </w:r>
    </w:p>
    <w:p w:rsidR="00BC3341" w:rsidRPr="00AB2265" w:rsidRDefault="00BC3341" w:rsidP="00D14F7F">
      <w:pPr>
        <w:pStyle w:val="ExecSumBodyText"/>
      </w:pPr>
      <w:r w:rsidRPr="00AB2265">
        <w:t>Long-term follow-up observations have documented increased risks for multiple health problems in individuals who have recovered from an episode of acquired TTP. These risks include minor cognitive impairment, major depression, hypertension, abnormal kidney function, and development of</w:t>
      </w:r>
      <w:r w:rsidR="00D14F7F" w:rsidRPr="00AB2265">
        <w:t xml:space="preserve"> systemic lupus erythematosus. </w:t>
      </w:r>
    </w:p>
    <w:p w:rsidR="00D14F7F" w:rsidRPr="00AB2265" w:rsidRDefault="00BC3341" w:rsidP="00BC3341">
      <w:pPr>
        <w:pStyle w:val="ExecSumBodyText"/>
      </w:pPr>
      <w:r w:rsidRPr="00AB2265">
        <w:t xml:space="preserve">Targeting a high risk population </w:t>
      </w:r>
      <w:r w:rsidR="0038421A" w:rsidRPr="00AB2265">
        <w:t xml:space="preserve">may be </w:t>
      </w:r>
      <w:r w:rsidRPr="00AB2265">
        <w:t xml:space="preserve">more likely to derive a higher absolute benefit from treatment (for example, refractory patients). </w:t>
      </w:r>
      <w:r w:rsidR="006632FE" w:rsidRPr="00AB2265">
        <w:t>The ESC noted both clinical trials presented in the submission, TITAN and HERCULES, did not use caplacizumab as rescue therapy (in refractory patients). Therefore</w:t>
      </w:r>
      <w:r w:rsidR="00A219D4" w:rsidRPr="00AB2265">
        <w:t xml:space="preserve"> the ESC considered it wa</w:t>
      </w:r>
      <w:r w:rsidR="006632FE" w:rsidRPr="00AB2265">
        <w:t>s difficult to assess whether a higher absolute benefit of treatment would be derived from limiting treatment to use in later lines of therapy</w:t>
      </w:r>
      <w:r w:rsidR="00AB2265">
        <w:t>.</w:t>
      </w:r>
      <w:r w:rsidR="001C6279">
        <w:t xml:space="preserve"> </w:t>
      </w:r>
      <w:r w:rsidR="006632FE" w:rsidRPr="00AB2265">
        <w:t xml:space="preserve"> </w:t>
      </w:r>
    </w:p>
    <w:p w:rsidR="0032686E" w:rsidRPr="00AB2265" w:rsidRDefault="0076517B" w:rsidP="0032686E">
      <w:pPr>
        <w:pStyle w:val="ExecSumBodyText"/>
      </w:pPr>
      <w:r w:rsidRPr="00AB2265">
        <w:t>The ESC noted the</w:t>
      </w:r>
      <w:r w:rsidR="0018324D" w:rsidRPr="00AB2265">
        <w:t xml:space="preserve"> pre-sub-committee response</w:t>
      </w:r>
      <w:r w:rsidR="00351A71" w:rsidRPr="00AB2265">
        <w:t xml:space="preserve"> (PSCR)</w:t>
      </w:r>
      <w:r w:rsidRPr="00AB2265">
        <w:t xml:space="preserve"> </w:t>
      </w:r>
      <w:r w:rsidR="0018324D" w:rsidRPr="00AB2265">
        <w:t xml:space="preserve">highlighted the </w:t>
      </w:r>
      <w:r w:rsidRPr="00AB2265">
        <w:t xml:space="preserve">International Society of Thrombosis and Haemostasis (ISTH) Clinical Guidelines, </w:t>
      </w:r>
      <w:r w:rsidR="0018324D" w:rsidRPr="00AB2265">
        <w:t>which were</w:t>
      </w:r>
      <w:r w:rsidRPr="00AB2265">
        <w:t xml:space="preserve"> available online in their final draft stage, place</w:t>
      </w:r>
      <w:r w:rsidR="0018324D" w:rsidRPr="00AB2265">
        <w:t>d</w:t>
      </w:r>
      <w:r w:rsidRPr="00AB2265">
        <w:t xml:space="preserve"> caplacizumab treatment in the early phase of an acute event of aTTP. All other guidelines were published before availability of the pivotal studies and therefore do not discuss the use of caplacizumab in the treatment of aTTP. </w:t>
      </w:r>
    </w:p>
    <w:p w:rsidR="0032686E" w:rsidRPr="00AB2265" w:rsidRDefault="0032686E" w:rsidP="002A78F0">
      <w:pPr>
        <w:pStyle w:val="ExecSumBodyText"/>
        <w:numPr>
          <w:ilvl w:val="0"/>
          <w:numId w:val="0"/>
        </w:numPr>
        <w:ind w:firstLine="720"/>
        <w:rPr>
          <w:i/>
        </w:rPr>
      </w:pPr>
      <w:r w:rsidRPr="00AB2265">
        <w:rPr>
          <w:i/>
        </w:rPr>
        <w:t>For more detail on PBAC’s view, see section 7 PBAC outcome.</w:t>
      </w:r>
    </w:p>
    <w:p w:rsidR="00B50DB8" w:rsidRPr="00AB2265" w:rsidRDefault="00B50DB8" w:rsidP="004E18E9">
      <w:pPr>
        <w:pStyle w:val="2-SectionHeading"/>
      </w:pPr>
      <w:bookmarkStart w:id="13" w:name="_Toc40711450"/>
      <w:bookmarkStart w:id="14" w:name="_Toc40711509"/>
      <w:r w:rsidRPr="00AB2265">
        <w:lastRenderedPageBreak/>
        <w:t>Comparator</w:t>
      </w:r>
      <w:bookmarkEnd w:id="13"/>
      <w:bookmarkEnd w:id="14"/>
    </w:p>
    <w:p w:rsidR="00D14F7F" w:rsidRPr="00AB2265" w:rsidRDefault="00D14F7F" w:rsidP="00D14F7F">
      <w:pPr>
        <w:pStyle w:val="ExecSumBodyText"/>
        <w:rPr>
          <w:snapToGrid/>
        </w:rPr>
      </w:pPr>
      <w:r w:rsidRPr="00AB2265">
        <w:rPr>
          <w:snapToGrid/>
        </w:rPr>
        <w:t>Current standard of care for patients with aTTP is plasma exchange plus immunosuppression with corticosteroids ± rituximab. Caplacizumab is to be used as an add-on therapy to plasma exchange plus immunosuppression. Therefore, the submission nominated standard of care as the main comparator. This was appropriate.</w:t>
      </w:r>
      <w:r w:rsidR="005C4B2F" w:rsidRPr="00AB2265">
        <w:rPr>
          <w:snapToGrid/>
        </w:rPr>
        <w:t xml:space="preserve"> Rituximab is not currently PBS listed for the treatment of aTTP. </w:t>
      </w:r>
    </w:p>
    <w:p w:rsidR="0032686E" w:rsidRPr="00AB2265" w:rsidRDefault="007F3AF6" w:rsidP="0032686E">
      <w:pPr>
        <w:pStyle w:val="ExecSumBodyText"/>
        <w:rPr>
          <w:snapToGrid/>
        </w:rPr>
      </w:pPr>
      <w:r w:rsidRPr="00AB2265">
        <w:rPr>
          <w:snapToGrid/>
        </w:rPr>
        <w:t xml:space="preserve">The ESC </w:t>
      </w:r>
      <w:r w:rsidR="000B0CBD" w:rsidRPr="00AB2265">
        <w:rPr>
          <w:snapToGrid/>
        </w:rPr>
        <w:t>advis</w:t>
      </w:r>
      <w:r w:rsidRPr="00AB2265">
        <w:rPr>
          <w:snapToGrid/>
        </w:rPr>
        <w:t xml:space="preserve">ed rituximab is very commonly used as off-label treatment in aTTP. The ESC further </w:t>
      </w:r>
      <w:r w:rsidR="000B0CBD" w:rsidRPr="00AB2265">
        <w:rPr>
          <w:snapToGrid/>
        </w:rPr>
        <w:t>stat</w:t>
      </w:r>
      <w:r w:rsidRPr="00AB2265">
        <w:rPr>
          <w:snapToGrid/>
        </w:rPr>
        <w:t xml:space="preserve">ed that rituximab is not </w:t>
      </w:r>
      <w:r w:rsidR="000B0CBD" w:rsidRPr="00AB2265">
        <w:rPr>
          <w:snapToGrid/>
        </w:rPr>
        <w:t xml:space="preserve">usually </w:t>
      </w:r>
      <w:r w:rsidRPr="00AB2265">
        <w:rPr>
          <w:snapToGrid/>
        </w:rPr>
        <w:t>used as a first line treatment in aTTP but rather</w:t>
      </w:r>
      <w:r w:rsidR="00D34383" w:rsidRPr="00AB2265">
        <w:rPr>
          <w:snapToGrid/>
        </w:rPr>
        <w:t>,</w:t>
      </w:r>
      <w:r w:rsidRPr="00AB2265">
        <w:rPr>
          <w:snapToGrid/>
        </w:rPr>
        <w:t xml:space="preserve"> is used post commencement of PEX + corticosteroids in patients </w:t>
      </w:r>
      <w:r w:rsidR="00D34383" w:rsidRPr="00AB2265">
        <w:rPr>
          <w:snapToGrid/>
        </w:rPr>
        <w:t>that appear to be refractory to treatment.</w:t>
      </w:r>
      <w:r w:rsidRPr="00AB2265">
        <w:rPr>
          <w:snapToGrid/>
        </w:rPr>
        <w:t xml:space="preserve"> </w:t>
      </w:r>
      <w:r w:rsidR="00D34383" w:rsidRPr="00AB2265">
        <w:rPr>
          <w:snapToGrid/>
        </w:rPr>
        <w:t>As rituximab is not PBS listed for the treatment of aTTP, access to the treatment is dependent on the funding and accessibility arrangements present at each hospital. This leads to variation in time to treatment with rituximab amongst refractory patients (24 hou</w:t>
      </w:r>
      <w:r w:rsidR="00DA0F2C" w:rsidRPr="00AB2265">
        <w:rPr>
          <w:snapToGrid/>
        </w:rPr>
        <w:t xml:space="preserve">rs post PEX- one week post PEX) as well as uncertainty </w:t>
      </w:r>
      <w:r w:rsidR="004D2E34" w:rsidRPr="00AB2265">
        <w:rPr>
          <w:snapToGrid/>
        </w:rPr>
        <w:t xml:space="preserve">as </w:t>
      </w:r>
      <w:r w:rsidR="00DA0F2C" w:rsidRPr="00AB2265">
        <w:rPr>
          <w:snapToGrid/>
        </w:rPr>
        <w:t>to the extent of its use in the Australian setting.</w:t>
      </w:r>
      <w:r w:rsidR="0032686E" w:rsidRPr="00AB2265">
        <w:rPr>
          <w:snapToGrid/>
        </w:rPr>
        <w:t xml:space="preserve"> </w:t>
      </w:r>
    </w:p>
    <w:p w:rsidR="0032686E" w:rsidRPr="00AB2265" w:rsidRDefault="0032686E" w:rsidP="002A78F0">
      <w:pPr>
        <w:pStyle w:val="ExecSumBodyText"/>
        <w:numPr>
          <w:ilvl w:val="0"/>
          <w:numId w:val="0"/>
        </w:numPr>
        <w:ind w:firstLine="720"/>
        <w:rPr>
          <w:snapToGrid/>
        </w:rPr>
      </w:pPr>
      <w:r w:rsidRPr="00AB2265">
        <w:rPr>
          <w:i/>
        </w:rPr>
        <w:t>For more detail on PBAC’s view, see section 7 PBAC outcome.</w:t>
      </w:r>
    </w:p>
    <w:p w:rsidR="00223D5A" w:rsidRPr="00AB2265" w:rsidRDefault="00223D5A" w:rsidP="00F21D71">
      <w:pPr>
        <w:pStyle w:val="2-SectionHeading"/>
        <w:numPr>
          <w:ilvl w:val="0"/>
          <w:numId w:val="1"/>
        </w:numPr>
      </w:pPr>
      <w:bookmarkStart w:id="15" w:name="_Toc40711451"/>
      <w:bookmarkStart w:id="16" w:name="_Toc40711510"/>
      <w:bookmarkStart w:id="17" w:name="_Toc22897640"/>
      <w:r w:rsidRPr="00AB2265">
        <w:t>Consideration of the evidence</w:t>
      </w:r>
      <w:bookmarkEnd w:id="15"/>
      <w:bookmarkEnd w:id="16"/>
    </w:p>
    <w:p w:rsidR="00CA7E35" w:rsidRPr="00AB2265" w:rsidRDefault="00CA7E35" w:rsidP="00CA7E35">
      <w:pPr>
        <w:pStyle w:val="3-SubsectionHeading"/>
      </w:pPr>
      <w:r w:rsidRPr="00AB2265">
        <w:t>Sponsor Hearing</w:t>
      </w:r>
    </w:p>
    <w:p w:rsidR="00CA7E35" w:rsidRPr="00AB2265" w:rsidRDefault="00CA7E35" w:rsidP="00CA7E35">
      <w:pPr>
        <w:pStyle w:val="ExecSumBodyText"/>
        <w:numPr>
          <w:ilvl w:val="1"/>
          <w:numId w:val="1"/>
        </w:numPr>
        <w:rPr>
          <w:snapToGrid/>
        </w:rPr>
      </w:pPr>
      <w:r w:rsidRPr="00AB2265">
        <w:rPr>
          <w:snapToGrid/>
        </w:rPr>
        <w:t>There was no hearing for this item</w:t>
      </w:r>
    </w:p>
    <w:p w:rsidR="0032686E" w:rsidRPr="00AB2265" w:rsidRDefault="0032686E" w:rsidP="007B6DDE">
      <w:pPr>
        <w:pStyle w:val="3-SubsectionHeading"/>
      </w:pPr>
      <w:bookmarkStart w:id="18" w:name="_Toc40711452"/>
      <w:bookmarkStart w:id="19" w:name="_Toc40711511"/>
      <w:r w:rsidRPr="00AB2265">
        <w:t>Consumer Comments</w:t>
      </w:r>
    </w:p>
    <w:p w:rsidR="00CA7E35" w:rsidRPr="00AB2265" w:rsidRDefault="00CA7E35" w:rsidP="00CA7E35">
      <w:pPr>
        <w:pStyle w:val="ExecSumBodyText"/>
      </w:pPr>
      <w:r w:rsidRPr="00AB2265">
        <w:t xml:space="preserve">No consumer comments were received for this item. </w:t>
      </w:r>
    </w:p>
    <w:p w:rsidR="00F21D71" w:rsidRPr="00AB2265" w:rsidRDefault="00B60939" w:rsidP="007B6DDE">
      <w:pPr>
        <w:pStyle w:val="3-SubsectionHeading"/>
      </w:pPr>
      <w:r w:rsidRPr="00AB2265">
        <w:t>Clinical trials</w:t>
      </w:r>
      <w:bookmarkEnd w:id="17"/>
      <w:bookmarkEnd w:id="18"/>
      <w:bookmarkEnd w:id="19"/>
    </w:p>
    <w:p w:rsidR="00D14F7F" w:rsidRPr="00AB2265" w:rsidRDefault="00D14F7F" w:rsidP="00F21D71">
      <w:pPr>
        <w:pStyle w:val="ExecSumBodyText"/>
        <w:numPr>
          <w:ilvl w:val="1"/>
          <w:numId w:val="1"/>
        </w:numPr>
        <w:rPr>
          <w:snapToGrid/>
        </w:rPr>
      </w:pPr>
      <w:r w:rsidRPr="00AB2265">
        <w:rPr>
          <w:snapToGrid/>
        </w:rPr>
        <w:t>The submission was based on two head-to-head trials,</w:t>
      </w:r>
      <w:r w:rsidR="00EC1FB3" w:rsidRPr="00AB2265">
        <w:rPr>
          <w:snapToGrid/>
        </w:rPr>
        <w:t xml:space="preserve"> both of which compared caplaciz</w:t>
      </w:r>
      <w:r w:rsidRPr="00AB2265">
        <w:rPr>
          <w:snapToGrid/>
        </w:rPr>
        <w:t>umab in combination with standard of care (comprising plasma exchange and immunosuppression), with standard of care alone, in patients with symptoms of aTTP who required treatment with plasma exchange: TITAN and HERCULES</w:t>
      </w:r>
      <w:r w:rsidR="00AB2265">
        <w:rPr>
          <w:snapToGrid/>
        </w:rPr>
        <w:t xml:space="preserve">. </w:t>
      </w:r>
    </w:p>
    <w:p w:rsidR="00D14F7F" w:rsidRPr="00AB2265" w:rsidRDefault="00D14F7F" w:rsidP="00F21D71">
      <w:pPr>
        <w:pStyle w:val="ExecSumBodyText"/>
        <w:numPr>
          <w:ilvl w:val="1"/>
          <w:numId w:val="1"/>
        </w:numPr>
      </w:pPr>
      <w:r w:rsidRPr="00AB2265">
        <w:rPr>
          <w:snapToGrid/>
        </w:rPr>
        <w:t xml:space="preserve">The TITAN study was a Phase II trial comparing the effectiveness of the addition of caplacizumab to plasma exchange and immunosuppression, with caplacizumab administered for an additional 30 days after finishing plasma exchange. The HERCULES trial was a Phase III trial, which permitted up to an additional 4 weeks of caplacizumab following the first 30 days of treatment post-plasma exchange. </w:t>
      </w:r>
    </w:p>
    <w:p w:rsidR="00862502" w:rsidRPr="00AB2265" w:rsidRDefault="00A73134" w:rsidP="00F21D71">
      <w:pPr>
        <w:pStyle w:val="ExecSumBodyText"/>
        <w:numPr>
          <w:ilvl w:val="1"/>
          <w:numId w:val="1"/>
        </w:numPr>
      </w:pPr>
      <w:r w:rsidRPr="00AB2265">
        <w:rPr>
          <w:snapToGrid/>
        </w:rPr>
        <w:t>Details of the trials presented in the submission are provided in the table below.</w:t>
      </w:r>
      <w:r w:rsidR="00BC591F" w:rsidRPr="00AB2265">
        <w:rPr>
          <w:snapToGrid/>
        </w:rPr>
        <w:t xml:space="preserve"> </w:t>
      </w:r>
    </w:p>
    <w:p w:rsidR="003374A3" w:rsidRPr="00AB2265" w:rsidRDefault="003374A3" w:rsidP="003374A3">
      <w:pPr>
        <w:pStyle w:val="TableFigureCaption"/>
      </w:pPr>
      <w:r w:rsidRPr="00AB2265">
        <w:lastRenderedPageBreak/>
        <w:t xml:space="preserve">Table </w:t>
      </w:r>
      <w:r w:rsidR="00C979CC" w:rsidRPr="00AB2265">
        <w:t>7</w:t>
      </w:r>
      <w:r w:rsidRPr="00AB2265">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3374A3" w:rsidRPr="00AB2265" w:rsidTr="00214FCB">
        <w:trPr>
          <w:tblHeader/>
        </w:trPr>
        <w:tc>
          <w:tcPr>
            <w:tcW w:w="796" w:type="pct"/>
            <w:tcBorders>
              <w:bottom w:val="single" w:sz="4" w:space="0" w:color="auto"/>
            </w:tcBorders>
            <w:vAlign w:val="center"/>
          </w:tcPr>
          <w:p w:rsidR="003374A3" w:rsidRPr="00AB2265" w:rsidRDefault="003374A3" w:rsidP="00214FCB">
            <w:pPr>
              <w:pStyle w:val="Tableheadingrow"/>
              <w:rPr>
                <w:lang w:val="en-AU"/>
              </w:rPr>
            </w:pPr>
            <w:r w:rsidRPr="00AB2265">
              <w:rPr>
                <w:lang w:val="en-AU"/>
              </w:rPr>
              <w:t>Trial ID</w:t>
            </w:r>
          </w:p>
        </w:tc>
        <w:tc>
          <w:tcPr>
            <w:tcW w:w="3027" w:type="pct"/>
            <w:tcBorders>
              <w:bottom w:val="single" w:sz="4" w:space="0" w:color="auto"/>
            </w:tcBorders>
            <w:vAlign w:val="center"/>
          </w:tcPr>
          <w:p w:rsidR="003374A3" w:rsidRPr="00AB2265" w:rsidRDefault="003374A3" w:rsidP="00214FCB">
            <w:pPr>
              <w:pStyle w:val="Tableheadingrow"/>
              <w:rPr>
                <w:lang w:val="en-AU"/>
              </w:rPr>
            </w:pPr>
            <w:r w:rsidRPr="00AB2265">
              <w:rPr>
                <w:lang w:val="en-AU"/>
              </w:rPr>
              <w:t>Protocol title/ Publication title</w:t>
            </w:r>
          </w:p>
        </w:tc>
        <w:tc>
          <w:tcPr>
            <w:tcW w:w="1177" w:type="pct"/>
            <w:tcBorders>
              <w:bottom w:val="single" w:sz="4" w:space="0" w:color="auto"/>
            </w:tcBorders>
            <w:vAlign w:val="center"/>
          </w:tcPr>
          <w:p w:rsidR="003374A3" w:rsidRPr="00AB2265" w:rsidRDefault="003374A3" w:rsidP="00214FCB">
            <w:pPr>
              <w:pStyle w:val="Tableheadingrow"/>
              <w:rPr>
                <w:lang w:val="en-AU"/>
              </w:rPr>
            </w:pPr>
            <w:r w:rsidRPr="00AB2265">
              <w:rPr>
                <w:lang w:val="en-AU"/>
              </w:rPr>
              <w:t>Publication citation</w:t>
            </w:r>
          </w:p>
        </w:tc>
      </w:tr>
      <w:tr w:rsidR="003374A3" w:rsidRPr="00AB2265" w:rsidTr="00913B35">
        <w:tc>
          <w:tcPr>
            <w:tcW w:w="796" w:type="pct"/>
            <w:vMerge w:val="restart"/>
            <w:vAlign w:val="center"/>
          </w:tcPr>
          <w:p w:rsidR="003374A3" w:rsidRPr="00AB2265" w:rsidRDefault="003374A3" w:rsidP="00214FCB">
            <w:pPr>
              <w:pStyle w:val="TableText"/>
            </w:pPr>
            <w:r w:rsidRPr="00AB2265">
              <w:t>HERCULES</w:t>
            </w:r>
          </w:p>
          <w:p w:rsidR="003374A3" w:rsidRPr="00AB2265" w:rsidRDefault="003374A3" w:rsidP="00214FCB">
            <w:pPr>
              <w:pStyle w:val="TableText"/>
            </w:pPr>
          </w:p>
        </w:tc>
        <w:tc>
          <w:tcPr>
            <w:tcW w:w="3027" w:type="pct"/>
            <w:tcBorders>
              <w:bottom w:val="nil"/>
            </w:tcBorders>
            <w:vAlign w:val="center"/>
          </w:tcPr>
          <w:p w:rsidR="003374A3" w:rsidRPr="00AB2265" w:rsidRDefault="003374A3" w:rsidP="00214FCB">
            <w:pPr>
              <w:pStyle w:val="TableText"/>
              <w:rPr>
                <w:szCs w:val="18"/>
              </w:rPr>
            </w:pPr>
            <w:r w:rsidRPr="00AB2265">
              <w:rPr>
                <w:szCs w:val="18"/>
              </w:rPr>
              <w:t>A Phase III Double-Blind, Randomized, Parallel Group, Multicenter Placebo-Controlled Trial to Study the Efficacy and Safety of Caplacizumab in Patients with Acquired Thrombotic Thrombocytopenic Purpura</w:t>
            </w:r>
          </w:p>
        </w:tc>
        <w:tc>
          <w:tcPr>
            <w:tcW w:w="1177" w:type="pct"/>
            <w:tcBorders>
              <w:bottom w:val="nil"/>
            </w:tcBorders>
          </w:tcPr>
          <w:p w:rsidR="003374A3" w:rsidRPr="00AB2265" w:rsidRDefault="003374A3" w:rsidP="00913B35">
            <w:pPr>
              <w:pStyle w:val="TableText"/>
            </w:pPr>
            <w:r w:rsidRPr="00AB2265">
              <w:t>June 2018</w:t>
            </w:r>
          </w:p>
        </w:tc>
      </w:tr>
      <w:tr w:rsidR="003374A3" w:rsidRPr="00AB2265" w:rsidTr="00913B35">
        <w:tc>
          <w:tcPr>
            <w:tcW w:w="796" w:type="pct"/>
            <w:vMerge/>
            <w:vAlign w:val="center"/>
          </w:tcPr>
          <w:p w:rsidR="003374A3" w:rsidRPr="00AB2265" w:rsidRDefault="003374A3" w:rsidP="00214FCB">
            <w:pPr>
              <w:pStyle w:val="TableText"/>
            </w:pPr>
          </w:p>
        </w:tc>
        <w:tc>
          <w:tcPr>
            <w:tcW w:w="3027" w:type="pct"/>
            <w:tcBorders>
              <w:top w:val="nil"/>
              <w:bottom w:val="nil"/>
            </w:tcBorders>
            <w:vAlign w:val="center"/>
          </w:tcPr>
          <w:p w:rsidR="003374A3" w:rsidRPr="00AB2265" w:rsidRDefault="003374A3" w:rsidP="00214FCB">
            <w:pPr>
              <w:pStyle w:val="TableText"/>
              <w:rPr>
                <w:szCs w:val="18"/>
              </w:rPr>
            </w:pPr>
            <w:r w:rsidRPr="00AB2265">
              <w:rPr>
                <w:szCs w:val="18"/>
              </w:rPr>
              <w:t xml:space="preserve">Scully M, </w:t>
            </w:r>
            <w:proofErr w:type="spellStart"/>
            <w:r w:rsidRPr="00AB2265">
              <w:rPr>
                <w:szCs w:val="18"/>
              </w:rPr>
              <w:t>Cataland</w:t>
            </w:r>
            <w:proofErr w:type="spellEnd"/>
            <w:r w:rsidRPr="00AB2265">
              <w:rPr>
                <w:szCs w:val="18"/>
              </w:rPr>
              <w:t xml:space="preserve"> SR, </w:t>
            </w:r>
            <w:proofErr w:type="spellStart"/>
            <w:r w:rsidRPr="00AB2265">
              <w:rPr>
                <w:szCs w:val="18"/>
              </w:rPr>
              <w:t>Peyvandi</w:t>
            </w:r>
            <w:proofErr w:type="spellEnd"/>
            <w:r w:rsidRPr="00AB2265">
              <w:rPr>
                <w:szCs w:val="18"/>
              </w:rPr>
              <w:t xml:space="preserve"> F, </w:t>
            </w:r>
            <w:proofErr w:type="spellStart"/>
            <w:r w:rsidRPr="00AB2265">
              <w:rPr>
                <w:szCs w:val="18"/>
              </w:rPr>
              <w:t>Coppo</w:t>
            </w:r>
            <w:proofErr w:type="spellEnd"/>
            <w:r w:rsidRPr="00AB2265">
              <w:rPr>
                <w:szCs w:val="18"/>
              </w:rPr>
              <w:t xml:space="preserve"> P, </w:t>
            </w:r>
            <w:proofErr w:type="spellStart"/>
            <w:r w:rsidRPr="00AB2265">
              <w:rPr>
                <w:szCs w:val="18"/>
              </w:rPr>
              <w:t>Knol</w:t>
            </w:r>
            <w:proofErr w:type="spellEnd"/>
            <w:r w:rsidRPr="00AB2265">
              <w:rPr>
                <w:szCs w:val="18"/>
              </w:rPr>
              <w:t xml:space="preserve"> P, Kremer </w:t>
            </w:r>
            <w:proofErr w:type="spellStart"/>
            <w:r w:rsidRPr="00AB2265">
              <w:rPr>
                <w:szCs w:val="18"/>
              </w:rPr>
              <w:t>Hovinga</w:t>
            </w:r>
            <w:proofErr w:type="spellEnd"/>
            <w:r w:rsidRPr="00AB2265">
              <w:rPr>
                <w:szCs w:val="18"/>
              </w:rPr>
              <w:t xml:space="preserve"> JA, </w:t>
            </w:r>
            <w:proofErr w:type="spellStart"/>
            <w:r w:rsidRPr="00AB2265">
              <w:rPr>
                <w:szCs w:val="18"/>
              </w:rPr>
              <w:t>Metjian</w:t>
            </w:r>
            <w:proofErr w:type="spellEnd"/>
            <w:r w:rsidRPr="00AB2265">
              <w:rPr>
                <w:szCs w:val="18"/>
              </w:rPr>
              <w:t xml:space="preserve"> A, De La </w:t>
            </w:r>
            <w:proofErr w:type="spellStart"/>
            <w:r w:rsidRPr="00AB2265">
              <w:rPr>
                <w:szCs w:val="18"/>
              </w:rPr>
              <w:t>Rubia</w:t>
            </w:r>
            <w:proofErr w:type="spellEnd"/>
            <w:r w:rsidRPr="00AB2265">
              <w:rPr>
                <w:szCs w:val="18"/>
              </w:rPr>
              <w:t xml:space="preserve"> J, </w:t>
            </w:r>
            <w:proofErr w:type="spellStart"/>
            <w:r w:rsidRPr="00AB2265">
              <w:rPr>
                <w:szCs w:val="18"/>
              </w:rPr>
              <w:t>Pavenski</w:t>
            </w:r>
            <w:proofErr w:type="spellEnd"/>
            <w:r w:rsidRPr="00AB2265">
              <w:rPr>
                <w:szCs w:val="18"/>
              </w:rPr>
              <w:t xml:space="preserve"> K, </w:t>
            </w:r>
            <w:proofErr w:type="spellStart"/>
            <w:r w:rsidRPr="00AB2265">
              <w:rPr>
                <w:szCs w:val="18"/>
              </w:rPr>
              <w:t>Callewaert</w:t>
            </w:r>
            <w:proofErr w:type="spellEnd"/>
            <w:r w:rsidRPr="00AB2265">
              <w:rPr>
                <w:szCs w:val="18"/>
              </w:rPr>
              <w:t xml:space="preserve"> F, Biswas D, De Winter H and </w:t>
            </w:r>
            <w:proofErr w:type="spellStart"/>
            <w:r w:rsidRPr="00AB2265">
              <w:rPr>
                <w:szCs w:val="18"/>
              </w:rPr>
              <w:t>Zeldin</w:t>
            </w:r>
            <w:proofErr w:type="spellEnd"/>
            <w:r w:rsidRPr="00AB2265">
              <w:rPr>
                <w:szCs w:val="18"/>
              </w:rPr>
              <w:t xml:space="preserve"> RK. Caplacizumab treatment for acquired thrombotic thrombocytopenic purpura.</w:t>
            </w:r>
          </w:p>
        </w:tc>
        <w:tc>
          <w:tcPr>
            <w:tcW w:w="1177" w:type="pct"/>
            <w:tcBorders>
              <w:top w:val="nil"/>
              <w:bottom w:val="nil"/>
            </w:tcBorders>
          </w:tcPr>
          <w:p w:rsidR="003374A3" w:rsidRPr="00AB2265" w:rsidRDefault="003374A3" w:rsidP="00913B35">
            <w:pPr>
              <w:pStyle w:val="TableText"/>
              <w:rPr>
                <w:szCs w:val="18"/>
              </w:rPr>
            </w:pPr>
            <w:r w:rsidRPr="00AB2265">
              <w:rPr>
                <w:i/>
                <w:szCs w:val="18"/>
              </w:rPr>
              <w:t>NEJM</w:t>
            </w:r>
            <w:r w:rsidRPr="00AB2265">
              <w:rPr>
                <w:szCs w:val="18"/>
              </w:rPr>
              <w:t xml:space="preserve"> 2019; 380(4): 335-346</w:t>
            </w:r>
          </w:p>
        </w:tc>
      </w:tr>
      <w:tr w:rsidR="003374A3" w:rsidRPr="00AB2265" w:rsidTr="00913B35">
        <w:tc>
          <w:tcPr>
            <w:tcW w:w="796" w:type="pct"/>
            <w:vMerge/>
            <w:vAlign w:val="center"/>
          </w:tcPr>
          <w:p w:rsidR="003374A3" w:rsidRPr="00AB2265" w:rsidRDefault="003374A3" w:rsidP="00214FCB">
            <w:pPr>
              <w:pStyle w:val="TableText"/>
            </w:pPr>
          </w:p>
        </w:tc>
        <w:tc>
          <w:tcPr>
            <w:tcW w:w="3027" w:type="pct"/>
            <w:tcBorders>
              <w:top w:val="nil"/>
              <w:bottom w:val="nil"/>
            </w:tcBorders>
            <w:vAlign w:val="center"/>
          </w:tcPr>
          <w:p w:rsidR="003374A3" w:rsidRPr="00AB2265" w:rsidRDefault="003374A3" w:rsidP="00214FCB">
            <w:pPr>
              <w:pStyle w:val="TableText"/>
              <w:rPr>
                <w:szCs w:val="18"/>
              </w:rPr>
            </w:pPr>
            <w:r w:rsidRPr="00AB2265">
              <w:rPr>
                <w:szCs w:val="18"/>
              </w:rPr>
              <w:t>Yang Z, McCaw ZR and Yin G. Caplacizumab for acquired thrombotic thrombocytopenic purpura.</w:t>
            </w:r>
          </w:p>
        </w:tc>
        <w:tc>
          <w:tcPr>
            <w:tcW w:w="1177" w:type="pct"/>
            <w:tcBorders>
              <w:top w:val="nil"/>
              <w:bottom w:val="nil"/>
            </w:tcBorders>
          </w:tcPr>
          <w:p w:rsidR="003374A3" w:rsidRPr="00AB2265" w:rsidRDefault="003374A3" w:rsidP="00913B35">
            <w:pPr>
              <w:pStyle w:val="TableText"/>
              <w:rPr>
                <w:szCs w:val="18"/>
              </w:rPr>
            </w:pPr>
            <w:r w:rsidRPr="00AB2265">
              <w:rPr>
                <w:i/>
                <w:szCs w:val="18"/>
              </w:rPr>
              <w:t xml:space="preserve">NEJM </w:t>
            </w:r>
            <w:r w:rsidRPr="00AB2265">
              <w:rPr>
                <w:szCs w:val="18"/>
              </w:rPr>
              <w:t>2019; 380(18): E32</w:t>
            </w:r>
          </w:p>
        </w:tc>
      </w:tr>
      <w:tr w:rsidR="003374A3" w:rsidRPr="00AB2265" w:rsidTr="00913B35">
        <w:tc>
          <w:tcPr>
            <w:tcW w:w="796" w:type="pct"/>
            <w:vMerge/>
            <w:tcBorders>
              <w:bottom w:val="single" w:sz="4" w:space="0" w:color="auto"/>
            </w:tcBorders>
            <w:vAlign w:val="center"/>
          </w:tcPr>
          <w:p w:rsidR="003374A3" w:rsidRPr="00AB2265" w:rsidRDefault="003374A3" w:rsidP="00214FCB">
            <w:pPr>
              <w:pStyle w:val="TableText"/>
            </w:pPr>
          </w:p>
        </w:tc>
        <w:tc>
          <w:tcPr>
            <w:tcW w:w="3027" w:type="pct"/>
            <w:tcBorders>
              <w:top w:val="nil"/>
              <w:bottom w:val="single" w:sz="4" w:space="0" w:color="auto"/>
            </w:tcBorders>
            <w:vAlign w:val="center"/>
          </w:tcPr>
          <w:p w:rsidR="003374A3" w:rsidRPr="00AB2265" w:rsidRDefault="003374A3" w:rsidP="00214FCB">
            <w:pPr>
              <w:pStyle w:val="TableText"/>
              <w:rPr>
                <w:szCs w:val="18"/>
              </w:rPr>
            </w:pPr>
            <w:proofErr w:type="spellStart"/>
            <w:r w:rsidRPr="00AB2265">
              <w:rPr>
                <w:szCs w:val="18"/>
              </w:rPr>
              <w:t>Knoebl</w:t>
            </w:r>
            <w:proofErr w:type="spellEnd"/>
            <w:r w:rsidRPr="00AB2265">
              <w:rPr>
                <w:szCs w:val="18"/>
              </w:rPr>
              <w:t xml:space="preserve"> P, </w:t>
            </w:r>
            <w:proofErr w:type="spellStart"/>
            <w:r w:rsidRPr="00AB2265">
              <w:rPr>
                <w:szCs w:val="18"/>
              </w:rPr>
              <w:t>Cataland</w:t>
            </w:r>
            <w:proofErr w:type="spellEnd"/>
            <w:r w:rsidRPr="00AB2265">
              <w:rPr>
                <w:szCs w:val="18"/>
              </w:rPr>
              <w:t xml:space="preserve"> S, </w:t>
            </w:r>
            <w:proofErr w:type="spellStart"/>
            <w:r w:rsidRPr="00AB2265">
              <w:rPr>
                <w:szCs w:val="18"/>
              </w:rPr>
              <w:t>Peyvandi</w:t>
            </w:r>
            <w:proofErr w:type="spellEnd"/>
            <w:r w:rsidRPr="00AB2265">
              <w:rPr>
                <w:szCs w:val="18"/>
              </w:rPr>
              <w:t xml:space="preserve"> F, </w:t>
            </w:r>
            <w:proofErr w:type="spellStart"/>
            <w:r w:rsidRPr="00AB2265">
              <w:rPr>
                <w:szCs w:val="18"/>
              </w:rPr>
              <w:t>Coppo</w:t>
            </w:r>
            <w:proofErr w:type="spellEnd"/>
            <w:r w:rsidRPr="00AB2265">
              <w:rPr>
                <w:szCs w:val="18"/>
              </w:rPr>
              <w:t xml:space="preserve"> P, Scully M, Kremer </w:t>
            </w:r>
            <w:proofErr w:type="spellStart"/>
            <w:r w:rsidRPr="00AB2265">
              <w:rPr>
                <w:szCs w:val="18"/>
              </w:rPr>
              <w:t>Hovinga</w:t>
            </w:r>
            <w:proofErr w:type="spellEnd"/>
            <w:r w:rsidRPr="00AB2265">
              <w:rPr>
                <w:szCs w:val="18"/>
              </w:rPr>
              <w:t xml:space="preserve"> JA, </w:t>
            </w:r>
            <w:proofErr w:type="spellStart"/>
            <w:r w:rsidRPr="00AB2265">
              <w:rPr>
                <w:szCs w:val="18"/>
              </w:rPr>
              <w:t>Metjian</w:t>
            </w:r>
            <w:proofErr w:type="spellEnd"/>
            <w:r w:rsidRPr="00AB2265">
              <w:rPr>
                <w:szCs w:val="18"/>
              </w:rPr>
              <w:t xml:space="preserve"> A, de la </w:t>
            </w:r>
            <w:proofErr w:type="spellStart"/>
            <w:r w:rsidRPr="00AB2265">
              <w:rPr>
                <w:szCs w:val="18"/>
              </w:rPr>
              <w:t>Rubia</w:t>
            </w:r>
            <w:proofErr w:type="spellEnd"/>
            <w:r w:rsidRPr="00AB2265">
              <w:rPr>
                <w:szCs w:val="18"/>
              </w:rPr>
              <w:t xml:space="preserve"> J, </w:t>
            </w:r>
            <w:proofErr w:type="spellStart"/>
            <w:r w:rsidRPr="00AB2265">
              <w:rPr>
                <w:szCs w:val="18"/>
              </w:rPr>
              <w:t>Pavenski</w:t>
            </w:r>
            <w:proofErr w:type="spellEnd"/>
            <w:r w:rsidRPr="00AB2265">
              <w:rPr>
                <w:szCs w:val="18"/>
              </w:rPr>
              <w:t xml:space="preserve"> K, </w:t>
            </w:r>
            <w:proofErr w:type="spellStart"/>
            <w:r w:rsidRPr="00AB2265">
              <w:rPr>
                <w:szCs w:val="18"/>
              </w:rPr>
              <w:t>Minkue</w:t>
            </w:r>
            <w:proofErr w:type="spellEnd"/>
            <w:r w:rsidRPr="00AB2265">
              <w:rPr>
                <w:szCs w:val="18"/>
              </w:rPr>
              <w:t xml:space="preserve"> </w:t>
            </w:r>
            <w:proofErr w:type="spellStart"/>
            <w:r w:rsidRPr="00AB2265">
              <w:rPr>
                <w:szCs w:val="18"/>
              </w:rPr>
              <w:t>Mi</w:t>
            </w:r>
            <w:proofErr w:type="spellEnd"/>
            <w:r w:rsidRPr="00AB2265">
              <w:rPr>
                <w:szCs w:val="18"/>
              </w:rPr>
              <w:t xml:space="preserve"> </w:t>
            </w:r>
            <w:proofErr w:type="spellStart"/>
            <w:r w:rsidRPr="00AB2265">
              <w:rPr>
                <w:szCs w:val="18"/>
              </w:rPr>
              <w:t>Edou</w:t>
            </w:r>
            <w:proofErr w:type="spellEnd"/>
            <w:r w:rsidRPr="00AB2265">
              <w:rPr>
                <w:szCs w:val="18"/>
              </w:rPr>
              <w:t xml:space="preserve"> J, De Winter H and </w:t>
            </w:r>
            <w:proofErr w:type="spellStart"/>
            <w:r w:rsidRPr="00AB2265">
              <w:rPr>
                <w:szCs w:val="18"/>
              </w:rPr>
              <w:t>Callewaert</w:t>
            </w:r>
            <w:proofErr w:type="spellEnd"/>
            <w:r w:rsidRPr="00AB2265">
              <w:rPr>
                <w:szCs w:val="18"/>
              </w:rPr>
              <w:t xml:space="preserve"> F. Efficacy and safety of open-label caplacizumab in patients with exacerbations of acquired thrombotic thrombocytopenic purpura in the HERCULES study. </w:t>
            </w:r>
          </w:p>
        </w:tc>
        <w:tc>
          <w:tcPr>
            <w:tcW w:w="1177" w:type="pct"/>
            <w:tcBorders>
              <w:top w:val="nil"/>
              <w:bottom w:val="single" w:sz="4" w:space="0" w:color="auto"/>
            </w:tcBorders>
          </w:tcPr>
          <w:p w:rsidR="003374A3" w:rsidRPr="00AB2265" w:rsidRDefault="003374A3" w:rsidP="00913B35">
            <w:pPr>
              <w:pStyle w:val="TableText"/>
              <w:rPr>
                <w:i/>
                <w:szCs w:val="18"/>
              </w:rPr>
            </w:pPr>
            <w:r w:rsidRPr="00AB2265">
              <w:rPr>
                <w:i/>
                <w:szCs w:val="18"/>
              </w:rPr>
              <w:t xml:space="preserve">J </w:t>
            </w:r>
            <w:proofErr w:type="spellStart"/>
            <w:r w:rsidRPr="00AB2265">
              <w:rPr>
                <w:i/>
                <w:szCs w:val="18"/>
              </w:rPr>
              <w:t>Thromb</w:t>
            </w:r>
            <w:proofErr w:type="spellEnd"/>
            <w:r w:rsidRPr="00AB2265">
              <w:rPr>
                <w:i/>
                <w:szCs w:val="18"/>
              </w:rPr>
              <w:t xml:space="preserve"> </w:t>
            </w:r>
            <w:proofErr w:type="spellStart"/>
            <w:r w:rsidRPr="00AB2265">
              <w:rPr>
                <w:i/>
                <w:szCs w:val="18"/>
              </w:rPr>
              <w:t>Haemost</w:t>
            </w:r>
            <w:proofErr w:type="spellEnd"/>
            <w:r w:rsidRPr="00AB2265">
              <w:rPr>
                <w:i/>
                <w:szCs w:val="18"/>
              </w:rPr>
              <w:t xml:space="preserve"> </w:t>
            </w:r>
            <w:r w:rsidRPr="00AB2265">
              <w:rPr>
                <w:szCs w:val="18"/>
              </w:rPr>
              <w:t>2019; e14679</w:t>
            </w:r>
          </w:p>
        </w:tc>
      </w:tr>
      <w:tr w:rsidR="003374A3" w:rsidRPr="00AB2265" w:rsidTr="00913B35">
        <w:tc>
          <w:tcPr>
            <w:tcW w:w="796" w:type="pct"/>
            <w:vMerge w:val="restart"/>
            <w:tcBorders>
              <w:top w:val="single" w:sz="4" w:space="0" w:color="auto"/>
            </w:tcBorders>
            <w:vAlign w:val="center"/>
          </w:tcPr>
          <w:p w:rsidR="003374A3" w:rsidRPr="00AB2265" w:rsidRDefault="003374A3" w:rsidP="00214FCB">
            <w:pPr>
              <w:pStyle w:val="TableText"/>
            </w:pPr>
            <w:r w:rsidRPr="00AB2265">
              <w:t>TITAN</w:t>
            </w:r>
          </w:p>
          <w:p w:rsidR="003374A3" w:rsidRPr="00AB2265" w:rsidRDefault="003374A3" w:rsidP="00214FCB">
            <w:pPr>
              <w:pStyle w:val="TableText"/>
            </w:pPr>
          </w:p>
        </w:tc>
        <w:tc>
          <w:tcPr>
            <w:tcW w:w="3027" w:type="pct"/>
            <w:tcBorders>
              <w:top w:val="single" w:sz="4" w:space="0" w:color="auto"/>
              <w:bottom w:val="nil"/>
            </w:tcBorders>
            <w:vAlign w:val="center"/>
          </w:tcPr>
          <w:p w:rsidR="003374A3" w:rsidRPr="00AB2265" w:rsidRDefault="003374A3" w:rsidP="00214FCB">
            <w:pPr>
              <w:pStyle w:val="TableText"/>
            </w:pPr>
            <w:r w:rsidRPr="00AB2265">
              <w:t xml:space="preserve">A Phase II, single-blind, randomised, placebo-controlled trial to study the efficacy and safety of anti-von Willebrand factor </w:t>
            </w:r>
            <w:proofErr w:type="spellStart"/>
            <w:r w:rsidRPr="00AB2265">
              <w:t>Nanobody</w:t>
            </w:r>
            <w:proofErr w:type="spellEnd"/>
            <w:r w:rsidRPr="00AB2265">
              <w:t xml:space="preserve"> administered as adjunctive treatment to patients with acquired thrombotic thrombocytopenic purpura</w:t>
            </w:r>
          </w:p>
        </w:tc>
        <w:tc>
          <w:tcPr>
            <w:tcW w:w="1177" w:type="pct"/>
            <w:tcBorders>
              <w:top w:val="single" w:sz="4" w:space="0" w:color="auto"/>
              <w:bottom w:val="nil"/>
            </w:tcBorders>
          </w:tcPr>
          <w:p w:rsidR="003374A3" w:rsidRPr="00AB2265" w:rsidRDefault="003374A3" w:rsidP="00913B35">
            <w:pPr>
              <w:pStyle w:val="TableText"/>
            </w:pPr>
            <w:r w:rsidRPr="00AB2265">
              <w:t>May 2015</w:t>
            </w:r>
          </w:p>
        </w:tc>
      </w:tr>
      <w:tr w:rsidR="003374A3" w:rsidRPr="00AB2265" w:rsidTr="00913B35">
        <w:tc>
          <w:tcPr>
            <w:tcW w:w="796" w:type="pct"/>
            <w:vMerge/>
            <w:vAlign w:val="center"/>
          </w:tcPr>
          <w:p w:rsidR="003374A3" w:rsidRPr="00AB2265" w:rsidRDefault="003374A3" w:rsidP="00214FCB">
            <w:pPr>
              <w:pStyle w:val="TableText"/>
            </w:pPr>
          </w:p>
        </w:tc>
        <w:tc>
          <w:tcPr>
            <w:tcW w:w="3027" w:type="pct"/>
            <w:tcBorders>
              <w:top w:val="nil"/>
              <w:bottom w:val="nil"/>
            </w:tcBorders>
            <w:vAlign w:val="center"/>
          </w:tcPr>
          <w:p w:rsidR="003374A3" w:rsidRPr="00AB2265" w:rsidRDefault="003374A3" w:rsidP="00214FCB">
            <w:pPr>
              <w:pStyle w:val="TableText"/>
              <w:rPr>
                <w:szCs w:val="18"/>
              </w:rPr>
            </w:pPr>
            <w:proofErr w:type="spellStart"/>
            <w:r w:rsidRPr="00AB2265">
              <w:rPr>
                <w:szCs w:val="18"/>
              </w:rPr>
              <w:t>Peyvandi</w:t>
            </w:r>
            <w:proofErr w:type="spellEnd"/>
            <w:r w:rsidRPr="00AB2265">
              <w:rPr>
                <w:szCs w:val="18"/>
              </w:rPr>
              <w:t xml:space="preserve"> F, Scully M, Kremer </w:t>
            </w:r>
            <w:proofErr w:type="spellStart"/>
            <w:r w:rsidRPr="00AB2265">
              <w:rPr>
                <w:szCs w:val="18"/>
              </w:rPr>
              <w:t>Hovinga</w:t>
            </w:r>
            <w:proofErr w:type="spellEnd"/>
            <w:r w:rsidRPr="00AB2265">
              <w:rPr>
                <w:szCs w:val="18"/>
              </w:rPr>
              <w:t xml:space="preserve"> JA, </w:t>
            </w:r>
            <w:proofErr w:type="spellStart"/>
            <w:r w:rsidRPr="00AB2265">
              <w:rPr>
                <w:szCs w:val="18"/>
              </w:rPr>
              <w:t>Cataland</w:t>
            </w:r>
            <w:proofErr w:type="spellEnd"/>
            <w:r w:rsidRPr="00AB2265">
              <w:rPr>
                <w:szCs w:val="18"/>
              </w:rPr>
              <w:t xml:space="preserve"> S, </w:t>
            </w:r>
            <w:proofErr w:type="spellStart"/>
            <w:r w:rsidRPr="00AB2265">
              <w:rPr>
                <w:szCs w:val="18"/>
              </w:rPr>
              <w:t>Knobl</w:t>
            </w:r>
            <w:proofErr w:type="spellEnd"/>
            <w:r w:rsidRPr="00AB2265">
              <w:rPr>
                <w:szCs w:val="18"/>
              </w:rPr>
              <w:t xml:space="preserve"> P, Wu H, </w:t>
            </w:r>
            <w:proofErr w:type="spellStart"/>
            <w:r w:rsidRPr="00AB2265">
              <w:rPr>
                <w:szCs w:val="18"/>
              </w:rPr>
              <w:t>Artoni</w:t>
            </w:r>
            <w:proofErr w:type="spellEnd"/>
            <w:r w:rsidRPr="00AB2265">
              <w:rPr>
                <w:szCs w:val="18"/>
              </w:rPr>
              <w:t xml:space="preserve"> A, Westwood JP, </w:t>
            </w:r>
            <w:proofErr w:type="spellStart"/>
            <w:r w:rsidRPr="00AB2265">
              <w:rPr>
                <w:szCs w:val="18"/>
              </w:rPr>
              <w:t>Taleghani</w:t>
            </w:r>
            <w:proofErr w:type="spellEnd"/>
            <w:r w:rsidRPr="00AB2265">
              <w:rPr>
                <w:szCs w:val="18"/>
              </w:rPr>
              <w:t xml:space="preserve"> MM, </w:t>
            </w:r>
            <w:proofErr w:type="spellStart"/>
            <w:r w:rsidRPr="00AB2265">
              <w:rPr>
                <w:szCs w:val="18"/>
              </w:rPr>
              <w:t>Jilma</w:t>
            </w:r>
            <w:proofErr w:type="spellEnd"/>
            <w:r w:rsidRPr="00AB2265">
              <w:rPr>
                <w:szCs w:val="18"/>
              </w:rPr>
              <w:t xml:space="preserve"> B, </w:t>
            </w:r>
            <w:proofErr w:type="spellStart"/>
            <w:r w:rsidRPr="00AB2265">
              <w:rPr>
                <w:szCs w:val="18"/>
              </w:rPr>
              <w:t>Callewaert</w:t>
            </w:r>
            <w:proofErr w:type="spellEnd"/>
            <w:r w:rsidRPr="00AB2265">
              <w:rPr>
                <w:szCs w:val="18"/>
              </w:rPr>
              <w:t xml:space="preserve"> F, </w:t>
            </w:r>
            <w:proofErr w:type="spellStart"/>
            <w:r w:rsidRPr="00AB2265">
              <w:rPr>
                <w:szCs w:val="18"/>
              </w:rPr>
              <w:t>Ulrichts</w:t>
            </w:r>
            <w:proofErr w:type="spellEnd"/>
            <w:r w:rsidRPr="00AB2265">
              <w:rPr>
                <w:szCs w:val="18"/>
              </w:rPr>
              <w:t xml:space="preserve"> H, </w:t>
            </w:r>
            <w:proofErr w:type="spellStart"/>
            <w:r w:rsidRPr="00AB2265">
              <w:rPr>
                <w:szCs w:val="18"/>
              </w:rPr>
              <w:t>Duby</w:t>
            </w:r>
            <w:proofErr w:type="spellEnd"/>
            <w:r w:rsidRPr="00AB2265">
              <w:rPr>
                <w:szCs w:val="18"/>
              </w:rPr>
              <w:t xml:space="preserve"> C and </w:t>
            </w:r>
            <w:proofErr w:type="spellStart"/>
            <w:r w:rsidRPr="00AB2265">
              <w:rPr>
                <w:szCs w:val="18"/>
              </w:rPr>
              <w:t>Tersago</w:t>
            </w:r>
            <w:proofErr w:type="spellEnd"/>
            <w:r w:rsidRPr="00AB2265">
              <w:rPr>
                <w:szCs w:val="18"/>
              </w:rPr>
              <w:t xml:space="preserve"> D. Caplacizumab for acquired thrombotic thrombocytopenic purpura </w:t>
            </w:r>
          </w:p>
        </w:tc>
        <w:tc>
          <w:tcPr>
            <w:tcW w:w="1177" w:type="pct"/>
            <w:tcBorders>
              <w:top w:val="nil"/>
              <w:bottom w:val="nil"/>
            </w:tcBorders>
          </w:tcPr>
          <w:p w:rsidR="003374A3" w:rsidRPr="00AB2265" w:rsidRDefault="003374A3" w:rsidP="00913B35">
            <w:pPr>
              <w:pStyle w:val="TableText"/>
              <w:rPr>
                <w:i/>
              </w:rPr>
            </w:pPr>
            <w:r w:rsidRPr="00AB2265">
              <w:rPr>
                <w:i/>
                <w:szCs w:val="18"/>
              </w:rPr>
              <w:t>NEJM</w:t>
            </w:r>
            <w:r w:rsidRPr="00AB2265">
              <w:rPr>
                <w:szCs w:val="18"/>
              </w:rPr>
              <w:t xml:space="preserve"> 2016; 374(6): 511-522</w:t>
            </w:r>
          </w:p>
        </w:tc>
      </w:tr>
      <w:tr w:rsidR="003374A3" w:rsidRPr="00AB2265" w:rsidTr="00913B35">
        <w:tc>
          <w:tcPr>
            <w:tcW w:w="796" w:type="pct"/>
            <w:vMerge/>
            <w:vAlign w:val="center"/>
          </w:tcPr>
          <w:p w:rsidR="003374A3" w:rsidRPr="00AB2265" w:rsidRDefault="003374A3" w:rsidP="00214FCB">
            <w:pPr>
              <w:pStyle w:val="TableText"/>
            </w:pPr>
          </w:p>
        </w:tc>
        <w:tc>
          <w:tcPr>
            <w:tcW w:w="3027" w:type="pct"/>
            <w:tcBorders>
              <w:top w:val="nil"/>
              <w:bottom w:val="nil"/>
            </w:tcBorders>
            <w:vAlign w:val="center"/>
          </w:tcPr>
          <w:p w:rsidR="003374A3" w:rsidRPr="00AB2265" w:rsidRDefault="003374A3" w:rsidP="00214FCB">
            <w:pPr>
              <w:pStyle w:val="TableText"/>
              <w:rPr>
                <w:szCs w:val="18"/>
              </w:rPr>
            </w:pPr>
            <w:proofErr w:type="spellStart"/>
            <w:r w:rsidRPr="00AB2265">
              <w:rPr>
                <w:szCs w:val="18"/>
              </w:rPr>
              <w:t>Abdelghany</w:t>
            </w:r>
            <w:proofErr w:type="spellEnd"/>
            <w:r w:rsidRPr="00AB2265">
              <w:rPr>
                <w:szCs w:val="18"/>
              </w:rPr>
              <w:t xml:space="preserve"> MT and Baggett MV. Caplacizumab for acquired thrombotic thrombocytopenic purpura. </w:t>
            </w:r>
          </w:p>
        </w:tc>
        <w:tc>
          <w:tcPr>
            <w:tcW w:w="1177" w:type="pct"/>
            <w:tcBorders>
              <w:top w:val="nil"/>
              <w:bottom w:val="nil"/>
            </w:tcBorders>
          </w:tcPr>
          <w:p w:rsidR="003374A3" w:rsidRPr="00AB2265" w:rsidRDefault="003374A3" w:rsidP="00913B35">
            <w:pPr>
              <w:pStyle w:val="TableText"/>
            </w:pPr>
            <w:r w:rsidRPr="00AB2265">
              <w:rPr>
                <w:i/>
                <w:szCs w:val="18"/>
              </w:rPr>
              <w:t>NEJM</w:t>
            </w:r>
            <w:r w:rsidRPr="00AB2265">
              <w:rPr>
                <w:szCs w:val="18"/>
              </w:rPr>
              <w:t xml:space="preserve"> 2016; 374(25): 2497</w:t>
            </w:r>
          </w:p>
        </w:tc>
      </w:tr>
      <w:tr w:rsidR="003374A3" w:rsidRPr="00AB2265" w:rsidTr="00913B35">
        <w:tc>
          <w:tcPr>
            <w:tcW w:w="796" w:type="pct"/>
            <w:vMerge/>
            <w:tcBorders>
              <w:bottom w:val="single" w:sz="4" w:space="0" w:color="auto"/>
            </w:tcBorders>
            <w:vAlign w:val="center"/>
          </w:tcPr>
          <w:p w:rsidR="003374A3" w:rsidRPr="00AB2265" w:rsidRDefault="003374A3" w:rsidP="00214FCB">
            <w:pPr>
              <w:pStyle w:val="TableText"/>
            </w:pPr>
          </w:p>
        </w:tc>
        <w:tc>
          <w:tcPr>
            <w:tcW w:w="3027" w:type="pct"/>
            <w:tcBorders>
              <w:top w:val="nil"/>
              <w:bottom w:val="single" w:sz="4" w:space="0" w:color="auto"/>
            </w:tcBorders>
            <w:vAlign w:val="center"/>
          </w:tcPr>
          <w:p w:rsidR="003374A3" w:rsidRPr="00AB2265" w:rsidRDefault="003374A3" w:rsidP="00214FCB">
            <w:pPr>
              <w:pStyle w:val="TableText"/>
            </w:pPr>
            <w:proofErr w:type="spellStart"/>
            <w:r w:rsidRPr="00AB2265">
              <w:t>Peyvandi</w:t>
            </w:r>
            <w:proofErr w:type="spellEnd"/>
            <w:r w:rsidRPr="00AB2265">
              <w:t xml:space="preserve"> F, Scully M, Kremer </w:t>
            </w:r>
            <w:proofErr w:type="spellStart"/>
            <w:r w:rsidRPr="00AB2265">
              <w:t>Hovinga</w:t>
            </w:r>
            <w:proofErr w:type="spellEnd"/>
            <w:r w:rsidRPr="00AB2265">
              <w:t xml:space="preserve"> JA, </w:t>
            </w:r>
            <w:proofErr w:type="spellStart"/>
            <w:r w:rsidRPr="00AB2265">
              <w:t>Knöbl</w:t>
            </w:r>
            <w:proofErr w:type="spellEnd"/>
            <w:r w:rsidRPr="00AB2265">
              <w:t xml:space="preserve"> P, </w:t>
            </w:r>
            <w:proofErr w:type="spellStart"/>
            <w:r w:rsidRPr="00AB2265">
              <w:t>Cataland</w:t>
            </w:r>
            <w:proofErr w:type="spellEnd"/>
            <w:r w:rsidRPr="00AB2265">
              <w:t xml:space="preserve"> S, De </w:t>
            </w:r>
            <w:proofErr w:type="spellStart"/>
            <w:r w:rsidRPr="00AB2265">
              <w:t>Beuf</w:t>
            </w:r>
            <w:proofErr w:type="spellEnd"/>
            <w:r w:rsidRPr="00AB2265">
              <w:t xml:space="preserve"> K, </w:t>
            </w:r>
            <w:proofErr w:type="spellStart"/>
            <w:r w:rsidRPr="00AB2265">
              <w:t>Callewaert</w:t>
            </w:r>
            <w:proofErr w:type="spellEnd"/>
            <w:r w:rsidRPr="00AB2265">
              <w:t xml:space="preserve"> F, De Winter H and </w:t>
            </w:r>
            <w:proofErr w:type="spellStart"/>
            <w:r w:rsidRPr="00AB2265">
              <w:t>Zeldin</w:t>
            </w:r>
            <w:proofErr w:type="spellEnd"/>
            <w:r w:rsidRPr="00AB2265">
              <w:t xml:space="preserve"> RK. Caplacizumab reduces the frequency of major thromboembolic events, exacerbations and death in patients with acquired thrombotic thrombocytopenic purpura </w:t>
            </w:r>
          </w:p>
        </w:tc>
        <w:tc>
          <w:tcPr>
            <w:tcW w:w="1177" w:type="pct"/>
            <w:tcBorders>
              <w:top w:val="nil"/>
              <w:bottom w:val="single" w:sz="4" w:space="0" w:color="auto"/>
            </w:tcBorders>
          </w:tcPr>
          <w:p w:rsidR="003374A3" w:rsidRPr="00AB2265" w:rsidRDefault="003374A3" w:rsidP="00913B35">
            <w:pPr>
              <w:pStyle w:val="TableText"/>
            </w:pPr>
            <w:r w:rsidRPr="00AB2265">
              <w:rPr>
                <w:i/>
              </w:rPr>
              <w:t xml:space="preserve">J </w:t>
            </w:r>
            <w:proofErr w:type="spellStart"/>
            <w:r w:rsidRPr="00AB2265">
              <w:rPr>
                <w:i/>
              </w:rPr>
              <w:t>Thromb</w:t>
            </w:r>
            <w:proofErr w:type="spellEnd"/>
            <w:r w:rsidRPr="00AB2265">
              <w:rPr>
                <w:i/>
              </w:rPr>
              <w:t xml:space="preserve"> </w:t>
            </w:r>
            <w:proofErr w:type="spellStart"/>
            <w:r w:rsidRPr="00AB2265">
              <w:rPr>
                <w:i/>
              </w:rPr>
              <w:t>Haemost</w:t>
            </w:r>
            <w:proofErr w:type="spellEnd"/>
            <w:r w:rsidRPr="00AB2265">
              <w:t xml:space="preserve"> 2017; 15(7): 1448-1452</w:t>
            </w:r>
          </w:p>
        </w:tc>
      </w:tr>
    </w:tbl>
    <w:p w:rsidR="003374A3" w:rsidRPr="00AB2265" w:rsidRDefault="003374A3" w:rsidP="003374A3">
      <w:pPr>
        <w:pStyle w:val="TableFigureFooter"/>
        <w:rPr>
          <w:sz w:val="20"/>
        </w:rPr>
      </w:pPr>
      <w:r w:rsidRPr="00AB2265">
        <w:t>Source: Table 2.2.1, pp.30-32 of the submission</w:t>
      </w:r>
    </w:p>
    <w:p w:rsidR="003374A3" w:rsidRPr="00AB2265" w:rsidRDefault="003374A3" w:rsidP="003374A3">
      <w:pPr>
        <w:pStyle w:val="Tableheadingrow"/>
        <w:rPr>
          <w:lang w:val="en-AU"/>
        </w:rPr>
      </w:pPr>
    </w:p>
    <w:p w:rsidR="007F1017" w:rsidRPr="00AB2265" w:rsidRDefault="008F120A" w:rsidP="00F21D71">
      <w:pPr>
        <w:pStyle w:val="ExecSumBodyText"/>
        <w:numPr>
          <w:ilvl w:val="1"/>
          <w:numId w:val="1"/>
        </w:numPr>
        <w:rPr>
          <w:color w:val="0066FF"/>
        </w:rPr>
      </w:pPr>
      <w:r w:rsidRPr="00AB2265">
        <w:t>The key features of the trials are summarised in the table below.</w:t>
      </w:r>
      <w:r w:rsidR="00BC591F" w:rsidRPr="00AB2265">
        <w:t xml:space="preserve"> </w:t>
      </w:r>
    </w:p>
    <w:p w:rsidR="007F1017" w:rsidRPr="00AB2265" w:rsidRDefault="007F1017" w:rsidP="001C6279">
      <w:pPr>
        <w:pStyle w:val="TableFigureCaption"/>
        <w:keepLines/>
      </w:pPr>
      <w:r w:rsidRPr="00AB2265">
        <w:lastRenderedPageBreak/>
        <w:t>Table</w:t>
      </w:r>
      <w:r w:rsidR="00C979CC" w:rsidRPr="00AB2265">
        <w:t xml:space="preserve"> 8</w:t>
      </w:r>
      <w:r w:rsidRPr="00AB2265">
        <w:t>: Key features of the included evidence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49"/>
        <w:gridCol w:w="411"/>
        <w:gridCol w:w="716"/>
        <w:gridCol w:w="668"/>
        <w:gridCol w:w="1149"/>
        <w:gridCol w:w="2906"/>
        <w:gridCol w:w="2218"/>
      </w:tblGrid>
      <w:tr w:rsidR="00B41614" w:rsidRPr="00AB2265" w:rsidTr="00C2775B">
        <w:trPr>
          <w:cantSplit/>
          <w:tblHeader/>
        </w:trPr>
        <w:tc>
          <w:tcPr>
            <w:tcW w:w="0" w:type="auto"/>
            <w:shd w:val="clear" w:color="auto" w:fill="auto"/>
            <w:vAlign w:val="center"/>
          </w:tcPr>
          <w:p w:rsidR="007F1017" w:rsidRPr="00AB2265" w:rsidRDefault="007F1017" w:rsidP="001C6279">
            <w:pPr>
              <w:pStyle w:val="Tableheadingrow"/>
              <w:keepLines/>
              <w:rPr>
                <w:lang w:val="en-AU"/>
              </w:rPr>
            </w:pPr>
            <w:r w:rsidRPr="00AB2265">
              <w:rPr>
                <w:lang w:val="en-AU"/>
              </w:rPr>
              <w:t>Trial</w:t>
            </w:r>
          </w:p>
        </w:tc>
        <w:tc>
          <w:tcPr>
            <w:tcW w:w="411" w:type="dxa"/>
            <w:shd w:val="clear" w:color="auto" w:fill="auto"/>
            <w:vAlign w:val="center"/>
          </w:tcPr>
          <w:p w:rsidR="007F1017" w:rsidRPr="00AB2265" w:rsidRDefault="007F1017" w:rsidP="001C6279">
            <w:pPr>
              <w:pStyle w:val="Tableheadingrow"/>
              <w:keepLines/>
              <w:jc w:val="center"/>
              <w:rPr>
                <w:lang w:val="en-AU"/>
              </w:rPr>
            </w:pPr>
            <w:r w:rsidRPr="00AB2265">
              <w:rPr>
                <w:lang w:val="en-AU"/>
              </w:rPr>
              <w:t>N</w:t>
            </w:r>
          </w:p>
        </w:tc>
        <w:tc>
          <w:tcPr>
            <w:tcW w:w="716" w:type="dxa"/>
            <w:shd w:val="clear" w:color="auto" w:fill="auto"/>
            <w:vAlign w:val="center"/>
          </w:tcPr>
          <w:p w:rsidR="007F1017" w:rsidRPr="00AB2265" w:rsidRDefault="007F1017" w:rsidP="001C6279">
            <w:pPr>
              <w:pStyle w:val="Tableheadingrow"/>
              <w:keepLines/>
              <w:jc w:val="center"/>
              <w:rPr>
                <w:lang w:val="en-AU"/>
              </w:rPr>
            </w:pPr>
            <w:r w:rsidRPr="00AB2265">
              <w:rPr>
                <w:lang w:val="en-AU"/>
              </w:rPr>
              <w:t>Design/ duration</w:t>
            </w:r>
          </w:p>
        </w:tc>
        <w:tc>
          <w:tcPr>
            <w:tcW w:w="0" w:type="auto"/>
            <w:shd w:val="clear" w:color="auto" w:fill="auto"/>
            <w:vAlign w:val="center"/>
          </w:tcPr>
          <w:p w:rsidR="007F1017" w:rsidRPr="00AB2265" w:rsidRDefault="007F1017" w:rsidP="001C6279">
            <w:pPr>
              <w:pStyle w:val="Tableheadingrow"/>
              <w:keepLines/>
              <w:jc w:val="center"/>
              <w:rPr>
                <w:lang w:val="en-AU"/>
              </w:rPr>
            </w:pPr>
            <w:r w:rsidRPr="00AB2265">
              <w:rPr>
                <w:lang w:val="en-AU"/>
              </w:rPr>
              <w:t>Risk of bias</w:t>
            </w:r>
          </w:p>
        </w:tc>
        <w:tc>
          <w:tcPr>
            <w:tcW w:w="0" w:type="auto"/>
            <w:shd w:val="clear" w:color="auto" w:fill="auto"/>
            <w:vAlign w:val="center"/>
          </w:tcPr>
          <w:p w:rsidR="007F1017" w:rsidRPr="00AB2265" w:rsidRDefault="007F1017" w:rsidP="001C6279">
            <w:pPr>
              <w:pStyle w:val="Tableheadingrow"/>
              <w:keepLines/>
              <w:jc w:val="center"/>
              <w:rPr>
                <w:lang w:val="en-AU"/>
              </w:rPr>
            </w:pPr>
            <w:r w:rsidRPr="00AB2265">
              <w:rPr>
                <w:lang w:val="en-AU"/>
              </w:rPr>
              <w:t>Patient population</w:t>
            </w:r>
          </w:p>
        </w:tc>
        <w:tc>
          <w:tcPr>
            <w:tcW w:w="2906" w:type="dxa"/>
            <w:shd w:val="clear" w:color="auto" w:fill="auto"/>
            <w:vAlign w:val="center"/>
          </w:tcPr>
          <w:p w:rsidR="007F1017" w:rsidRPr="00AB2265" w:rsidRDefault="007F1017" w:rsidP="001C6279">
            <w:pPr>
              <w:pStyle w:val="Tableheadingrow"/>
              <w:keepLines/>
              <w:jc w:val="center"/>
              <w:rPr>
                <w:lang w:val="en-AU"/>
              </w:rPr>
            </w:pPr>
            <w:r w:rsidRPr="00AB2265">
              <w:rPr>
                <w:lang w:val="en-AU"/>
              </w:rPr>
              <w:t>Outcome(s)</w:t>
            </w:r>
          </w:p>
        </w:tc>
        <w:tc>
          <w:tcPr>
            <w:tcW w:w="2218" w:type="dxa"/>
            <w:shd w:val="clear" w:color="auto" w:fill="auto"/>
            <w:vAlign w:val="center"/>
          </w:tcPr>
          <w:p w:rsidR="007F1017" w:rsidRPr="00AB2265" w:rsidRDefault="007F1017" w:rsidP="001C6279">
            <w:pPr>
              <w:pStyle w:val="Tableheadingrow"/>
              <w:keepLines/>
              <w:jc w:val="center"/>
              <w:rPr>
                <w:lang w:val="en-AU"/>
              </w:rPr>
            </w:pPr>
            <w:r w:rsidRPr="00AB2265">
              <w:rPr>
                <w:lang w:val="en-AU"/>
              </w:rPr>
              <w:t>Use in modelled evaluation</w:t>
            </w:r>
          </w:p>
        </w:tc>
      </w:tr>
      <w:tr w:rsidR="007F1017" w:rsidRPr="00AB2265" w:rsidTr="00F24DCF">
        <w:trPr>
          <w:cantSplit/>
        </w:trPr>
        <w:tc>
          <w:tcPr>
            <w:tcW w:w="0" w:type="auto"/>
            <w:gridSpan w:val="7"/>
            <w:shd w:val="clear" w:color="auto" w:fill="auto"/>
            <w:vAlign w:val="center"/>
          </w:tcPr>
          <w:p w:rsidR="007F1017" w:rsidRPr="00AB2265" w:rsidRDefault="003374A3" w:rsidP="001C6279">
            <w:pPr>
              <w:pStyle w:val="Tableheadingrow"/>
              <w:keepLines/>
              <w:rPr>
                <w:lang w:val="en-AU"/>
              </w:rPr>
            </w:pPr>
            <w:r w:rsidRPr="00AB2265">
              <w:rPr>
                <w:lang w:val="en-AU"/>
              </w:rPr>
              <w:t>Caplacizumab plus standard of care versus standard of care alone (plasma exchange + immunosuppression)</w:t>
            </w:r>
          </w:p>
        </w:tc>
      </w:tr>
      <w:tr w:rsidR="00B41614" w:rsidRPr="00AB2265" w:rsidTr="00C2775B">
        <w:trPr>
          <w:cantSplit/>
        </w:trPr>
        <w:tc>
          <w:tcPr>
            <w:tcW w:w="0" w:type="auto"/>
            <w:shd w:val="clear" w:color="auto" w:fill="auto"/>
            <w:vAlign w:val="center"/>
          </w:tcPr>
          <w:p w:rsidR="007F1017" w:rsidRPr="00AB2265" w:rsidRDefault="003374A3" w:rsidP="001C6279">
            <w:pPr>
              <w:pStyle w:val="TableText"/>
              <w:keepLines/>
            </w:pPr>
            <w:r w:rsidRPr="00AB2265">
              <w:t>HERCULES</w:t>
            </w:r>
          </w:p>
        </w:tc>
        <w:tc>
          <w:tcPr>
            <w:tcW w:w="411" w:type="dxa"/>
            <w:shd w:val="clear" w:color="auto" w:fill="auto"/>
            <w:vAlign w:val="center"/>
          </w:tcPr>
          <w:p w:rsidR="007F1017" w:rsidRPr="00AB2265" w:rsidRDefault="00723655" w:rsidP="001C6279">
            <w:pPr>
              <w:pStyle w:val="TableText"/>
              <w:keepLines/>
              <w:jc w:val="center"/>
            </w:pPr>
            <w:r w:rsidRPr="00AB2265">
              <w:t>14</w:t>
            </w:r>
            <w:r w:rsidR="007F1017" w:rsidRPr="00AB2265">
              <w:t>5</w:t>
            </w:r>
          </w:p>
        </w:tc>
        <w:tc>
          <w:tcPr>
            <w:tcW w:w="716" w:type="dxa"/>
            <w:shd w:val="clear" w:color="auto" w:fill="auto"/>
            <w:vAlign w:val="center"/>
          </w:tcPr>
          <w:p w:rsidR="007F1017" w:rsidRPr="00AB2265" w:rsidRDefault="007F1017" w:rsidP="001C6279">
            <w:pPr>
              <w:pStyle w:val="TableText"/>
              <w:keepLines/>
              <w:jc w:val="center"/>
            </w:pPr>
            <w:r w:rsidRPr="00AB2265">
              <w:t>R, DB</w:t>
            </w:r>
            <w:r w:rsidR="00723655" w:rsidRPr="00AB2265">
              <w:t>, MC, PC</w:t>
            </w:r>
          </w:p>
          <w:p w:rsidR="007F1017" w:rsidRPr="00AB2265" w:rsidRDefault="00F24DCF" w:rsidP="001C6279">
            <w:pPr>
              <w:pStyle w:val="TableText"/>
              <w:keepLines/>
              <w:jc w:val="center"/>
            </w:pPr>
            <w:r w:rsidRPr="00AB2265">
              <w:t>Variable duration</w:t>
            </w:r>
          </w:p>
        </w:tc>
        <w:tc>
          <w:tcPr>
            <w:tcW w:w="0" w:type="auto"/>
            <w:shd w:val="clear" w:color="auto" w:fill="auto"/>
            <w:vAlign w:val="center"/>
          </w:tcPr>
          <w:p w:rsidR="007F1017" w:rsidRPr="00AB2265" w:rsidRDefault="00723655" w:rsidP="001C6279">
            <w:pPr>
              <w:pStyle w:val="TableText"/>
              <w:keepLines/>
              <w:jc w:val="center"/>
            </w:pPr>
            <w:r w:rsidRPr="00AB2265">
              <w:t>Unclear</w:t>
            </w:r>
          </w:p>
        </w:tc>
        <w:tc>
          <w:tcPr>
            <w:tcW w:w="0" w:type="auto"/>
            <w:shd w:val="clear" w:color="auto" w:fill="auto"/>
            <w:vAlign w:val="center"/>
          </w:tcPr>
          <w:p w:rsidR="007F1017" w:rsidRPr="00AB2265" w:rsidRDefault="00723655" w:rsidP="001C6279">
            <w:pPr>
              <w:pStyle w:val="TableText"/>
              <w:keepLines/>
              <w:jc w:val="center"/>
              <w:rPr>
                <w:vertAlign w:val="superscript"/>
              </w:rPr>
            </w:pPr>
            <w:r w:rsidRPr="00AB2265">
              <w:t xml:space="preserve">Adults with an acute episode of </w:t>
            </w:r>
            <w:proofErr w:type="spellStart"/>
            <w:r w:rsidRPr="00AB2265">
              <w:t>aTTP</w:t>
            </w:r>
            <w:r w:rsidR="00815384" w:rsidRPr="00AB2265">
              <w:rPr>
                <w:vertAlign w:val="superscript"/>
              </w:rPr>
              <w:t>a</w:t>
            </w:r>
            <w:proofErr w:type="spellEnd"/>
          </w:p>
        </w:tc>
        <w:tc>
          <w:tcPr>
            <w:tcW w:w="2906" w:type="dxa"/>
            <w:shd w:val="clear" w:color="auto" w:fill="auto"/>
            <w:vAlign w:val="center"/>
          </w:tcPr>
          <w:p w:rsidR="007F1017" w:rsidRPr="00AB2265" w:rsidRDefault="00723655" w:rsidP="001C6279">
            <w:pPr>
              <w:pStyle w:val="TableText"/>
              <w:keepLines/>
              <w:jc w:val="center"/>
            </w:pPr>
            <w:r w:rsidRPr="00AB2265">
              <w:t xml:space="preserve">Platelet count </w:t>
            </w:r>
            <w:r w:rsidR="00F24DCF" w:rsidRPr="00AB2265">
              <w:t>normali</w:t>
            </w:r>
            <w:r w:rsidR="00C2775B" w:rsidRPr="00AB2265">
              <w:t>s</w:t>
            </w:r>
            <w:r w:rsidR="00F24DCF" w:rsidRPr="00AB2265">
              <w:t>ation;</w:t>
            </w:r>
            <w:r w:rsidR="001C6279">
              <w:t xml:space="preserve"> </w:t>
            </w:r>
          </w:p>
          <w:p w:rsidR="00F24DCF" w:rsidRPr="00AB2265" w:rsidRDefault="00F24DCF" w:rsidP="001C6279">
            <w:pPr>
              <w:pStyle w:val="TableText"/>
              <w:keepLines/>
              <w:jc w:val="center"/>
            </w:pPr>
            <w:r w:rsidRPr="00AB2265">
              <w:t>composite of TTP related death, recurrence of TTP, or at least one major thromboembolic event</w:t>
            </w:r>
          </w:p>
        </w:tc>
        <w:tc>
          <w:tcPr>
            <w:tcW w:w="2218" w:type="dxa"/>
            <w:shd w:val="clear" w:color="auto" w:fill="auto"/>
            <w:vAlign w:val="center"/>
          </w:tcPr>
          <w:p w:rsidR="007F1017" w:rsidRPr="00AB2265" w:rsidRDefault="00C2775B" w:rsidP="001C6279">
            <w:pPr>
              <w:pStyle w:val="TableText"/>
              <w:keepLines/>
            </w:pPr>
            <w:r w:rsidRPr="00AB2265">
              <w:t>Thromboembolic events,</w:t>
            </w:r>
            <w:r w:rsidR="00F24DCF" w:rsidRPr="00AB2265">
              <w:t xml:space="preserve"> TTP-related death</w:t>
            </w:r>
            <w:r w:rsidRPr="00AB2265">
              <w:t>, treatment-related serious bleeding events, plasma exchange complications, duration of hospitalisation, duration of plasma exchange</w:t>
            </w:r>
          </w:p>
        </w:tc>
      </w:tr>
      <w:tr w:rsidR="00B41614" w:rsidRPr="00AB2265" w:rsidTr="00C2775B">
        <w:trPr>
          <w:cantSplit/>
        </w:trPr>
        <w:tc>
          <w:tcPr>
            <w:tcW w:w="0" w:type="auto"/>
            <w:shd w:val="clear" w:color="auto" w:fill="auto"/>
            <w:vAlign w:val="center"/>
          </w:tcPr>
          <w:p w:rsidR="007F1017" w:rsidRPr="00AB2265" w:rsidRDefault="003374A3" w:rsidP="001C6279">
            <w:pPr>
              <w:pStyle w:val="TableText"/>
              <w:keepLines/>
            </w:pPr>
            <w:r w:rsidRPr="00AB2265">
              <w:t>TITAN</w:t>
            </w:r>
          </w:p>
        </w:tc>
        <w:tc>
          <w:tcPr>
            <w:tcW w:w="411" w:type="dxa"/>
            <w:shd w:val="clear" w:color="auto" w:fill="auto"/>
            <w:vAlign w:val="center"/>
          </w:tcPr>
          <w:p w:rsidR="007F1017" w:rsidRPr="00AB2265" w:rsidRDefault="003374A3" w:rsidP="001C6279">
            <w:pPr>
              <w:pStyle w:val="TableText"/>
              <w:keepLines/>
              <w:jc w:val="center"/>
            </w:pPr>
            <w:r w:rsidRPr="00AB2265">
              <w:t>75</w:t>
            </w:r>
          </w:p>
        </w:tc>
        <w:tc>
          <w:tcPr>
            <w:tcW w:w="716" w:type="dxa"/>
            <w:shd w:val="clear" w:color="auto" w:fill="auto"/>
            <w:vAlign w:val="center"/>
          </w:tcPr>
          <w:p w:rsidR="007F1017" w:rsidRPr="00AB2265" w:rsidRDefault="007F1017" w:rsidP="001C6279">
            <w:pPr>
              <w:pStyle w:val="TableText"/>
              <w:keepLines/>
              <w:jc w:val="center"/>
            </w:pPr>
            <w:r w:rsidRPr="00AB2265">
              <w:t xml:space="preserve">R, </w:t>
            </w:r>
            <w:r w:rsidR="003374A3" w:rsidRPr="00AB2265">
              <w:t>SB</w:t>
            </w:r>
            <w:r w:rsidR="00723655" w:rsidRPr="00AB2265">
              <w:t>, MC, PC</w:t>
            </w:r>
          </w:p>
          <w:p w:rsidR="007F1017" w:rsidRPr="00AB2265" w:rsidRDefault="00F24DCF" w:rsidP="001C6279">
            <w:pPr>
              <w:pStyle w:val="TableText"/>
              <w:keepLines/>
              <w:jc w:val="center"/>
            </w:pPr>
            <w:r w:rsidRPr="00AB2265">
              <w:t>Variable duration</w:t>
            </w:r>
          </w:p>
        </w:tc>
        <w:tc>
          <w:tcPr>
            <w:tcW w:w="0" w:type="auto"/>
            <w:shd w:val="clear" w:color="auto" w:fill="auto"/>
            <w:vAlign w:val="center"/>
          </w:tcPr>
          <w:p w:rsidR="007F1017" w:rsidRPr="00AB2265" w:rsidRDefault="007F1017" w:rsidP="001C6279">
            <w:pPr>
              <w:pStyle w:val="TableText"/>
              <w:keepLines/>
              <w:jc w:val="center"/>
            </w:pPr>
            <w:r w:rsidRPr="00AB2265">
              <w:t>High</w:t>
            </w:r>
          </w:p>
        </w:tc>
        <w:tc>
          <w:tcPr>
            <w:tcW w:w="0" w:type="auto"/>
            <w:shd w:val="clear" w:color="auto" w:fill="auto"/>
            <w:vAlign w:val="center"/>
          </w:tcPr>
          <w:p w:rsidR="007F1017" w:rsidRPr="00AB2265" w:rsidRDefault="00723655" w:rsidP="001C6279">
            <w:pPr>
              <w:pStyle w:val="TableText"/>
              <w:keepLines/>
              <w:jc w:val="center"/>
              <w:rPr>
                <w:vertAlign w:val="superscript"/>
              </w:rPr>
            </w:pPr>
            <w:r w:rsidRPr="00AB2265">
              <w:t xml:space="preserve">Adults with an acute episode of </w:t>
            </w:r>
            <w:proofErr w:type="spellStart"/>
            <w:r w:rsidRPr="00AB2265">
              <w:t>aTTP</w:t>
            </w:r>
            <w:r w:rsidR="00815384" w:rsidRPr="00AB2265">
              <w:rPr>
                <w:vertAlign w:val="superscript"/>
              </w:rPr>
              <w:t>b</w:t>
            </w:r>
            <w:proofErr w:type="spellEnd"/>
          </w:p>
        </w:tc>
        <w:tc>
          <w:tcPr>
            <w:tcW w:w="2906" w:type="dxa"/>
            <w:shd w:val="clear" w:color="auto" w:fill="auto"/>
            <w:vAlign w:val="center"/>
          </w:tcPr>
          <w:p w:rsidR="007F1017" w:rsidRPr="00AB2265" w:rsidRDefault="00723655" w:rsidP="001C6279">
            <w:pPr>
              <w:pStyle w:val="TableText"/>
              <w:keepLines/>
              <w:jc w:val="center"/>
            </w:pPr>
            <w:r w:rsidRPr="00AB2265">
              <w:t xml:space="preserve">Platelet count </w:t>
            </w:r>
            <w:r w:rsidR="00F24DCF" w:rsidRPr="00AB2265">
              <w:t>normali</w:t>
            </w:r>
            <w:r w:rsidR="00C2775B" w:rsidRPr="00AB2265">
              <w:t>s</w:t>
            </w:r>
            <w:r w:rsidR="00F24DCF" w:rsidRPr="00AB2265">
              <w:t>ation; composite of TTP related death, recurrence of TTP, or at least one major thromboembolic event</w:t>
            </w:r>
          </w:p>
        </w:tc>
        <w:tc>
          <w:tcPr>
            <w:tcW w:w="2218" w:type="dxa"/>
            <w:shd w:val="clear" w:color="auto" w:fill="auto"/>
            <w:vAlign w:val="center"/>
          </w:tcPr>
          <w:p w:rsidR="007F1017" w:rsidRPr="00AB2265" w:rsidRDefault="00F24DCF" w:rsidP="001C6279">
            <w:pPr>
              <w:pStyle w:val="TableText"/>
              <w:keepLines/>
              <w:jc w:val="center"/>
            </w:pPr>
            <w:r w:rsidRPr="00AB2265">
              <w:t>TTP-related death</w:t>
            </w:r>
          </w:p>
        </w:tc>
      </w:tr>
    </w:tbl>
    <w:p w:rsidR="00045017" w:rsidRPr="00AB2265" w:rsidRDefault="00045017" w:rsidP="001C6279">
      <w:pPr>
        <w:pStyle w:val="TableFigureFooter"/>
        <w:keepNext/>
        <w:keepLines/>
      </w:pPr>
      <w:r w:rsidRPr="00AB2265">
        <w:t xml:space="preserve">Source: </w:t>
      </w:r>
      <w:r w:rsidR="00F24DCF" w:rsidRPr="00AB2265">
        <w:t>Section 2</w:t>
      </w:r>
      <w:r w:rsidRPr="00AB2265">
        <w:t xml:space="preserve"> of the submission</w:t>
      </w:r>
    </w:p>
    <w:p w:rsidR="00620C25" w:rsidRPr="00AB2265" w:rsidRDefault="00723655" w:rsidP="001C6279">
      <w:pPr>
        <w:pStyle w:val="TableFigureFooter"/>
        <w:keepNext/>
        <w:keepLines/>
      </w:pPr>
      <w:r w:rsidRPr="00AB2265">
        <w:t xml:space="preserve">Abbreviations: </w:t>
      </w:r>
      <w:r w:rsidR="00620C25" w:rsidRPr="00AB2265">
        <w:t>DB</w:t>
      </w:r>
      <w:r w:rsidRPr="00AB2265">
        <w:t>,</w:t>
      </w:r>
      <w:r w:rsidR="00620C25" w:rsidRPr="00AB2265">
        <w:t xml:space="preserve"> double blind; MC</w:t>
      </w:r>
      <w:r w:rsidRPr="00AB2265">
        <w:t>,</w:t>
      </w:r>
      <w:r w:rsidR="00620C25" w:rsidRPr="00AB2265">
        <w:t xml:space="preserve"> multi-centre; R</w:t>
      </w:r>
      <w:r w:rsidRPr="00AB2265">
        <w:t>,</w:t>
      </w:r>
      <w:r w:rsidR="00620C25" w:rsidRPr="00AB2265">
        <w:t xml:space="preserve"> </w:t>
      </w:r>
      <w:r w:rsidR="00F24DCF" w:rsidRPr="00AB2265">
        <w:t>randomised; SB, single blind; TTP, thrombotic thrombocytopenic purpura</w:t>
      </w:r>
    </w:p>
    <w:p w:rsidR="00815384" w:rsidRPr="00AB2265" w:rsidRDefault="00815384" w:rsidP="001C6279">
      <w:pPr>
        <w:pStyle w:val="TableFigureFooter"/>
        <w:keepNext/>
        <w:keepLines/>
      </w:pPr>
      <w:proofErr w:type="gramStart"/>
      <w:r w:rsidRPr="00AB2265">
        <w:rPr>
          <w:vertAlign w:val="superscript"/>
        </w:rPr>
        <w:t>a</w:t>
      </w:r>
      <w:proofErr w:type="gramEnd"/>
      <w:r w:rsidRPr="00AB2265">
        <w:t xml:space="preserve"> Participants were eligible if they had TTP that was diagnosed on the basis of clinical presentation (the presence of both thrombocytopenia and microangiopathic h</w:t>
      </w:r>
      <w:r w:rsidR="00AA754D" w:rsidRPr="00AB2265">
        <w:t>a</w:t>
      </w:r>
      <w:r w:rsidRPr="00AB2265">
        <w:t>emolytic an</w:t>
      </w:r>
      <w:r w:rsidR="00AA754D" w:rsidRPr="00AB2265">
        <w:t>a</w:t>
      </w:r>
      <w:r w:rsidRPr="00AB2265">
        <w:t xml:space="preserve">emia with </w:t>
      </w:r>
      <w:proofErr w:type="spellStart"/>
      <w:r w:rsidRPr="00AB2265">
        <w:t>schistocytes</w:t>
      </w:r>
      <w:proofErr w:type="spellEnd"/>
      <w:r w:rsidRPr="00AB2265">
        <w:t xml:space="preserve"> seen on blood smear) and if they had received exactly one plasma-exchange treatment. Severe ADAMTS13 deficiency was not an eligibility criterion.</w:t>
      </w:r>
    </w:p>
    <w:p w:rsidR="00815384" w:rsidRPr="00AB2265" w:rsidRDefault="00815384" w:rsidP="001C6279">
      <w:pPr>
        <w:pStyle w:val="TableFigureFooter"/>
        <w:keepNext/>
        <w:keepLines/>
        <w:rPr>
          <w:sz w:val="20"/>
        </w:rPr>
      </w:pPr>
      <w:proofErr w:type="gramStart"/>
      <w:r w:rsidRPr="00AB2265">
        <w:rPr>
          <w:vertAlign w:val="superscript"/>
        </w:rPr>
        <w:t>b</w:t>
      </w:r>
      <w:proofErr w:type="gramEnd"/>
      <w:r w:rsidRPr="00AB2265">
        <w:rPr>
          <w:vertAlign w:val="superscript"/>
        </w:rPr>
        <w:t xml:space="preserve"> </w:t>
      </w:r>
      <w:r w:rsidRPr="00AB2265">
        <w:t>Adults with an acute episode of acquired TTP were eligible for the study if they had a platelet count of less than 100,000 per cubic millimetr</w:t>
      </w:r>
      <w:r w:rsidR="00AA754D" w:rsidRPr="00AB2265">
        <w:t>e</w:t>
      </w:r>
      <w:r w:rsidRPr="00AB2265">
        <w:t xml:space="preserve">, without active bleeding, and required plasma exchange. </w:t>
      </w:r>
    </w:p>
    <w:p w:rsidR="00723655" w:rsidRPr="00AB2265" w:rsidRDefault="00723655" w:rsidP="00F21D71">
      <w:pPr>
        <w:pStyle w:val="ExecSumBodyText"/>
        <w:numPr>
          <w:ilvl w:val="1"/>
          <w:numId w:val="1"/>
        </w:numPr>
      </w:pPr>
      <w:r w:rsidRPr="00AB2265">
        <w:t>Due to recruitment challenges, the TITAN study was prematurely terminated to assess whether to continue clinical development. The actual number of patients randomi</w:t>
      </w:r>
      <w:r w:rsidR="00C2775B" w:rsidRPr="00AB2265">
        <w:t>s</w:t>
      </w:r>
      <w:r w:rsidRPr="00AB2265">
        <w:t>ed was 75, as opposed to the target of 110. There were also a number of protocol amendments, issues with the local and central laboratories resulting in uncertainties regarding the integrity and identity for an unknown number of the samples, missing data, the extent of which was unclear, and a number of important analyses conducted post-hoc, with several secondary outcomes therefore associated with varying levels of uncertainty. Therefore, the TITAN study was considered to have a high risk of bias. The results of this study should be considered proof-of-concept only, and not relied upon for determination of efficacy.</w:t>
      </w:r>
    </w:p>
    <w:p w:rsidR="00821E37" w:rsidRPr="00AB2265" w:rsidRDefault="00DA0342" w:rsidP="003F1A8B">
      <w:pPr>
        <w:pStyle w:val="ExecSumBodyText"/>
        <w:numPr>
          <w:ilvl w:val="1"/>
          <w:numId w:val="1"/>
        </w:numPr>
      </w:pPr>
      <w:r w:rsidRPr="00AB2265">
        <w:t>In the HERCULES trial r</w:t>
      </w:r>
      <w:r w:rsidR="00821E37" w:rsidRPr="00AB2265">
        <w:t xml:space="preserve">ecurrence was measured as part of the composite outcome including death, recurrence or major thromboembolic event. Recurrence was defined </w:t>
      </w:r>
      <w:r w:rsidRPr="00AB2265">
        <w:t>as recurrent thrombocytopenia after initial recovery of platelet count (per primary outcome) requiring re-initiation of daily PEX during the overall study period (including 4-week FU period)</w:t>
      </w:r>
      <w:r w:rsidR="00821E37" w:rsidRPr="00AB2265">
        <w:t>.</w:t>
      </w:r>
      <w:r w:rsidRPr="00AB2265">
        <w:t xml:space="preserve"> </w:t>
      </w:r>
      <w:r w:rsidRPr="00AB2265">
        <w:rPr>
          <w:bCs/>
        </w:rPr>
        <w:t xml:space="preserve">Exacerbation was defined as recurrence of TTP during the first 30-day post-daily PEX period; </w:t>
      </w:r>
      <w:r w:rsidRPr="00AB2265">
        <w:t>Relapse was defined as recurrence of TTP after the 30-day post</w:t>
      </w:r>
      <w:r w:rsidRPr="00AB2265">
        <w:noBreakHyphen/>
        <w:t>daily PEX period.</w:t>
      </w:r>
    </w:p>
    <w:p w:rsidR="00821E37" w:rsidRPr="00AB2265" w:rsidRDefault="00723655" w:rsidP="00821E37">
      <w:pPr>
        <w:pStyle w:val="ExecSumBodyText"/>
        <w:numPr>
          <w:ilvl w:val="1"/>
          <w:numId w:val="1"/>
        </w:numPr>
      </w:pPr>
      <w:r w:rsidRPr="00AB2265">
        <w:t xml:space="preserve">The HERCULES trial allowed patients in either treatment arm to cross over to open label caplacizumab in case of exacerbation, defined as recurrent thrombocytopenia after initial recovery of platelet count (daily plasma exchange must have been stopped for at least one day), requiring re-initiation of daily plasma exchange, occurring during the first 30-days post-daily plasma exchange period. </w:t>
      </w:r>
    </w:p>
    <w:p w:rsidR="00723655" w:rsidRPr="00AB2265" w:rsidRDefault="00723655" w:rsidP="0063238C">
      <w:pPr>
        <w:pStyle w:val="ExecSumBodyText"/>
        <w:numPr>
          <w:ilvl w:val="1"/>
          <w:numId w:val="1"/>
        </w:numPr>
      </w:pPr>
      <w:r w:rsidRPr="00AB2265">
        <w:t xml:space="preserve">No correction for crossover was applied in the analysis of results. Therefore, results for the overall treatment period (as opposed to the double blind period), which </w:t>
      </w:r>
      <w:r w:rsidRPr="00AB2265">
        <w:lastRenderedPageBreak/>
        <w:t>contains open label treatment, are contaminated by crossover to active treatment</w:t>
      </w:r>
      <w:r w:rsidRPr="00AB2265">
        <w:rPr>
          <w:i/>
        </w:rPr>
        <w:t xml:space="preserve">. </w:t>
      </w:r>
      <w:r w:rsidRPr="00AB2265">
        <w:t>It is unclear how results from the overall treatment period should be construed; results from the overall treatment period should be interpreted with caution. There were also a number of post-randomisation differences between treatment arms, including different discontinuation rates, higher rituximab use in the placebo arm versus higher rates of other immunosuppressive therapies in the caplacizumab arm, and a higher rate of treatment extensions in the caplacizumab arm. Further, there were a number of differences in disease characteristics at baseline (initial vs. recurrent episode of disease; history of thromboembolic events) between treatment arms. Because of these issues, the overall risk of bias in the HERCULES trial was judged to be unclear.</w:t>
      </w:r>
      <w:r w:rsidR="0063238C" w:rsidRPr="00AB2265">
        <w:t xml:space="preserve"> The ESC considered the increased use of rituximab in the placebo arm </w:t>
      </w:r>
      <w:r w:rsidR="0049489A" w:rsidRPr="00AB2265">
        <w:t>would be expected</w:t>
      </w:r>
      <w:r w:rsidR="0063238C" w:rsidRPr="00AB2265">
        <w:t xml:space="preserve"> if patients in this treatment arm were not responding as well as the caplacizumab arm; </w:t>
      </w:r>
      <w:r w:rsidR="00EC1FB3" w:rsidRPr="00AB2265">
        <w:t>rituximab</w:t>
      </w:r>
      <w:r w:rsidR="0063238C" w:rsidRPr="00AB2265">
        <w:t xml:space="preserve"> is commonly used as a rescue medication in this situation.</w:t>
      </w:r>
    </w:p>
    <w:p w:rsidR="00F24DCF" w:rsidRPr="00AB2265" w:rsidRDefault="00F24DCF" w:rsidP="00F21D71">
      <w:pPr>
        <w:pStyle w:val="ExecSumBodyText"/>
        <w:numPr>
          <w:ilvl w:val="1"/>
          <w:numId w:val="1"/>
        </w:numPr>
      </w:pPr>
      <w:r w:rsidRPr="00AB2265">
        <w:t>The TITAN and HERCULES studies did not include longer-term treatment or follow up</w:t>
      </w:r>
      <w:r w:rsidR="0063238C" w:rsidRPr="00AB2265">
        <w:t xml:space="preserve"> </w:t>
      </w:r>
      <w:r w:rsidRPr="00AB2265">
        <w:t xml:space="preserve">to assess the impact of treatment with caplacizumab on the long-term sequelae of aTTP. Although some retreatment was allowed for exacerbations, there is also limited data available on the efficacy and safety of retreatment with caplacizumab. Patients who completed the 28 day follow-up visit in HERCULES were able to join an open-label post-HERCULES study, which will assess effectiveness of retreatment. If a patient experienced recurrence of TTP during this follow up study, open-label caplacizumab was commenced. The follow-up study </w:t>
      </w:r>
      <w:r w:rsidR="00511403" w:rsidRPr="00AB2265">
        <w:t>wa</w:t>
      </w:r>
      <w:r w:rsidRPr="00AB2265">
        <w:t>s ongoing</w:t>
      </w:r>
      <w:r w:rsidR="00511403" w:rsidRPr="00AB2265">
        <w:t xml:space="preserve"> at the time of the submission</w:t>
      </w:r>
      <w:r w:rsidRPr="00AB2265">
        <w:t>, with an estimated completion date of October 2020.</w:t>
      </w:r>
      <w:r w:rsidR="00332896" w:rsidRPr="00AB2265">
        <w:t xml:space="preserve"> The ESC noted that many of the long-term sequelae of aTTP occur a</w:t>
      </w:r>
      <w:r w:rsidR="0063238C" w:rsidRPr="00AB2265">
        <w:t>s a result of</w:t>
      </w:r>
      <w:r w:rsidR="00332896" w:rsidRPr="00AB2265">
        <w:t xml:space="preserve"> the initial </w:t>
      </w:r>
      <w:r w:rsidR="0063238C" w:rsidRPr="00AB2265">
        <w:t xml:space="preserve">aTTP </w:t>
      </w:r>
      <w:r w:rsidR="00332896" w:rsidRPr="00AB2265">
        <w:t xml:space="preserve">event, due to the organ damage caused by the microangiopathic changes, resulting in strokes, acute myocardial infarctions, chronic renal impairment etc. Therefore the ESC considered it would be reasonable to assume that the better and faster you control </w:t>
      </w:r>
      <w:r w:rsidR="00AB2265" w:rsidRPr="00AB2265">
        <w:t>microangiopathic</w:t>
      </w:r>
      <w:r w:rsidR="00332896" w:rsidRPr="00AB2265">
        <w:t xml:space="preserve"> events initially, the less long-term sequelae would be experienced</w:t>
      </w:r>
      <w:r w:rsidR="0063238C" w:rsidRPr="00AB2265">
        <w:t>;</w:t>
      </w:r>
      <w:r w:rsidR="00332896" w:rsidRPr="00AB2265">
        <w:t xml:space="preserve"> however the ESC noted this is not well documented and the trials were limited by small patient numbers and lack of long-term follow-up data. </w:t>
      </w:r>
      <w:r w:rsidR="0030750C" w:rsidRPr="00AB2265">
        <w:t xml:space="preserve">The ESC </w:t>
      </w:r>
      <w:r w:rsidR="0063238C" w:rsidRPr="00AB2265">
        <w:t>advis</w:t>
      </w:r>
      <w:r w:rsidR="0030750C" w:rsidRPr="00AB2265">
        <w:t xml:space="preserve">ed this was particularly problematic for the economic modelling. </w:t>
      </w:r>
    </w:p>
    <w:p w:rsidR="00E0032B" w:rsidRPr="00AB2265" w:rsidRDefault="00476DC7" w:rsidP="00E0032B">
      <w:pPr>
        <w:pStyle w:val="ExecSumBodyText"/>
        <w:numPr>
          <w:ilvl w:val="1"/>
          <w:numId w:val="1"/>
        </w:numPr>
      </w:pPr>
      <w:r w:rsidRPr="00AB2265">
        <w:t>Patients in the HERCULES trial were randomised following their first dose of plasma exchange. Once the platelet count was ≥ 150x10</w:t>
      </w:r>
      <w:r w:rsidRPr="00AB2265">
        <w:rPr>
          <w:vertAlign w:val="superscript"/>
        </w:rPr>
        <w:t>9</w:t>
      </w:r>
      <w:r w:rsidRPr="00AB2265">
        <w:t xml:space="preserve">/L, daily plasma exchange was to continue for at least two further days. Tapering of plasma exchange after platelet count normalisation, defined as reducing its frequency to less than once per day, was strongly discouraged in the protocol. All patients enrolled in the HERCULES trial received corticosteroids, either intravenous or orally during the daily plasma exchange period, and continued for the first week after the end of daily plasma exchange. Other immunosuppressive treatments including rituximab were permitted in HERCULES per standard site practice, but had to be considered in light of protocol required corticosteroid treatment. The treatment protocol for standard of care in HERCULES </w:t>
      </w:r>
      <w:r w:rsidRPr="00AB2265">
        <w:lastRenderedPageBreak/>
        <w:t xml:space="preserve">may not reflect current standard of care in clinical practice, including use of plasma exchange tapering, duration of corticosteroids, and use of rituximab. It is possible this led to protocol driven events occurring in HERCULES; given that duration of plasma exchange was an outcome, and tapering of plasma exchange was not allowed, the initial duration of plasma exchange may be reduced compared with clinical practice. </w:t>
      </w:r>
      <w:r w:rsidR="00E0032B" w:rsidRPr="00AB2265">
        <w:t xml:space="preserve">The ESC noted the PSCR suggested </w:t>
      </w:r>
      <w:r w:rsidR="008F1FF6" w:rsidRPr="00AB2265">
        <w:t xml:space="preserve">the HERCULES trial was applicable to </w:t>
      </w:r>
      <w:r w:rsidR="0049489A" w:rsidRPr="00AB2265">
        <w:t>proposed PBS population</w:t>
      </w:r>
      <w:r w:rsidR="008F1FF6" w:rsidRPr="00AB2265">
        <w:t xml:space="preserve">, with </w:t>
      </w:r>
      <w:r w:rsidR="00E0032B" w:rsidRPr="00AB2265">
        <w:t>the protocol</w:t>
      </w:r>
      <w:r w:rsidR="008F1FF6" w:rsidRPr="00AB2265">
        <w:t xml:space="preserve"> of stopping PEX two days after platelet normalisation</w:t>
      </w:r>
      <w:r w:rsidR="0049489A" w:rsidRPr="00AB2265">
        <w:t xml:space="preserve"> being the same as Australian clinical practice</w:t>
      </w:r>
      <w:r w:rsidR="008F1FF6" w:rsidRPr="00AB2265">
        <w:t xml:space="preserve">, </w:t>
      </w:r>
      <w:r w:rsidR="00E0032B" w:rsidRPr="00AB2265">
        <w:t>and</w:t>
      </w:r>
      <w:r w:rsidR="008F1FF6" w:rsidRPr="00AB2265">
        <w:t xml:space="preserve"> the</w:t>
      </w:r>
      <w:r w:rsidR="00E0032B" w:rsidRPr="00AB2265">
        <w:t xml:space="preserve"> mean duration of PEX in </w:t>
      </w:r>
      <w:r w:rsidR="008F1FF6" w:rsidRPr="00AB2265">
        <w:t xml:space="preserve">the trial </w:t>
      </w:r>
      <w:r w:rsidR="00E0032B" w:rsidRPr="00AB2265">
        <w:t xml:space="preserve">(10.4 days) </w:t>
      </w:r>
      <w:r w:rsidR="008F1FF6" w:rsidRPr="00AB2265">
        <w:t>being</w:t>
      </w:r>
      <w:r w:rsidR="00E0032B" w:rsidRPr="00AB2265">
        <w:t xml:space="preserve"> similar to that reported in the Australian clinician survey presented in the submission (11 days). </w:t>
      </w:r>
      <w:r w:rsidR="008F1FF6" w:rsidRPr="00AB2265">
        <w:t>The ESC considered that given this is a rare disease and treatment is delivered by haematologists who are specialised in the care of TTP as well as experienced in clinical trials, it is unlikely that PEX would be used longer than required in clinical practice.</w:t>
      </w:r>
    </w:p>
    <w:p w:rsidR="00045017" w:rsidRPr="00AB2265" w:rsidRDefault="00E0032B" w:rsidP="00FC5668">
      <w:pPr>
        <w:pStyle w:val="ExecSumBodyText"/>
        <w:numPr>
          <w:ilvl w:val="1"/>
          <w:numId w:val="1"/>
        </w:numPr>
        <w:rPr>
          <w:i/>
        </w:rPr>
      </w:pPr>
      <w:r w:rsidRPr="00AB2265">
        <w:t>There were a</w:t>
      </w:r>
      <w:r w:rsidR="00476DC7" w:rsidRPr="00AB2265">
        <w:t xml:space="preserve"> high number of exacerbations (38% during the first 30 days post-plasma exchange) in the placebo arm of the HERCULES trial. Further, although rituximab is increasingly being recommended as part of the initial treatment for aTTP alongside plasma exchange in a number of published treatment guidelines, based on evidence from a number of studies that it reduces the risks of exacerbation and relapse, its use was discouraged in HERCULES. </w:t>
      </w:r>
      <w:r w:rsidR="00DF3C30" w:rsidRPr="00AB2265">
        <w:t>However, it</w:t>
      </w:r>
      <w:r w:rsidR="00476DC7" w:rsidRPr="00AB2265">
        <w:t xml:space="preserve"> is likely to be used in the majority of patients in current practice. In the HERCULES trial, only 16.7% of patients in the caplacizumab arm and 28.8% of patients in the placebo arm received rituximab</w:t>
      </w:r>
      <w:r w:rsidR="00834E00" w:rsidRPr="00AB2265">
        <w:t xml:space="preserve"> at initiation</w:t>
      </w:r>
      <w:r w:rsidR="00476DC7" w:rsidRPr="00AB2265">
        <w:t xml:space="preserve"> during the double blind treatment period. </w:t>
      </w:r>
      <w:r w:rsidRPr="00AB2265">
        <w:t xml:space="preserve">The ESC advised that rituximab is standard of care for this indication in most Australian centres for patients who fail to initially respond to PEX. However, it is not funded by </w:t>
      </w:r>
      <w:r w:rsidR="0049489A" w:rsidRPr="00AB2265">
        <w:t xml:space="preserve">the </w:t>
      </w:r>
      <w:r w:rsidRPr="00AB2265">
        <w:t xml:space="preserve">PBS and </w:t>
      </w:r>
      <w:r w:rsidR="0049489A" w:rsidRPr="00AB2265">
        <w:t xml:space="preserve">is </w:t>
      </w:r>
      <w:r w:rsidRPr="00AB2265">
        <w:t xml:space="preserve">currently </w:t>
      </w:r>
      <w:r w:rsidR="0049489A" w:rsidRPr="00AB2265">
        <w:t>supplied through</w:t>
      </w:r>
      <w:r w:rsidRPr="00AB2265">
        <w:t xml:space="preserve"> hospital based funding. Use of caplacizumab will likely reduce use of rituximab but this will not have an effect on the PBS budget.</w:t>
      </w:r>
      <w:r w:rsidR="0049489A" w:rsidRPr="00AB2265">
        <w:rPr>
          <w:i/>
        </w:rPr>
        <w:t xml:space="preserve"> </w:t>
      </w:r>
    </w:p>
    <w:p w:rsidR="00B60939" w:rsidRPr="00AB2265" w:rsidRDefault="00B60939" w:rsidP="00EC5836">
      <w:pPr>
        <w:pStyle w:val="3-SubsectionHeading"/>
      </w:pPr>
      <w:bookmarkStart w:id="20" w:name="_Toc22897641"/>
      <w:bookmarkStart w:id="21" w:name="_Toc40711453"/>
      <w:bookmarkStart w:id="22" w:name="_Toc40711512"/>
      <w:r w:rsidRPr="00AB2265">
        <w:t>Comparative effectiveness</w:t>
      </w:r>
      <w:bookmarkEnd w:id="20"/>
      <w:bookmarkEnd w:id="21"/>
      <w:bookmarkEnd w:id="22"/>
    </w:p>
    <w:p w:rsidR="00834E00" w:rsidRPr="00AB2265" w:rsidRDefault="00834E00" w:rsidP="00F21D71">
      <w:pPr>
        <w:pStyle w:val="ExecSumBodyText"/>
        <w:numPr>
          <w:ilvl w:val="1"/>
          <w:numId w:val="1"/>
        </w:numPr>
      </w:pPr>
      <w:r w:rsidRPr="00AB2265">
        <w:rPr>
          <w:snapToGrid/>
        </w:rPr>
        <w:t>The results for the primary outcome, time to confirmed platelet count response, in both TITAN and HER</w:t>
      </w:r>
      <w:r w:rsidR="00165AE8" w:rsidRPr="00AB2265">
        <w:rPr>
          <w:snapToGrid/>
        </w:rPr>
        <w:t>CULES are summarised in Table 9</w:t>
      </w:r>
      <w:r w:rsidRPr="00AB2265">
        <w:rPr>
          <w:snapToGrid/>
        </w:rPr>
        <w:t xml:space="preserve">. </w:t>
      </w:r>
    </w:p>
    <w:p w:rsidR="00834E00" w:rsidRPr="00AB2265" w:rsidRDefault="00834E00" w:rsidP="00834E00">
      <w:pPr>
        <w:pStyle w:val="TableText"/>
        <w:rPr>
          <w:b/>
        </w:rPr>
      </w:pPr>
      <w:r w:rsidRPr="00AB2265">
        <w:rPr>
          <w:b/>
        </w:rPr>
        <w:t xml:space="preserve">Table </w:t>
      </w:r>
      <w:r w:rsidR="00C979CC" w:rsidRPr="00AB2265">
        <w:rPr>
          <w:b/>
        </w:rPr>
        <w:t>9</w:t>
      </w:r>
      <w:r w:rsidRPr="00AB2265">
        <w:rPr>
          <w:b/>
        </w:rPr>
        <w:t>: Time to confirmed platelet count response: (m</w:t>
      </w:r>
      <w:r w:rsidR="00AB714C" w:rsidRPr="00AB2265">
        <w:rPr>
          <w:b/>
        </w:rPr>
        <w:t>) ITT</w:t>
      </w:r>
      <w:r w:rsidRPr="00AB2265">
        <w:rPr>
          <w:b/>
        </w:rPr>
        <w:t xml:space="preserve"> population (double blind treatment period)</w:t>
      </w:r>
    </w:p>
    <w:tbl>
      <w:tblPr>
        <w:tblStyle w:val="TableGrid"/>
        <w:tblW w:w="0" w:type="auto"/>
        <w:tblLook w:val="04A0" w:firstRow="1" w:lastRow="0" w:firstColumn="1" w:lastColumn="0" w:noHBand="0" w:noVBand="1"/>
        <w:tblCaption w:val="Table 9: Time to confirmed platelet count response: (m) ITT population (double blind treatment period)"/>
      </w:tblPr>
      <w:tblGrid>
        <w:gridCol w:w="2254"/>
        <w:gridCol w:w="2254"/>
        <w:gridCol w:w="2254"/>
        <w:gridCol w:w="2255"/>
      </w:tblGrid>
      <w:tr w:rsidR="00834E00" w:rsidRPr="00AB2265" w:rsidTr="00187C4E">
        <w:trPr>
          <w:trHeight w:val="688"/>
          <w:tblHeader/>
        </w:trPr>
        <w:tc>
          <w:tcPr>
            <w:tcW w:w="2254" w:type="dxa"/>
          </w:tcPr>
          <w:p w:rsidR="00834E00" w:rsidRPr="00AB2265" w:rsidRDefault="00834E00" w:rsidP="00214FCB">
            <w:pPr>
              <w:pStyle w:val="TableText"/>
              <w:rPr>
                <w:b/>
              </w:rPr>
            </w:pPr>
          </w:p>
        </w:tc>
        <w:tc>
          <w:tcPr>
            <w:tcW w:w="2254" w:type="dxa"/>
            <w:vAlign w:val="center"/>
          </w:tcPr>
          <w:p w:rsidR="00834E00" w:rsidRPr="00AB2265" w:rsidRDefault="00834E00" w:rsidP="00214FCB">
            <w:pPr>
              <w:pStyle w:val="TableText"/>
              <w:jc w:val="center"/>
              <w:rPr>
                <w:b/>
              </w:rPr>
            </w:pPr>
            <w:r w:rsidRPr="00AB2265">
              <w:rPr>
                <w:b/>
              </w:rPr>
              <w:t>Caplacizumab</w:t>
            </w:r>
          </w:p>
          <w:p w:rsidR="00834E00" w:rsidRPr="00AB2265" w:rsidRDefault="00834E00" w:rsidP="00214FCB">
            <w:pPr>
              <w:pStyle w:val="TableText"/>
              <w:jc w:val="center"/>
              <w:rPr>
                <w:b/>
              </w:rPr>
            </w:pPr>
            <w:r w:rsidRPr="00AB2265">
              <w:rPr>
                <w:b/>
              </w:rPr>
              <w:t>Number achieving response, n/N (%)</w:t>
            </w:r>
          </w:p>
        </w:tc>
        <w:tc>
          <w:tcPr>
            <w:tcW w:w="2254" w:type="dxa"/>
            <w:vAlign w:val="center"/>
          </w:tcPr>
          <w:p w:rsidR="00834E00" w:rsidRPr="00AB2265" w:rsidRDefault="00834E00" w:rsidP="00214FCB">
            <w:pPr>
              <w:pStyle w:val="TableText"/>
              <w:jc w:val="center"/>
              <w:rPr>
                <w:b/>
              </w:rPr>
            </w:pPr>
            <w:r w:rsidRPr="00AB2265">
              <w:rPr>
                <w:b/>
              </w:rPr>
              <w:t>Placebo</w:t>
            </w:r>
          </w:p>
          <w:p w:rsidR="00834E00" w:rsidRPr="00AB2265" w:rsidRDefault="00834E00" w:rsidP="00214FCB">
            <w:pPr>
              <w:pStyle w:val="TableText"/>
              <w:jc w:val="center"/>
              <w:rPr>
                <w:b/>
              </w:rPr>
            </w:pPr>
            <w:r w:rsidRPr="00AB2265">
              <w:rPr>
                <w:b/>
              </w:rPr>
              <w:t>Number achieving response, n/N (%)</w:t>
            </w:r>
          </w:p>
        </w:tc>
        <w:tc>
          <w:tcPr>
            <w:tcW w:w="2255" w:type="dxa"/>
            <w:vAlign w:val="center"/>
          </w:tcPr>
          <w:p w:rsidR="00834E00" w:rsidRPr="00AB2265" w:rsidRDefault="00834E00" w:rsidP="00214FCB">
            <w:pPr>
              <w:pStyle w:val="TableText"/>
              <w:jc w:val="center"/>
              <w:rPr>
                <w:b/>
              </w:rPr>
            </w:pPr>
            <w:r w:rsidRPr="00AB2265">
              <w:rPr>
                <w:b/>
              </w:rPr>
              <w:t>Hazard ratio (95% CI)</w:t>
            </w:r>
          </w:p>
        </w:tc>
      </w:tr>
      <w:tr w:rsidR="00834E00" w:rsidRPr="00AB2265" w:rsidTr="00214FCB">
        <w:tc>
          <w:tcPr>
            <w:tcW w:w="2254" w:type="dxa"/>
          </w:tcPr>
          <w:p w:rsidR="00834E00" w:rsidRPr="00AB2265" w:rsidRDefault="00834E00" w:rsidP="00214FCB">
            <w:pPr>
              <w:pStyle w:val="TableText"/>
            </w:pPr>
            <w:r w:rsidRPr="00AB2265">
              <w:t>HERCULES</w:t>
            </w:r>
          </w:p>
        </w:tc>
        <w:tc>
          <w:tcPr>
            <w:tcW w:w="2254" w:type="dxa"/>
            <w:vAlign w:val="center"/>
          </w:tcPr>
          <w:p w:rsidR="00834E00" w:rsidRPr="00AB2265" w:rsidRDefault="00834E00" w:rsidP="00214FCB">
            <w:pPr>
              <w:pStyle w:val="TableText"/>
              <w:jc w:val="center"/>
            </w:pPr>
            <w:r w:rsidRPr="00AB2265">
              <w:t>66/71 (93.0%)</w:t>
            </w:r>
          </w:p>
        </w:tc>
        <w:tc>
          <w:tcPr>
            <w:tcW w:w="2254" w:type="dxa"/>
            <w:vAlign w:val="center"/>
          </w:tcPr>
          <w:p w:rsidR="00834E00" w:rsidRPr="00AB2265" w:rsidRDefault="00834E00" w:rsidP="00214FCB">
            <w:pPr>
              <w:pStyle w:val="TableText"/>
              <w:jc w:val="center"/>
            </w:pPr>
            <w:r w:rsidRPr="00AB2265">
              <w:t>66/73 (90.4%)</w:t>
            </w:r>
          </w:p>
        </w:tc>
        <w:tc>
          <w:tcPr>
            <w:tcW w:w="2255" w:type="dxa"/>
            <w:vAlign w:val="center"/>
          </w:tcPr>
          <w:p w:rsidR="00834E00" w:rsidRPr="00AB2265" w:rsidRDefault="00834E00" w:rsidP="00214FCB">
            <w:pPr>
              <w:pStyle w:val="TableText"/>
              <w:jc w:val="center"/>
            </w:pPr>
            <w:r w:rsidRPr="00AB2265">
              <w:t>1.55 (1.10, 2.20)</w:t>
            </w:r>
          </w:p>
        </w:tc>
      </w:tr>
      <w:tr w:rsidR="00834E00" w:rsidRPr="00AB2265" w:rsidTr="00214FCB">
        <w:tc>
          <w:tcPr>
            <w:tcW w:w="2254" w:type="dxa"/>
          </w:tcPr>
          <w:p w:rsidR="00834E00" w:rsidRPr="00AB2265" w:rsidRDefault="00834E00" w:rsidP="00214FCB">
            <w:pPr>
              <w:pStyle w:val="TableText"/>
            </w:pPr>
            <w:r w:rsidRPr="00AB2265">
              <w:t>TITAN</w:t>
            </w:r>
          </w:p>
        </w:tc>
        <w:tc>
          <w:tcPr>
            <w:tcW w:w="2254" w:type="dxa"/>
            <w:vAlign w:val="center"/>
          </w:tcPr>
          <w:p w:rsidR="00834E00" w:rsidRPr="00AB2265" w:rsidRDefault="00834E00" w:rsidP="00214FCB">
            <w:pPr>
              <w:pStyle w:val="TableText"/>
              <w:jc w:val="center"/>
            </w:pPr>
            <w:r w:rsidRPr="00AB2265">
              <w:t>31/36 (86.1%)</w:t>
            </w:r>
          </w:p>
        </w:tc>
        <w:tc>
          <w:tcPr>
            <w:tcW w:w="2254" w:type="dxa"/>
            <w:vAlign w:val="center"/>
          </w:tcPr>
          <w:p w:rsidR="00834E00" w:rsidRPr="00AB2265" w:rsidRDefault="00834E00" w:rsidP="00214FCB">
            <w:pPr>
              <w:pStyle w:val="TableText"/>
              <w:jc w:val="center"/>
            </w:pPr>
            <w:r w:rsidRPr="00AB2265">
              <w:t>28/39 (71.8%)</w:t>
            </w:r>
          </w:p>
        </w:tc>
        <w:tc>
          <w:tcPr>
            <w:tcW w:w="2255" w:type="dxa"/>
            <w:vAlign w:val="center"/>
          </w:tcPr>
          <w:p w:rsidR="00834E00" w:rsidRPr="00AB2265" w:rsidRDefault="00834E00" w:rsidP="00214FCB">
            <w:pPr>
              <w:pStyle w:val="TableText"/>
              <w:jc w:val="center"/>
            </w:pPr>
            <w:r w:rsidRPr="00AB2265">
              <w:t>2.20 (1.28, 3.78)</w:t>
            </w:r>
          </w:p>
        </w:tc>
      </w:tr>
      <w:tr w:rsidR="00834E00" w:rsidRPr="00AB2265" w:rsidTr="00214FCB">
        <w:tc>
          <w:tcPr>
            <w:tcW w:w="2254" w:type="dxa"/>
          </w:tcPr>
          <w:p w:rsidR="00834E00" w:rsidRPr="00AB2265" w:rsidRDefault="00834E00" w:rsidP="00214FCB">
            <w:pPr>
              <w:pStyle w:val="TableText"/>
            </w:pPr>
          </w:p>
        </w:tc>
        <w:tc>
          <w:tcPr>
            <w:tcW w:w="2254" w:type="dxa"/>
            <w:vAlign w:val="center"/>
          </w:tcPr>
          <w:p w:rsidR="00834E00" w:rsidRPr="00AB2265" w:rsidRDefault="00834E00" w:rsidP="00214FCB">
            <w:pPr>
              <w:pStyle w:val="TableText"/>
              <w:jc w:val="center"/>
              <w:rPr>
                <w:b/>
              </w:rPr>
            </w:pPr>
            <w:r w:rsidRPr="00AB2265">
              <w:rPr>
                <w:b/>
              </w:rPr>
              <w:t>Median days to response (95% CI)</w:t>
            </w:r>
          </w:p>
        </w:tc>
        <w:tc>
          <w:tcPr>
            <w:tcW w:w="2254" w:type="dxa"/>
            <w:vAlign w:val="center"/>
          </w:tcPr>
          <w:p w:rsidR="00834E00" w:rsidRPr="00AB2265" w:rsidRDefault="00834E00" w:rsidP="00214FCB">
            <w:pPr>
              <w:pStyle w:val="TableText"/>
              <w:jc w:val="center"/>
              <w:rPr>
                <w:b/>
              </w:rPr>
            </w:pPr>
            <w:r w:rsidRPr="00AB2265">
              <w:rPr>
                <w:b/>
              </w:rPr>
              <w:t>Median days to response (95% CI)</w:t>
            </w:r>
          </w:p>
        </w:tc>
        <w:tc>
          <w:tcPr>
            <w:tcW w:w="2255" w:type="dxa"/>
            <w:vAlign w:val="center"/>
          </w:tcPr>
          <w:p w:rsidR="00834E00" w:rsidRPr="00AB2265" w:rsidRDefault="00834E00" w:rsidP="00214FCB">
            <w:pPr>
              <w:pStyle w:val="TableText"/>
              <w:jc w:val="center"/>
              <w:rPr>
                <w:b/>
              </w:rPr>
            </w:pPr>
            <w:r w:rsidRPr="00AB2265">
              <w:rPr>
                <w:b/>
              </w:rPr>
              <w:t>Difference caplacizumab versus placebo</w:t>
            </w:r>
          </w:p>
        </w:tc>
      </w:tr>
      <w:tr w:rsidR="00834E00" w:rsidRPr="00AB2265" w:rsidTr="00E83E3B">
        <w:tc>
          <w:tcPr>
            <w:tcW w:w="2254" w:type="dxa"/>
            <w:tcBorders>
              <w:bottom w:val="single" w:sz="4" w:space="0" w:color="auto"/>
            </w:tcBorders>
          </w:tcPr>
          <w:p w:rsidR="00834E00" w:rsidRPr="00AB2265" w:rsidRDefault="00834E00" w:rsidP="00214FCB">
            <w:pPr>
              <w:pStyle w:val="TableText"/>
            </w:pPr>
            <w:r w:rsidRPr="00AB2265">
              <w:t>HERCULES</w:t>
            </w:r>
          </w:p>
        </w:tc>
        <w:tc>
          <w:tcPr>
            <w:tcW w:w="2254" w:type="dxa"/>
            <w:tcBorders>
              <w:bottom w:val="single" w:sz="4" w:space="0" w:color="auto"/>
            </w:tcBorders>
            <w:vAlign w:val="center"/>
          </w:tcPr>
          <w:p w:rsidR="00834E00" w:rsidRPr="00AB2265" w:rsidRDefault="00834E00" w:rsidP="00214FCB">
            <w:pPr>
              <w:pStyle w:val="TableText"/>
              <w:jc w:val="center"/>
            </w:pPr>
            <w:r w:rsidRPr="00AB2265">
              <w:t>2.69 (1.89, 2.83)</w:t>
            </w:r>
          </w:p>
        </w:tc>
        <w:tc>
          <w:tcPr>
            <w:tcW w:w="2254" w:type="dxa"/>
            <w:tcBorders>
              <w:bottom w:val="single" w:sz="4" w:space="0" w:color="auto"/>
            </w:tcBorders>
            <w:vAlign w:val="center"/>
          </w:tcPr>
          <w:p w:rsidR="00834E00" w:rsidRPr="00AB2265" w:rsidRDefault="00834E00" w:rsidP="00214FCB">
            <w:pPr>
              <w:pStyle w:val="TableText"/>
              <w:jc w:val="center"/>
            </w:pPr>
            <w:r w:rsidRPr="00AB2265">
              <w:t>2.88 (2.68, 3.56)</w:t>
            </w:r>
          </w:p>
        </w:tc>
        <w:tc>
          <w:tcPr>
            <w:tcW w:w="2255" w:type="dxa"/>
            <w:tcBorders>
              <w:bottom w:val="single" w:sz="4" w:space="0" w:color="auto"/>
            </w:tcBorders>
            <w:vAlign w:val="center"/>
          </w:tcPr>
          <w:p w:rsidR="00834E00" w:rsidRPr="00AB2265" w:rsidRDefault="00834E00" w:rsidP="00214FCB">
            <w:pPr>
              <w:pStyle w:val="TableText"/>
              <w:jc w:val="center"/>
            </w:pPr>
            <w:r w:rsidRPr="00AB2265">
              <w:t>-0.19</w:t>
            </w:r>
          </w:p>
        </w:tc>
      </w:tr>
      <w:tr w:rsidR="00834E00" w:rsidRPr="00AB2265" w:rsidTr="00E83E3B">
        <w:tc>
          <w:tcPr>
            <w:tcW w:w="2254" w:type="dxa"/>
            <w:tcBorders>
              <w:bottom w:val="single" w:sz="4" w:space="0" w:color="auto"/>
            </w:tcBorders>
          </w:tcPr>
          <w:p w:rsidR="00834E00" w:rsidRPr="00AB2265" w:rsidRDefault="00834E00" w:rsidP="00214FCB">
            <w:pPr>
              <w:pStyle w:val="TableText"/>
            </w:pPr>
            <w:r w:rsidRPr="00AB2265">
              <w:t>TITAN</w:t>
            </w:r>
          </w:p>
        </w:tc>
        <w:tc>
          <w:tcPr>
            <w:tcW w:w="2254" w:type="dxa"/>
            <w:tcBorders>
              <w:bottom w:val="single" w:sz="4" w:space="0" w:color="auto"/>
            </w:tcBorders>
            <w:vAlign w:val="center"/>
          </w:tcPr>
          <w:p w:rsidR="00834E00" w:rsidRPr="00AB2265" w:rsidRDefault="00834E00" w:rsidP="00214FCB">
            <w:pPr>
              <w:pStyle w:val="TableText"/>
              <w:jc w:val="center"/>
            </w:pPr>
            <w:r w:rsidRPr="00AB2265">
              <w:t>3.00 (2.74, 3.88)</w:t>
            </w:r>
          </w:p>
        </w:tc>
        <w:tc>
          <w:tcPr>
            <w:tcW w:w="2254" w:type="dxa"/>
            <w:tcBorders>
              <w:bottom w:val="single" w:sz="4" w:space="0" w:color="auto"/>
            </w:tcBorders>
            <w:vAlign w:val="center"/>
          </w:tcPr>
          <w:p w:rsidR="00834E00" w:rsidRPr="00AB2265" w:rsidRDefault="00834E00" w:rsidP="00214FCB">
            <w:pPr>
              <w:pStyle w:val="TableText"/>
              <w:jc w:val="center"/>
            </w:pPr>
            <w:r w:rsidRPr="00AB2265">
              <w:t>4.92 (3.21, 6.59)</w:t>
            </w:r>
          </w:p>
        </w:tc>
        <w:tc>
          <w:tcPr>
            <w:tcW w:w="2255" w:type="dxa"/>
            <w:tcBorders>
              <w:bottom w:val="single" w:sz="4" w:space="0" w:color="auto"/>
            </w:tcBorders>
            <w:vAlign w:val="center"/>
          </w:tcPr>
          <w:p w:rsidR="00834E00" w:rsidRPr="00AB2265" w:rsidRDefault="00834E00" w:rsidP="00214FCB">
            <w:pPr>
              <w:pStyle w:val="TableText"/>
              <w:jc w:val="center"/>
            </w:pPr>
            <w:r w:rsidRPr="00AB2265">
              <w:t>-1.92</w:t>
            </w:r>
          </w:p>
        </w:tc>
      </w:tr>
    </w:tbl>
    <w:p w:rsidR="00834E00" w:rsidRPr="00AB2265" w:rsidRDefault="00834E00" w:rsidP="00834E00">
      <w:pPr>
        <w:pStyle w:val="TableFigureFooter"/>
      </w:pPr>
      <w:r w:rsidRPr="00AB2265">
        <w:t>Source: Table 2.5.1; Table 2.5.2, p.62 of the submission</w:t>
      </w:r>
    </w:p>
    <w:p w:rsidR="00834E00" w:rsidRPr="00AB2265" w:rsidRDefault="00834E00" w:rsidP="00F21D71">
      <w:pPr>
        <w:pStyle w:val="ExecSumBodyText"/>
        <w:numPr>
          <w:ilvl w:val="1"/>
          <w:numId w:val="1"/>
        </w:numPr>
      </w:pPr>
      <w:r w:rsidRPr="00AB2265">
        <w:t>Figure 1 and 2, below, show time to confirmed platelet normalisation (days) in HERCULES and TITAN respectively.</w:t>
      </w:r>
    </w:p>
    <w:p w:rsidR="00834E00" w:rsidRPr="00AB2265" w:rsidRDefault="00834E00" w:rsidP="00834E00">
      <w:pPr>
        <w:pStyle w:val="Tableheadingrow"/>
        <w:rPr>
          <w:lang w:val="en-AU"/>
        </w:rPr>
      </w:pPr>
      <w:r w:rsidRPr="00AB2265">
        <w:rPr>
          <w:lang w:val="en-AU"/>
        </w:rPr>
        <w:lastRenderedPageBreak/>
        <w:t>Figure 1: Kaplan-Meier curve of time (days) to confirmed normalisation of platelet count in HERCULES: mITT population</w:t>
      </w:r>
    </w:p>
    <w:p w:rsidR="00834E00" w:rsidRPr="00AB2265" w:rsidRDefault="00834E00" w:rsidP="00834E00">
      <w:r w:rsidRPr="00AB2265">
        <w:rPr>
          <w:noProof/>
        </w:rPr>
        <w:drawing>
          <wp:inline distT="0" distB="0" distL="0" distR="0" wp14:anchorId="09E48716" wp14:editId="1F1EFABC">
            <wp:extent cx="5309870" cy="2895600"/>
            <wp:effectExtent l="0" t="0" r="5080" b="0"/>
            <wp:docPr id="8" name="Picture 8" title="Figure 1: Kaplan-Meier curve of time (days) to confirmed normalisation of platelet count in HERCULES: m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9870" cy="2895600"/>
                    </a:xfrm>
                    <a:prstGeom prst="rect">
                      <a:avLst/>
                    </a:prstGeom>
                    <a:noFill/>
                  </pic:spPr>
                </pic:pic>
              </a:graphicData>
            </a:graphic>
          </wp:inline>
        </w:drawing>
      </w:r>
    </w:p>
    <w:p w:rsidR="00834E00" w:rsidRPr="00AB2265" w:rsidRDefault="00834E00" w:rsidP="00834E00">
      <w:pPr>
        <w:pStyle w:val="TableFigureFooter"/>
      </w:pPr>
      <w:r w:rsidRPr="00AB2265">
        <w:t>Source: Figure 2.5.2, p.63 of the submission</w:t>
      </w:r>
    </w:p>
    <w:p w:rsidR="00834E00" w:rsidRPr="00AB2265" w:rsidRDefault="00AB714C" w:rsidP="00834E00">
      <w:pPr>
        <w:pStyle w:val="TableFigureFooter"/>
      </w:pPr>
      <w:r w:rsidRPr="00AB2265">
        <w:t>Abbreviations</w:t>
      </w:r>
      <w:r w:rsidR="00834E00" w:rsidRPr="00AB2265">
        <w:t>: mITT, modified intention to treat</w:t>
      </w:r>
    </w:p>
    <w:p w:rsidR="00834E00" w:rsidRPr="00AB2265" w:rsidRDefault="00834E00" w:rsidP="00834E00">
      <w:pPr>
        <w:pStyle w:val="TableFigureFooter"/>
      </w:pPr>
      <w:r w:rsidRPr="00AB2265">
        <w:t>Notes (from submission): Response defined as initial platelet count ≥ 150x109/L with subsequent stop of daily plasma exchange within five days. Symbols indicate censored data. Patients without response by 45 days after start of study drug were censored at 45 days.</w:t>
      </w:r>
    </w:p>
    <w:p w:rsidR="00834E00" w:rsidRPr="00AB2265" w:rsidRDefault="00834E00" w:rsidP="00834E00"/>
    <w:p w:rsidR="00834E00" w:rsidRPr="00AB2265" w:rsidRDefault="00834E00" w:rsidP="00834E00">
      <w:pPr>
        <w:pStyle w:val="Tableheadingrow"/>
        <w:rPr>
          <w:lang w:val="en-AU"/>
        </w:rPr>
      </w:pPr>
      <w:r w:rsidRPr="00AB2265">
        <w:rPr>
          <w:lang w:val="en-AU"/>
        </w:rPr>
        <w:t>Figure 2: Kaplan-Meier curve of time (days) to confirmed normalisation of platelet count in TITAN: ITT population</w:t>
      </w:r>
    </w:p>
    <w:p w:rsidR="00834E00" w:rsidRPr="00AB2265" w:rsidRDefault="00834E00" w:rsidP="00834E00">
      <w:r w:rsidRPr="00AB2265">
        <w:rPr>
          <w:noProof/>
        </w:rPr>
        <w:drawing>
          <wp:inline distT="0" distB="0" distL="0" distR="0" wp14:anchorId="0285CA6E" wp14:editId="61B3800D">
            <wp:extent cx="5316220" cy="3035935"/>
            <wp:effectExtent l="0" t="0" r="0" b="0"/>
            <wp:docPr id="9" name="Picture 9" title="Figure 2: Kaplan-Meier curve of time (days) to confirmed normalisation of platelet count in TITAN: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6220" cy="3035935"/>
                    </a:xfrm>
                    <a:prstGeom prst="rect">
                      <a:avLst/>
                    </a:prstGeom>
                    <a:noFill/>
                  </pic:spPr>
                </pic:pic>
              </a:graphicData>
            </a:graphic>
          </wp:inline>
        </w:drawing>
      </w:r>
    </w:p>
    <w:p w:rsidR="00834E00" w:rsidRPr="00AB2265" w:rsidRDefault="00834E00" w:rsidP="00834E00">
      <w:pPr>
        <w:pStyle w:val="TableFigureFooter"/>
      </w:pPr>
      <w:r w:rsidRPr="00AB2265">
        <w:t>Source: Figure 2.5.1, p.63 of the submission</w:t>
      </w:r>
    </w:p>
    <w:p w:rsidR="00834E00" w:rsidRPr="00AB2265" w:rsidRDefault="00834E00" w:rsidP="00834E00">
      <w:pPr>
        <w:pStyle w:val="TableFigureFooter"/>
      </w:pPr>
      <w:r w:rsidRPr="00AB2265">
        <w:t>Abbreviations: ITT, intention to treat; LDH, lactate dehydrogenase; PE, plasma exchange; ULN, upper limit of normal</w:t>
      </w:r>
    </w:p>
    <w:p w:rsidR="00834E00" w:rsidRPr="00AB2265" w:rsidRDefault="00834E00" w:rsidP="00834E00">
      <w:pPr>
        <w:pStyle w:val="TableFigureFooter"/>
      </w:pPr>
      <w:r w:rsidRPr="00AB2265">
        <w:t>Notes: Response defined as recovery of platelet count ≥ 150x10</w:t>
      </w:r>
      <w:r w:rsidRPr="00AB2265">
        <w:rPr>
          <w:vertAlign w:val="superscript"/>
        </w:rPr>
        <w:t>9</w:t>
      </w:r>
      <w:r w:rsidRPr="00AB2265">
        <w:t>/L which was confirmed 48 hours after the initial reporting of platelet recovery by a de novo measure of platelet count ≥ 150x10</w:t>
      </w:r>
      <w:r w:rsidRPr="00AB2265">
        <w:rPr>
          <w:vertAlign w:val="superscript"/>
        </w:rPr>
        <w:t>9</w:t>
      </w:r>
      <w:r w:rsidRPr="00AB2265">
        <w:t>/L and LDH ≤2 x ULN.</w:t>
      </w:r>
    </w:p>
    <w:p w:rsidR="00834E00" w:rsidRPr="00AB2265" w:rsidRDefault="00834E00" w:rsidP="00834E00">
      <w:pPr>
        <w:pStyle w:val="TableFigureFooter"/>
      </w:pPr>
      <w:r w:rsidRPr="00AB2265">
        <w:t>Symbols indicate censored data. Patients without response by 30 days after start of study drug were censored at 30 days</w:t>
      </w:r>
    </w:p>
    <w:p w:rsidR="00E242D7" w:rsidRPr="00AB2265" w:rsidRDefault="00214FCB" w:rsidP="00F21D71">
      <w:pPr>
        <w:pStyle w:val="ExecSumBodyText"/>
        <w:numPr>
          <w:ilvl w:val="1"/>
          <w:numId w:val="1"/>
        </w:numPr>
      </w:pPr>
      <w:r w:rsidRPr="00AB2265">
        <w:lastRenderedPageBreak/>
        <w:t xml:space="preserve">Caplacizumab statistically significantly reduced the time to confirmed platelet count response compared with placebo in HERCULES (HR of </w:t>
      </w:r>
      <w:r w:rsidR="00AB714C" w:rsidRPr="00AB2265">
        <w:t>1.55;</w:t>
      </w:r>
      <w:r w:rsidRPr="00AB2265">
        <w:t xml:space="preserve"> 95% CI: 1.095, 2.195). The</w:t>
      </w:r>
      <w:r w:rsidRPr="00AB2265">
        <w:rPr>
          <w:i/>
        </w:rPr>
        <w:t xml:space="preserve"> </w:t>
      </w:r>
      <w:r w:rsidR="00CE4CAE" w:rsidRPr="00AB2265">
        <w:t>difference in</w:t>
      </w:r>
      <w:r w:rsidR="00CE4CAE" w:rsidRPr="00AB2265">
        <w:rPr>
          <w:i/>
        </w:rPr>
        <w:t xml:space="preserve"> </w:t>
      </w:r>
      <w:r w:rsidRPr="00AB2265">
        <w:t>median time to achieve response between treatment arms was not large, being 0.19 days (2.69 vs 2.88)</w:t>
      </w:r>
      <w:r w:rsidR="00172190" w:rsidRPr="00AB2265">
        <w:t>, or 1.55 days in the 75</w:t>
      </w:r>
      <w:r w:rsidR="00172190" w:rsidRPr="00AB2265">
        <w:rPr>
          <w:vertAlign w:val="superscript"/>
        </w:rPr>
        <w:t>th</w:t>
      </w:r>
      <w:r w:rsidR="00172190" w:rsidRPr="00AB2265">
        <w:t xml:space="preserve"> percentile (2.95 vs 4.50)</w:t>
      </w:r>
      <w:r w:rsidRPr="00AB2265">
        <w:t xml:space="preserve">. The confidence intervals </w:t>
      </w:r>
      <w:r w:rsidR="00E242D7" w:rsidRPr="00AB2265">
        <w:t>for the hazard ratio</w:t>
      </w:r>
      <w:r w:rsidR="00E242D7" w:rsidRPr="00AB2265">
        <w:rPr>
          <w:i/>
        </w:rPr>
        <w:t xml:space="preserve"> </w:t>
      </w:r>
      <w:r w:rsidRPr="00AB2265">
        <w:t>were wide suggesting that the study had low power to detect an association with strong statistical support, and the survival curves are initially close, diverge and reconverge, and cross between day 16 and day 20. It is therefore unclear whether the proportional hazards assumption was met. The submission stated that despite the curves crossing at approximately day 17 the proportional hazards assumption was not violated (tested graphically by empirical score process and numerically by supremum testing; results not provided).</w:t>
      </w:r>
    </w:p>
    <w:p w:rsidR="00F26785" w:rsidRPr="00AB2265" w:rsidRDefault="00947577" w:rsidP="00E242D7">
      <w:pPr>
        <w:pStyle w:val="ExecSumBodyText"/>
        <w:numPr>
          <w:ilvl w:val="1"/>
          <w:numId w:val="1"/>
        </w:numPr>
      </w:pPr>
      <w:r w:rsidRPr="00AB2265">
        <w:t xml:space="preserve">The ESC noted that platelet normalisation is the marker by which response to treatment is assessed. The ESC considered that while a reduction in the time to platelet normalisation </w:t>
      </w:r>
      <w:r w:rsidR="005C2940" w:rsidRPr="00AB2265">
        <w:t xml:space="preserve">is clinically significant if it results </w:t>
      </w:r>
      <w:r w:rsidRPr="00AB2265">
        <w:t xml:space="preserve">in a reduction in the number of </w:t>
      </w:r>
      <w:r w:rsidR="00E670B9" w:rsidRPr="00AB2265">
        <w:t>days on PEX</w:t>
      </w:r>
      <w:r w:rsidR="005C2940" w:rsidRPr="00AB2265">
        <w:t xml:space="preserve"> </w:t>
      </w:r>
      <w:r w:rsidR="00E670B9" w:rsidRPr="00AB2265">
        <w:t>(thereby reducing potential complications associated with PEX)</w:t>
      </w:r>
      <w:r w:rsidR="005C2940" w:rsidRPr="00AB2265">
        <w:t xml:space="preserve">, </w:t>
      </w:r>
      <w:r w:rsidRPr="00AB2265">
        <w:t xml:space="preserve">the median reduction of 0.19 days </w:t>
      </w:r>
      <w:r w:rsidR="002C7C5B" w:rsidRPr="00AB2265">
        <w:t xml:space="preserve">(or 4.56 hours) </w:t>
      </w:r>
      <w:r w:rsidRPr="00AB2265">
        <w:t>seen in the caplacizumab arm</w:t>
      </w:r>
      <w:r w:rsidR="00E670B9" w:rsidRPr="00AB2265">
        <w:t xml:space="preserve"> of the HERCULES tri</w:t>
      </w:r>
      <w:r w:rsidR="00437B8A" w:rsidRPr="00AB2265">
        <w:t>a</w:t>
      </w:r>
      <w:r w:rsidR="00E670B9" w:rsidRPr="00AB2265">
        <w:t>l</w:t>
      </w:r>
      <w:r w:rsidRPr="00AB2265">
        <w:t xml:space="preserve"> is not clinically meaningful</w:t>
      </w:r>
      <w:r w:rsidR="00E670B9" w:rsidRPr="00AB2265">
        <w:t>, given that PEX is administered daily</w:t>
      </w:r>
      <w:r w:rsidRPr="00AB2265">
        <w:t>.</w:t>
      </w:r>
      <w:r w:rsidR="00E670B9" w:rsidRPr="00AB2265">
        <w:t xml:space="preserve"> </w:t>
      </w:r>
    </w:p>
    <w:p w:rsidR="00214FCB" w:rsidRPr="00AB2265" w:rsidRDefault="00214FCB" w:rsidP="00F21D71">
      <w:pPr>
        <w:pStyle w:val="ExecSumBodyText"/>
        <w:numPr>
          <w:ilvl w:val="1"/>
          <w:numId w:val="1"/>
        </w:numPr>
      </w:pPr>
      <w:r w:rsidRPr="00AB2265">
        <w:t>The result for the composite secondary outcome of TTP-related death, recurrence of TTP or major thromboembolic event are summarised in Table</w:t>
      </w:r>
      <w:r w:rsidR="00165AE8" w:rsidRPr="00AB2265">
        <w:t xml:space="preserve"> 10</w:t>
      </w:r>
      <w:r w:rsidRPr="00AB2265">
        <w:t>.</w:t>
      </w:r>
    </w:p>
    <w:p w:rsidR="00214FCB" w:rsidRPr="00AB2265" w:rsidRDefault="00214FCB" w:rsidP="001C6279">
      <w:pPr>
        <w:pStyle w:val="TableText"/>
        <w:keepLines/>
        <w:rPr>
          <w:b/>
        </w:rPr>
      </w:pPr>
      <w:r w:rsidRPr="00AB2265">
        <w:rPr>
          <w:b/>
        </w:rPr>
        <w:lastRenderedPageBreak/>
        <w:t xml:space="preserve">Table </w:t>
      </w:r>
      <w:r w:rsidR="00C979CC" w:rsidRPr="00AB2265">
        <w:rPr>
          <w:b/>
        </w:rPr>
        <w:t>10</w:t>
      </w:r>
      <w:r w:rsidRPr="00AB2265">
        <w:rPr>
          <w:b/>
        </w:rPr>
        <w:t>: Composite of TTP-related death, recurrence of TTP or major thromboembolic event in HERCULES (mITT; double blind treatment period) and TITAN (safety population)</w:t>
      </w:r>
    </w:p>
    <w:tbl>
      <w:tblPr>
        <w:tblStyle w:val="TableGrid"/>
        <w:tblW w:w="0" w:type="auto"/>
        <w:tblLook w:val="04A0" w:firstRow="1" w:lastRow="0" w:firstColumn="1" w:lastColumn="0" w:noHBand="0" w:noVBand="1"/>
        <w:tblCaption w:val="Table 10: Composite of TTP-related death, recurrence of TTP or major thromboembolic event in HERCULES (mITT; double blind treatment period) and TITAN (safety population)"/>
      </w:tblPr>
      <w:tblGrid>
        <w:gridCol w:w="5382"/>
        <w:gridCol w:w="1843"/>
        <w:gridCol w:w="1792"/>
      </w:tblGrid>
      <w:tr w:rsidR="00214FCB" w:rsidRPr="00AB2265" w:rsidTr="00187C4E">
        <w:trPr>
          <w:tblHeader/>
        </w:trPr>
        <w:tc>
          <w:tcPr>
            <w:tcW w:w="5382" w:type="dxa"/>
          </w:tcPr>
          <w:p w:rsidR="00214FCB" w:rsidRPr="00AB2265" w:rsidRDefault="00214FCB" w:rsidP="001C6279">
            <w:pPr>
              <w:pStyle w:val="TableText"/>
              <w:keepLines/>
              <w:rPr>
                <w:b/>
              </w:rPr>
            </w:pPr>
          </w:p>
        </w:tc>
        <w:tc>
          <w:tcPr>
            <w:tcW w:w="1843" w:type="dxa"/>
            <w:vAlign w:val="center"/>
          </w:tcPr>
          <w:p w:rsidR="00214FCB" w:rsidRPr="00AB2265" w:rsidRDefault="00214FCB" w:rsidP="001C6279">
            <w:pPr>
              <w:pStyle w:val="TableText"/>
              <w:keepLines/>
              <w:jc w:val="center"/>
              <w:rPr>
                <w:b/>
              </w:rPr>
            </w:pPr>
            <w:r w:rsidRPr="00AB2265">
              <w:rPr>
                <w:b/>
              </w:rPr>
              <w:t>Caplacizumab, n/N (%)</w:t>
            </w:r>
          </w:p>
        </w:tc>
        <w:tc>
          <w:tcPr>
            <w:tcW w:w="1792" w:type="dxa"/>
            <w:vAlign w:val="center"/>
          </w:tcPr>
          <w:p w:rsidR="00214FCB" w:rsidRPr="00AB2265" w:rsidRDefault="00214FCB" w:rsidP="001C6279">
            <w:pPr>
              <w:pStyle w:val="TableText"/>
              <w:keepLines/>
              <w:jc w:val="center"/>
              <w:rPr>
                <w:b/>
              </w:rPr>
            </w:pPr>
            <w:r w:rsidRPr="00AB2265">
              <w:rPr>
                <w:b/>
              </w:rPr>
              <w:t>Placebo, n/N (%)</w:t>
            </w:r>
          </w:p>
        </w:tc>
      </w:tr>
      <w:tr w:rsidR="00214FCB" w:rsidRPr="00AB2265" w:rsidTr="00214FCB">
        <w:tc>
          <w:tcPr>
            <w:tcW w:w="9017" w:type="dxa"/>
            <w:gridSpan w:val="3"/>
          </w:tcPr>
          <w:p w:rsidR="00214FCB" w:rsidRPr="00AB2265" w:rsidRDefault="00214FCB" w:rsidP="001C6279">
            <w:pPr>
              <w:pStyle w:val="TableText"/>
              <w:keepLines/>
              <w:rPr>
                <w:b/>
              </w:rPr>
            </w:pPr>
            <w:r w:rsidRPr="00AB2265">
              <w:rPr>
                <w:b/>
              </w:rPr>
              <w:t>HERCULES</w:t>
            </w:r>
          </w:p>
        </w:tc>
      </w:tr>
      <w:tr w:rsidR="00214FCB" w:rsidRPr="00AB2265" w:rsidTr="00E83E3B">
        <w:tc>
          <w:tcPr>
            <w:tcW w:w="5382" w:type="dxa"/>
          </w:tcPr>
          <w:p w:rsidR="00214FCB" w:rsidRPr="00AB2265" w:rsidRDefault="00214FCB" w:rsidP="001C6279">
            <w:pPr>
              <w:pStyle w:val="TableText"/>
              <w:keepLines/>
            </w:pPr>
            <w:r w:rsidRPr="00AB2265">
              <w:t>Composite endpoint</w:t>
            </w:r>
          </w:p>
        </w:tc>
        <w:tc>
          <w:tcPr>
            <w:tcW w:w="1843" w:type="dxa"/>
            <w:vAlign w:val="center"/>
          </w:tcPr>
          <w:p w:rsidR="00214FCB" w:rsidRPr="00AB2265" w:rsidRDefault="00214FCB" w:rsidP="001C6279">
            <w:pPr>
              <w:pStyle w:val="TableText"/>
              <w:keepLines/>
              <w:jc w:val="center"/>
            </w:pPr>
            <w:r w:rsidRPr="00AB2265">
              <w:t>9/71 (12.7)</w:t>
            </w:r>
          </w:p>
        </w:tc>
        <w:tc>
          <w:tcPr>
            <w:tcW w:w="1792" w:type="dxa"/>
            <w:vAlign w:val="center"/>
          </w:tcPr>
          <w:p w:rsidR="00214FCB" w:rsidRPr="00AB2265" w:rsidRDefault="00214FCB" w:rsidP="001C6279">
            <w:pPr>
              <w:pStyle w:val="TableText"/>
              <w:keepLines/>
              <w:jc w:val="center"/>
            </w:pPr>
            <w:r w:rsidRPr="00AB2265">
              <w:t>36/73 (49.3)</w:t>
            </w:r>
          </w:p>
        </w:tc>
      </w:tr>
      <w:tr w:rsidR="00214FCB" w:rsidRPr="00AB2265" w:rsidTr="00E83E3B">
        <w:tc>
          <w:tcPr>
            <w:tcW w:w="5382" w:type="dxa"/>
            <w:tcBorders>
              <w:top w:val="nil"/>
            </w:tcBorders>
          </w:tcPr>
          <w:p w:rsidR="00214FCB" w:rsidRPr="00AB2265" w:rsidRDefault="00214FCB" w:rsidP="001C6279">
            <w:pPr>
              <w:pStyle w:val="TableText"/>
              <w:keepLines/>
            </w:pPr>
            <w:r w:rsidRPr="00AB2265">
              <w:t>TTP-related mortality during DB treatment period</w:t>
            </w:r>
          </w:p>
        </w:tc>
        <w:tc>
          <w:tcPr>
            <w:tcW w:w="1843" w:type="dxa"/>
            <w:vAlign w:val="center"/>
          </w:tcPr>
          <w:p w:rsidR="00214FCB" w:rsidRPr="00AB2265" w:rsidRDefault="00214FCB" w:rsidP="001C6279">
            <w:pPr>
              <w:pStyle w:val="TableText"/>
              <w:keepLines/>
              <w:jc w:val="center"/>
            </w:pPr>
            <w:r w:rsidRPr="00AB2265">
              <w:t>0/71</w:t>
            </w:r>
          </w:p>
        </w:tc>
        <w:tc>
          <w:tcPr>
            <w:tcW w:w="1792" w:type="dxa"/>
            <w:vAlign w:val="center"/>
          </w:tcPr>
          <w:p w:rsidR="00214FCB" w:rsidRPr="00AB2265" w:rsidRDefault="00214FCB" w:rsidP="001C6279">
            <w:pPr>
              <w:pStyle w:val="TableText"/>
              <w:keepLines/>
              <w:jc w:val="center"/>
            </w:pPr>
            <w:r w:rsidRPr="00AB2265">
              <w:t>3/73 (4.1)</w:t>
            </w:r>
          </w:p>
        </w:tc>
      </w:tr>
      <w:tr w:rsidR="00756812" w:rsidRPr="00AB2265" w:rsidTr="00E83E3B">
        <w:tc>
          <w:tcPr>
            <w:tcW w:w="5382" w:type="dxa"/>
          </w:tcPr>
          <w:p w:rsidR="00756812" w:rsidRPr="00AB2265" w:rsidRDefault="00756812" w:rsidP="001C6279">
            <w:pPr>
              <w:pStyle w:val="TableText"/>
              <w:keepLines/>
            </w:pPr>
            <w:r w:rsidRPr="00AB2265">
              <w:t>Major thromboembolic event during DB treatment period</w:t>
            </w:r>
          </w:p>
        </w:tc>
        <w:tc>
          <w:tcPr>
            <w:tcW w:w="1843" w:type="dxa"/>
            <w:vAlign w:val="center"/>
          </w:tcPr>
          <w:p w:rsidR="00756812" w:rsidRPr="00AB2265" w:rsidRDefault="00756812" w:rsidP="001C6279">
            <w:pPr>
              <w:pStyle w:val="TableText"/>
              <w:keepLines/>
              <w:jc w:val="center"/>
            </w:pPr>
            <w:r w:rsidRPr="00AB2265">
              <w:t>6/71 (8.5)</w:t>
            </w:r>
          </w:p>
        </w:tc>
        <w:tc>
          <w:tcPr>
            <w:tcW w:w="1792" w:type="dxa"/>
            <w:vAlign w:val="center"/>
          </w:tcPr>
          <w:p w:rsidR="00756812" w:rsidRPr="00AB2265" w:rsidRDefault="00756812" w:rsidP="001C6279">
            <w:pPr>
              <w:pStyle w:val="TableText"/>
              <w:keepLines/>
              <w:jc w:val="center"/>
            </w:pPr>
            <w:r w:rsidRPr="00AB2265">
              <w:t>6/73 (8.2)</w:t>
            </w:r>
          </w:p>
        </w:tc>
      </w:tr>
      <w:tr w:rsidR="00214FCB" w:rsidRPr="00AB2265" w:rsidTr="00E83E3B">
        <w:tc>
          <w:tcPr>
            <w:tcW w:w="5382" w:type="dxa"/>
          </w:tcPr>
          <w:p w:rsidR="00214FCB" w:rsidRPr="00AB2265" w:rsidRDefault="00214FCB" w:rsidP="001C6279">
            <w:pPr>
              <w:pStyle w:val="TableText"/>
              <w:keepLines/>
            </w:pPr>
            <w:r w:rsidRPr="00AB2265">
              <w:t>Recurrence during treatment DB period</w:t>
            </w:r>
            <w:r w:rsidR="00756812" w:rsidRPr="00AB2265">
              <w:t>: exacerbations</w:t>
            </w:r>
            <w:r w:rsidR="00756812" w:rsidRPr="00AB2265">
              <w:rPr>
                <w:vertAlign w:val="superscript"/>
              </w:rPr>
              <w:t>a</w:t>
            </w:r>
          </w:p>
        </w:tc>
        <w:tc>
          <w:tcPr>
            <w:tcW w:w="1843" w:type="dxa"/>
            <w:vAlign w:val="center"/>
          </w:tcPr>
          <w:p w:rsidR="00214FCB" w:rsidRPr="00AB2265" w:rsidRDefault="00214FCB" w:rsidP="001C6279">
            <w:pPr>
              <w:pStyle w:val="TableText"/>
              <w:keepLines/>
              <w:jc w:val="center"/>
            </w:pPr>
            <w:r w:rsidRPr="00AB2265">
              <w:t>3/71 (4.2)</w:t>
            </w:r>
          </w:p>
        </w:tc>
        <w:tc>
          <w:tcPr>
            <w:tcW w:w="1792" w:type="dxa"/>
            <w:vAlign w:val="center"/>
          </w:tcPr>
          <w:p w:rsidR="00214FCB" w:rsidRPr="00AB2265" w:rsidRDefault="00214FCB" w:rsidP="001C6279">
            <w:pPr>
              <w:pStyle w:val="TableText"/>
              <w:keepLines/>
              <w:jc w:val="center"/>
            </w:pPr>
            <w:r w:rsidRPr="00AB2265">
              <w:t>28/73 (38.4)</w:t>
            </w:r>
          </w:p>
        </w:tc>
      </w:tr>
      <w:tr w:rsidR="00756812" w:rsidRPr="00AB2265" w:rsidTr="00E83E3B">
        <w:tc>
          <w:tcPr>
            <w:tcW w:w="5382" w:type="dxa"/>
          </w:tcPr>
          <w:p w:rsidR="00756812" w:rsidRPr="00AB2265" w:rsidRDefault="00756812" w:rsidP="001C6279">
            <w:pPr>
              <w:pStyle w:val="TableText"/>
              <w:keepLines/>
            </w:pPr>
            <w:r w:rsidRPr="00AB2265">
              <w:t>Recurrence of TTP during the 1-month Follow-up Period (including open-label treatment): relapses</w:t>
            </w:r>
          </w:p>
        </w:tc>
        <w:tc>
          <w:tcPr>
            <w:tcW w:w="1843" w:type="dxa"/>
            <w:vAlign w:val="center"/>
          </w:tcPr>
          <w:p w:rsidR="00756812" w:rsidRPr="00AB2265" w:rsidRDefault="00756812" w:rsidP="001C6279">
            <w:pPr>
              <w:pStyle w:val="TableText"/>
              <w:keepLines/>
              <w:jc w:val="center"/>
            </w:pPr>
            <w:r w:rsidRPr="00AB2265">
              <w:t>6</w:t>
            </w:r>
            <w:r w:rsidRPr="00AB2265">
              <w:rPr>
                <w:iCs/>
              </w:rPr>
              <w:t>/71 (8.5%)</w:t>
            </w:r>
            <w:r w:rsidRPr="00AB2265">
              <w:rPr>
                <w:iCs/>
                <w:vertAlign w:val="superscript"/>
              </w:rPr>
              <w:t>b</w:t>
            </w:r>
          </w:p>
        </w:tc>
        <w:tc>
          <w:tcPr>
            <w:tcW w:w="1792" w:type="dxa"/>
            <w:vAlign w:val="center"/>
          </w:tcPr>
          <w:p w:rsidR="00756812" w:rsidRPr="00AB2265" w:rsidRDefault="00756812" w:rsidP="001C6279">
            <w:pPr>
              <w:pStyle w:val="TableText"/>
              <w:keepLines/>
              <w:jc w:val="center"/>
            </w:pPr>
            <w:r w:rsidRPr="00AB2265">
              <w:t>0/73 (0%)</w:t>
            </w:r>
          </w:p>
        </w:tc>
      </w:tr>
      <w:tr w:rsidR="00756812" w:rsidRPr="00AB2265" w:rsidTr="00E83E3B">
        <w:tc>
          <w:tcPr>
            <w:tcW w:w="5382" w:type="dxa"/>
          </w:tcPr>
          <w:p w:rsidR="00756812" w:rsidRPr="00AB2265" w:rsidRDefault="00756812" w:rsidP="001C6279">
            <w:pPr>
              <w:pStyle w:val="TableText"/>
              <w:keepLines/>
            </w:pPr>
            <w:r w:rsidRPr="00AB2265">
              <w:t>Recurrence of TTP during one year Follow-up Period (including open-label treatment): relapses</w:t>
            </w:r>
          </w:p>
        </w:tc>
        <w:tc>
          <w:tcPr>
            <w:tcW w:w="1843" w:type="dxa"/>
            <w:vAlign w:val="center"/>
          </w:tcPr>
          <w:p w:rsidR="00756812" w:rsidRPr="00AB2265" w:rsidRDefault="00756812" w:rsidP="001C6279">
            <w:pPr>
              <w:pStyle w:val="TableText"/>
              <w:keepLines/>
              <w:jc w:val="center"/>
            </w:pPr>
            <w:r w:rsidRPr="00AB2265">
              <w:t>NA</w:t>
            </w:r>
          </w:p>
        </w:tc>
        <w:tc>
          <w:tcPr>
            <w:tcW w:w="1792" w:type="dxa"/>
            <w:vAlign w:val="center"/>
          </w:tcPr>
          <w:p w:rsidR="00756812" w:rsidRPr="00AB2265" w:rsidRDefault="00756812" w:rsidP="001C6279">
            <w:pPr>
              <w:pStyle w:val="TableText"/>
              <w:keepLines/>
              <w:jc w:val="center"/>
            </w:pPr>
            <w:r w:rsidRPr="00AB2265">
              <w:t>NA</w:t>
            </w:r>
          </w:p>
        </w:tc>
      </w:tr>
      <w:tr w:rsidR="00756812" w:rsidRPr="00AB2265" w:rsidTr="00E83E3B">
        <w:tc>
          <w:tcPr>
            <w:tcW w:w="5382" w:type="dxa"/>
          </w:tcPr>
          <w:p w:rsidR="00756812" w:rsidRPr="00AB2265" w:rsidRDefault="00756812" w:rsidP="001C6279">
            <w:pPr>
              <w:pStyle w:val="TableText"/>
              <w:keepLines/>
            </w:pPr>
            <w:r w:rsidRPr="00AB2265">
              <w:t>Recurrence of TTP at any time during Overall Study Period until 1-month follow-up (including open-label treatment)</w:t>
            </w:r>
          </w:p>
        </w:tc>
        <w:tc>
          <w:tcPr>
            <w:tcW w:w="1843" w:type="dxa"/>
            <w:vAlign w:val="center"/>
          </w:tcPr>
          <w:p w:rsidR="00756812" w:rsidRPr="00AB2265" w:rsidRDefault="00756812" w:rsidP="001C6279">
            <w:pPr>
              <w:pStyle w:val="TableText"/>
              <w:keepLines/>
              <w:jc w:val="center"/>
            </w:pPr>
            <w:r w:rsidRPr="00AB2265">
              <w:t>9/71 (12.7%)</w:t>
            </w:r>
          </w:p>
        </w:tc>
        <w:tc>
          <w:tcPr>
            <w:tcW w:w="1792" w:type="dxa"/>
            <w:vAlign w:val="center"/>
          </w:tcPr>
          <w:p w:rsidR="00756812" w:rsidRPr="00AB2265" w:rsidRDefault="00756812" w:rsidP="001C6279">
            <w:pPr>
              <w:pStyle w:val="TableText"/>
              <w:keepLines/>
              <w:jc w:val="center"/>
            </w:pPr>
            <w:r w:rsidRPr="00AB2265">
              <w:t>28/73 (38.4%)</w:t>
            </w:r>
          </w:p>
        </w:tc>
      </w:tr>
      <w:tr w:rsidR="00756812" w:rsidRPr="00AB2265" w:rsidTr="00214FCB">
        <w:tc>
          <w:tcPr>
            <w:tcW w:w="9017" w:type="dxa"/>
            <w:gridSpan w:val="3"/>
          </w:tcPr>
          <w:p w:rsidR="00756812" w:rsidRPr="00AB2265" w:rsidRDefault="00756812" w:rsidP="001C6279">
            <w:pPr>
              <w:pStyle w:val="TableText"/>
              <w:keepLines/>
              <w:rPr>
                <w:b/>
              </w:rPr>
            </w:pPr>
            <w:r w:rsidRPr="00AB2265">
              <w:rPr>
                <w:b/>
              </w:rPr>
              <w:t>TITAN</w:t>
            </w:r>
          </w:p>
        </w:tc>
      </w:tr>
      <w:tr w:rsidR="00756812" w:rsidRPr="00AB2265" w:rsidTr="00E83E3B">
        <w:tc>
          <w:tcPr>
            <w:tcW w:w="5382" w:type="dxa"/>
            <w:tcBorders>
              <w:top w:val="single" w:sz="4" w:space="0" w:color="auto"/>
            </w:tcBorders>
          </w:tcPr>
          <w:p w:rsidR="00756812" w:rsidRPr="00AB2265" w:rsidRDefault="00756812" w:rsidP="001C6279">
            <w:pPr>
              <w:pStyle w:val="TableText"/>
              <w:keepLines/>
            </w:pPr>
            <w:r w:rsidRPr="00AB2265">
              <w:t>Composite endpoint</w:t>
            </w:r>
          </w:p>
        </w:tc>
        <w:tc>
          <w:tcPr>
            <w:tcW w:w="1843" w:type="dxa"/>
            <w:vAlign w:val="center"/>
          </w:tcPr>
          <w:p w:rsidR="00756812" w:rsidRPr="00AB2265" w:rsidRDefault="00756812" w:rsidP="001C6279">
            <w:pPr>
              <w:pStyle w:val="TableText"/>
              <w:keepLines/>
              <w:jc w:val="center"/>
            </w:pPr>
            <w:r w:rsidRPr="00AB2265">
              <w:t>4/35 (11.4)</w:t>
            </w:r>
          </w:p>
        </w:tc>
        <w:tc>
          <w:tcPr>
            <w:tcW w:w="1792" w:type="dxa"/>
            <w:vAlign w:val="center"/>
          </w:tcPr>
          <w:p w:rsidR="00756812" w:rsidRPr="00AB2265" w:rsidRDefault="00756812" w:rsidP="001C6279">
            <w:pPr>
              <w:pStyle w:val="TableText"/>
              <w:keepLines/>
              <w:jc w:val="center"/>
            </w:pPr>
            <w:r w:rsidRPr="00AB2265">
              <w:t>16/37 (43.2)</w:t>
            </w:r>
          </w:p>
        </w:tc>
      </w:tr>
      <w:tr w:rsidR="00756812" w:rsidRPr="00AB2265" w:rsidTr="00E83E3B">
        <w:tc>
          <w:tcPr>
            <w:tcW w:w="5382" w:type="dxa"/>
            <w:tcBorders>
              <w:top w:val="nil"/>
            </w:tcBorders>
          </w:tcPr>
          <w:p w:rsidR="00756812" w:rsidRPr="00AB2265" w:rsidRDefault="00756812" w:rsidP="001C6279">
            <w:pPr>
              <w:pStyle w:val="TableText"/>
              <w:keepLines/>
            </w:pPr>
            <w:r w:rsidRPr="00AB2265">
              <w:t>TTP-related mortality during study</w:t>
            </w:r>
          </w:p>
        </w:tc>
        <w:tc>
          <w:tcPr>
            <w:tcW w:w="1843" w:type="dxa"/>
            <w:vAlign w:val="center"/>
          </w:tcPr>
          <w:p w:rsidR="00756812" w:rsidRPr="00AB2265" w:rsidRDefault="00756812" w:rsidP="001C6279">
            <w:pPr>
              <w:pStyle w:val="TableText"/>
              <w:keepLines/>
              <w:jc w:val="center"/>
            </w:pPr>
            <w:r w:rsidRPr="00AB2265">
              <w:t>0/35</w:t>
            </w:r>
          </w:p>
        </w:tc>
        <w:tc>
          <w:tcPr>
            <w:tcW w:w="1792" w:type="dxa"/>
            <w:vAlign w:val="center"/>
          </w:tcPr>
          <w:p w:rsidR="00756812" w:rsidRPr="00AB2265" w:rsidRDefault="00756812" w:rsidP="001C6279">
            <w:pPr>
              <w:pStyle w:val="TableText"/>
              <w:keepLines/>
              <w:jc w:val="center"/>
            </w:pPr>
            <w:r w:rsidRPr="00AB2265">
              <w:t>2/37 (5.4)</w:t>
            </w:r>
          </w:p>
        </w:tc>
      </w:tr>
      <w:tr w:rsidR="00756812" w:rsidRPr="00AB2265" w:rsidTr="00E83E3B">
        <w:tc>
          <w:tcPr>
            <w:tcW w:w="5382" w:type="dxa"/>
          </w:tcPr>
          <w:p w:rsidR="00756812" w:rsidRPr="00AB2265" w:rsidRDefault="00756812" w:rsidP="001C6279">
            <w:pPr>
              <w:pStyle w:val="TableText"/>
              <w:keepLines/>
            </w:pPr>
            <w:r w:rsidRPr="00AB2265">
              <w:t>Major thromboembolic event during treatment period</w:t>
            </w:r>
          </w:p>
        </w:tc>
        <w:tc>
          <w:tcPr>
            <w:tcW w:w="1843" w:type="dxa"/>
            <w:vAlign w:val="center"/>
          </w:tcPr>
          <w:p w:rsidR="00756812" w:rsidRPr="00AB2265" w:rsidRDefault="00756812" w:rsidP="001C6279">
            <w:pPr>
              <w:pStyle w:val="TableText"/>
              <w:keepLines/>
              <w:jc w:val="center"/>
            </w:pPr>
            <w:r w:rsidRPr="00AB2265">
              <w:t>1/35 (2.9)</w:t>
            </w:r>
          </w:p>
        </w:tc>
        <w:tc>
          <w:tcPr>
            <w:tcW w:w="1792" w:type="dxa"/>
            <w:vAlign w:val="center"/>
          </w:tcPr>
          <w:p w:rsidR="00756812" w:rsidRPr="00AB2265" w:rsidRDefault="00756812" w:rsidP="001C6279">
            <w:pPr>
              <w:pStyle w:val="TableText"/>
              <w:keepLines/>
              <w:jc w:val="center"/>
            </w:pPr>
            <w:r w:rsidRPr="00AB2265">
              <w:t>6/37 (16.2)</w:t>
            </w:r>
          </w:p>
        </w:tc>
      </w:tr>
      <w:tr w:rsidR="00756812" w:rsidRPr="00AB2265" w:rsidTr="00E83E3B">
        <w:tc>
          <w:tcPr>
            <w:tcW w:w="5382" w:type="dxa"/>
          </w:tcPr>
          <w:p w:rsidR="00756812" w:rsidRPr="00AB2265" w:rsidRDefault="00756812" w:rsidP="001C6279">
            <w:pPr>
              <w:pStyle w:val="TableText"/>
              <w:keepLines/>
            </w:pPr>
            <w:r w:rsidRPr="00AB2265">
              <w:t>Recurrence during treatment period</w:t>
            </w:r>
          </w:p>
        </w:tc>
        <w:tc>
          <w:tcPr>
            <w:tcW w:w="1843" w:type="dxa"/>
            <w:vAlign w:val="center"/>
          </w:tcPr>
          <w:p w:rsidR="00756812" w:rsidRPr="00AB2265" w:rsidRDefault="00756812" w:rsidP="001C6279">
            <w:pPr>
              <w:pStyle w:val="TableText"/>
              <w:keepLines/>
              <w:jc w:val="center"/>
            </w:pPr>
            <w:r w:rsidRPr="00AB2265">
              <w:t>3/35 (8.6)</w:t>
            </w:r>
          </w:p>
        </w:tc>
        <w:tc>
          <w:tcPr>
            <w:tcW w:w="1792" w:type="dxa"/>
            <w:vAlign w:val="center"/>
          </w:tcPr>
          <w:p w:rsidR="00756812" w:rsidRPr="00AB2265" w:rsidRDefault="00756812" w:rsidP="001C6279">
            <w:pPr>
              <w:pStyle w:val="TableText"/>
              <w:keepLines/>
              <w:jc w:val="center"/>
            </w:pPr>
            <w:r w:rsidRPr="00AB2265">
              <w:t>11/37 (29.7)</w:t>
            </w:r>
          </w:p>
        </w:tc>
      </w:tr>
      <w:tr w:rsidR="00756812" w:rsidRPr="00AB2265" w:rsidTr="00E83E3B">
        <w:tc>
          <w:tcPr>
            <w:tcW w:w="5382" w:type="dxa"/>
          </w:tcPr>
          <w:p w:rsidR="00756812" w:rsidRPr="00AB2265" w:rsidRDefault="00756812" w:rsidP="001C6279">
            <w:pPr>
              <w:pStyle w:val="TableText"/>
              <w:keepLines/>
            </w:pPr>
            <w:r w:rsidRPr="00AB2265">
              <w:t>Recurrence of TTP during the 1-month Follow-up Period: relapses</w:t>
            </w:r>
          </w:p>
        </w:tc>
        <w:tc>
          <w:tcPr>
            <w:tcW w:w="1843" w:type="dxa"/>
            <w:vAlign w:val="center"/>
          </w:tcPr>
          <w:p w:rsidR="00756812" w:rsidRPr="00AB2265" w:rsidRDefault="00756812" w:rsidP="001C6279">
            <w:pPr>
              <w:pStyle w:val="TableText"/>
              <w:keepLines/>
              <w:jc w:val="center"/>
            </w:pPr>
            <w:r w:rsidRPr="00AB2265">
              <w:t>8/36 (22%)</w:t>
            </w:r>
          </w:p>
        </w:tc>
        <w:tc>
          <w:tcPr>
            <w:tcW w:w="1792" w:type="dxa"/>
            <w:vAlign w:val="center"/>
          </w:tcPr>
          <w:p w:rsidR="00756812" w:rsidRPr="00AB2265" w:rsidRDefault="00756812" w:rsidP="001C6279">
            <w:pPr>
              <w:pStyle w:val="TableText"/>
              <w:keepLines/>
              <w:jc w:val="center"/>
            </w:pPr>
            <w:r w:rsidRPr="00AB2265">
              <w:t>0/39 (0%)</w:t>
            </w:r>
          </w:p>
        </w:tc>
      </w:tr>
      <w:tr w:rsidR="00756812" w:rsidRPr="00AB2265" w:rsidTr="00E83E3B">
        <w:tc>
          <w:tcPr>
            <w:tcW w:w="5382" w:type="dxa"/>
          </w:tcPr>
          <w:p w:rsidR="00756812" w:rsidRPr="00AB2265" w:rsidRDefault="00756812" w:rsidP="001C6279">
            <w:pPr>
              <w:pStyle w:val="TableText"/>
              <w:keepLines/>
            </w:pPr>
            <w:r w:rsidRPr="00AB2265">
              <w:t>Recurrence of TTP during one year Follow-up Period: relapses</w:t>
            </w:r>
          </w:p>
        </w:tc>
        <w:tc>
          <w:tcPr>
            <w:tcW w:w="1843" w:type="dxa"/>
            <w:vAlign w:val="center"/>
          </w:tcPr>
          <w:p w:rsidR="00756812" w:rsidRPr="00AB2265" w:rsidRDefault="00756812" w:rsidP="001C6279">
            <w:pPr>
              <w:pStyle w:val="TableText"/>
              <w:keepLines/>
              <w:jc w:val="center"/>
            </w:pPr>
            <w:r w:rsidRPr="00AB2265">
              <w:t>11/36 (30.6%)</w:t>
            </w:r>
          </w:p>
        </w:tc>
        <w:tc>
          <w:tcPr>
            <w:tcW w:w="1792" w:type="dxa"/>
            <w:vAlign w:val="center"/>
          </w:tcPr>
          <w:p w:rsidR="00756812" w:rsidRPr="00AB2265" w:rsidRDefault="00756812" w:rsidP="001C6279">
            <w:pPr>
              <w:pStyle w:val="TableText"/>
              <w:keepLines/>
              <w:jc w:val="center"/>
            </w:pPr>
            <w:r w:rsidRPr="00AB2265">
              <w:t>3/39 (7.7%)</w:t>
            </w:r>
          </w:p>
        </w:tc>
      </w:tr>
      <w:tr w:rsidR="00756812" w:rsidRPr="00AB2265" w:rsidTr="00E83E3B">
        <w:tc>
          <w:tcPr>
            <w:tcW w:w="5382" w:type="dxa"/>
          </w:tcPr>
          <w:p w:rsidR="00756812" w:rsidRPr="00AB2265" w:rsidRDefault="00756812" w:rsidP="001C6279">
            <w:pPr>
              <w:pStyle w:val="TableText"/>
              <w:keepLines/>
            </w:pPr>
            <w:r w:rsidRPr="00AB2265">
              <w:t>Recurrence of TTP at any time during Overall Study Period until 1-month follow-up</w:t>
            </w:r>
          </w:p>
        </w:tc>
        <w:tc>
          <w:tcPr>
            <w:tcW w:w="1843" w:type="dxa"/>
            <w:vAlign w:val="center"/>
          </w:tcPr>
          <w:p w:rsidR="00756812" w:rsidRPr="00AB2265" w:rsidRDefault="00756812" w:rsidP="001C6279">
            <w:pPr>
              <w:pStyle w:val="TableText"/>
              <w:keepLines/>
              <w:jc w:val="center"/>
            </w:pPr>
            <w:r w:rsidRPr="00AB2265">
              <w:t>10/36 (27.8%)</w:t>
            </w:r>
          </w:p>
        </w:tc>
        <w:tc>
          <w:tcPr>
            <w:tcW w:w="1792" w:type="dxa"/>
            <w:vAlign w:val="center"/>
          </w:tcPr>
          <w:p w:rsidR="00756812" w:rsidRPr="00AB2265" w:rsidRDefault="00756812" w:rsidP="001C6279">
            <w:pPr>
              <w:pStyle w:val="TableText"/>
              <w:keepLines/>
              <w:jc w:val="center"/>
            </w:pPr>
            <w:r w:rsidRPr="00AB2265">
              <w:t>11/39 (28.2%)</w:t>
            </w:r>
          </w:p>
        </w:tc>
      </w:tr>
    </w:tbl>
    <w:p w:rsidR="00756812" w:rsidRPr="00AB2265" w:rsidRDefault="00214FCB" w:rsidP="001C6279">
      <w:pPr>
        <w:pStyle w:val="TableFigureFooter"/>
        <w:keepNext/>
        <w:keepLines/>
      </w:pPr>
      <w:r w:rsidRPr="00AB2265">
        <w:t>Source: Table 2.5.3</w:t>
      </w:r>
      <w:r w:rsidR="00756812" w:rsidRPr="00AB2265">
        <w:t>,</w:t>
      </w:r>
      <w:r w:rsidRPr="00AB2265">
        <w:t xml:space="preserve"> Table 2.5.4, </w:t>
      </w:r>
      <w:r w:rsidR="00756812" w:rsidRPr="00AB2265">
        <w:t xml:space="preserve">&amp; Table 2.5.5 </w:t>
      </w:r>
      <w:r w:rsidRPr="00AB2265">
        <w:t>p</w:t>
      </w:r>
      <w:r w:rsidR="00756812" w:rsidRPr="00AB2265">
        <w:t>p</w:t>
      </w:r>
      <w:r w:rsidRPr="00AB2265">
        <w:t>.65</w:t>
      </w:r>
      <w:r w:rsidR="00756812" w:rsidRPr="00AB2265">
        <w:t xml:space="preserve"> and 66</w:t>
      </w:r>
      <w:r w:rsidRPr="00AB2265">
        <w:t xml:space="preserve"> of the submission</w:t>
      </w:r>
    </w:p>
    <w:p w:rsidR="00756812" w:rsidRPr="00AB2265" w:rsidRDefault="00756812" w:rsidP="001C6279">
      <w:pPr>
        <w:pStyle w:val="TableFigureFooter"/>
        <w:keepNext/>
        <w:keepLines/>
      </w:pPr>
      <w:proofErr w:type="spellStart"/>
      <w:proofErr w:type="gramStart"/>
      <w:r w:rsidRPr="00AB2265">
        <w:rPr>
          <w:vertAlign w:val="superscript"/>
        </w:rPr>
        <w:t>a</w:t>
      </w:r>
      <w:proofErr w:type="spellEnd"/>
      <w:proofErr w:type="gramEnd"/>
      <w:r w:rsidRPr="00AB2265">
        <w:t xml:space="preserve"> The DB Treatment Period of HERCULES included the PEX period, 30 days post-PEX period and treatment extension period if required. However, all recurrences during the DB Treatment Period of HERCULES occurred within 30 days of stopping PEX ((Scully 2019 p339; HERCULES CSR p130) and thus meet the definition of exacerbation. The SB Treatment Period of TITAN only extended for 30 days after stopping PEX and thus all recurrences within this period also meet the definition of exacerbation. </w:t>
      </w:r>
    </w:p>
    <w:p w:rsidR="00756812" w:rsidRPr="00AB2265" w:rsidRDefault="00756812" w:rsidP="001C6279">
      <w:pPr>
        <w:pStyle w:val="TableFigureFooter"/>
        <w:keepNext/>
        <w:keepLines/>
      </w:pPr>
      <w:r w:rsidRPr="00AB2265">
        <w:rPr>
          <w:vertAlign w:val="superscript"/>
        </w:rPr>
        <w:t>b</w:t>
      </w:r>
      <w:r w:rsidRPr="00AB2265">
        <w:t xml:space="preserve"> The HERCULES CSR reports 6 out of 66 patients in the caplacizumab group (9.1%) experienced recurrence during follow-up whereas Scully 2019 reported 6 out of 72 (8%) based on the ITT population. In the table above, the mITT population is used as it is less conservative than the ITT population. </w:t>
      </w:r>
    </w:p>
    <w:p w:rsidR="00214FCB" w:rsidRPr="00AB2265" w:rsidRDefault="00214FCB" w:rsidP="00214FCB">
      <w:pPr>
        <w:pStyle w:val="TableFigureFooter"/>
      </w:pPr>
    </w:p>
    <w:p w:rsidR="00214FCB" w:rsidRPr="00AB2265" w:rsidRDefault="00214FCB" w:rsidP="00F21D71">
      <w:pPr>
        <w:pStyle w:val="ExecSumBodyText"/>
        <w:numPr>
          <w:ilvl w:val="1"/>
          <w:numId w:val="1"/>
        </w:numPr>
      </w:pPr>
      <w:r w:rsidRPr="00AB2265">
        <w:t>Treatment with caplacizumab was associated with a statistically significantly improvement in the composite endpoint of TTP-related mortality, recurrence, or major thromboembolic event compared with placebo. This difference was primarily driven by disease recurrence. Given the higher proportion of patients in the placebo arm with recurrent disease at baseline, the significance of this result is unclear. Further, there are protocol-driven differences in on-trial treatment that may have reduced the period of time spent on plasma exchange compared with current clinical practice, thereby increasing the risk of disease recurrence, particularly in the placebo group.</w:t>
      </w:r>
    </w:p>
    <w:p w:rsidR="00214FCB" w:rsidRPr="00AB2265" w:rsidRDefault="00214FCB" w:rsidP="00F21D71">
      <w:pPr>
        <w:pStyle w:val="ExecSumBodyText"/>
        <w:numPr>
          <w:ilvl w:val="1"/>
          <w:numId w:val="1"/>
        </w:numPr>
      </w:pPr>
      <w:r w:rsidRPr="00AB2265">
        <w:t>The result for TTP-related mortality in the TITAN and HERCULES trials is summarised in Table 1</w:t>
      </w:r>
      <w:r w:rsidR="00165AE8" w:rsidRPr="00AB2265">
        <w:t>1</w:t>
      </w:r>
      <w:r w:rsidRPr="00AB2265">
        <w:t>.</w:t>
      </w:r>
    </w:p>
    <w:p w:rsidR="00214FCB" w:rsidRPr="00AB2265" w:rsidRDefault="00C979CC" w:rsidP="00214FCB">
      <w:pPr>
        <w:pStyle w:val="Tableheadingrow"/>
        <w:rPr>
          <w:lang w:val="en-AU"/>
        </w:rPr>
      </w:pPr>
      <w:r w:rsidRPr="00AB2265">
        <w:rPr>
          <w:lang w:val="en-AU"/>
        </w:rPr>
        <w:lastRenderedPageBreak/>
        <w:t>Table 11</w:t>
      </w:r>
      <w:r w:rsidR="00214FCB" w:rsidRPr="00AB2265">
        <w:rPr>
          <w:lang w:val="en-AU"/>
        </w:rPr>
        <w:t>: Mortality across TITAN and HERCULES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56"/>
        <w:gridCol w:w="1654"/>
        <w:gridCol w:w="1652"/>
        <w:gridCol w:w="1648"/>
      </w:tblGrid>
      <w:tr w:rsidR="00214FCB" w:rsidRPr="00AB2265" w:rsidTr="00214FCB">
        <w:trPr>
          <w:tblHeader/>
        </w:trPr>
        <w:tc>
          <w:tcPr>
            <w:tcW w:w="1335" w:type="pct"/>
            <w:tcBorders>
              <w:bottom w:val="nil"/>
            </w:tcBorders>
          </w:tcPr>
          <w:p w:rsidR="00214FCB" w:rsidRPr="00AB2265" w:rsidRDefault="00214FCB" w:rsidP="00214FCB">
            <w:pPr>
              <w:pStyle w:val="TableHeading"/>
            </w:pPr>
          </w:p>
        </w:tc>
        <w:tc>
          <w:tcPr>
            <w:tcW w:w="1835" w:type="pct"/>
            <w:gridSpan w:val="2"/>
            <w:shd w:val="clear" w:color="auto" w:fill="auto"/>
          </w:tcPr>
          <w:p w:rsidR="00214FCB" w:rsidRPr="00AB2265" w:rsidRDefault="00214FCB" w:rsidP="00214FCB">
            <w:pPr>
              <w:pStyle w:val="TableFigureCaption"/>
              <w:jc w:val="center"/>
            </w:pPr>
            <w:r w:rsidRPr="00AB2265">
              <w:t>TITAN (ITT population)</w:t>
            </w:r>
          </w:p>
        </w:tc>
        <w:tc>
          <w:tcPr>
            <w:tcW w:w="1830" w:type="pct"/>
            <w:gridSpan w:val="2"/>
          </w:tcPr>
          <w:p w:rsidR="00214FCB" w:rsidRPr="00AB2265" w:rsidRDefault="00214FCB" w:rsidP="00214FCB">
            <w:pPr>
              <w:pStyle w:val="TableFigureCaption"/>
              <w:jc w:val="center"/>
            </w:pPr>
            <w:r w:rsidRPr="00AB2265">
              <w:t>HERCULES (mITT population)</w:t>
            </w:r>
          </w:p>
        </w:tc>
      </w:tr>
      <w:tr w:rsidR="00214FCB" w:rsidRPr="00AB2265" w:rsidTr="00214FCB">
        <w:trPr>
          <w:tblHeader/>
        </w:trPr>
        <w:tc>
          <w:tcPr>
            <w:tcW w:w="1335" w:type="pct"/>
            <w:tcBorders>
              <w:top w:val="nil"/>
              <w:bottom w:val="single" w:sz="4" w:space="0" w:color="auto"/>
            </w:tcBorders>
          </w:tcPr>
          <w:p w:rsidR="00214FCB" w:rsidRPr="00AB2265" w:rsidRDefault="00214FCB" w:rsidP="00214FCB">
            <w:pPr>
              <w:pStyle w:val="TableHeading"/>
            </w:pPr>
          </w:p>
        </w:tc>
        <w:tc>
          <w:tcPr>
            <w:tcW w:w="918" w:type="pct"/>
          </w:tcPr>
          <w:p w:rsidR="00214FCB" w:rsidRPr="00AB2265" w:rsidRDefault="00214FCB" w:rsidP="00214FCB">
            <w:pPr>
              <w:pStyle w:val="TableFigureCaption"/>
              <w:jc w:val="center"/>
            </w:pPr>
            <w:r w:rsidRPr="00AB2265">
              <w:t>Caplacizumab</w:t>
            </w:r>
          </w:p>
          <w:p w:rsidR="00214FCB" w:rsidRPr="00AB2265" w:rsidRDefault="00214FCB" w:rsidP="00214FCB">
            <w:pPr>
              <w:pStyle w:val="TableFigureCaption"/>
              <w:jc w:val="center"/>
            </w:pPr>
            <w:r w:rsidRPr="00AB2265">
              <w:t>(N=36)</w:t>
            </w:r>
          </w:p>
        </w:tc>
        <w:tc>
          <w:tcPr>
            <w:tcW w:w="917" w:type="pct"/>
          </w:tcPr>
          <w:p w:rsidR="00214FCB" w:rsidRPr="00AB2265" w:rsidRDefault="00214FCB" w:rsidP="00214FCB">
            <w:pPr>
              <w:pStyle w:val="TableFigureCaption"/>
              <w:jc w:val="center"/>
            </w:pPr>
            <w:r w:rsidRPr="00AB2265">
              <w:t>Placebo</w:t>
            </w:r>
          </w:p>
          <w:p w:rsidR="00214FCB" w:rsidRPr="00AB2265" w:rsidRDefault="00214FCB" w:rsidP="00214FCB">
            <w:pPr>
              <w:pStyle w:val="TableFigureCaption"/>
              <w:jc w:val="center"/>
            </w:pPr>
            <w:r w:rsidRPr="00AB2265">
              <w:t>(N=39)</w:t>
            </w:r>
          </w:p>
        </w:tc>
        <w:tc>
          <w:tcPr>
            <w:tcW w:w="916" w:type="pct"/>
            <w:shd w:val="clear" w:color="auto" w:fill="auto"/>
          </w:tcPr>
          <w:p w:rsidR="00214FCB" w:rsidRPr="00AB2265" w:rsidRDefault="00214FCB" w:rsidP="00214FCB">
            <w:pPr>
              <w:pStyle w:val="TableFigureCaption"/>
              <w:jc w:val="center"/>
            </w:pPr>
            <w:r w:rsidRPr="00AB2265">
              <w:t>Caplacizumab</w:t>
            </w:r>
          </w:p>
          <w:p w:rsidR="00214FCB" w:rsidRPr="00AB2265" w:rsidRDefault="00214FCB" w:rsidP="00214FCB">
            <w:pPr>
              <w:pStyle w:val="TableFigureCaption"/>
              <w:jc w:val="center"/>
            </w:pPr>
            <w:r w:rsidRPr="00AB2265">
              <w:t>(N=71)</w:t>
            </w:r>
          </w:p>
        </w:tc>
        <w:tc>
          <w:tcPr>
            <w:tcW w:w="914" w:type="pct"/>
          </w:tcPr>
          <w:p w:rsidR="00214FCB" w:rsidRPr="00AB2265" w:rsidRDefault="00214FCB" w:rsidP="00214FCB">
            <w:pPr>
              <w:pStyle w:val="TableFigureCaption"/>
              <w:jc w:val="center"/>
            </w:pPr>
            <w:r w:rsidRPr="00AB2265">
              <w:t>Placebo</w:t>
            </w:r>
          </w:p>
          <w:p w:rsidR="00214FCB" w:rsidRPr="00AB2265" w:rsidRDefault="00214FCB" w:rsidP="00214FCB">
            <w:pPr>
              <w:pStyle w:val="TableFigureCaption"/>
              <w:jc w:val="center"/>
            </w:pPr>
            <w:r w:rsidRPr="00AB2265">
              <w:t>(N=73)</w:t>
            </w:r>
          </w:p>
        </w:tc>
      </w:tr>
      <w:tr w:rsidR="00214FCB" w:rsidRPr="00AB2265" w:rsidTr="00214FCB">
        <w:tc>
          <w:tcPr>
            <w:tcW w:w="1335" w:type="pct"/>
            <w:tcBorders>
              <w:top w:val="single" w:sz="4" w:space="0" w:color="auto"/>
            </w:tcBorders>
          </w:tcPr>
          <w:p w:rsidR="00214FCB" w:rsidRPr="00AB2265" w:rsidRDefault="00214FCB" w:rsidP="00214FCB">
            <w:pPr>
              <w:pStyle w:val="TableText"/>
            </w:pPr>
            <w:r w:rsidRPr="00AB2265">
              <w:t>Daily PEX period</w:t>
            </w:r>
          </w:p>
        </w:tc>
        <w:tc>
          <w:tcPr>
            <w:tcW w:w="918" w:type="pct"/>
          </w:tcPr>
          <w:p w:rsidR="00214FCB" w:rsidRPr="00AB2265" w:rsidRDefault="00214FCB" w:rsidP="00214FCB">
            <w:pPr>
              <w:pStyle w:val="TableText"/>
              <w:jc w:val="center"/>
            </w:pPr>
            <w:r w:rsidRPr="00AB2265">
              <w:t>0</w:t>
            </w:r>
          </w:p>
        </w:tc>
        <w:tc>
          <w:tcPr>
            <w:tcW w:w="917" w:type="pct"/>
          </w:tcPr>
          <w:p w:rsidR="00214FCB" w:rsidRPr="00AB2265" w:rsidRDefault="00214FCB" w:rsidP="00214FCB">
            <w:pPr>
              <w:pStyle w:val="TableText"/>
              <w:jc w:val="center"/>
            </w:pPr>
            <w:r w:rsidRPr="00AB2265">
              <w:t>0</w:t>
            </w:r>
          </w:p>
        </w:tc>
        <w:tc>
          <w:tcPr>
            <w:tcW w:w="916" w:type="pct"/>
            <w:shd w:val="clear" w:color="auto" w:fill="auto"/>
          </w:tcPr>
          <w:p w:rsidR="00214FCB" w:rsidRPr="00AB2265" w:rsidRDefault="00214FCB" w:rsidP="00214FCB">
            <w:pPr>
              <w:pStyle w:val="TableText"/>
              <w:jc w:val="center"/>
            </w:pPr>
            <w:r w:rsidRPr="00AB2265">
              <w:t>0</w:t>
            </w:r>
          </w:p>
        </w:tc>
        <w:tc>
          <w:tcPr>
            <w:tcW w:w="914" w:type="pct"/>
          </w:tcPr>
          <w:p w:rsidR="00214FCB" w:rsidRPr="00AB2265" w:rsidRDefault="00214FCB" w:rsidP="00214FCB">
            <w:pPr>
              <w:pStyle w:val="TableText"/>
              <w:jc w:val="center"/>
            </w:pPr>
            <w:r w:rsidRPr="00AB2265">
              <w:t>3 (4.1%)</w:t>
            </w:r>
          </w:p>
        </w:tc>
      </w:tr>
      <w:tr w:rsidR="00214FCB" w:rsidRPr="00AB2265" w:rsidTr="00214FCB">
        <w:tc>
          <w:tcPr>
            <w:tcW w:w="1335" w:type="pct"/>
            <w:tcBorders>
              <w:top w:val="nil"/>
            </w:tcBorders>
          </w:tcPr>
          <w:p w:rsidR="00214FCB" w:rsidRPr="00AB2265" w:rsidRDefault="00214FCB" w:rsidP="00214FCB">
            <w:pPr>
              <w:pStyle w:val="TableText"/>
            </w:pPr>
            <w:r w:rsidRPr="00AB2265">
              <w:t>Overall Treatment Period</w:t>
            </w:r>
          </w:p>
        </w:tc>
        <w:tc>
          <w:tcPr>
            <w:tcW w:w="918" w:type="pct"/>
          </w:tcPr>
          <w:p w:rsidR="00214FCB" w:rsidRPr="00AB2265" w:rsidRDefault="00214FCB" w:rsidP="00214FCB">
            <w:pPr>
              <w:pStyle w:val="TableText"/>
              <w:jc w:val="center"/>
            </w:pPr>
            <w:r w:rsidRPr="00AB2265">
              <w:t>0</w:t>
            </w:r>
          </w:p>
        </w:tc>
        <w:tc>
          <w:tcPr>
            <w:tcW w:w="917" w:type="pct"/>
          </w:tcPr>
          <w:p w:rsidR="00214FCB" w:rsidRPr="00AB2265" w:rsidRDefault="00214FCB" w:rsidP="00214FCB">
            <w:pPr>
              <w:pStyle w:val="TableText"/>
              <w:jc w:val="center"/>
            </w:pPr>
            <w:r w:rsidRPr="00AB2265">
              <w:t>0</w:t>
            </w:r>
          </w:p>
        </w:tc>
        <w:tc>
          <w:tcPr>
            <w:tcW w:w="916" w:type="pct"/>
            <w:shd w:val="clear" w:color="auto" w:fill="auto"/>
          </w:tcPr>
          <w:p w:rsidR="00214FCB" w:rsidRPr="00AB2265" w:rsidRDefault="00214FCB" w:rsidP="00214FCB">
            <w:pPr>
              <w:pStyle w:val="TableText"/>
              <w:jc w:val="center"/>
            </w:pPr>
            <w:r w:rsidRPr="00AB2265">
              <w:t>0</w:t>
            </w:r>
          </w:p>
        </w:tc>
        <w:tc>
          <w:tcPr>
            <w:tcW w:w="914" w:type="pct"/>
          </w:tcPr>
          <w:p w:rsidR="00214FCB" w:rsidRPr="00AB2265" w:rsidRDefault="00214FCB" w:rsidP="00214FCB">
            <w:pPr>
              <w:pStyle w:val="TableText"/>
              <w:jc w:val="center"/>
            </w:pPr>
            <w:r w:rsidRPr="00AB2265">
              <w:t xml:space="preserve">3 </w:t>
            </w:r>
            <w:r w:rsidRPr="00AB2265">
              <w:rPr>
                <w:iCs/>
              </w:rPr>
              <w:t>(4.1%)</w:t>
            </w:r>
          </w:p>
        </w:tc>
      </w:tr>
      <w:tr w:rsidR="00214FCB" w:rsidRPr="00AB2265" w:rsidTr="00214FCB">
        <w:tc>
          <w:tcPr>
            <w:tcW w:w="1335" w:type="pct"/>
          </w:tcPr>
          <w:p w:rsidR="00214FCB" w:rsidRPr="00AB2265" w:rsidRDefault="00214FCB" w:rsidP="00214FCB">
            <w:pPr>
              <w:pStyle w:val="TableText"/>
            </w:pPr>
            <w:r w:rsidRPr="00AB2265">
              <w:t>During 1-month follow-up</w:t>
            </w:r>
          </w:p>
        </w:tc>
        <w:tc>
          <w:tcPr>
            <w:tcW w:w="918" w:type="pct"/>
            <w:shd w:val="clear" w:color="auto" w:fill="auto"/>
          </w:tcPr>
          <w:p w:rsidR="00214FCB" w:rsidRPr="00AB2265" w:rsidRDefault="00214FCB" w:rsidP="00214FCB">
            <w:pPr>
              <w:pStyle w:val="TableText"/>
              <w:jc w:val="center"/>
            </w:pPr>
            <w:r w:rsidRPr="00AB2265">
              <w:t>0</w:t>
            </w:r>
          </w:p>
        </w:tc>
        <w:tc>
          <w:tcPr>
            <w:tcW w:w="917" w:type="pct"/>
            <w:shd w:val="clear" w:color="auto" w:fill="auto"/>
          </w:tcPr>
          <w:p w:rsidR="00214FCB" w:rsidRPr="00AB2265" w:rsidRDefault="00214FCB" w:rsidP="00214FCB">
            <w:pPr>
              <w:pStyle w:val="TableText"/>
              <w:jc w:val="center"/>
            </w:pPr>
            <w:r w:rsidRPr="00AB2265">
              <w:t>2 (5.1%)</w:t>
            </w:r>
          </w:p>
        </w:tc>
        <w:tc>
          <w:tcPr>
            <w:tcW w:w="916" w:type="pct"/>
            <w:shd w:val="clear" w:color="auto" w:fill="auto"/>
          </w:tcPr>
          <w:p w:rsidR="00214FCB" w:rsidRPr="00AB2265" w:rsidRDefault="00214FCB" w:rsidP="00214FCB">
            <w:pPr>
              <w:pStyle w:val="TableText"/>
              <w:jc w:val="center"/>
            </w:pPr>
            <w:r w:rsidRPr="00AB2265">
              <w:t xml:space="preserve">1 </w:t>
            </w:r>
            <w:r w:rsidRPr="00AB2265">
              <w:rPr>
                <w:iCs/>
              </w:rPr>
              <w:t>(1.4%)</w:t>
            </w:r>
          </w:p>
        </w:tc>
        <w:tc>
          <w:tcPr>
            <w:tcW w:w="914" w:type="pct"/>
          </w:tcPr>
          <w:p w:rsidR="00214FCB" w:rsidRPr="00AB2265" w:rsidRDefault="00214FCB" w:rsidP="00214FCB">
            <w:pPr>
              <w:pStyle w:val="TableText"/>
              <w:jc w:val="center"/>
            </w:pPr>
            <w:r w:rsidRPr="00AB2265">
              <w:t>0</w:t>
            </w:r>
          </w:p>
        </w:tc>
      </w:tr>
      <w:tr w:rsidR="00214FCB" w:rsidRPr="00AB2265" w:rsidTr="00214FCB">
        <w:trPr>
          <w:trHeight w:val="70"/>
        </w:trPr>
        <w:tc>
          <w:tcPr>
            <w:tcW w:w="1335" w:type="pct"/>
          </w:tcPr>
          <w:p w:rsidR="00214FCB" w:rsidRPr="00AB2265" w:rsidRDefault="00214FCB" w:rsidP="00214FCB">
            <w:pPr>
              <w:pStyle w:val="TableText"/>
            </w:pPr>
            <w:r w:rsidRPr="00AB2265">
              <w:t>Total: Overall Study Period</w:t>
            </w:r>
          </w:p>
        </w:tc>
        <w:tc>
          <w:tcPr>
            <w:tcW w:w="918" w:type="pct"/>
            <w:shd w:val="clear" w:color="auto" w:fill="auto"/>
          </w:tcPr>
          <w:p w:rsidR="00214FCB" w:rsidRPr="00AB2265" w:rsidRDefault="00214FCB" w:rsidP="00214FCB">
            <w:pPr>
              <w:pStyle w:val="TableText"/>
              <w:jc w:val="center"/>
            </w:pPr>
            <w:r w:rsidRPr="00AB2265">
              <w:t>0</w:t>
            </w:r>
          </w:p>
        </w:tc>
        <w:tc>
          <w:tcPr>
            <w:tcW w:w="917" w:type="pct"/>
            <w:shd w:val="clear" w:color="auto" w:fill="auto"/>
          </w:tcPr>
          <w:p w:rsidR="00214FCB" w:rsidRPr="00AB2265" w:rsidRDefault="00214FCB" w:rsidP="00214FCB">
            <w:pPr>
              <w:pStyle w:val="TableText"/>
              <w:jc w:val="center"/>
            </w:pPr>
            <w:r w:rsidRPr="00AB2265">
              <w:t>2 (5.1%)</w:t>
            </w:r>
          </w:p>
        </w:tc>
        <w:tc>
          <w:tcPr>
            <w:tcW w:w="916" w:type="pct"/>
            <w:shd w:val="clear" w:color="auto" w:fill="auto"/>
          </w:tcPr>
          <w:p w:rsidR="00214FCB" w:rsidRPr="00AB2265" w:rsidRDefault="00214FCB" w:rsidP="00214FCB">
            <w:pPr>
              <w:pStyle w:val="TableText"/>
              <w:jc w:val="center"/>
            </w:pPr>
            <w:r w:rsidRPr="00AB2265">
              <w:t xml:space="preserve">1 </w:t>
            </w:r>
            <w:r w:rsidRPr="00AB2265">
              <w:rPr>
                <w:iCs/>
              </w:rPr>
              <w:t>(1.4%)</w:t>
            </w:r>
          </w:p>
        </w:tc>
        <w:tc>
          <w:tcPr>
            <w:tcW w:w="914" w:type="pct"/>
          </w:tcPr>
          <w:p w:rsidR="00214FCB" w:rsidRPr="00AB2265" w:rsidRDefault="00214FCB" w:rsidP="00214FCB">
            <w:pPr>
              <w:pStyle w:val="TableText"/>
              <w:jc w:val="center"/>
            </w:pPr>
            <w:r w:rsidRPr="00AB2265">
              <w:t xml:space="preserve">3 </w:t>
            </w:r>
            <w:r w:rsidRPr="00AB2265">
              <w:rPr>
                <w:iCs/>
              </w:rPr>
              <w:t>(4.1%)</w:t>
            </w:r>
          </w:p>
        </w:tc>
      </w:tr>
    </w:tbl>
    <w:p w:rsidR="00214FCB" w:rsidRPr="00AB2265" w:rsidRDefault="00214FCB" w:rsidP="00214FCB">
      <w:pPr>
        <w:pStyle w:val="TableFigureFooter"/>
      </w:pPr>
      <w:r w:rsidRPr="00AB2265">
        <w:t xml:space="preserve">Source: </w:t>
      </w:r>
      <w:r w:rsidR="0049489A" w:rsidRPr="00AB2265">
        <w:t>Table</w:t>
      </w:r>
      <w:r w:rsidRPr="00AB2265">
        <w:t xml:space="preserve"> 2.5.6, p.68 of the submission</w:t>
      </w:r>
    </w:p>
    <w:p w:rsidR="00214FCB" w:rsidRPr="00AB2265" w:rsidRDefault="00214FCB" w:rsidP="00214FCB">
      <w:pPr>
        <w:pStyle w:val="TableFigureFooter"/>
      </w:pPr>
      <w:r w:rsidRPr="00AB2265">
        <w:t xml:space="preserve">Abbreviations: ITT, intention to treat; mITT, modified intention to treat; PEX, plasma exchange </w:t>
      </w:r>
    </w:p>
    <w:p w:rsidR="00214FCB" w:rsidRPr="00AB2265" w:rsidRDefault="00D02E1C" w:rsidP="00F21D71">
      <w:pPr>
        <w:pStyle w:val="ExecSumBodyText"/>
        <w:numPr>
          <w:ilvl w:val="1"/>
          <w:numId w:val="1"/>
        </w:numPr>
      </w:pPr>
      <w:r w:rsidRPr="00AB2265">
        <w:t xml:space="preserve">The ESC agreed with the </w:t>
      </w:r>
      <w:r w:rsidR="00E242D7" w:rsidRPr="00AB2265">
        <w:t xml:space="preserve">evaluation </w:t>
      </w:r>
      <w:r w:rsidRPr="00AB2265">
        <w:t>that a</w:t>
      </w:r>
      <w:r w:rsidR="00214FCB" w:rsidRPr="00AB2265">
        <w:t>lthough there is a numerical trend towards a reduction in mortality associated with treatment with caplacizumab, this is based on very small numbers of events and cannot be used to draw a conclusion about efficacy.</w:t>
      </w:r>
    </w:p>
    <w:p w:rsidR="00214FCB" w:rsidRPr="00AB2265" w:rsidRDefault="00214FCB" w:rsidP="00F21D71">
      <w:pPr>
        <w:pStyle w:val="ExecSumBodyText"/>
        <w:numPr>
          <w:ilvl w:val="1"/>
          <w:numId w:val="1"/>
        </w:numPr>
      </w:pPr>
      <w:r w:rsidRPr="00AB2265">
        <w:t>Major thromboembolic events are summarised in Table 1</w:t>
      </w:r>
      <w:r w:rsidR="00165AE8" w:rsidRPr="00AB2265">
        <w:t>2</w:t>
      </w:r>
      <w:r w:rsidRPr="00AB2265">
        <w:t>.</w:t>
      </w:r>
    </w:p>
    <w:p w:rsidR="00214FCB" w:rsidRPr="00AB2265" w:rsidRDefault="00C979CC" w:rsidP="00214FCB">
      <w:pPr>
        <w:pStyle w:val="Tableheadingrow"/>
        <w:rPr>
          <w:lang w:val="en-AU"/>
        </w:rPr>
      </w:pPr>
      <w:r w:rsidRPr="00AB2265">
        <w:rPr>
          <w:lang w:val="en-AU"/>
        </w:rPr>
        <w:t>Table 12</w:t>
      </w:r>
      <w:r w:rsidR="00214FCB" w:rsidRPr="00AB2265">
        <w:rPr>
          <w:lang w:val="en-AU"/>
        </w:rPr>
        <w:t xml:space="preserve">: Major </w:t>
      </w:r>
      <w:proofErr w:type="gramStart"/>
      <w:r w:rsidR="00214FCB" w:rsidRPr="00AB2265">
        <w:rPr>
          <w:lang w:val="en-AU"/>
        </w:rPr>
        <w:t>thromboembolic</w:t>
      </w:r>
      <w:proofErr w:type="gramEnd"/>
      <w:r w:rsidR="00214FCB" w:rsidRPr="00AB2265">
        <w:rPr>
          <w:lang w:val="en-AU"/>
        </w:rPr>
        <w:t xml:space="preserve"> events across the TITAN and HERCULES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2417"/>
        <w:gridCol w:w="2076"/>
      </w:tblGrid>
      <w:tr w:rsidR="00214FCB" w:rsidRPr="00AB2265" w:rsidTr="00E83E3B">
        <w:trPr>
          <w:tblHeader/>
        </w:trPr>
        <w:tc>
          <w:tcPr>
            <w:tcW w:w="2509" w:type="pct"/>
            <w:tcBorders>
              <w:bottom w:val="single" w:sz="4" w:space="0" w:color="auto"/>
            </w:tcBorders>
          </w:tcPr>
          <w:p w:rsidR="00214FCB" w:rsidRPr="00AB2265" w:rsidRDefault="00214FCB" w:rsidP="00214FCB">
            <w:pPr>
              <w:pStyle w:val="TableHeading"/>
            </w:pPr>
          </w:p>
        </w:tc>
        <w:tc>
          <w:tcPr>
            <w:tcW w:w="1340" w:type="pct"/>
          </w:tcPr>
          <w:p w:rsidR="00214FCB" w:rsidRPr="00AB2265" w:rsidRDefault="00214FCB" w:rsidP="00214FCB">
            <w:pPr>
              <w:pStyle w:val="TableFigureCaption"/>
              <w:jc w:val="center"/>
            </w:pPr>
            <w:r w:rsidRPr="00AB2265">
              <w:t>Caplacizumab</w:t>
            </w:r>
          </w:p>
        </w:tc>
        <w:tc>
          <w:tcPr>
            <w:tcW w:w="1151" w:type="pct"/>
          </w:tcPr>
          <w:p w:rsidR="00214FCB" w:rsidRPr="00AB2265" w:rsidRDefault="00214FCB" w:rsidP="00214FCB">
            <w:pPr>
              <w:pStyle w:val="TableFigureCaption"/>
              <w:jc w:val="center"/>
            </w:pPr>
            <w:r w:rsidRPr="00AB2265">
              <w:t>Placebo</w:t>
            </w:r>
          </w:p>
        </w:tc>
      </w:tr>
      <w:tr w:rsidR="00214FCB" w:rsidRPr="00AB2265" w:rsidTr="00214FCB">
        <w:trPr>
          <w:trHeight w:val="70"/>
          <w:tblHeader/>
        </w:trPr>
        <w:tc>
          <w:tcPr>
            <w:tcW w:w="5000" w:type="pct"/>
            <w:gridSpan w:val="3"/>
            <w:tcBorders>
              <w:bottom w:val="single" w:sz="4" w:space="0" w:color="auto"/>
            </w:tcBorders>
          </w:tcPr>
          <w:p w:rsidR="00214FCB" w:rsidRPr="00AB2265" w:rsidRDefault="00214FCB" w:rsidP="00214FCB">
            <w:pPr>
              <w:pStyle w:val="TableText"/>
              <w:rPr>
                <w:b/>
              </w:rPr>
            </w:pPr>
            <w:r w:rsidRPr="00AB2265">
              <w:rPr>
                <w:b/>
              </w:rPr>
              <w:t>HERCULES (mITT)</w:t>
            </w:r>
          </w:p>
        </w:tc>
      </w:tr>
      <w:tr w:rsidR="00214FCB" w:rsidRPr="00AB2265" w:rsidTr="00E83E3B">
        <w:trPr>
          <w:trHeight w:val="70"/>
          <w:tblHeader/>
        </w:trPr>
        <w:tc>
          <w:tcPr>
            <w:tcW w:w="2509" w:type="pct"/>
            <w:tcBorders>
              <w:bottom w:val="single" w:sz="4" w:space="0" w:color="auto"/>
            </w:tcBorders>
          </w:tcPr>
          <w:p w:rsidR="00214FCB" w:rsidRPr="00AB2265" w:rsidRDefault="00214FCB" w:rsidP="00214FCB">
            <w:pPr>
              <w:pStyle w:val="TableText"/>
            </w:pPr>
            <w:r w:rsidRPr="00AB2265">
              <w:t>At least one event</w:t>
            </w:r>
          </w:p>
        </w:tc>
        <w:tc>
          <w:tcPr>
            <w:tcW w:w="1340" w:type="pct"/>
          </w:tcPr>
          <w:p w:rsidR="00214FCB" w:rsidRPr="00AB2265" w:rsidRDefault="00214FCB" w:rsidP="00214FCB">
            <w:pPr>
              <w:pStyle w:val="TableText"/>
              <w:jc w:val="center"/>
            </w:pPr>
            <w:r w:rsidRPr="00AB2265">
              <w:t>6/71 (8.5%)</w:t>
            </w:r>
          </w:p>
        </w:tc>
        <w:tc>
          <w:tcPr>
            <w:tcW w:w="1151" w:type="pct"/>
          </w:tcPr>
          <w:p w:rsidR="00214FCB" w:rsidRPr="00AB2265" w:rsidRDefault="00214FCB" w:rsidP="00214FCB">
            <w:pPr>
              <w:pStyle w:val="TableText"/>
              <w:jc w:val="center"/>
            </w:pPr>
            <w:r w:rsidRPr="00AB2265">
              <w:t>6/73 (8.2%)</w:t>
            </w:r>
          </w:p>
        </w:tc>
      </w:tr>
      <w:tr w:rsidR="00214FCB" w:rsidRPr="00AB2265" w:rsidTr="00E83E3B">
        <w:trPr>
          <w:trHeight w:val="70"/>
          <w:tblHeader/>
        </w:trPr>
        <w:tc>
          <w:tcPr>
            <w:tcW w:w="2509" w:type="pct"/>
            <w:tcBorders>
              <w:bottom w:val="single" w:sz="4" w:space="0" w:color="auto"/>
            </w:tcBorders>
          </w:tcPr>
          <w:p w:rsidR="00214FCB" w:rsidRPr="00AB2265" w:rsidRDefault="00214FCB" w:rsidP="00214FCB">
            <w:pPr>
              <w:pStyle w:val="TableText"/>
            </w:pPr>
            <w:r w:rsidRPr="00AB2265">
              <w:t>Myocardial infarction</w:t>
            </w:r>
          </w:p>
        </w:tc>
        <w:tc>
          <w:tcPr>
            <w:tcW w:w="1340" w:type="pct"/>
          </w:tcPr>
          <w:p w:rsidR="00214FCB" w:rsidRPr="00AB2265" w:rsidRDefault="00214FCB" w:rsidP="00214FCB">
            <w:pPr>
              <w:pStyle w:val="TableText"/>
              <w:jc w:val="center"/>
            </w:pPr>
            <w:r w:rsidRPr="00AB2265">
              <w:t>1/71 (1.4%)</w:t>
            </w:r>
          </w:p>
        </w:tc>
        <w:tc>
          <w:tcPr>
            <w:tcW w:w="1151" w:type="pct"/>
          </w:tcPr>
          <w:p w:rsidR="00214FCB" w:rsidRPr="00AB2265" w:rsidRDefault="00214FCB" w:rsidP="00214FCB">
            <w:pPr>
              <w:pStyle w:val="TableText"/>
              <w:jc w:val="center"/>
            </w:pPr>
            <w:r w:rsidRPr="00AB2265">
              <w:t>1/73 (1.4%)</w:t>
            </w:r>
          </w:p>
        </w:tc>
      </w:tr>
      <w:tr w:rsidR="00214FCB" w:rsidRPr="00AB2265" w:rsidTr="00E83E3B">
        <w:trPr>
          <w:trHeight w:val="70"/>
          <w:tblHeader/>
        </w:trPr>
        <w:tc>
          <w:tcPr>
            <w:tcW w:w="2509" w:type="pct"/>
            <w:tcBorders>
              <w:bottom w:val="single" w:sz="4" w:space="0" w:color="auto"/>
            </w:tcBorders>
          </w:tcPr>
          <w:p w:rsidR="00214FCB" w:rsidRPr="00AB2265" w:rsidRDefault="00214FCB" w:rsidP="00214FCB">
            <w:pPr>
              <w:pStyle w:val="TableText"/>
            </w:pPr>
            <w:r w:rsidRPr="00AB2265">
              <w:t>Pulmonary embolism</w:t>
            </w:r>
          </w:p>
        </w:tc>
        <w:tc>
          <w:tcPr>
            <w:tcW w:w="1340" w:type="pct"/>
          </w:tcPr>
          <w:p w:rsidR="00214FCB" w:rsidRPr="00AB2265" w:rsidRDefault="00214FCB" w:rsidP="00214FCB">
            <w:pPr>
              <w:pStyle w:val="TableText"/>
              <w:jc w:val="center"/>
            </w:pPr>
            <w:r w:rsidRPr="00AB2265">
              <w:t>1/71 (1.4%)</w:t>
            </w:r>
          </w:p>
        </w:tc>
        <w:tc>
          <w:tcPr>
            <w:tcW w:w="1151" w:type="pct"/>
          </w:tcPr>
          <w:p w:rsidR="00214FCB" w:rsidRPr="00AB2265" w:rsidRDefault="00214FCB" w:rsidP="00214FCB">
            <w:pPr>
              <w:pStyle w:val="TableText"/>
              <w:jc w:val="center"/>
            </w:pPr>
            <w:r w:rsidRPr="00AB2265">
              <w:t>0</w:t>
            </w:r>
          </w:p>
        </w:tc>
      </w:tr>
      <w:tr w:rsidR="00214FCB" w:rsidRPr="00AB2265" w:rsidTr="00E83E3B">
        <w:trPr>
          <w:trHeight w:val="70"/>
          <w:tblHeader/>
        </w:trPr>
        <w:tc>
          <w:tcPr>
            <w:tcW w:w="2509" w:type="pct"/>
            <w:tcBorders>
              <w:bottom w:val="single" w:sz="4" w:space="0" w:color="auto"/>
            </w:tcBorders>
          </w:tcPr>
          <w:p w:rsidR="00214FCB" w:rsidRPr="00AB2265" w:rsidRDefault="00214FCB" w:rsidP="00214FCB">
            <w:pPr>
              <w:pStyle w:val="TableText"/>
            </w:pPr>
            <w:r w:rsidRPr="00AB2265">
              <w:t>Deep venous thrombosis (spontaneous)</w:t>
            </w:r>
          </w:p>
        </w:tc>
        <w:tc>
          <w:tcPr>
            <w:tcW w:w="1340" w:type="pct"/>
          </w:tcPr>
          <w:p w:rsidR="00214FCB" w:rsidRPr="00AB2265" w:rsidRDefault="00214FCB" w:rsidP="00214FCB">
            <w:pPr>
              <w:pStyle w:val="TableText"/>
              <w:jc w:val="center"/>
            </w:pPr>
            <w:r w:rsidRPr="00AB2265">
              <w:t>0</w:t>
            </w:r>
          </w:p>
        </w:tc>
        <w:tc>
          <w:tcPr>
            <w:tcW w:w="1151" w:type="pct"/>
          </w:tcPr>
          <w:p w:rsidR="00214FCB" w:rsidRPr="00AB2265" w:rsidRDefault="00214FCB" w:rsidP="00214FCB">
            <w:pPr>
              <w:pStyle w:val="TableText"/>
              <w:jc w:val="center"/>
            </w:pPr>
            <w:r w:rsidRPr="00AB2265">
              <w:t>1/73 (1.4%)</w:t>
            </w:r>
          </w:p>
        </w:tc>
      </w:tr>
      <w:tr w:rsidR="00214FCB" w:rsidRPr="00AB2265" w:rsidTr="00E83E3B">
        <w:trPr>
          <w:trHeight w:val="70"/>
          <w:tblHeader/>
        </w:trPr>
        <w:tc>
          <w:tcPr>
            <w:tcW w:w="2509" w:type="pct"/>
            <w:tcBorders>
              <w:bottom w:val="single" w:sz="4" w:space="0" w:color="auto"/>
            </w:tcBorders>
          </w:tcPr>
          <w:p w:rsidR="00214FCB" w:rsidRPr="00AB2265" w:rsidRDefault="00214FCB" w:rsidP="00214FCB">
            <w:pPr>
              <w:pStyle w:val="TableText"/>
            </w:pPr>
            <w:r w:rsidRPr="00AB2265">
              <w:t>Deep venous thrombosis (catheter associated)</w:t>
            </w:r>
          </w:p>
        </w:tc>
        <w:tc>
          <w:tcPr>
            <w:tcW w:w="1340" w:type="pct"/>
          </w:tcPr>
          <w:p w:rsidR="00214FCB" w:rsidRPr="00AB2265" w:rsidRDefault="00214FCB" w:rsidP="00214FCB">
            <w:pPr>
              <w:pStyle w:val="TableText"/>
              <w:jc w:val="center"/>
            </w:pPr>
            <w:r w:rsidRPr="00AB2265">
              <w:t>3/71 (4.2%)</w:t>
            </w:r>
          </w:p>
        </w:tc>
        <w:tc>
          <w:tcPr>
            <w:tcW w:w="1151" w:type="pct"/>
          </w:tcPr>
          <w:p w:rsidR="00214FCB" w:rsidRPr="00AB2265" w:rsidRDefault="00214FCB" w:rsidP="00214FCB">
            <w:pPr>
              <w:pStyle w:val="TableText"/>
              <w:jc w:val="center"/>
            </w:pPr>
            <w:r w:rsidRPr="00AB2265">
              <w:t>2/73 (2.7%)</w:t>
            </w:r>
          </w:p>
        </w:tc>
      </w:tr>
      <w:tr w:rsidR="00214FCB" w:rsidRPr="00AB2265" w:rsidTr="00E83E3B">
        <w:trPr>
          <w:trHeight w:val="70"/>
          <w:tblHeader/>
        </w:trPr>
        <w:tc>
          <w:tcPr>
            <w:tcW w:w="2509" w:type="pct"/>
            <w:tcBorders>
              <w:bottom w:val="single" w:sz="4" w:space="0" w:color="auto"/>
            </w:tcBorders>
          </w:tcPr>
          <w:p w:rsidR="00214FCB" w:rsidRPr="00AB2265" w:rsidRDefault="00214FCB" w:rsidP="00214FCB">
            <w:pPr>
              <w:pStyle w:val="TableText"/>
            </w:pPr>
            <w:r w:rsidRPr="00AB2265">
              <w:t>Cerebrovascular accident</w:t>
            </w:r>
          </w:p>
        </w:tc>
        <w:tc>
          <w:tcPr>
            <w:tcW w:w="1340" w:type="pct"/>
          </w:tcPr>
          <w:p w:rsidR="00214FCB" w:rsidRPr="00AB2265" w:rsidRDefault="00214FCB" w:rsidP="00214FCB">
            <w:pPr>
              <w:pStyle w:val="TableText"/>
              <w:jc w:val="center"/>
            </w:pPr>
            <w:r w:rsidRPr="00AB2265">
              <w:t>2/71 (2.8%)</w:t>
            </w:r>
          </w:p>
        </w:tc>
        <w:tc>
          <w:tcPr>
            <w:tcW w:w="1151" w:type="pct"/>
          </w:tcPr>
          <w:p w:rsidR="00214FCB" w:rsidRPr="00AB2265" w:rsidRDefault="00214FCB" w:rsidP="00214FCB">
            <w:pPr>
              <w:pStyle w:val="TableText"/>
              <w:jc w:val="center"/>
            </w:pPr>
            <w:r w:rsidRPr="00AB2265">
              <w:t>3/73 (4.1%)</w:t>
            </w:r>
          </w:p>
        </w:tc>
      </w:tr>
      <w:tr w:rsidR="00214FCB" w:rsidRPr="00AB2265" w:rsidTr="00E83E3B">
        <w:trPr>
          <w:trHeight w:val="70"/>
          <w:tblHeader/>
        </w:trPr>
        <w:tc>
          <w:tcPr>
            <w:tcW w:w="3849" w:type="pct"/>
            <w:gridSpan w:val="2"/>
            <w:tcBorders>
              <w:bottom w:val="single" w:sz="4" w:space="0" w:color="auto"/>
            </w:tcBorders>
          </w:tcPr>
          <w:p w:rsidR="00214FCB" w:rsidRPr="00AB2265" w:rsidRDefault="00214FCB" w:rsidP="00214FCB">
            <w:pPr>
              <w:pStyle w:val="TableText"/>
              <w:rPr>
                <w:b/>
              </w:rPr>
            </w:pPr>
            <w:r w:rsidRPr="00AB2265">
              <w:rPr>
                <w:b/>
              </w:rPr>
              <w:t>TITAN (Safety population)</w:t>
            </w:r>
          </w:p>
        </w:tc>
        <w:tc>
          <w:tcPr>
            <w:tcW w:w="1151" w:type="pct"/>
          </w:tcPr>
          <w:p w:rsidR="00214FCB" w:rsidRPr="00AB2265" w:rsidRDefault="00214FCB" w:rsidP="00214FCB">
            <w:pPr>
              <w:pStyle w:val="TableText"/>
              <w:jc w:val="center"/>
            </w:pPr>
          </w:p>
        </w:tc>
      </w:tr>
      <w:tr w:rsidR="00214FCB" w:rsidRPr="00AB2265" w:rsidTr="00E83E3B">
        <w:trPr>
          <w:trHeight w:val="70"/>
          <w:tblHeader/>
        </w:trPr>
        <w:tc>
          <w:tcPr>
            <w:tcW w:w="2509" w:type="pct"/>
            <w:tcBorders>
              <w:bottom w:val="single" w:sz="4" w:space="0" w:color="auto"/>
            </w:tcBorders>
          </w:tcPr>
          <w:p w:rsidR="00214FCB" w:rsidRPr="00AB2265" w:rsidRDefault="00214FCB" w:rsidP="00214FCB">
            <w:pPr>
              <w:pStyle w:val="TableText"/>
            </w:pPr>
            <w:r w:rsidRPr="00AB2265">
              <w:t>At least one event</w:t>
            </w:r>
          </w:p>
        </w:tc>
        <w:tc>
          <w:tcPr>
            <w:tcW w:w="1340" w:type="pct"/>
          </w:tcPr>
          <w:p w:rsidR="00214FCB" w:rsidRPr="00AB2265" w:rsidRDefault="00214FCB" w:rsidP="00214FCB">
            <w:pPr>
              <w:pStyle w:val="TableText"/>
              <w:jc w:val="center"/>
            </w:pPr>
            <w:r w:rsidRPr="00AB2265">
              <w:t>1/35 (2.9%)</w:t>
            </w:r>
          </w:p>
        </w:tc>
        <w:tc>
          <w:tcPr>
            <w:tcW w:w="1151" w:type="pct"/>
          </w:tcPr>
          <w:p w:rsidR="00214FCB" w:rsidRPr="00AB2265" w:rsidRDefault="00214FCB" w:rsidP="00214FCB">
            <w:pPr>
              <w:pStyle w:val="TableText"/>
              <w:jc w:val="center"/>
            </w:pPr>
            <w:r w:rsidRPr="00AB2265">
              <w:t>6/37 (16.2%)</w:t>
            </w:r>
          </w:p>
        </w:tc>
      </w:tr>
      <w:tr w:rsidR="00214FCB" w:rsidRPr="00AB2265" w:rsidTr="00E83E3B">
        <w:tc>
          <w:tcPr>
            <w:tcW w:w="2509" w:type="pct"/>
            <w:tcBorders>
              <w:top w:val="single" w:sz="4" w:space="0" w:color="auto"/>
            </w:tcBorders>
          </w:tcPr>
          <w:p w:rsidR="00214FCB" w:rsidRPr="00AB2265" w:rsidRDefault="00214FCB" w:rsidP="00214FCB">
            <w:pPr>
              <w:pStyle w:val="TableText"/>
            </w:pPr>
            <w:r w:rsidRPr="00AB2265">
              <w:t>Acute myocardial infarction</w:t>
            </w:r>
          </w:p>
        </w:tc>
        <w:tc>
          <w:tcPr>
            <w:tcW w:w="1340" w:type="pct"/>
          </w:tcPr>
          <w:p w:rsidR="00214FCB" w:rsidRPr="00AB2265" w:rsidRDefault="00214FCB" w:rsidP="00214FCB">
            <w:pPr>
              <w:pStyle w:val="TableText"/>
              <w:jc w:val="center"/>
            </w:pPr>
            <w:r w:rsidRPr="00AB2265">
              <w:t>0</w:t>
            </w:r>
          </w:p>
        </w:tc>
        <w:tc>
          <w:tcPr>
            <w:tcW w:w="1151" w:type="pct"/>
          </w:tcPr>
          <w:p w:rsidR="00214FCB" w:rsidRPr="00AB2265" w:rsidRDefault="00214FCB" w:rsidP="00214FCB">
            <w:pPr>
              <w:pStyle w:val="TableText"/>
              <w:jc w:val="center"/>
            </w:pPr>
            <w:r w:rsidRPr="00AB2265">
              <w:t>2/37 (5.4%)</w:t>
            </w:r>
          </w:p>
        </w:tc>
      </w:tr>
      <w:tr w:rsidR="00214FCB" w:rsidRPr="00AB2265" w:rsidTr="00E83E3B">
        <w:tc>
          <w:tcPr>
            <w:tcW w:w="2509" w:type="pct"/>
            <w:tcBorders>
              <w:top w:val="nil"/>
            </w:tcBorders>
          </w:tcPr>
          <w:p w:rsidR="00214FCB" w:rsidRPr="00AB2265" w:rsidRDefault="00214FCB" w:rsidP="00214FCB">
            <w:pPr>
              <w:pStyle w:val="TableText"/>
            </w:pPr>
            <w:r w:rsidRPr="00AB2265">
              <w:t>Pulmonary embolism</w:t>
            </w:r>
          </w:p>
        </w:tc>
        <w:tc>
          <w:tcPr>
            <w:tcW w:w="1340" w:type="pct"/>
          </w:tcPr>
          <w:p w:rsidR="00214FCB" w:rsidRPr="00AB2265" w:rsidRDefault="00214FCB" w:rsidP="00214FCB">
            <w:pPr>
              <w:pStyle w:val="TableText"/>
              <w:jc w:val="center"/>
            </w:pPr>
            <w:r w:rsidRPr="00AB2265">
              <w:t>1/35 (2.9%)</w:t>
            </w:r>
          </w:p>
        </w:tc>
        <w:tc>
          <w:tcPr>
            <w:tcW w:w="1151" w:type="pct"/>
          </w:tcPr>
          <w:p w:rsidR="00214FCB" w:rsidRPr="00AB2265" w:rsidRDefault="00214FCB" w:rsidP="00214FCB">
            <w:pPr>
              <w:pStyle w:val="TableText"/>
              <w:jc w:val="center"/>
            </w:pPr>
            <w:r w:rsidRPr="00AB2265">
              <w:t>1/37 (2.7%)</w:t>
            </w:r>
          </w:p>
        </w:tc>
      </w:tr>
      <w:tr w:rsidR="00214FCB" w:rsidRPr="00AB2265" w:rsidTr="00E83E3B">
        <w:tc>
          <w:tcPr>
            <w:tcW w:w="2509" w:type="pct"/>
          </w:tcPr>
          <w:p w:rsidR="00214FCB" w:rsidRPr="00AB2265" w:rsidRDefault="00214FCB" w:rsidP="00214FCB">
            <w:pPr>
              <w:pStyle w:val="TableText"/>
            </w:pPr>
            <w:r w:rsidRPr="00AB2265">
              <w:t>Deep vein thrombosis</w:t>
            </w:r>
          </w:p>
        </w:tc>
        <w:tc>
          <w:tcPr>
            <w:tcW w:w="1340" w:type="pct"/>
            <w:shd w:val="clear" w:color="auto" w:fill="auto"/>
          </w:tcPr>
          <w:p w:rsidR="00214FCB" w:rsidRPr="00AB2265" w:rsidRDefault="00214FCB" w:rsidP="00214FCB">
            <w:pPr>
              <w:pStyle w:val="TableText"/>
              <w:jc w:val="center"/>
            </w:pPr>
            <w:r w:rsidRPr="00AB2265">
              <w:t>0</w:t>
            </w:r>
          </w:p>
        </w:tc>
        <w:tc>
          <w:tcPr>
            <w:tcW w:w="1151" w:type="pct"/>
            <w:shd w:val="clear" w:color="auto" w:fill="auto"/>
          </w:tcPr>
          <w:p w:rsidR="00214FCB" w:rsidRPr="00AB2265" w:rsidRDefault="00214FCB" w:rsidP="00214FCB">
            <w:pPr>
              <w:pStyle w:val="TableText"/>
              <w:jc w:val="center"/>
            </w:pPr>
            <w:r w:rsidRPr="00AB2265">
              <w:t>1/37 (2.7%)</w:t>
            </w:r>
          </w:p>
        </w:tc>
      </w:tr>
      <w:tr w:rsidR="00214FCB" w:rsidRPr="00AB2265" w:rsidTr="00E83E3B">
        <w:tc>
          <w:tcPr>
            <w:tcW w:w="2509" w:type="pct"/>
          </w:tcPr>
          <w:p w:rsidR="00214FCB" w:rsidRPr="00AB2265" w:rsidRDefault="00214FCB" w:rsidP="00214FCB">
            <w:pPr>
              <w:pStyle w:val="TableText"/>
            </w:pPr>
            <w:r w:rsidRPr="00AB2265">
              <w:t>Venous thrombosis</w:t>
            </w:r>
          </w:p>
        </w:tc>
        <w:tc>
          <w:tcPr>
            <w:tcW w:w="1340" w:type="pct"/>
            <w:shd w:val="clear" w:color="auto" w:fill="auto"/>
          </w:tcPr>
          <w:p w:rsidR="00214FCB" w:rsidRPr="00AB2265" w:rsidRDefault="00214FCB" w:rsidP="00214FCB">
            <w:pPr>
              <w:pStyle w:val="TableText"/>
              <w:jc w:val="center"/>
            </w:pPr>
            <w:r w:rsidRPr="00AB2265">
              <w:t>0</w:t>
            </w:r>
          </w:p>
        </w:tc>
        <w:tc>
          <w:tcPr>
            <w:tcW w:w="1151" w:type="pct"/>
            <w:shd w:val="clear" w:color="auto" w:fill="auto"/>
          </w:tcPr>
          <w:p w:rsidR="00214FCB" w:rsidRPr="00AB2265" w:rsidRDefault="00214FCB" w:rsidP="00214FCB">
            <w:pPr>
              <w:pStyle w:val="TableText"/>
              <w:jc w:val="center"/>
            </w:pPr>
            <w:r w:rsidRPr="00AB2265">
              <w:t>1/37 (2.7%)</w:t>
            </w:r>
          </w:p>
        </w:tc>
      </w:tr>
      <w:tr w:rsidR="00214FCB" w:rsidRPr="00AB2265" w:rsidTr="00E83E3B">
        <w:tc>
          <w:tcPr>
            <w:tcW w:w="2509" w:type="pct"/>
          </w:tcPr>
          <w:p w:rsidR="00214FCB" w:rsidRPr="00AB2265" w:rsidRDefault="00214FCB" w:rsidP="00214FCB">
            <w:pPr>
              <w:pStyle w:val="TableText"/>
            </w:pPr>
            <w:r w:rsidRPr="00AB2265">
              <w:t>Ischemic stroke</w:t>
            </w:r>
          </w:p>
        </w:tc>
        <w:tc>
          <w:tcPr>
            <w:tcW w:w="1340" w:type="pct"/>
            <w:shd w:val="clear" w:color="auto" w:fill="auto"/>
          </w:tcPr>
          <w:p w:rsidR="00214FCB" w:rsidRPr="00AB2265" w:rsidRDefault="00214FCB" w:rsidP="00214FCB">
            <w:pPr>
              <w:pStyle w:val="TableText"/>
              <w:jc w:val="center"/>
            </w:pPr>
            <w:r w:rsidRPr="00AB2265">
              <w:t>0</w:t>
            </w:r>
          </w:p>
        </w:tc>
        <w:tc>
          <w:tcPr>
            <w:tcW w:w="1151" w:type="pct"/>
            <w:shd w:val="clear" w:color="auto" w:fill="auto"/>
          </w:tcPr>
          <w:p w:rsidR="00214FCB" w:rsidRPr="00AB2265" w:rsidRDefault="00214FCB" w:rsidP="00214FCB">
            <w:pPr>
              <w:pStyle w:val="TableText"/>
              <w:jc w:val="center"/>
            </w:pPr>
            <w:r w:rsidRPr="00AB2265">
              <w:t>1/37 (2.7%)</w:t>
            </w:r>
          </w:p>
        </w:tc>
      </w:tr>
      <w:tr w:rsidR="00214FCB" w:rsidRPr="00AB2265" w:rsidTr="00E83E3B">
        <w:tc>
          <w:tcPr>
            <w:tcW w:w="2509" w:type="pct"/>
          </w:tcPr>
          <w:p w:rsidR="00214FCB" w:rsidRPr="00AB2265" w:rsidRDefault="00214FCB" w:rsidP="00214FCB">
            <w:pPr>
              <w:pStyle w:val="TableText"/>
            </w:pPr>
            <w:r w:rsidRPr="00AB2265">
              <w:t>Haemorrhagic stroke</w:t>
            </w:r>
          </w:p>
        </w:tc>
        <w:tc>
          <w:tcPr>
            <w:tcW w:w="1340" w:type="pct"/>
            <w:shd w:val="clear" w:color="auto" w:fill="auto"/>
          </w:tcPr>
          <w:p w:rsidR="00214FCB" w:rsidRPr="00AB2265" w:rsidRDefault="00214FCB" w:rsidP="00214FCB">
            <w:pPr>
              <w:pStyle w:val="TableText"/>
              <w:jc w:val="center"/>
            </w:pPr>
            <w:r w:rsidRPr="00AB2265">
              <w:t>0</w:t>
            </w:r>
          </w:p>
        </w:tc>
        <w:tc>
          <w:tcPr>
            <w:tcW w:w="1151" w:type="pct"/>
            <w:shd w:val="clear" w:color="auto" w:fill="auto"/>
          </w:tcPr>
          <w:p w:rsidR="00214FCB" w:rsidRPr="00AB2265" w:rsidRDefault="00214FCB" w:rsidP="00214FCB">
            <w:pPr>
              <w:pStyle w:val="TableText"/>
              <w:jc w:val="center"/>
            </w:pPr>
            <w:r w:rsidRPr="00AB2265">
              <w:t>1/37 (2.7%)</w:t>
            </w:r>
          </w:p>
        </w:tc>
      </w:tr>
    </w:tbl>
    <w:p w:rsidR="00214FCB" w:rsidRPr="00AB2265" w:rsidRDefault="00214FCB" w:rsidP="00214FCB">
      <w:pPr>
        <w:pStyle w:val="TableFigureFooter"/>
      </w:pPr>
      <w:r w:rsidRPr="00AB2265">
        <w:t>Source: Table 2.5.7, p.69 of the submission</w:t>
      </w:r>
    </w:p>
    <w:p w:rsidR="00214FCB" w:rsidRPr="00AB2265" w:rsidRDefault="00214FCB" w:rsidP="00214FCB">
      <w:pPr>
        <w:pStyle w:val="TableFigureFooter"/>
      </w:pPr>
      <w:r w:rsidRPr="00AB2265">
        <w:t xml:space="preserve">Abbreviations: DB, double blind; mITT, modified intention to treat; SB, single blind </w:t>
      </w:r>
    </w:p>
    <w:p w:rsidR="00214FCB" w:rsidRPr="00AB2265" w:rsidRDefault="00214FCB" w:rsidP="00214FCB">
      <w:pPr>
        <w:pStyle w:val="TableFigureFooter"/>
      </w:pPr>
      <w:r w:rsidRPr="00AB2265">
        <w:t>The data in the table are number of patients with at least one event of interest and corresponding percentage</w:t>
      </w:r>
    </w:p>
    <w:p w:rsidR="00214FCB" w:rsidRPr="00AB2265" w:rsidRDefault="00214FCB" w:rsidP="00F21D71">
      <w:pPr>
        <w:pStyle w:val="ExecSumBodyText"/>
        <w:numPr>
          <w:ilvl w:val="1"/>
          <w:numId w:val="1"/>
        </w:numPr>
      </w:pPr>
      <w:r w:rsidRPr="00AB2265">
        <w:t>There were no appreciable differences between treatment arms in the overall numbers of events in the HERCULES trial. Although there is a numerical trend towards a reduction in some individual events associated with treatment with caplacizumab (stroke), this is offset by an increase in other events associated with caplacizumab (deep vein thrombosis, pulmonary embolism). These results are based on very small numbers of events and are unlikely to be clinically meaningful. In the TITAN trial, there was a greater risk of thromboembolic events in the placebo treatment arm.</w:t>
      </w:r>
    </w:p>
    <w:p w:rsidR="00942CC4" w:rsidRPr="00AB2265" w:rsidRDefault="00942CC4" w:rsidP="00F21D71">
      <w:pPr>
        <w:pStyle w:val="ExecSumBodyText"/>
        <w:numPr>
          <w:ilvl w:val="1"/>
          <w:numId w:val="1"/>
        </w:numPr>
        <w:rPr>
          <w:i/>
        </w:rPr>
      </w:pPr>
      <w:r w:rsidRPr="00AB2265">
        <w:t>The average number of days of plasma exchange in the HERCULES and TITAN t</w:t>
      </w:r>
      <w:r w:rsidR="00165AE8" w:rsidRPr="00AB2265">
        <w:t>rials are summarised in Table 13</w:t>
      </w:r>
      <w:r w:rsidRPr="00AB2265">
        <w:t>.</w:t>
      </w:r>
    </w:p>
    <w:p w:rsidR="00942CC4" w:rsidRPr="00AB2265" w:rsidRDefault="00C979CC" w:rsidP="00942CC4">
      <w:pPr>
        <w:pStyle w:val="Tableheadingrow"/>
        <w:rPr>
          <w:lang w:val="en-AU"/>
        </w:rPr>
      </w:pPr>
      <w:r w:rsidRPr="00AB2265">
        <w:rPr>
          <w:lang w:val="en-AU"/>
        </w:rPr>
        <w:lastRenderedPageBreak/>
        <w:t>Table 13</w:t>
      </w:r>
      <w:r w:rsidR="00942CC4" w:rsidRPr="00AB2265">
        <w:rPr>
          <w:lang w:val="en-AU"/>
        </w:rPr>
        <w:t>: Use of plasma exchange across TITAN and HERCULES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660"/>
        <w:gridCol w:w="2337"/>
        <w:gridCol w:w="638"/>
        <w:gridCol w:w="2359"/>
      </w:tblGrid>
      <w:tr w:rsidR="00942CC4" w:rsidRPr="00AB2265" w:rsidTr="00E40FEC">
        <w:trPr>
          <w:tblHeader/>
        </w:trPr>
        <w:tc>
          <w:tcPr>
            <w:tcW w:w="1676" w:type="pct"/>
            <w:tcBorders>
              <w:bottom w:val="single" w:sz="4" w:space="0" w:color="auto"/>
            </w:tcBorders>
          </w:tcPr>
          <w:p w:rsidR="00942CC4" w:rsidRPr="00AB2265" w:rsidRDefault="00942CC4" w:rsidP="00E40FEC">
            <w:pPr>
              <w:pStyle w:val="TableHeading"/>
            </w:pPr>
          </w:p>
        </w:tc>
        <w:tc>
          <w:tcPr>
            <w:tcW w:w="366" w:type="pct"/>
          </w:tcPr>
          <w:p w:rsidR="00942CC4" w:rsidRPr="00AB2265" w:rsidRDefault="00942CC4" w:rsidP="00E40FEC">
            <w:pPr>
              <w:pStyle w:val="TableFigureCaption"/>
              <w:jc w:val="center"/>
            </w:pPr>
            <w:r w:rsidRPr="00AB2265">
              <w:t>n</w:t>
            </w:r>
          </w:p>
        </w:tc>
        <w:tc>
          <w:tcPr>
            <w:tcW w:w="1296" w:type="pct"/>
          </w:tcPr>
          <w:p w:rsidR="00942CC4" w:rsidRPr="00AB2265" w:rsidRDefault="00942CC4" w:rsidP="00E40FEC">
            <w:pPr>
              <w:pStyle w:val="TableFigureCaption"/>
              <w:jc w:val="center"/>
            </w:pPr>
            <w:r w:rsidRPr="00AB2265">
              <w:t>Caplacizumab</w:t>
            </w:r>
          </w:p>
        </w:tc>
        <w:tc>
          <w:tcPr>
            <w:tcW w:w="354" w:type="pct"/>
          </w:tcPr>
          <w:p w:rsidR="00942CC4" w:rsidRPr="00AB2265" w:rsidRDefault="00942CC4" w:rsidP="00E40FEC">
            <w:pPr>
              <w:pStyle w:val="TableFigureCaption"/>
              <w:jc w:val="center"/>
            </w:pPr>
            <w:r w:rsidRPr="00AB2265">
              <w:t>n</w:t>
            </w:r>
          </w:p>
        </w:tc>
        <w:tc>
          <w:tcPr>
            <w:tcW w:w="1308" w:type="pct"/>
          </w:tcPr>
          <w:p w:rsidR="00942CC4" w:rsidRPr="00AB2265" w:rsidRDefault="00942CC4" w:rsidP="00E40FEC">
            <w:pPr>
              <w:pStyle w:val="TableFigureCaption"/>
              <w:jc w:val="center"/>
            </w:pPr>
            <w:r w:rsidRPr="00AB2265">
              <w:t>Placebo</w:t>
            </w:r>
          </w:p>
        </w:tc>
      </w:tr>
      <w:tr w:rsidR="00942CC4" w:rsidRPr="00AB2265" w:rsidTr="00E40FEC">
        <w:trPr>
          <w:trHeight w:val="70"/>
          <w:tblHeader/>
        </w:trPr>
        <w:tc>
          <w:tcPr>
            <w:tcW w:w="5000" w:type="pct"/>
            <w:gridSpan w:val="5"/>
            <w:tcBorders>
              <w:bottom w:val="single" w:sz="4" w:space="0" w:color="auto"/>
            </w:tcBorders>
          </w:tcPr>
          <w:p w:rsidR="00942CC4" w:rsidRPr="00AB2265" w:rsidRDefault="00942CC4" w:rsidP="00E40FEC">
            <w:pPr>
              <w:pStyle w:val="TableText"/>
              <w:rPr>
                <w:b/>
              </w:rPr>
            </w:pPr>
            <w:r w:rsidRPr="00AB2265">
              <w:rPr>
                <w:b/>
              </w:rPr>
              <w:t>HERCULES (mITT)</w:t>
            </w:r>
          </w:p>
        </w:tc>
      </w:tr>
      <w:tr w:rsidR="00942CC4" w:rsidRPr="00AB2265" w:rsidTr="00E40FEC">
        <w:trPr>
          <w:trHeight w:val="70"/>
          <w:tblHeader/>
        </w:trPr>
        <w:tc>
          <w:tcPr>
            <w:tcW w:w="1676" w:type="pct"/>
            <w:tcBorders>
              <w:bottom w:val="nil"/>
            </w:tcBorders>
          </w:tcPr>
          <w:p w:rsidR="00942CC4" w:rsidRPr="00AB2265" w:rsidRDefault="00942CC4" w:rsidP="00E40FEC">
            <w:pPr>
              <w:pStyle w:val="TableText"/>
            </w:pPr>
            <w:r w:rsidRPr="00AB2265">
              <w:t>Number of days with at least one PEX session (initial treatment period)</w:t>
            </w:r>
          </w:p>
        </w:tc>
        <w:tc>
          <w:tcPr>
            <w:tcW w:w="366" w:type="pct"/>
            <w:tcBorders>
              <w:bottom w:val="nil"/>
            </w:tcBorders>
          </w:tcPr>
          <w:p w:rsidR="00942CC4" w:rsidRPr="00AB2265" w:rsidRDefault="00942CC4" w:rsidP="00E40FEC">
            <w:pPr>
              <w:pStyle w:val="TableText"/>
              <w:jc w:val="center"/>
            </w:pPr>
          </w:p>
        </w:tc>
        <w:tc>
          <w:tcPr>
            <w:tcW w:w="1296" w:type="pct"/>
            <w:tcBorders>
              <w:bottom w:val="nil"/>
            </w:tcBorders>
          </w:tcPr>
          <w:p w:rsidR="00942CC4" w:rsidRPr="00AB2265" w:rsidRDefault="00942CC4" w:rsidP="00E40FEC">
            <w:pPr>
              <w:pStyle w:val="TableText"/>
              <w:jc w:val="center"/>
            </w:pPr>
          </w:p>
        </w:tc>
        <w:tc>
          <w:tcPr>
            <w:tcW w:w="354" w:type="pct"/>
            <w:tcBorders>
              <w:bottom w:val="nil"/>
            </w:tcBorders>
          </w:tcPr>
          <w:p w:rsidR="00942CC4" w:rsidRPr="00AB2265" w:rsidRDefault="00942CC4" w:rsidP="00E40FEC">
            <w:pPr>
              <w:pStyle w:val="TableText"/>
              <w:jc w:val="center"/>
            </w:pPr>
          </w:p>
        </w:tc>
        <w:tc>
          <w:tcPr>
            <w:tcW w:w="1308" w:type="pct"/>
            <w:tcBorders>
              <w:bottom w:val="nil"/>
            </w:tcBorders>
          </w:tcPr>
          <w:p w:rsidR="00942CC4" w:rsidRPr="00AB2265" w:rsidRDefault="00942CC4" w:rsidP="00E40FEC">
            <w:pPr>
              <w:pStyle w:val="TableText"/>
              <w:jc w:val="center"/>
            </w:pPr>
          </w:p>
        </w:tc>
      </w:tr>
      <w:tr w:rsidR="00942CC4" w:rsidRPr="00AB2265" w:rsidTr="00E40FEC">
        <w:trPr>
          <w:trHeight w:val="70"/>
          <w:tblHeader/>
        </w:trPr>
        <w:tc>
          <w:tcPr>
            <w:tcW w:w="1676" w:type="pct"/>
            <w:tcBorders>
              <w:top w:val="nil"/>
              <w:bottom w:val="nil"/>
            </w:tcBorders>
          </w:tcPr>
          <w:p w:rsidR="00942CC4" w:rsidRPr="00AB2265" w:rsidRDefault="00942CC4" w:rsidP="00E40FEC">
            <w:pPr>
              <w:pStyle w:val="TableText"/>
            </w:pPr>
            <w:r w:rsidRPr="00AB2265">
              <w:t>Mean (SD)</w:t>
            </w:r>
          </w:p>
        </w:tc>
        <w:tc>
          <w:tcPr>
            <w:tcW w:w="366" w:type="pct"/>
            <w:tcBorders>
              <w:top w:val="nil"/>
              <w:bottom w:val="nil"/>
            </w:tcBorders>
          </w:tcPr>
          <w:p w:rsidR="00942CC4" w:rsidRPr="00AB2265" w:rsidRDefault="00942CC4" w:rsidP="00E40FEC">
            <w:pPr>
              <w:pStyle w:val="TableText"/>
              <w:jc w:val="center"/>
            </w:pPr>
            <w:r w:rsidRPr="00AB2265">
              <w:t>71</w:t>
            </w:r>
          </w:p>
        </w:tc>
        <w:tc>
          <w:tcPr>
            <w:tcW w:w="1296" w:type="pct"/>
            <w:tcBorders>
              <w:top w:val="nil"/>
              <w:bottom w:val="nil"/>
            </w:tcBorders>
          </w:tcPr>
          <w:p w:rsidR="00942CC4" w:rsidRPr="00AB2265" w:rsidRDefault="00942CC4" w:rsidP="00E40FEC">
            <w:pPr>
              <w:pStyle w:val="TableText"/>
              <w:jc w:val="center"/>
            </w:pPr>
            <w:r w:rsidRPr="00AB2265">
              <w:t>5.5 (</w:t>
            </w:r>
            <w:r w:rsidRPr="00AB2265">
              <w:rPr>
                <w:i/>
              </w:rPr>
              <w:t>4.04</w:t>
            </w:r>
            <w:r w:rsidRPr="00AB2265">
              <w:t>)</w:t>
            </w:r>
          </w:p>
        </w:tc>
        <w:tc>
          <w:tcPr>
            <w:tcW w:w="354" w:type="pct"/>
            <w:tcBorders>
              <w:top w:val="nil"/>
              <w:bottom w:val="nil"/>
            </w:tcBorders>
          </w:tcPr>
          <w:p w:rsidR="00942CC4" w:rsidRPr="00AB2265" w:rsidRDefault="00942CC4" w:rsidP="00E40FEC">
            <w:pPr>
              <w:pStyle w:val="TableText"/>
              <w:jc w:val="center"/>
            </w:pPr>
            <w:r w:rsidRPr="00AB2265">
              <w:t>73</w:t>
            </w:r>
          </w:p>
        </w:tc>
        <w:tc>
          <w:tcPr>
            <w:tcW w:w="1308" w:type="pct"/>
            <w:tcBorders>
              <w:top w:val="nil"/>
              <w:bottom w:val="nil"/>
            </w:tcBorders>
          </w:tcPr>
          <w:p w:rsidR="00942CC4" w:rsidRPr="00AB2265" w:rsidRDefault="00942CC4" w:rsidP="00E40FEC">
            <w:pPr>
              <w:pStyle w:val="TableText"/>
              <w:jc w:val="center"/>
            </w:pPr>
            <w:r w:rsidRPr="00AB2265">
              <w:t>6.5 (</w:t>
            </w:r>
            <w:r w:rsidRPr="00AB2265">
              <w:rPr>
                <w:i/>
              </w:rPr>
              <w:t>3.84</w:t>
            </w:r>
            <w:r w:rsidRPr="00AB2265">
              <w:t>)</w:t>
            </w:r>
          </w:p>
        </w:tc>
      </w:tr>
      <w:tr w:rsidR="00942CC4" w:rsidRPr="00AB2265" w:rsidTr="00E40FEC">
        <w:trPr>
          <w:trHeight w:val="70"/>
          <w:tblHeader/>
        </w:trPr>
        <w:tc>
          <w:tcPr>
            <w:tcW w:w="1676" w:type="pct"/>
            <w:tcBorders>
              <w:top w:val="nil"/>
              <w:bottom w:val="single" w:sz="4" w:space="0" w:color="auto"/>
            </w:tcBorders>
          </w:tcPr>
          <w:p w:rsidR="00942CC4" w:rsidRPr="00AB2265" w:rsidRDefault="00942CC4" w:rsidP="00E40FEC">
            <w:pPr>
              <w:pStyle w:val="TableText"/>
            </w:pPr>
            <w:r w:rsidRPr="00AB2265">
              <w:t>Median (range)</w:t>
            </w:r>
          </w:p>
        </w:tc>
        <w:tc>
          <w:tcPr>
            <w:tcW w:w="366" w:type="pct"/>
            <w:tcBorders>
              <w:top w:val="nil"/>
              <w:bottom w:val="single" w:sz="4" w:space="0" w:color="auto"/>
            </w:tcBorders>
          </w:tcPr>
          <w:p w:rsidR="00942CC4" w:rsidRPr="00AB2265" w:rsidRDefault="00942CC4" w:rsidP="00E40FEC">
            <w:pPr>
              <w:pStyle w:val="TableText"/>
              <w:jc w:val="center"/>
            </w:pPr>
            <w:r w:rsidRPr="00AB2265">
              <w:t>71</w:t>
            </w:r>
          </w:p>
        </w:tc>
        <w:tc>
          <w:tcPr>
            <w:tcW w:w="1296" w:type="pct"/>
            <w:tcBorders>
              <w:top w:val="nil"/>
              <w:bottom w:val="single" w:sz="4" w:space="0" w:color="auto"/>
            </w:tcBorders>
          </w:tcPr>
          <w:p w:rsidR="00942CC4" w:rsidRPr="00AB2265" w:rsidRDefault="00942CC4" w:rsidP="00E40FEC">
            <w:pPr>
              <w:pStyle w:val="TableText"/>
              <w:jc w:val="center"/>
            </w:pPr>
            <w:r w:rsidRPr="00AB2265">
              <w:t>5.0 (1, 35)</w:t>
            </w:r>
          </w:p>
        </w:tc>
        <w:tc>
          <w:tcPr>
            <w:tcW w:w="354" w:type="pct"/>
            <w:tcBorders>
              <w:top w:val="nil"/>
              <w:bottom w:val="single" w:sz="4" w:space="0" w:color="auto"/>
            </w:tcBorders>
          </w:tcPr>
          <w:p w:rsidR="00942CC4" w:rsidRPr="00AB2265" w:rsidRDefault="00942CC4" w:rsidP="00E40FEC">
            <w:pPr>
              <w:pStyle w:val="TableText"/>
              <w:jc w:val="center"/>
            </w:pPr>
            <w:r w:rsidRPr="00AB2265">
              <w:t>73</w:t>
            </w:r>
          </w:p>
        </w:tc>
        <w:tc>
          <w:tcPr>
            <w:tcW w:w="1308" w:type="pct"/>
            <w:tcBorders>
              <w:top w:val="nil"/>
              <w:bottom w:val="single" w:sz="4" w:space="0" w:color="auto"/>
            </w:tcBorders>
          </w:tcPr>
          <w:p w:rsidR="00942CC4" w:rsidRPr="00AB2265" w:rsidRDefault="00942CC4" w:rsidP="00E40FEC">
            <w:pPr>
              <w:pStyle w:val="TableText"/>
              <w:jc w:val="center"/>
            </w:pPr>
            <w:r w:rsidRPr="00AB2265">
              <w:t>5.0 (3, 22)</w:t>
            </w:r>
          </w:p>
        </w:tc>
      </w:tr>
      <w:tr w:rsidR="00942CC4" w:rsidRPr="00AB2265" w:rsidTr="00E40FEC">
        <w:trPr>
          <w:trHeight w:val="70"/>
          <w:tblHeader/>
        </w:trPr>
        <w:tc>
          <w:tcPr>
            <w:tcW w:w="1676" w:type="pct"/>
            <w:tcBorders>
              <w:bottom w:val="nil"/>
            </w:tcBorders>
          </w:tcPr>
          <w:p w:rsidR="00942CC4" w:rsidRPr="00AB2265" w:rsidRDefault="00942CC4" w:rsidP="00E40FEC">
            <w:pPr>
              <w:pStyle w:val="TableText"/>
            </w:pPr>
            <w:r w:rsidRPr="00AB2265">
              <w:t>Number of days with at least one PEX session (open label period)</w:t>
            </w:r>
          </w:p>
        </w:tc>
        <w:tc>
          <w:tcPr>
            <w:tcW w:w="366" w:type="pct"/>
            <w:tcBorders>
              <w:bottom w:val="nil"/>
            </w:tcBorders>
          </w:tcPr>
          <w:p w:rsidR="00942CC4" w:rsidRPr="00AB2265" w:rsidRDefault="00942CC4" w:rsidP="00E40FEC">
            <w:pPr>
              <w:pStyle w:val="TableText"/>
              <w:jc w:val="center"/>
            </w:pPr>
          </w:p>
        </w:tc>
        <w:tc>
          <w:tcPr>
            <w:tcW w:w="1296" w:type="pct"/>
            <w:tcBorders>
              <w:bottom w:val="nil"/>
            </w:tcBorders>
          </w:tcPr>
          <w:p w:rsidR="00942CC4" w:rsidRPr="00AB2265" w:rsidRDefault="00942CC4" w:rsidP="00E40FEC">
            <w:pPr>
              <w:pStyle w:val="TableText"/>
              <w:jc w:val="center"/>
            </w:pPr>
          </w:p>
        </w:tc>
        <w:tc>
          <w:tcPr>
            <w:tcW w:w="354" w:type="pct"/>
            <w:tcBorders>
              <w:bottom w:val="nil"/>
            </w:tcBorders>
          </w:tcPr>
          <w:p w:rsidR="00942CC4" w:rsidRPr="00AB2265" w:rsidRDefault="00942CC4" w:rsidP="00E40FEC">
            <w:pPr>
              <w:pStyle w:val="TableText"/>
              <w:jc w:val="center"/>
            </w:pPr>
          </w:p>
        </w:tc>
        <w:tc>
          <w:tcPr>
            <w:tcW w:w="1308" w:type="pct"/>
            <w:tcBorders>
              <w:bottom w:val="nil"/>
            </w:tcBorders>
          </w:tcPr>
          <w:p w:rsidR="00942CC4" w:rsidRPr="00AB2265" w:rsidRDefault="00942CC4" w:rsidP="00E40FEC">
            <w:pPr>
              <w:pStyle w:val="TableText"/>
              <w:jc w:val="center"/>
            </w:pPr>
          </w:p>
        </w:tc>
      </w:tr>
      <w:tr w:rsidR="00942CC4" w:rsidRPr="00AB2265" w:rsidTr="00E40FEC">
        <w:trPr>
          <w:trHeight w:val="70"/>
          <w:tblHeader/>
        </w:trPr>
        <w:tc>
          <w:tcPr>
            <w:tcW w:w="1676" w:type="pct"/>
            <w:tcBorders>
              <w:top w:val="nil"/>
              <w:bottom w:val="nil"/>
            </w:tcBorders>
          </w:tcPr>
          <w:p w:rsidR="00942CC4" w:rsidRPr="00AB2265" w:rsidRDefault="00942CC4" w:rsidP="00E40FEC">
            <w:pPr>
              <w:pStyle w:val="TableText"/>
            </w:pPr>
            <w:r w:rsidRPr="00AB2265">
              <w:t>Mean (SD)</w:t>
            </w:r>
          </w:p>
        </w:tc>
        <w:tc>
          <w:tcPr>
            <w:tcW w:w="366" w:type="pct"/>
            <w:tcBorders>
              <w:top w:val="nil"/>
              <w:bottom w:val="nil"/>
            </w:tcBorders>
          </w:tcPr>
          <w:p w:rsidR="00942CC4" w:rsidRPr="00AB2265" w:rsidRDefault="00942CC4" w:rsidP="00E40FEC">
            <w:pPr>
              <w:pStyle w:val="TableText"/>
              <w:jc w:val="center"/>
            </w:pPr>
            <w:r w:rsidRPr="00AB2265">
              <w:t>2</w:t>
            </w:r>
          </w:p>
        </w:tc>
        <w:tc>
          <w:tcPr>
            <w:tcW w:w="1296" w:type="pct"/>
            <w:tcBorders>
              <w:top w:val="nil"/>
              <w:bottom w:val="nil"/>
            </w:tcBorders>
          </w:tcPr>
          <w:p w:rsidR="00942CC4" w:rsidRPr="00AB2265" w:rsidRDefault="00942CC4" w:rsidP="00E40FEC">
            <w:pPr>
              <w:pStyle w:val="TableText"/>
              <w:jc w:val="center"/>
            </w:pPr>
            <w:r w:rsidRPr="00AB2265">
              <w:t>7.5 (</w:t>
            </w:r>
            <w:r w:rsidRPr="00AB2265">
              <w:rPr>
                <w:i/>
              </w:rPr>
              <w:t>12.64</w:t>
            </w:r>
            <w:r w:rsidRPr="00AB2265">
              <w:t>)</w:t>
            </w:r>
          </w:p>
        </w:tc>
        <w:tc>
          <w:tcPr>
            <w:tcW w:w="354" w:type="pct"/>
            <w:tcBorders>
              <w:top w:val="nil"/>
              <w:bottom w:val="nil"/>
            </w:tcBorders>
          </w:tcPr>
          <w:p w:rsidR="00942CC4" w:rsidRPr="00AB2265" w:rsidRDefault="00942CC4" w:rsidP="00E40FEC">
            <w:pPr>
              <w:pStyle w:val="TableText"/>
              <w:jc w:val="center"/>
            </w:pPr>
            <w:r w:rsidRPr="00AB2265">
              <w:t>26</w:t>
            </w:r>
          </w:p>
        </w:tc>
        <w:tc>
          <w:tcPr>
            <w:tcW w:w="1308" w:type="pct"/>
            <w:tcBorders>
              <w:top w:val="nil"/>
              <w:bottom w:val="nil"/>
            </w:tcBorders>
          </w:tcPr>
          <w:p w:rsidR="00942CC4" w:rsidRPr="00AB2265" w:rsidRDefault="00942CC4" w:rsidP="00E40FEC">
            <w:pPr>
              <w:pStyle w:val="TableText"/>
              <w:jc w:val="center"/>
            </w:pPr>
            <w:r w:rsidRPr="00AB2265">
              <w:t>6.9 (</w:t>
            </w:r>
            <w:r w:rsidRPr="00AB2265">
              <w:rPr>
                <w:i/>
              </w:rPr>
              <w:t>7.35</w:t>
            </w:r>
            <w:r w:rsidRPr="00AB2265">
              <w:t>)</w:t>
            </w:r>
          </w:p>
        </w:tc>
      </w:tr>
      <w:tr w:rsidR="00942CC4" w:rsidRPr="00AB2265" w:rsidTr="00E40FEC">
        <w:trPr>
          <w:trHeight w:val="70"/>
          <w:tblHeader/>
        </w:trPr>
        <w:tc>
          <w:tcPr>
            <w:tcW w:w="1676" w:type="pct"/>
            <w:tcBorders>
              <w:top w:val="nil"/>
              <w:bottom w:val="single" w:sz="4" w:space="0" w:color="auto"/>
            </w:tcBorders>
          </w:tcPr>
          <w:p w:rsidR="00942CC4" w:rsidRPr="00AB2265" w:rsidRDefault="00942CC4" w:rsidP="00E40FEC">
            <w:pPr>
              <w:pStyle w:val="TableText"/>
            </w:pPr>
            <w:r w:rsidRPr="00AB2265">
              <w:t>Median (range)</w:t>
            </w:r>
          </w:p>
        </w:tc>
        <w:tc>
          <w:tcPr>
            <w:tcW w:w="366" w:type="pct"/>
            <w:tcBorders>
              <w:top w:val="nil"/>
              <w:bottom w:val="single" w:sz="4" w:space="0" w:color="auto"/>
            </w:tcBorders>
          </w:tcPr>
          <w:p w:rsidR="00942CC4" w:rsidRPr="00AB2265" w:rsidRDefault="00942CC4" w:rsidP="00E40FEC">
            <w:pPr>
              <w:pStyle w:val="TableText"/>
              <w:jc w:val="center"/>
            </w:pPr>
            <w:r w:rsidRPr="00AB2265">
              <w:t>2</w:t>
            </w:r>
          </w:p>
        </w:tc>
        <w:tc>
          <w:tcPr>
            <w:tcW w:w="1296" w:type="pct"/>
            <w:tcBorders>
              <w:top w:val="nil"/>
              <w:bottom w:val="single" w:sz="4" w:space="0" w:color="auto"/>
            </w:tcBorders>
          </w:tcPr>
          <w:p w:rsidR="00942CC4" w:rsidRPr="00AB2265" w:rsidRDefault="00942CC4" w:rsidP="00E40FEC">
            <w:pPr>
              <w:pStyle w:val="TableText"/>
              <w:jc w:val="center"/>
            </w:pPr>
            <w:r w:rsidRPr="00AB2265">
              <w:t>7. 5 (6, 9)</w:t>
            </w:r>
          </w:p>
        </w:tc>
        <w:tc>
          <w:tcPr>
            <w:tcW w:w="354" w:type="pct"/>
            <w:tcBorders>
              <w:top w:val="nil"/>
              <w:bottom w:val="single" w:sz="4" w:space="0" w:color="auto"/>
            </w:tcBorders>
          </w:tcPr>
          <w:p w:rsidR="00942CC4" w:rsidRPr="00AB2265" w:rsidRDefault="00942CC4" w:rsidP="00E40FEC">
            <w:pPr>
              <w:pStyle w:val="TableText"/>
              <w:jc w:val="center"/>
            </w:pPr>
            <w:r w:rsidRPr="00AB2265">
              <w:t>26</w:t>
            </w:r>
          </w:p>
        </w:tc>
        <w:tc>
          <w:tcPr>
            <w:tcW w:w="1308" w:type="pct"/>
            <w:tcBorders>
              <w:top w:val="nil"/>
              <w:bottom w:val="single" w:sz="4" w:space="0" w:color="auto"/>
            </w:tcBorders>
          </w:tcPr>
          <w:p w:rsidR="00942CC4" w:rsidRPr="00AB2265" w:rsidRDefault="00942CC4" w:rsidP="00E40FEC">
            <w:pPr>
              <w:pStyle w:val="TableText"/>
              <w:jc w:val="center"/>
            </w:pPr>
            <w:r w:rsidRPr="00AB2265">
              <w:t>6.0 (2, 26)</w:t>
            </w:r>
          </w:p>
        </w:tc>
      </w:tr>
      <w:tr w:rsidR="00942CC4" w:rsidRPr="00AB2265" w:rsidTr="00E40FEC">
        <w:trPr>
          <w:trHeight w:val="70"/>
          <w:tblHeader/>
        </w:trPr>
        <w:tc>
          <w:tcPr>
            <w:tcW w:w="1676" w:type="pct"/>
            <w:tcBorders>
              <w:bottom w:val="nil"/>
            </w:tcBorders>
          </w:tcPr>
          <w:p w:rsidR="00942CC4" w:rsidRPr="00AB2265" w:rsidRDefault="00942CC4" w:rsidP="00E40FEC">
            <w:pPr>
              <w:pStyle w:val="TableText"/>
              <w:rPr>
                <w:vertAlign w:val="superscript"/>
              </w:rPr>
            </w:pPr>
            <w:r w:rsidRPr="00AB2265">
              <w:t>Number of days with at least one PEX session (overall treatment period)</w:t>
            </w:r>
            <w:r w:rsidRPr="00AB2265">
              <w:rPr>
                <w:vertAlign w:val="superscript"/>
              </w:rPr>
              <w:t>b</w:t>
            </w:r>
          </w:p>
        </w:tc>
        <w:tc>
          <w:tcPr>
            <w:tcW w:w="366" w:type="pct"/>
            <w:tcBorders>
              <w:bottom w:val="nil"/>
            </w:tcBorders>
          </w:tcPr>
          <w:p w:rsidR="00942CC4" w:rsidRPr="00AB2265" w:rsidRDefault="00942CC4" w:rsidP="00E40FEC">
            <w:pPr>
              <w:pStyle w:val="TableText"/>
              <w:jc w:val="center"/>
            </w:pPr>
          </w:p>
        </w:tc>
        <w:tc>
          <w:tcPr>
            <w:tcW w:w="1296" w:type="pct"/>
            <w:tcBorders>
              <w:bottom w:val="nil"/>
            </w:tcBorders>
          </w:tcPr>
          <w:p w:rsidR="00942CC4" w:rsidRPr="00AB2265" w:rsidRDefault="00942CC4" w:rsidP="00E40FEC">
            <w:pPr>
              <w:pStyle w:val="TableText"/>
              <w:jc w:val="center"/>
            </w:pPr>
          </w:p>
        </w:tc>
        <w:tc>
          <w:tcPr>
            <w:tcW w:w="354" w:type="pct"/>
            <w:tcBorders>
              <w:bottom w:val="nil"/>
            </w:tcBorders>
          </w:tcPr>
          <w:p w:rsidR="00942CC4" w:rsidRPr="00AB2265" w:rsidRDefault="00942CC4" w:rsidP="00E40FEC">
            <w:pPr>
              <w:pStyle w:val="TableText"/>
              <w:jc w:val="center"/>
            </w:pPr>
          </w:p>
        </w:tc>
        <w:tc>
          <w:tcPr>
            <w:tcW w:w="1308" w:type="pct"/>
            <w:tcBorders>
              <w:bottom w:val="nil"/>
            </w:tcBorders>
          </w:tcPr>
          <w:p w:rsidR="00942CC4" w:rsidRPr="00AB2265" w:rsidRDefault="00942CC4" w:rsidP="00E40FEC">
            <w:pPr>
              <w:pStyle w:val="TableText"/>
              <w:jc w:val="center"/>
            </w:pPr>
          </w:p>
        </w:tc>
      </w:tr>
      <w:tr w:rsidR="00942CC4" w:rsidRPr="00AB2265" w:rsidTr="00E40FEC">
        <w:trPr>
          <w:trHeight w:val="70"/>
          <w:tblHeader/>
        </w:trPr>
        <w:tc>
          <w:tcPr>
            <w:tcW w:w="1676" w:type="pct"/>
            <w:tcBorders>
              <w:top w:val="nil"/>
              <w:bottom w:val="nil"/>
            </w:tcBorders>
          </w:tcPr>
          <w:p w:rsidR="00942CC4" w:rsidRPr="00AB2265" w:rsidRDefault="00942CC4" w:rsidP="00E40FEC">
            <w:pPr>
              <w:pStyle w:val="TableText"/>
            </w:pPr>
            <w:r w:rsidRPr="00AB2265">
              <w:t>Mean (SD)</w:t>
            </w:r>
          </w:p>
        </w:tc>
        <w:tc>
          <w:tcPr>
            <w:tcW w:w="366" w:type="pct"/>
            <w:tcBorders>
              <w:top w:val="nil"/>
              <w:bottom w:val="nil"/>
            </w:tcBorders>
          </w:tcPr>
          <w:p w:rsidR="00942CC4" w:rsidRPr="00AB2265" w:rsidRDefault="00942CC4" w:rsidP="00E40FEC">
            <w:pPr>
              <w:pStyle w:val="TableText"/>
              <w:jc w:val="center"/>
            </w:pPr>
            <w:r w:rsidRPr="00AB2265">
              <w:t>71</w:t>
            </w:r>
          </w:p>
        </w:tc>
        <w:tc>
          <w:tcPr>
            <w:tcW w:w="1296" w:type="pct"/>
            <w:tcBorders>
              <w:top w:val="nil"/>
              <w:bottom w:val="nil"/>
            </w:tcBorders>
          </w:tcPr>
          <w:p w:rsidR="00942CC4" w:rsidRPr="00AB2265" w:rsidRDefault="00942CC4" w:rsidP="00E40FEC">
            <w:pPr>
              <w:pStyle w:val="TableText"/>
              <w:jc w:val="center"/>
            </w:pPr>
            <w:r w:rsidRPr="00AB2265">
              <w:t>5.8 (</w:t>
            </w:r>
            <w:r w:rsidRPr="00AB2265">
              <w:rPr>
                <w:i/>
              </w:rPr>
              <w:t>12.72</w:t>
            </w:r>
            <w:r w:rsidRPr="00AB2265">
              <w:t>)</w:t>
            </w:r>
          </w:p>
        </w:tc>
        <w:tc>
          <w:tcPr>
            <w:tcW w:w="354" w:type="pct"/>
            <w:tcBorders>
              <w:top w:val="nil"/>
              <w:bottom w:val="nil"/>
            </w:tcBorders>
          </w:tcPr>
          <w:p w:rsidR="00942CC4" w:rsidRPr="00AB2265" w:rsidRDefault="00942CC4" w:rsidP="00E40FEC">
            <w:pPr>
              <w:pStyle w:val="TableText"/>
              <w:jc w:val="center"/>
            </w:pPr>
            <w:r w:rsidRPr="00AB2265">
              <w:t>73</w:t>
            </w:r>
          </w:p>
        </w:tc>
        <w:tc>
          <w:tcPr>
            <w:tcW w:w="1308" w:type="pct"/>
            <w:tcBorders>
              <w:top w:val="nil"/>
              <w:bottom w:val="nil"/>
            </w:tcBorders>
          </w:tcPr>
          <w:p w:rsidR="00942CC4" w:rsidRPr="00AB2265" w:rsidRDefault="00942CC4" w:rsidP="00E40FEC">
            <w:pPr>
              <w:pStyle w:val="TableText"/>
              <w:jc w:val="center"/>
            </w:pPr>
            <w:r w:rsidRPr="00AB2265">
              <w:t>9.4 (</w:t>
            </w:r>
            <w:r w:rsidRPr="00AB2265">
              <w:rPr>
                <w:i/>
              </w:rPr>
              <w:t>6.92</w:t>
            </w:r>
            <w:r w:rsidRPr="00AB2265">
              <w:t>)</w:t>
            </w:r>
          </w:p>
        </w:tc>
      </w:tr>
      <w:tr w:rsidR="00942CC4" w:rsidRPr="00AB2265" w:rsidTr="00E40FEC">
        <w:trPr>
          <w:trHeight w:val="70"/>
          <w:tblHeader/>
        </w:trPr>
        <w:tc>
          <w:tcPr>
            <w:tcW w:w="1676" w:type="pct"/>
            <w:tcBorders>
              <w:top w:val="nil"/>
              <w:bottom w:val="single" w:sz="4" w:space="0" w:color="auto"/>
            </w:tcBorders>
          </w:tcPr>
          <w:p w:rsidR="00942CC4" w:rsidRPr="00AB2265" w:rsidRDefault="00942CC4" w:rsidP="00E40FEC">
            <w:pPr>
              <w:pStyle w:val="TableText"/>
            </w:pPr>
            <w:r w:rsidRPr="00AB2265">
              <w:t>Median (range)</w:t>
            </w:r>
          </w:p>
        </w:tc>
        <w:tc>
          <w:tcPr>
            <w:tcW w:w="366" w:type="pct"/>
            <w:tcBorders>
              <w:top w:val="nil"/>
              <w:bottom w:val="single" w:sz="4" w:space="0" w:color="auto"/>
            </w:tcBorders>
          </w:tcPr>
          <w:p w:rsidR="00942CC4" w:rsidRPr="00AB2265" w:rsidRDefault="00942CC4" w:rsidP="00E40FEC">
            <w:pPr>
              <w:pStyle w:val="TableText"/>
              <w:jc w:val="center"/>
            </w:pPr>
            <w:r w:rsidRPr="00AB2265">
              <w:t>71</w:t>
            </w:r>
          </w:p>
        </w:tc>
        <w:tc>
          <w:tcPr>
            <w:tcW w:w="1296" w:type="pct"/>
            <w:tcBorders>
              <w:top w:val="nil"/>
              <w:bottom w:val="single" w:sz="4" w:space="0" w:color="auto"/>
            </w:tcBorders>
          </w:tcPr>
          <w:p w:rsidR="00942CC4" w:rsidRPr="00AB2265" w:rsidRDefault="00942CC4" w:rsidP="00E40FEC">
            <w:pPr>
              <w:pStyle w:val="TableText"/>
              <w:jc w:val="center"/>
            </w:pPr>
            <w:r w:rsidRPr="00AB2265">
              <w:t>5.0 (1, 35)</w:t>
            </w:r>
          </w:p>
        </w:tc>
        <w:tc>
          <w:tcPr>
            <w:tcW w:w="354" w:type="pct"/>
            <w:tcBorders>
              <w:top w:val="nil"/>
              <w:bottom w:val="single" w:sz="4" w:space="0" w:color="auto"/>
            </w:tcBorders>
          </w:tcPr>
          <w:p w:rsidR="00942CC4" w:rsidRPr="00AB2265" w:rsidRDefault="00942CC4" w:rsidP="00E40FEC">
            <w:pPr>
              <w:pStyle w:val="TableText"/>
              <w:jc w:val="center"/>
            </w:pPr>
            <w:r w:rsidRPr="00AB2265">
              <w:t>73</w:t>
            </w:r>
          </w:p>
        </w:tc>
        <w:tc>
          <w:tcPr>
            <w:tcW w:w="1308" w:type="pct"/>
            <w:tcBorders>
              <w:top w:val="nil"/>
              <w:bottom w:val="single" w:sz="4" w:space="0" w:color="auto"/>
            </w:tcBorders>
          </w:tcPr>
          <w:p w:rsidR="00942CC4" w:rsidRPr="00AB2265" w:rsidRDefault="00942CC4" w:rsidP="00E40FEC">
            <w:pPr>
              <w:pStyle w:val="TableText"/>
              <w:jc w:val="center"/>
            </w:pPr>
            <w:r w:rsidRPr="00AB2265">
              <w:t>7.0 (3, 46)</w:t>
            </w:r>
          </w:p>
        </w:tc>
      </w:tr>
      <w:tr w:rsidR="00942CC4" w:rsidRPr="00AB2265" w:rsidTr="00E40FEC">
        <w:tc>
          <w:tcPr>
            <w:tcW w:w="5000" w:type="pct"/>
            <w:gridSpan w:val="5"/>
            <w:tcBorders>
              <w:top w:val="single" w:sz="4" w:space="0" w:color="auto"/>
              <w:bottom w:val="single" w:sz="4" w:space="0" w:color="auto"/>
            </w:tcBorders>
          </w:tcPr>
          <w:p w:rsidR="00942CC4" w:rsidRPr="00AB2265" w:rsidRDefault="00942CC4" w:rsidP="00E40FEC">
            <w:pPr>
              <w:pStyle w:val="TableText"/>
              <w:rPr>
                <w:b/>
              </w:rPr>
            </w:pPr>
            <w:r w:rsidRPr="00AB2265">
              <w:rPr>
                <w:b/>
              </w:rPr>
              <w:t>TITAN (Safety population)</w:t>
            </w:r>
          </w:p>
        </w:tc>
      </w:tr>
      <w:tr w:rsidR="00942CC4" w:rsidRPr="00AB2265" w:rsidTr="00E40FEC">
        <w:tc>
          <w:tcPr>
            <w:tcW w:w="1676" w:type="pct"/>
            <w:tcBorders>
              <w:top w:val="single" w:sz="4" w:space="0" w:color="auto"/>
              <w:bottom w:val="nil"/>
            </w:tcBorders>
          </w:tcPr>
          <w:p w:rsidR="00942CC4" w:rsidRPr="00AB2265" w:rsidRDefault="00942CC4" w:rsidP="00E40FEC">
            <w:pPr>
              <w:pStyle w:val="TableText"/>
            </w:pPr>
            <w:r w:rsidRPr="00AB2265">
              <w:t>Number of days with at least one PEX session (initial treatment period)</w:t>
            </w:r>
          </w:p>
        </w:tc>
        <w:tc>
          <w:tcPr>
            <w:tcW w:w="366" w:type="pct"/>
            <w:tcBorders>
              <w:bottom w:val="nil"/>
            </w:tcBorders>
          </w:tcPr>
          <w:p w:rsidR="00942CC4" w:rsidRPr="00AB2265" w:rsidRDefault="00942CC4" w:rsidP="00E40FEC">
            <w:pPr>
              <w:pStyle w:val="TableText"/>
              <w:jc w:val="center"/>
            </w:pPr>
          </w:p>
        </w:tc>
        <w:tc>
          <w:tcPr>
            <w:tcW w:w="1296" w:type="pct"/>
            <w:tcBorders>
              <w:bottom w:val="nil"/>
            </w:tcBorders>
          </w:tcPr>
          <w:p w:rsidR="00942CC4" w:rsidRPr="00AB2265" w:rsidRDefault="00942CC4" w:rsidP="00E40FEC">
            <w:pPr>
              <w:pStyle w:val="TableText"/>
              <w:jc w:val="center"/>
            </w:pPr>
          </w:p>
        </w:tc>
        <w:tc>
          <w:tcPr>
            <w:tcW w:w="354" w:type="pct"/>
            <w:tcBorders>
              <w:bottom w:val="nil"/>
            </w:tcBorders>
          </w:tcPr>
          <w:p w:rsidR="00942CC4" w:rsidRPr="00AB2265" w:rsidRDefault="00942CC4" w:rsidP="00E40FEC">
            <w:pPr>
              <w:pStyle w:val="TableText"/>
              <w:jc w:val="center"/>
            </w:pPr>
          </w:p>
        </w:tc>
        <w:tc>
          <w:tcPr>
            <w:tcW w:w="1308" w:type="pct"/>
            <w:tcBorders>
              <w:bottom w:val="nil"/>
            </w:tcBorders>
          </w:tcPr>
          <w:p w:rsidR="00942CC4" w:rsidRPr="00AB2265" w:rsidRDefault="00942CC4" w:rsidP="00E40FEC">
            <w:pPr>
              <w:pStyle w:val="TableText"/>
              <w:jc w:val="center"/>
            </w:pPr>
          </w:p>
        </w:tc>
      </w:tr>
      <w:tr w:rsidR="00942CC4" w:rsidRPr="00AB2265" w:rsidTr="00E40FEC">
        <w:tc>
          <w:tcPr>
            <w:tcW w:w="1676" w:type="pct"/>
            <w:tcBorders>
              <w:top w:val="nil"/>
              <w:bottom w:val="nil"/>
            </w:tcBorders>
          </w:tcPr>
          <w:p w:rsidR="00942CC4" w:rsidRPr="00AB2265" w:rsidRDefault="00942CC4" w:rsidP="00E40FEC">
            <w:pPr>
              <w:pStyle w:val="TableText"/>
            </w:pPr>
            <w:r w:rsidRPr="00AB2265">
              <w:t>Mean (SD)</w:t>
            </w:r>
          </w:p>
        </w:tc>
        <w:tc>
          <w:tcPr>
            <w:tcW w:w="366" w:type="pct"/>
            <w:tcBorders>
              <w:top w:val="nil"/>
              <w:bottom w:val="nil"/>
            </w:tcBorders>
          </w:tcPr>
          <w:p w:rsidR="00942CC4" w:rsidRPr="00AB2265" w:rsidRDefault="00942CC4" w:rsidP="00E40FEC">
            <w:pPr>
              <w:pStyle w:val="TableText"/>
              <w:jc w:val="center"/>
            </w:pPr>
            <w:r w:rsidRPr="00AB2265">
              <w:t>35</w:t>
            </w:r>
          </w:p>
        </w:tc>
        <w:tc>
          <w:tcPr>
            <w:tcW w:w="1296" w:type="pct"/>
            <w:tcBorders>
              <w:top w:val="nil"/>
              <w:bottom w:val="nil"/>
            </w:tcBorders>
          </w:tcPr>
          <w:p w:rsidR="00942CC4" w:rsidRPr="00AB2265" w:rsidRDefault="00942CC4" w:rsidP="00E40FEC">
            <w:pPr>
              <w:pStyle w:val="TableText"/>
              <w:jc w:val="center"/>
            </w:pPr>
            <w:r w:rsidRPr="00AB2265">
              <w:t>5.9 (2.43)</w:t>
            </w:r>
          </w:p>
        </w:tc>
        <w:tc>
          <w:tcPr>
            <w:tcW w:w="354" w:type="pct"/>
            <w:tcBorders>
              <w:top w:val="nil"/>
              <w:bottom w:val="nil"/>
            </w:tcBorders>
          </w:tcPr>
          <w:p w:rsidR="00942CC4" w:rsidRPr="00AB2265" w:rsidRDefault="00942CC4" w:rsidP="00E40FEC">
            <w:pPr>
              <w:pStyle w:val="TableText"/>
              <w:jc w:val="center"/>
            </w:pPr>
            <w:r w:rsidRPr="00AB2265">
              <w:t>37</w:t>
            </w:r>
          </w:p>
        </w:tc>
        <w:tc>
          <w:tcPr>
            <w:tcW w:w="1308" w:type="pct"/>
            <w:tcBorders>
              <w:top w:val="nil"/>
              <w:bottom w:val="nil"/>
            </w:tcBorders>
          </w:tcPr>
          <w:p w:rsidR="00942CC4" w:rsidRPr="00AB2265" w:rsidRDefault="00942CC4" w:rsidP="00E40FEC">
            <w:pPr>
              <w:pStyle w:val="TableText"/>
              <w:jc w:val="center"/>
            </w:pPr>
            <w:r w:rsidRPr="00AB2265">
              <w:t>7.9 (6.43)</w:t>
            </w:r>
          </w:p>
        </w:tc>
      </w:tr>
      <w:tr w:rsidR="00942CC4" w:rsidRPr="00AB2265" w:rsidTr="00E40FEC">
        <w:tc>
          <w:tcPr>
            <w:tcW w:w="1676" w:type="pct"/>
            <w:tcBorders>
              <w:top w:val="nil"/>
              <w:bottom w:val="single" w:sz="4" w:space="0" w:color="auto"/>
            </w:tcBorders>
          </w:tcPr>
          <w:p w:rsidR="00942CC4" w:rsidRPr="00AB2265" w:rsidRDefault="00942CC4" w:rsidP="00E40FEC">
            <w:pPr>
              <w:pStyle w:val="TableText"/>
            </w:pPr>
            <w:r w:rsidRPr="00AB2265">
              <w:t>Median (range)</w:t>
            </w:r>
          </w:p>
        </w:tc>
        <w:tc>
          <w:tcPr>
            <w:tcW w:w="366" w:type="pct"/>
            <w:tcBorders>
              <w:top w:val="nil"/>
              <w:bottom w:val="single" w:sz="4" w:space="0" w:color="auto"/>
            </w:tcBorders>
          </w:tcPr>
          <w:p w:rsidR="00942CC4" w:rsidRPr="00AB2265" w:rsidRDefault="00942CC4" w:rsidP="00E40FEC">
            <w:pPr>
              <w:pStyle w:val="TableText"/>
              <w:jc w:val="center"/>
            </w:pPr>
            <w:r w:rsidRPr="00AB2265">
              <w:t>35</w:t>
            </w:r>
          </w:p>
        </w:tc>
        <w:tc>
          <w:tcPr>
            <w:tcW w:w="1296" w:type="pct"/>
            <w:tcBorders>
              <w:top w:val="nil"/>
              <w:bottom w:val="single" w:sz="4" w:space="0" w:color="auto"/>
            </w:tcBorders>
          </w:tcPr>
          <w:p w:rsidR="00942CC4" w:rsidRPr="00AB2265" w:rsidRDefault="00942CC4" w:rsidP="00E40FEC">
            <w:pPr>
              <w:pStyle w:val="TableText"/>
              <w:jc w:val="center"/>
            </w:pPr>
            <w:r w:rsidRPr="00AB2265">
              <w:t>5.0 (3, 15)</w:t>
            </w:r>
          </w:p>
        </w:tc>
        <w:tc>
          <w:tcPr>
            <w:tcW w:w="354" w:type="pct"/>
            <w:tcBorders>
              <w:top w:val="nil"/>
              <w:bottom w:val="single" w:sz="4" w:space="0" w:color="auto"/>
            </w:tcBorders>
          </w:tcPr>
          <w:p w:rsidR="00942CC4" w:rsidRPr="00AB2265" w:rsidRDefault="00942CC4" w:rsidP="00E40FEC">
            <w:pPr>
              <w:pStyle w:val="TableText"/>
              <w:jc w:val="center"/>
            </w:pPr>
            <w:r w:rsidRPr="00AB2265">
              <w:t>37</w:t>
            </w:r>
          </w:p>
        </w:tc>
        <w:tc>
          <w:tcPr>
            <w:tcW w:w="1308" w:type="pct"/>
            <w:tcBorders>
              <w:top w:val="nil"/>
              <w:bottom w:val="single" w:sz="4" w:space="0" w:color="auto"/>
            </w:tcBorders>
          </w:tcPr>
          <w:p w:rsidR="00942CC4" w:rsidRPr="00AB2265" w:rsidRDefault="00942CC4" w:rsidP="00E40FEC">
            <w:pPr>
              <w:pStyle w:val="TableText"/>
              <w:jc w:val="center"/>
            </w:pPr>
            <w:r w:rsidRPr="00AB2265">
              <w:t>6.0 (2, 35)</w:t>
            </w:r>
          </w:p>
        </w:tc>
      </w:tr>
      <w:tr w:rsidR="00942CC4" w:rsidRPr="00AB2265" w:rsidTr="00E40FEC">
        <w:tc>
          <w:tcPr>
            <w:tcW w:w="1676" w:type="pct"/>
            <w:tcBorders>
              <w:top w:val="single" w:sz="4" w:space="0" w:color="auto"/>
              <w:bottom w:val="nil"/>
            </w:tcBorders>
          </w:tcPr>
          <w:p w:rsidR="00942CC4" w:rsidRPr="00AB2265" w:rsidRDefault="00942CC4" w:rsidP="00E40FEC">
            <w:pPr>
              <w:pStyle w:val="TableText"/>
            </w:pPr>
            <w:r w:rsidRPr="00AB2265">
              <w:t xml:space="preserve">Number of PEX </w:t>
            </w:r>
            <w:proofErr w:type="spellStart"/>
            <w:r w:rsidRPr="00AB2265">
              <w:t>sessions</w:t>
            </w:r>
            <w:r w:rsidRPr="00AB2265">
              <w:rPr>
                <w:vertAlign w:val="superscript"/>
              </w:rPr>
              <w:t>a</w:t>
            </w:r>
            <w:proofErr w:type="spellEnd"/>
            <w:r w:rsidRPr="00AB2265">
              <w:rPr>
                <w:vertAlign w:val="superscript"/>
              </w:rPr>
              <w:t xml:space="preserve"> </w:t>
            </w:r>
            <w:r w:rsidRPr="00AB2265">
              <w:t>(initial treatment period)</w:t>
            </w:r>
          </w:p>
        </w:tc>
        <w:tc>
          <w:tcPr>
            <w:tcW w:w="366" w:type="pct"/>
            <w:tcBorders>
              <w:bottom w:val="nil"/>
            </w:tcBorders>
          </w:tcPr>
          <w:p w:rsidR="00942CC4" w:rsidRPr="00AB2265" w:rsidRDefault="00942CC4" w:rsidP="00E40FEC">
            <w:pPr>
              <w:pStyle w:val="TableText"/>
              <w:jc w:val="center"/>
            </w:pPr>
          </w:p>
        </w:tc>
        <w:tc>
          <w:tcPr>
            <w:tcW w:w="1296" w:type="pct"/>
            <w:tcBorders>
              <w:bottom w:val="nil"/>
            </w:tcBorders>
          </w:tcPr>
          <w:p w:rsidR="00942CC4" w:rsidRPr="00AB2265" w:rsidRDefault="00942CC4" w:rsidP="00E40FEC">
            <w:pPr>
              <w:pStyle w:val="TableText"/>
              <w:jc w:val="center"/>
            </w:pPr>
          </w:p>
        </w:tc>
        <w:tc>
          <w:tcPr>
            <w:tcW w:w="354" w:type="pct"/>
            <w:tcBorders>
              <w:bottom w:val="nil"/>
            </w:tcBorders>
          </w:tcPr>
          <w:p w:rsidR="00942CC4" w:rsidRPr="00AB2265" w:rsidRDefault="00942CC4" w:rsidP="00E40FEC">
            <w:pPr>
              <w:pStyle w:val="TableText"/>
              <w:jc w:val="center"/>
            </w:pPr>
          </w:p>
        </w:tc>
        <w:tc>
          <w:tcPr>
            <w:tcW w:w="1308" w:type="pct"/>
            <w:tcBorders>
              <w:bottom w:val="nil"/>
            </w:tcBorders>
          </w:tcPr>
          <w:p w:rsidR="00942CC4" w:rsidRPr="00AB2265" w:rsidRDefault="00942CC4" w:rsidP="00E40FEC">
            <w:pPr>
              <w:pStyle w:val="TableText"/>
              <w:jc w:val="center"/>
            </w:pPr>
          </w:p>
        </w:tc>
      </w:tr>
      <w:tr w:rsidR="00942CC4" w:rsidRPr="00AB2265" w:rsidTr="00E40FEC">
        <w:tc>
          <w:tcPr>
            <w:tcW w:w="1676" w:type="pct"/>
            <w:tcBorders>
              <w:top w:val="nil"/>
              <w:bottom w:val="nil"/>
            </w:tcBorders>
          </w:tcPr>
          <w:p w:rsidR="00942CC4" w:rsidRPr="00AB2265" w:rsidRDefault="00942CC4" w:rsidP="00E40FEC">
            <w:pPr>
              <w:pStyle w:val="TableText"/>
            </w:pPr>
            <w:r w:rsidRPr="00AB2265">
              <w:t>Mean (SD)</w:t>
            </w:r>
          </w:p>
        </w:tc>
        <w:tc>
          <w:tcPr>
            <w:tcW w:w="366" w:type="pct"/>
            <w:tcBorders>
              <w:top w:val="nil"/>
              <w:bottom w:val="nil"/>
            </w:tcBorders>
          </w:tcPr>
          <w:p w:rsidR="00942CC4" w:rsidRPr="00AB2265" w:rsidRDefault="00942CC4" w:rsidP="00E40FEC">
            <w:pPr>
              <w:pStyle w:val="TableText"/>
              <w:jc w:val="center"/>
            </w:pPr>
            <w:r w:rsidRPr="00AB2265">
              <w:t>35</w:t>
            </w:r>
          </w:p>
        </w:tc>
        <w:tc>
          <w:tcPr>
            <w:tcW w:w="1296" w:type="pct"/>
            <w:tcBorders>
              <w:top w:val="nil"/>
              <w:bottom w:val="nil"/>
            </w:tcBorders>
          </w:tcPr>
          <w:p w:rsidR="00942CC4" w:rsidRPr="00AB2265" w:rsidRDefault="00942CC4" w:rsidP="00E40FEC">
            <w:pPr>
              <w:pStyle w:val="TableText"/>
              <w:jc w:val="center"/>
            </w:pPr>
            <w:r w:rsidRPr="00AB2265">
              <w:t>6.7 (3.69)</w:t>
            </w:r>
          </w:p>
        </w:tc>
        <w:tc>
          <w:tcPr>
            <w:tcW w:w="354" w:type="pct"/>
            <w:tcBorders>
              <w:top w:val="nil"/>
              <w:bottom w:val="nil"/>
            </w:tcBorders>
          </w:tcPr>
          <w:p w:rsidR="00942CC4" w:rsidRPr="00AB2265" w:rsidRDefault="00942CC4" w:rsidP="00E40FEC">
            <w:pPr>
              <w:pStyle w:val="TableText"/>
              <w:jc w:val="center"/>
            </w:pPr>
            <w:r w:rsidRPr="00AB2265">
              <w:t>37</w:t>
            </w:r>
          </w:p>
        </w:tc>
        <w:tc>
          <w:tcPr>
            <w:tcW w:w="1308" w:type="pct"/>
            <w:tcBorders>
              <w:top w:val="nil"/>
              <w:bottom w:val="nil"/>
            </w:tcBorders>
          </w:tcPr>
          <w:p w:rsidR="00942CC4" w:rsidRPr="00AB2265" w:rsidRDefault="00942CC4" w:rsidP="00E40FEC">
            <w:pPr>
              <w:pStyle w:val="TableText"/>
              <w:jc w:val="center"/>
            </w:pPr>
            <w:r w:rsidRPr="00AB2265">
              <w:t>8.4 (6.74)</w:t>
            </w:r>
          </w:p>
        </w:tc>
      </w:tr>
      <w:tr w:rsidR="00942CC4" w:rsidRPr="00AB2265" w:rsidTr="00E40FEC">
        <w:tc>
          <w:tcPr>
            <w:tcW w:w="1676" w:type="pct"/>
            <w:tcBorders>
              <w:top w:val="nil"/>
              <w:bottom w:val="single" w:sz="4" w:space="0" w:color="auto"/>
            </w:tcBorders>
          </w:tcPr>
          <w:p w:rsidR="00942CC4" w:rsidRPr="00AB2265" w:rsidRDefault="00942CC4" w:rsidP="00E40FEC">
            <w:pPr>
              <w:pStyle w:val="TableText"/>
            </w:pPr>
            <w:r w:rsidRPr="00AB2265">
              <w:t>Median (range)</w:t>
            </w:r>
          </w:p>
        </w:tc>
        <w:tc>
          <w:tcPr>
            <w:tcW w:w="366" w:type="pct"/>
            <w:tcBorders>
              <w:top w:val="nil"/>
              <w:bottom w:val="single" w:sz="4" w:space="0" w:color="auto"/>
            </w:tcBorders>
          </w:tcPr>
          <w:p w:rsidR="00942CC4" w:rsidRPr="00AB2265" w:rsidRDefault="00942CC4" w:rsidP="00E40FEC">
            <w:pPr>
              <w:pStyle w:val="TableText"/>
              <w:jc w:val="center"/>
            </w:pPr>
            <w:r w:rsidRPr="00AB2265">
              <w:t>35</w:t>
            </w:r>
          </w:p>
        </w:tc>
        <w:tc>
          <w:tcPr>
            <w:tcW w:w="1296" w:type="pct"/>
            <w:tcBorders>
              <w:top w:val="nil"/>
              <w:bottom w:val="single" w:sz="4" w:space="0" w:color="auto"/>
            </w:tcBorders>
          </w:tcPr>
          <w:p w:rsidR="00942CC4" w:rsidRPr="00AB2265" w:rsidRDefault="00942CC4" w:rsidP="00E40FEC">
            <w:pPr>
              <w:pStyle w:val="TableText"/>
              <w:jc w:val="center"/>
            </w:pPr>
            <w:r w:rsidRPr="00AB2265">
              <w:t>6.0 (3, 22)</w:t>
            </w:r>
          </w:p>
        </w:tc>
        <w:tc>
          <w:tcPr>
            <w:tcW w:w="354" w:type="pct"/>
            <w:tcBorders>
              <w:top w:val="nil"/>
              <w:bottom w:val="single" w:sz="4" w:space="0" w:color="auto"/>
            </w:tcBorders>
          </w:tcPr>
          <w:p w:rsidR="00942CC4" w:rsidRPr="00AB2265" w:rsidRDefault="00942CC4" w:rsidP="00E40FEC">
            <w:pPr>
              <w:pStyle w:val="TableText"/>
              <w:jc w:val="center"/>
            </w:pPr>
            <w:r w:rsidRPr="00AB2265">
              <w:t>37</w:t>
            </w:r>
          </w:p>
        </w:tc>
        <w:tc>
          <w:tcPr>
            <w:tcW w:w="1308" w:type="pct"/>
            <w:tcBorders>
              <w:top w:val="nil"/>
              <w:bottom w:val="single" w:sz="4" w:space="0" w:color="auto"/>
            </w:tcBorders>
          </w:tcPr>
          <w:p w:rsidR="00942CC4" w:rsidRPr="00AB2265" w:rsidRDefault="00942CC4" w:rsidP="00E40FEC">
            <w:pPr>
              <w:pStyle w:val="TableText"/>
              <w:jc w:val="center"/>
            </w:pPr>
            <w:r w:rsidRPr="00AB2265">
              <w:t>6.0 (3, 36)</w:t>
            </w:r>
          </w:p>
        </w:tc>
      </w:tr>
      <w:tr w:rsidR="00942CC4" w:rsidRPr="00AB2265" w:rsidTr="00E40FEC">
        <w:tc>
          <w:tcPr>
            <w:tcW w:w="1676" w:type="pct"/>
            <w:tcBorders>
              <w:top w:val="single" w:sz="4" w:space="0" w:color="auto"/>
              <w:bottom w:val="nil"/>
            </w:tcBorders>
          </w:tcPr>
          <w:p w:rsidR="00942CC4" w:rsidRPr="00AB2265" w:rsidRDefault="00942CC4" w:rsidP="00E40FEC">
            <w:pPr>
              <w:pStyle w:val="TableText"/>
              <w:rPr>
                <w:vertAlign w:val="superscript"/>
              </w:rPr>
            </w:pPr>
            <w:r w:rsidRPr="00AB2265">
              <w:t>Number of days with at least one PEX session (overall treatment period)</w:t>
            </w:r>
            <w:r w:rsidRPr="00AB2265">
              <w:rPr>
                <w:vertAlign w:val="superscript"/>
              </w:rPr>
              <w:t>b</w:t>
            </w:r>
          </w:p>
        </w:tc>
        <w:tc>
          <w:tcPr>
            <w:tcW w:w="366" w:type="pct"/>
            <w:tcBorders>
              <w:bottom w:val="nil"/>
            </w:tcBorders>
          </w:tcPr>
          <w:p w:rsidR="00942CC4" w:rsidRPr="00AB2265" w:rsidRDefault="00942CC4" w:rsidP="00E40FEC">
            <w:pPr>
              <w:pStyle w:val="TableText"/>
              <w:jc w:val="center"/>
            </w:pPr>
          </w:p>
        </w:tc>
        <w:tc>
          <w:tcPr>
            <w:tcW w:w="1296" w:type="pct"/>
            <w:tcBorders>
              <w:bottom w:val="nil"/>
            </w:tcBorders>
          </w:tcPr>
          <w:p w:rsidR="00942CC4" w:rsidRPr="00AB2265" w:rsidRDefault="00942CC4" w:rsidP="00E40FEC">
            <w:pPr>
              <w:pStyle w:val="TableText"/>
              <w:jc w:val="center"/>
            </w:pPr>
          </w:p>
        </w:tc>
        <w:tc>
          <w:tcPr>
            <w:tcW w:w="354" w:type="pct"/>
            <w:tcBorders>
              <w:bottom w:val="nil"/>
            </w:tcBorders>
          </w:tcPr>
          <w:p w:rsidR="00942CC4" w:rsidRPr="00AB2265" w:rsidRDefault="00942CC4" w:rsidP="00E40FEC">
            <w:pPr>
              <w:pStyle w:val="TableText"/>
              <w:jc w:val="center"/>
            </w:pPr>
          </w:p>
        </w:tc>
        <w:tc>
          <w:tcPr>
            <w:tcW w:w="1308" w:type="pct"/>
            <w:tcBorders>
              <w:bottom w:val="nil"/>
            </w:tcBorders>
          </w:tcPr>
          <w:p w:rsidR="00942CC4" w:rsidRPr="00AB2265" w:rsidRDefault="00942CC4" w:rsidP="00E40FEC">
            <w:pPr>
              <w:pStyle w:val="TableText"/>
              <w:jc w:val="center"/>
            </w:pPr>
          </w:p>
        </w:tc>
      </w:tr>
      <w:tr w:rsidR="00942CC4" w:rsidRPr="00AB2265" w:rsidTr="00E40FEC">
        <w:tc>
          <w:tcPr>
            <w:tcW w:w="1676" w:type="pct"/>
            <w:tcBorders>
              <w:top w:val="nil"/>
              <w:bottom w:val="nil"/>
            </w:tcBorders>
          </w:tcPr>
          <w:p w:rsidR="00942CC4" w:rsidRPr="00AB2265" w:rsidRDefault="00942CC4" w:rsidP="00E40FEC">
            <w:pPr>
              <w:pStyle w:val="TableText"/>
            </w:pPr>
            <w:r w:rsidRPr="00AB2265">
              <w:t>Mean (SD)</w:t>
            </w:r>
          </w:p>
        </w:tc>
        <w:tc>
          <w:tcPr>
            <w:tcW w:w="366" w:type="pct"/>
            <w:tcBorders>
              <w:top w:val="nil"/>
              <w:bottom w:val="nil"/>
            </w:tcBorders>
          </w:tcPr>
          <w:p w:rsidR="00942CC4" w:rsidRPr="00AB2265" w:rsidRDefault="00942CC4" w:rsidP="00E40FEC">
            <w:pPr>
              <w:pStyle w:val="TableText"/>
              <w:jc w:val="center"/>
            </w:pPr>
            <w:r w:rsidRPr="00AB2265">
              <w:t>35</w:t>
            </w:r>
          </w:p>
        </w:tc>
        <w:tc>
          <w:tcPr>
            <w:tcW w:w="1296" w:type="pct"/>
            <w:tcBorders>
              <w:top w:val="nil"/>
              <w:bottom w:val="nil"/>
            </w:tcBorders>
          </w:tcPr>
          <w:p w:rsidR="00942CC4" w:rsidRPr="00AB2265" w:rsidRDefault="00942CC4" w:rsidP="00E40FEC">
            <w:pPr>
              <w:pStyle w:val="TableText"/>
              <w:jc w:val="center"/>
            </w:pPr>
            <w:r w:rsidRPr="00AB2265">
              <w:t>7.7 (4.7)</w:t>
            </w:r>
          </w:p>
        </w:tc>
        <w:tc>
          <w:tcPr>
            <w:tcW w:w="354" w:type="pct"/>
            <w:tcBorders>
              <w:top w:val="nil"/>
              <w:bottom w:val="nil"/>
            </w:tcBorders>
          </w:tcPr>
          <w:p w:rsidR="00942CC4" w:rsidRPr="00AB2265" w:rsidRDefault="00942CC4" w:rsidP="00E40FEC">
            <w:pPr>
              <w:pStyle w:val="TableText"/>
              <w:jc w:val="center"/>
            </w:pPr>
            <w:r w:rsidRPr="00AB2265">
              <w:t>37</w:t>
            </w:r>
          </w:p>
        </w:tc>
        <w:tc>
          <w:tcPr>
            <w:tcW w:w="1308" w:type="pct"/>
            <w:tcBorders>
              <w:top w:val="nil"/>
              <w:bottom w:val="nil"/>
            </w:tcBorders>
          </w:tcPr>
          <w:p w:rsidR="00942CC4" w:rsidRPr="00AB2265" w:rsidRDefault="00942CC4" w:rsidP="00E40FEC">
            <w:pPr>
              <w:pStyle w:val="TableText"/>
              <w:jc w:val="center"/>
            </w:pPr>
            <w:r w:rsidRPr="00AB2265">
              <w:t>11.7 (8.5)</w:t>
            </w:r>
          </w:p>
        </w:tc>
      </w:tr>
      <w:tr w:rsidR="00942CC4" w:rsidRPr="00AB2265" w:rsidTr="00E40FEC">
        <w:tc>
          <w:tcPr>
            <w:tcW w:w="1676" w:type="pct"/>
            <w:tcBorders>
              <w:top w:val="nil"/>
              <w:bottom w:val="single" w:sz="4" w:space="0" w:color="auto"/>
            </w:tcBorders>
          </w:tcPr>
          <w:p w:rsidR="00942CC4" w:rsidRPr="00AB2265" w:rsidRDefault="00942CC4" w:rsidP="00E40FEC">
            <w:pPr>
              <w:pStyle w:val="TableText"/>
            </w:pPr>
            <w:r w:rsidRPr="00AB2265">
              <w:t>Median (range)</w:t>
            </w:r>
          </w:p>
        </w:tc>
        <w:tc>
          <w:tcPr>
            <w:tcW w:w="366" w:type="pct"/>
            <w:tcBorders>
              <w:top w:val="nil"/>
              <w:bottom w:val="single" w:sz="4" w:space="0" w:color="auto"/>
            </w:tcBorders>
          </w:tcPr>
          <w:p w:rsidR="00942CC4" w:rsidRPr="00AB2265" w:rsidRDefault="00942CC4" w:rsidP="00E40FEC">
            <w:pPr>
              <w:pStyle w:val="TableText"/>
              <w:jc w:val="center"/>
            </w:pPr>
            <w:r w:rsidRPr="00AB2265">
              <w:t>35</w:t>
            </w:r>
          </w:p>
        </w:tc>
        <w:tc>
          <w:tcPr>
            <w:tcW w:w="1296" w:type="pct"/>
            <w:tcBorders>
              <w:top w:val="nil"/>
              <w:bottom w:val="single" w:sz="4" w:space="0" w:color="auto"/>
            </w:tcBorders>
          </w:tcPr>
          <w:p w:rsidR="00942CC4" w:rsidRPr="00AB2265" w:rsidRDefault="00942CC4" w:rsidP="00E40FEC">
            <w:pPr>
              <w:pStyle w:val="TableText"/>
              <w:jc w:val="center"/>
            </w:pPr>
            <w:r w:rsidRPr="00AB2265">
              <w:t>6 (3, 21)</w:t>
            </w:r>
          </w:p>
        </w:tc>
        <w:tc>
          <w:tcPr>
            <w:tcW w:w="354" w:type="pct"/>
            <w:tcBorders>
              <w:top w:val="nil"/>
              <w:bottom w:val="single" w:sz="4" w:space="0" w:color="auto"/>
            </w:tcBorders>
          </w:tcPr>
          <w:p w:rsidR="00942CC4" w:rsidRPr="00AB2265" w:rsidRDefault="00942CC4" w:rsidP="00E40FEC">
            <w:pPr>
              <w:pStyle w:val="TableText"/>
              <w:jc w:val="center"/>
            </w:pPr>
            <w:r w:rsidRPr="00AB2265">
              <w:t>37</w:t>
            </w:r>
          </w:p>
        </w:tc>
        <w:tc>
          <w:tcPr>
            <w:tcW w:w="1308" w:type="pct"/>
            <w:tcBorders>
              <w:top w:val="nil"/>
              <w:bottom w:val="single" w:sz="4" w:space="0" w:color="auto"/>
            </w:tcBorders>
          </w:tcPr>
          <w:p w:rsidR="00942CC4" w:rsidRPr="00AB2265" w:rsidRDefault="00942CC4" w:rsidP="00E40FEC">
            <w:pPr>
              <w:pStyle w:val="TableText"/>
              <w:jc w:val="center"/>
            </w:pPr>
            <w:r w:rsidRPr="00AB2265">
              <w:t>8 (2, 43)</w:t>
            </w:r>
          </w:p>
        </w:tc>
      </w:tr>
    </w:tbl>
    <w:p w:rsidR="00942CC4" w:rsidRPr="00AB2265" w:rsidRDefault="00942CC4" w:rsidP="00942CC4">
      <w:pPr>
        <w:pStyle w:val="TableFigureFooter"/>
      </w:pPr>
      <w:r w:rsidRPr="00AB2265">
        <w:t>Source: Table 2.5.12, p.72-3 of the submission</w:t>
      </w:r>
    </w:p>
    <w:p w:rsidR="00942CC4" w:rsidRPr="00AB2265" w:rsidRDefault="00942CC4" w:rsidP="00942CC4">
      <w:pPr>
        <w:pStyle w:val="TableFigureFooter"/>
      </w:pPr>
      <w:r w:rsidRPr="00AB2265">
        <w:t xml:space="preserve">Abbreviations: ITT, intention to treat; mITT, modified intention to treat; NR, not reported; OL, open label; PEX, plasma exchange; </w:t>
      </w:r>
      <w:r w:rsidR="003C7E09" w:rsidRPr="00AB2265">
        <w:t>SD</w:t>
      </w:r>
      <w:r w:rsidRPr="00AB2265">
        <w:t>, standard deviation; SE, standard error</w:t>
      </w:r>
    </w:p>
    <w:p w:rsidR="00942CC4" w:rsidRPr="00AB2265" w:rsidRDefault="00942CC4" w:rsidP="00942CC4">
      <w:pPr>
        <w:pStyle w:val="TableFigureFooter"/>
      </w:pPr>
      <w:r w:rsidRPr="00AB2265">
        <w:t>Values in italics were calculated during the evaluation</w:t>
      </w:r>
    </w:p>
    <w:p w:rsidR="00942CC4" w:rsidRPr="00AB2265" w:rsidRDefault="00942CC4" w:rsidP="00942CC4">
      <w:pPr>
        <w:pStyle w:val="TableFigureFooter"/>
      </w:pPr>
      <w:proofErr w:type="gramStart"/>
      <w:r w:rsidRPr="00AB2265">
        <w:rPr>
          <w:vertAlign w:val="superscript"/>
        </w:rPr>
        <w:t>a</w:t>
      </w:r>
      <w:proofErr w:type="gramEnd"/>
      <w:r w:rsidRPr="00AB2265">
        <w:t xml:space="preserve"> PEX was able to be administered more than once per day in TITAN, but was daily in HERCULES.</w:t>
      </w:r>
    </w:p>
    <w:p w:rsidR="00942CC4" w:rsidRPr="00AB2265" w:rsidRDefault="00942CC4" w:rsidP="00942CC4">
      <w:pPr>
        <w:pStyle w:val="TableFigureFooter"/>
      </w:pPr>
      <w:proofErr w:type="gramStart"/>
      <w:r w:rsidRPr="00AB2265">
        <w:rPr>
          <w:vertAlign w:val="superscript"/>
        </w:rPr>
        <w:t>b</w:t>
      </w:r>
      <w:proofErr w:type="gramEnd"/>
      <w:r w:rsidRPr="00AB2265">
        <w:t xml:space="preserve"> Includes PEX after exacerbation in TITAN and during open-label caplacizumab period (due to exacerbation or relapse) in HERCULES</w:t>
      </w:r>
    </w:p>
    <w:p w:rsidR="00942CC4" w:rsidRPr="00AB2265" w:rsidRDefault="00942CC4" w:rsidP="00F21D71">
      <w:pPr>
        <w:pStyle w:val="ExecSumBodyText"/>
        <w:numPr>
          <w:ilvl w:val="1"/>
          <w:numId w:val="1"/>
        </w:numPr>
      </w:pPr>
      <w:r w:rsidRPr="00AB2265">
        <w:t xml:space="preserve">During the double blind treatment period of the HERCULES trial, there was a </w:t>
      </w:r>
      <w:r w:rsidR="00F671C6" w:rsidRPr="00AB2265">
        <w:t>mean</w:t>
      </w:r>
      <w:r w:rsidR="00F671C6" w:rsidRPr="00AB2265">
        <w:rPr>
          <w:i/>
        </w:rPr>
        <w:t xml:space="preserve"> </w:t>
      </w:r>
      <w:r w:rsidRPr="00AB2265">
        <w:t>one day reduction in plasma exchange for caplacizumab versus placebo. There was no difference in the median days of plasma exchange. The first session of plasma exchange in HERCULES occurred pre-randomisation and was not included in the calculation of mean and median duration. A similar difference between treatment arms was observed in terms of volume of plasma exchange.</w:t>
      </w:r>
      <w:r w:rsidRPr="00AB2265">
        <w:rPr>
          <w:i/>
        </w:rPr>
        <w:t xml:space="preserve"> </w:t>
      </w:r>
      <w:r w:rsidRPr="00AB2265">
        <w:t xml:space="preserve">The difference between treatment arms for the overall study period, which includes significant crossover from the placebo arm to open label caplacizumab, was more pronounced (mean 5.8 vs. 9.4 days), however due to the crossover this difference is difficult to interpret. This difference may also be protocol driven, since based on the evidence presented in the submission the risk of disease recurrence, and therefore additional plasma exchange and crossover to caplacizumab, was high in the placebo arm. </w:t>
      </w:r>
    </w:p>
    <w:p w:rsidR="00942CC4" w:rsidRPr="00AB2265" w:rsidRDefault="00942CC4" w:rsidP="00F21D71">
      <w:pPr>
        <w:pStyle w:val="ExecSumBodyText"/>
        <w:numPr>
          <w:ilvl w:val="1"/>
          <w:numId w:val="1"/>
        </w:numPr>
        <w:rPr>
          <w:i/>
        </w:rPr>
      </w:pPr>
      <w:r w:rsidRPr="00AB2265">
        <w:t>Similarly, in the TITAN trial, treatment with caplacizumab was associated with a reduction in the number of days and volume of plasma exchange compared with placebo</w:t>
      </w:r>
      <w:r w:rsidRPr="00AB2265">
        <w:rPr>
          <w:i/>
        </w:rPr>
        <w:t>.</w:t>
      </w:r>
    </w:p>
    <w:p w:rsidR="003C7E09" w:rsidRPr="00AB2265" w:rsidRDefault="003C7E09" w:rsidP="003C7E09">
      <w:pPr>
        <w:pStyle w:val="ExecSumBodyText"/>
        <w:numPr>
          <w:ilvl w:val="1"/>
          <w:numId w:val="4"/>
        </w:numPr>
      </w:pPr>
      <w:r w:rsidRPr="00AB2265">
        <w:lastRenderedPageBreak/>
        <w:t>In HERCULES, the mean length of stay in hospital (which included time in ICU) during the initial treatment period, overall treatment period, and overall study period was shorter in the caplacizumab group compared with the placebo group</w:t>
      </w:r>
      <w:r w:rsidR="00654D13" w:rsidRPr="00AB2265">
        <w:t xml:space="preserve"> (5.5 days vs 6.8 days</w:t>
      </w:r>
      <w:r w:rsidR="00654D13" w:rsidRPr="00AB2265">
        <w:rPr>
          <w:i/>
        </w:rPr>
        <w:t>)</w:t>
      </w:r>
      <w:r w:rsidRPr="00AB2265">
        <w:t>.</w:t>
      </w:r>
      <w:r w:rsidR="00654D13" w:rsidRPr="00AB2265">
        <w:t xml:space="preserve"> Median </w:t>
      </w:r>
      <w:proofErr w:type="gramStart"/>
      <w:r w:rsidR="00654D13" w:rsidRPr="00AB2265">
        <w:t>days</w:t>
      </w:r>
      <w:proofErr w:type="gramEnd"/>
      <w:r w:rsidR="00654D13" w:rsidRPr="00AB2265">
        <w:t xml:space="preserve"> hospital stay for that period was equal at 5 days.</w:t>
      </w:r>
      <w:r w:rsidRPr="00AB2265">
        <w:t xml:space="preserve"> Overall, 54 patients were admitted to ICU during the HERCULES study, 28 randomised to caplacizumab (39.4%) and 27 randomised to placebo (37.0%). </w:t>
      </w:r>
      <w:r w:rsidR="00A17BEB" w:rsidRPr="00AB2265">
        <w:t>As noted above, there was significant crossover to open label caplacizumab, and the protocol driven outcomes lead to a higher risk of recurrence in the placebo arm leading to additional plasma exchange and longer hospital stays</w:t>
      </w:r>
      <w:r w:rsidRPr="00AB2265">
        <w:t>.</w:t>
      </w:r>
    </w:p>
    <w:p w:rsidR="003C7E09" w:rsidRPr="00AB2265" w:rsidRDefault="003C7E09" w:rsidP="00F21D71">
      <w:pPr>
        <w:pStyle w:val="ExecSumBodyText"/>
        <w:numPr>
          <w:ilvl w:val="1"/>
          <w:numId w:val="1"/>
        </w:numPr>
      </w:pPr>
      <w:r w:rsidRPr="00AB2265">
        <w:t>No quality of life data were captured in the HERCULES and TITAN trials.</w:t>
      </w:r>
    </w:p>
    <w:p w:rsidR="00942CC4" w:rsidRPr="00AB2265" w:rsidRDefault="001F016A" w:rsidP="00F21D71">
      <w:pPr>
        <w:pStyle w:val="ExecSumBodyText"/>
        <w:numPr>
          <w:ilvl w:val="1"/>
          <w:numId w:val="1"/>
        </w:numPr>
      </w:pPr>
      <w:r w:rsidRPr="00AB2265">
        <w:t>The submission presented a number of subgroup</w:t>
      </w:r>
      <w:r w:rsidR="008A6B4A" w:rsidRPr="00AB2265">
        <w:t>s</w:t>
      </w:r>
      <w:r w:rsidRPr="00AB2265">
        <w:t>, however did not rely on these for their clinical claim.</w:t>
      </w:r>
      <w:r w:rsidR="003C7E09" w:rsidRPr="00AB2265">
        <w:t xml:space="preserve"> Subgroup analysis by previous experience of a TTP episode showed a similar time to confirmed platelet count, with a trend towards a lower incidence of secondary outcomes (composite and components of TTP-related death, recurrence of TTP or major thromboembolic event) in patients experiencing a recurrent episode versus an initial episode. Analyses by baseline disease severity were broadly consistent across subgroups. Subgroup results for immunosuppressive therapy at baseline suggest similar outcomes irrespective of the type of initial immunosuppression used. However, these results should be interpreted with caution as they are based on a small numbers of patients, whose treatment was unlikely to be representative of current standard of care.</w:t>
      </w:r>
    </w:p>
    <w:p w:rsidR="00B60939" w:rsidRPr="00AB2265" w:rsidRDefault="00B60939" w:rsidP="00D86231">
      <w:pPr>
        <w:pStyle w:val="3-SubsectionHeading"/>
      </w:pPr>
      <w:bookmarkStart w:id="23" w:name="_Toc22897642"/>
      <w:bookmarkStart w:id="24" w:name="_Toc40711454"/>
      <w:bookmarkStart w:id="25" w:name="_Toc40711513"/>
      <w:r w:rsidRPr="00AB2265">
        <w:t>Comparative harms</w:t>
      </w:r>
      <w:bookmarkEnd w:id="23"/>
      <w:bookmarkEnd w:id="24"/>
      <w:bookmarkEnd w:id="25"/>
    </w:p>
    <w:p w:rsidR="00942CC4" w:rsidRPr="00AB2265" w:rsidRDefault="00942CC4" w:rsidP="00F21D71">
      <w:pPr>
        <w:pStyle w:val="ExecSumBodyText"/>
        <w:numPr>
          <w:ilvl w:val="1"/>
          <w:numId w:val="1"/>
        </w:numPr>
      </w:pPr>
      <w:r w:rsidRPr="00AB2265">
        <w:t>A summary of adverse events in the TITAN and HERCULES</w:t>
      </w:r>
      <w:r w:rsidR="00165AE8" w:rsidRPr="00AB2265">
        <w:t xml:space="preserve"> studies is provided in Table 14</w:t>
      </w:r>
      <w:r w:rsidRPr="00AB2265">
        <w:t>.</w:t>
      </w:r>
    </w:p>
    <w:p w:rsidR="00942CC4" w:rsidRPr="00AB2265" w:rsidRDefault="00C979CC" w:rsidP="00942CC4">
      <w:pPr>
        <w:pStyle w:val="Tableheadingrow"/>
        <w:rPr>
          <w:lang w:val="en-AU"/>
        </w:rPr>
      </w:pPr>
      <w:r w:rsidRPr="00AB2265">
        <w:rPr>
          <w:lang w:val="en-AU"/>
        </w:rPr>
        <w:lastRenderedPageBreak/>
        <w:t>Table 14</w:t>
      </w:r>
      <w:r w:rsidR="00942CC4" w:rsidRPr="00AB2265">
        <w:rPr>
          <w:lang w:val="en-AU"/>
        </w:rPr>
        <w:t>: Adverse events in TITAN and HERCULES during overall study period: safety population</w:t>
      </w:r>
    </w:p>
    <w:tbl>
      <w:tblPr>
        <w:tblStyle w:val="TableGrid"/>
        <w:tblW w:w="0" w:type="auto"/>
        <w:tblLook w:val="04A0" w:firstRow="1" w:lastRow="0" w:firstColumn="1" w:lastColumn="0" w:noHBand="0" w:noVBand="1"/>
        <w:tblCaption w:val="Table 14: Adverse events in TITAN and HERCULES during overall study period: safety population"/>
      </w:tblPr>
      <w:tblGrid>
        <w:gridCol w:w="2689"/>
        <w:gridCol w:w="1275"/>
        <w:gridCol w:w="1276"/>
        <w:gridCol w:w="1276"/>
        <w:gridCol w:w="1276"/>
        <w:gridCol w:w="1225"/>
      </w:tblGrid>
      <w:tr w:rsidR="00942CC4" w:rsidRPr="00AB2265" w:rsidTr="00187C4E">
        <w:trPr>
          <w:tblHeader/>
        </w:trPr>
        <w:tc>
          <w:tcPr>
            <w:tcW w:w="2689" w:type="dxa"/>
            <w:vMerge w:val="restart"/>
            <w:tcMar>
              <w:left w:w="28" w:type="dxa"/>
              <w:right w:w="28" w:type="dxa"/>
            </w:tcMar>
          </w:tcPr>
          <w:p w:rsidR="00942CC4" w:rsidRPr="00AB2265" w:rsidRDefault="00942CC4" w:rsidP="00E40FEC">
            <w:pPr>
              <w:pStyle w:val="TableText"/>
            </w:pPr>
          </w:p>
        </w:tc>
        <w:tc>
          <w:tcPr>
            <w:tcW w:w="2551" w:type="dxa"/>
            <w:gridSpan w:val="2"/>
            <w:tcMar>
              <w:left w:w="28" w:type="dxa"/>
              <w:right w:w="28" w:type="dxa"/>
            </w:tcMar>
          </w:tcPr>
          <w:p w:rsidR="00942CC4" w:rsidRPr="00AB2265" w:rsidRDefault="00942CC4" w:rsidP="00E40FEC">
            <w:pPr>
              <w:pStyle w:val="TableText"/>
              <w:jc w:val="center"/>
              <w:rPr>
                <w:b/>
              </w:rPr>
            </w:pPr>
            <w:r w:rsidRPr="00AB2265">
              <w:rPr>
                <w:b/>
              </w:rPr>
              <w:t>TITAN</w:t>
            </w:r>
          </w:p>
        </w:tc>
        <w:tc>
          <w:tcPr>
            <w:tcW w:w="3777" w:type="dxa"/>
            <w:gridSpan w:val="3"/>
            <w:tcMar>
              <w:left w:w="28" w:type="dxa"/>
              <w:right w:w="28" w:type="dxa"/>
            </w:tcMar>
          </w:tcPr>
          <w:p w:rsidR="00942CC4" w:rsidRPr="00AB2265" w:rsidRDefault="00942CC4" w:rsidP="00E40FEC">
            <w:pPr>
              <w:pStyle w:val="TableText"/>
              <w:jc w:val="center"/>
              <w:rPr>
                <w:b/>
              </w:rPr>
            </w:pPr>
            <w:r w:rsidRPr="00AB2265">
              <w:rPr>
                <w:b/>
              </w:rPr>
              <w:t>HERCULES</w:t>
            </w:r>
          </w:p>
        </w:tc>
      </w:tr>
      <w:tr w:rsidR="00942CC4" w:rsidRPr="00AB2265" w:rsidTr="00187C4E">
        <w:trPr>
          <w:tblHeader/>
        </w:trPr>
        <w:tc>
          <w:tcPr>
            <w:tcW w:w="2689" w:type="dxa"/>
            <w:vMerge/>
            <w:tcMar>
              <w:left w:w="28" w:type="dxa"/>
              <w:right w:w="28" w:type="dxa"/>
            </w:tcMar>
          </w:tcPr>
          <w:p w:rsidR="00942CC4" w:rsidRPr="00AB2265" w:rsidRDefault="00942CC4" w:rsidP="00E40FEC">
            <w:pPr>
              <w:pStyle w:val="TableText"/>
            </w:pPr>
          </w:p>
        </w:tc>
        <w:tc>
          <w:tcPr>
            <w:tcW w:w="1275" w:type="dxa"/>
            <w:tcMar>
              <w:left w:w="28" w:type="dxa"/>
              <w:right w:w="28" w:type="dxa"/>
            </w:tcMar>
          </w:tcPr>
          <w:p w:rsidR="00942CC4" w:rsidRPr="00AB2265" w:rsidRDefault="00942CC4" w:rsidP="00E40FEC">
            <w:pPr>
              <w:pStyle w:val="TableText"/>
              <w:jc w:val="center"/>
              <w:rPr>
                <w:b/>
              </w:rPr>
            </w:pPr>
            <w:r w:rsidRPr="00AB2265">
              <w:rPr>
                <w:b/>
              </w:rPr>
              <w:t>SB caplacizumab</w:t>
            </w:r>
            <w:r w:rsidRPr="00AB2265">
              <w:rPr>
                <w:b/>
              </w:rPr>
              <w:br/>
              <w:t>(N=35)</w:t>
            </w:r>
          </w:p>
        </w:tc>
        <w:tc>
          <w:tcPr>
            <w:tcW w:w="1276" w:type="dxa"/>
            <w:tcMar>
              <w:left w:w="28" w:type="dxa"/>
              <w:right w:w="28" w:type="dxa"/>
            </w:tcMar>
          </w:tcPr>
          <w:p w:rsidR="00942CC4" w:rsidRPr="00AB2265" w:rsidRDefault="00942CC4" w:rsidP="00E40FEC">
            <w:pPr>
              <w:pStyle w:val="TableText"/>
              <w:jc w:val="center"/>
              <w:rPr>
                <w:b/>
              </w:rPr>
            </w:pPr>
            <w:r w:rsidRPr="00AB2265">
              <w:rPr>
                <w:b/>
              </w:rPr>
              <w:t xml:space="preserve">SB </w:t>
            </w:r>
            <w:r w:rsidRPr="00AB2265">
              <w:rPr>
                <w:b/>
              </w:rPr>
              <w:br/>
              <w:t>placebo</w:t>
            </w:r>
            <w:r w:rsidRPr="00AB2265">
              <w:rPr>
                <w:b/>
              </w:rPr>
              <w:br/>
              <w:t>(N=37)</w:t>
            </w:r>
          </w:p>
        </w:tc>
        <w:tc>
          <w:tcPr>
            <w:tcW w:w="1276" w:type="dxa"/>
            <w:tcMar>
              <w:left w:w="28" w:type="dxa"/>
              <w:right w:w="28" w:type="dxa"/>
            </w:tcMar>
          </w:tcPr>
          <w:p w:rsidR="00942CC4" w:rsidRPr="00AB2265" w:rsidRDefault="00942CC4" w:rsidP="00E40FEC">
            <w:pPr>
              <w:pStyle w:val="TableText"/>
              <w:jc w:val="center"/>
              <w:rPr>
                <w:b/>
              </w:rPr>
            </w:pPr>
            <w:r w:rsidRPr="00AB2265">
              <w:rPr>
                <w:b/>
              </w:rPr>
              <w:t>DB caplacizumab</w:t>
            </w:r>
            <w:r w:rsidRPr="00AB2265">
              <w:rPr>
                <w:b/>
              </w:rPr>
              <w:br/>
              <w:t>(N=71)</w:t>
            </w:r>
          </w:p>
        </w:tc>
        <w:tc>
          <w:tcPr>
            <w:tcW w:w="1276" w:type="dxa"/>
            <w:tcMar>
              <w:left w:w="28" w:type="dxa"/>
              <w:right w:w="28" w:type="dxa"/>
            </w:tcMar>
          </w:tcPr>
          <w:p w:rsidR="00942CC4" w:rsidRPr="00AB2265" w:rsidRDefault="00942CC4" w:rsidP="00E40FEC">
            <w:pPr>
              <w:pStyle w:val="TableText"/>
              <w:jc w:val="center"/>
              <w:rPr>
                <w:b/>
              </w:rPr>
            </w:pPr>
            <w:r w:rsidRPr="00AB2265">
              <w:rPr>
                <w:b/>
              </w:rPr>
              <w:t xml:space="preserve">DB </w:t>
            </w:r>
            <w:r w:rsidRPr="00AB2265">
              <w:rPr>
                <w:b/>
              </w:rPr>
              <w:br/>
              <w:t>placebo</w:t>
            </w:r>
            <w:r w:rsidRPr="00AB2265">
              <w:rPr>
                <w:b/>
              </w:rPr>
              <w:br/>
              <w:t>(N=73)</w:t>
            </w:r>
          </w:p>
        </w:tc>
        <w:tc>
          <w:tcPr>
            <w:tcW w:w="1225" w:type="dxa"/>
            <w:tcMar>
              <w:left w:w="28" w:type="dxa"/>
              <w:right w:w="28" w:type="dxa"/>
            </w:tcMar>
          </w:tcPr>
          <w:p w:rsidR="00942CC4" w:rsidRPr="00AB2265" w:rsidRDefault="00942CC4" w:rsidP="00E40FEC">
            <w:pPr>
              <w:pStyle w:val="TableText"/>
              <w:jc w:val="center"/>
              <w:rPr>
                <w:b/>
              </w:rPr>
            </w:pPr>
            <w:r w:rsidRPr="00AB2265">
              <w:rPr>
                <w:b/>
              </w:rPr>
              <w:t>OL caplacizumab (N=28)</w:t>
            </w:r>
          </w:p>
        </w:tc>
      </w:tr>
      <w:tr w:rsidR="00942CC4" w:rsidRPr="00AB2265" w:rsidTr="00E83E3B">
        <w:tc>
          <w:tcPr>
            <w:tcW w:w="2689" w:type="dxa"/>
            <w:tcMar>
              <w:left w:w="28" w:type="dxa"/>
              <w:right w:w="28" w:type="dxa"/>
            </w:tcMar>
          </w:tcPr>
          <w:p w:rsidR="00942CC4" w:rsidRPr="00AB2265" w:rsidRDefault="00942CC4" w:rsidP="00E40FEC">
            <w:pPr>
              <w:pStyle w:val="TableText"/>
            </w:pPr>
            <w:r w:rsidRPr="00AB2265">
              <w:t>At least one treatment emergent adverse event</w:t>
            </w:r>
          </w:p>
        </w:tc>
        <w:tc>
          <w:tcPr>
            <w:tcW w:w="1275" w:type="dxa"/>
            <w:tcMar>
              <w:left w:w="28" w:type="dxa"/>
              <w:right w:w="28" w:type="dxa"/>
            </w:tcMar>
            <w:vAlign w:val="center"/>
          </w:tcPr>
          <w:p w:rsidR="00942CC4" w:rsidRPr="00AB2265" w:rsidRDefault="00942CC4" w:rsidP="00E40FEC">
            <w:pPr>
              <w:pStyle w:val="TableText"/>
              <w:jc w:val="center"/>
            </w:pPr>
            <w:r w:rsidRPr="00AB2265">
              <w:t>34 (97.1%)</w:t>
            </w:r>
          </w:p>
        </w:tc>
        <w:tc>
          <w:tcPr>
            <w:tcW w:w="1276" w:type="dxa"/>
            <w:tcMar>
              <w:left w:w="28" w:type="dxa"/>
              <w:right w:w="28" w:type="dxa"/>
            </w:tcMar>
            <w:vAlign w:val="center"/>
          </w:tcPr>
          <w:p w:rsidR="00942CC4" w:rsidRPr="00AB2265" w:rsidRDefault="00942CC4" w:rsidP="00E40FEC">
            <w:pPr>
              <w:pStyle w:val="TableText"/>
              <w:jc w:val="center"/>
            </w:pPr>
            <w:r w:rsidRPr="00AB2265">
              <w:t>37 (100%)</w:t>
            </w:r>
          </w:p>
        </w:tc>
        <w:tc>
          <w:tcPr>
            <w:tcW w:w="1276" w:type="dxa"/>
            <w:tcMar>
              <w:left w:w="28" w:type="dxa"/>
              <w:right w:w="28" w:type="dxa"/>
            </w:tcMar>
            <w:vAlign w:val="center"/>
          </w:tcPr>
          <w:p w:rsidR="00942CC4" w:rsidRPr="00AB2265" w:rsidRDefault="00942CC4" w:rsidP="00E40FEC">
            <w:pPr>
              <w:pStyle w:val="TableText"/>
              <w:jc w:val="center"/>
            </w:pPr>
            <w:r w:rsidRPr="00AB2265">
              <w:t>69 (97.2%)</w:t>
            </w:r>
          </w:p>
        </w:tc>
        <w:tc>
          <w:tcPr>
            <w:tcW w:w="1276" w:type="dxa"/>
            <w:tcMar>
              <w:left w:w="28" w:type="dxa"/>
              <w:right w:w="28" w:type="dxa"/>
            </w:tcMar>
            <w:vAlign w:val="center"/>
          </w:tcPr>
          <w:p w:rsidR="00942CC4" w:rsidRPr="00AB2265" w:rsidRDefault="00942CC4" w:rsidP="00E40FEC">
            <w:pPr>
              <w:pStyle w:val="TableText"/>
              <w:jc w:val="center"/>
            </w:pPr>
            <w:r w:rsidRPr="00AB2265">
              <w:t>71 (97.3%)</w:t>
            </w:r>
          </w:p>
        </w:tc>
        <w:tc>
          <w:tcPr>
            <w:tcW w:w="1225" w:type="dxa"/>
            <w:tcMar>
              <w:left w:w="28" w:type="dxa"/>
              <w:right w:w="28" w:type="dxa"/>
            </w:tcMar>
            <w:vAlign w:val="center"/>
          </w:tcPr>
          <w:p w:rsidR="00942CC4" w:rsidRPr="00AB2265" w:rsidRDefault="00942CC4" w:rsidP="00E40FEC">
            <w:pPr>
              <w:pStyle w:val="TableText"/>
              <w:jc w:val="center"/>
            </w:pPr>
            <w:r w:rsidRPr="00AB2265">
              <w:t>25 (89.3%)</w:t>
            </w:r>
          </w:p>
        </w:tc>
      </w:tr>
      <w:tr w:rsidR="00942CC4" w:rsidRPr="00AB2265" w:rsidTr="00E83E3B">
        <w:tc>
          <w:tcPr>
            <w:tcW w:w="2689" w:type="dxa"/>
            <w:tcMar>
              <w:left w:w="28" w:type="dxa"/>
              <w:right w:w="28" w:type="dxa"/>
            </w:tcMar>
          </w:tcPr>
          <w:p w:rsidR="00942CC4" w:rsidRPr="00AB2265" w:rsidRDefault="00942CC4" w:rsidP="00E40FEC">
            <w:pPr>
              <w:pStyle w:val="TableText"/>
            </w:pPr>
            <w:r w:rsidRPr="00AB2265">
              <w:t>At least one serious adverse event</w:t>
            </w:r>
          </w:p>
        </w:tc>
        <w:tc>
          <w:tcPr>
            <w:tcW w:w="1275" w:type="dxa"/>
            <w:tcMar>
              <w:left w:w="28" w:type="dxa"/>
              <w:right w:w="28" w:type="dxa"/>
            </w:tcMar>
            <w:vAlign w:val="center"/>
          </w:tcPr>
          <w:p w:rsidR="00942CC4" w:rsidRPr="00AB2265" w:rsidRDefault="00942CC4" w:rsidP="00E40FEC">
            <w:pPr>
              <w:pStyle w:val="TableText"/>
              <w:jc w:val="center"/>
            </w:pPr>
            <w:r w:rsidRPr="00AB2265">
              <w:t>20 (57.1%)</w:t>
            </w:r>
          </w:p>
        </w:tc>
        <w:tc>
          <w:tcPr>
            <w:tcW w:w="1276" w:type="dxa"/>
            <w:tcMar>
              <w:left w:w="28" w:type="dxa"/>
              <w:right w:w="28" w:type="dxa"/>
            </w:tcMar>
            <w:vAlign w:val="center"/>
          </w:tcPr>
          <w:p w:rsidR="00942CC4" w:rsidRPr="00AB2265" w:rsidRDefault="00942CC4" w:rsidP="00E40FEC">
            <w:pPr>
              <w:pStyle w:val="TableText"/>
              <w:jc w:val="center"/>
            </w:pPr>
            <w:r w:rsidRPr="00AB2265">
              <w:t>19 (51.4%)</w:t>
            </w:r>
          </w:p>
        </w:tc>
        <w:tc>
          <w:tcPr>
            <w:tcW w:w="1276" w:type="dxa"/>
            <w:tcMar>
              <w:left w:w="28" w:type="dxa"/>
              <w:right w:w="28" w:type="dxa"/>
            </w:tcMar>
            <w:vAlign w:val="center"/>
          </w:tcPr>
          <w:p w:rsidR="00942CC4" w:rsidRPr="00AB2265" w:rsidRDefault="00942CC4" w:rsidP="00E40FEC">
            <w:pPr>
              <w:pStyle w:val="TableText"/>
              <w:jc w:val="center"/>
            </w:pPr>
            <w:r w:rsidRPr="00AB2265">
              <w:t>28 (39.4%)</w:t>
            </w:r>
          </w:p>
        </w:tc>
        <w:tc>
          <w:tcPr>
            <w:tcW w:w="1276" w:type="dxa"/>
            <w:tcMar>
              <w:left w:w="28" w:type="dxa"/>
              <w:right w:w="28" w:type="dxa"/>
            </w:tcMar>
            <w:vAlign w:val="center"/>
          </w:tcPr>
          <w:p w:rsidR="00942CC4" w:rsidRPr="00AB2265" w:rsidRDefault="00942CC4" w:rsidP="00E40FEC">
            <w:pPr>
              <w:pStyle w:val="TableText"/>
              <w:jc w:val="center"/>
            </w:pPr>
            <w:r w:rsidRPr="00AB2265">
              <w:t>39 (53.4%)</w:t>
            </w:r>
          </w:p>
        </w:tc>
        <w:tc>
          <w:tcPr>
            <w:tcW w:w="1225" w:type="dxa"/>
            <w:tcMar>
              <w:left w:w="28" w:type="dxa"/>
              <w:right w:w="28" w:type="dxa"/>
            </w:tcMar>
            <w:vAlign w:val="center"/>
          </w:tcPr>
          <w:p w:rsidR="00942CC4" w:rsidRPr="00AB2265" w:rsidRDefault="00942CC4" w:rsidP="00E40FEC">
            <w:pPr>
              <w:pStyle w:val="TableText"/>
              <w:jc w:val="center"/>
            </w:pPr>
            <w:r w:rsidRPr="00AB2265">
              <w:t>7 (25.0%)</w:t>
            </w:r>
          </w:p>
        </w:tc>
      </w:tr>
      <w:tr w:rsidR="00942CC4" w:rsidRPr="00AB2265" w:rsidTr="00E83E3B">
        <w:tc>
          <w:tcPr>
            <w:tcW w:w="2689" w:type="dxa"/>
            <w:tcMar>
              <w:left w:w="28" w:type="dxa"/>
              <w:right w:w="28" w:type="dxa"/>
            </w:tcMar>
          </w:tcPr>
          <w:p w:rsidR="00942CC4" w:rsidRPr="00AB2265" w:rsidRDefault="00942CC4" w:rsidP="00E40FEC">
            <w:pPr>
              <w:pStyle w:val="TableText"/>
            </w:pPr>
            <w:r w:rsidRPr="00AB2265">
              <w:t>At least one serious adverse event excl. TTP</w:t>
            </w:r>
          </w:p>
        </w:tc>
        <w:tc>
          <w:tcPr>
            <w:tcW w:w="1275" w:type="dxa"/>
            <w:tcMar>
              <w:left w:w="28" w:type="dxa"/>
              <w:right w:w="28" w:type="dxa"/>
            </w:tcMar>
            <w:vAlign w:val="center"/>
          </w:tcPr>
          <w:p w:rsidR="00942CC4" w:rsidRPr="00AB2265" w:rsidRDefault="00942CC4" w:rsidP="00E40FEC">
            <w:pPr>
              <w:pStyle w:val="TableText"/>
              <w:jc w:val="center"/>
            </w:pPr>
            <w:r w:rsidRPr="00AB2265">
              <w:t>13 (37%)</w:t>
            </w:r>
          </w:p>
        </w:tc>
        <w:tc>
          <w:tcPr>
            <w:tcW w:w="1276" w:type="dxa"/>
            <w:tcMar>
              <w:left w:w="28" w:type="dxa"/>
              <w:right w:w="28" w:type="dxa"/>
            </w:tcMar>
            <w:vAlign w:val="center"/>
          </w:tcPr>
          <w:p w:rsidR="00942CC4" w:rsidRPr="00AB2265" w:rsidRDefault="00942CC4" w:rsidP="00E40FEC">
            <w:pPr>
              <w:pStyle w:val="TableText"/>
              <w:jc w:val="center"/>
            </w:pPr>
            <w:r w:rsidRPr="00AB2265">
              <w:t>12 (32%)</w:t>
            </w:r>
          </w:p>
        </w:tc>
        <w:tc>
          <w:tcPr>
            <w:tcW w:w="1276" w:type="dxa"/>
            <w:tcMar>
              <w:left w:w="28" w:type="dxa"/>
              <w:right w:w="28" w:type="dxa"/>
            </w:tcMar>
            <w:vAlign w:val="center"/>
          </w:tcPr>
          <w:p w:rsidR="00942CC4" w:rsidRPr="00AB2265" w:rsidRDefault="00942CC4" w:rsidP="00E40FEC">
            <w:pPr>
              <w:pStyle w:val="TableText"/>
              <w:jc w:val="center"/>
            </w:pPr>
            <w:r w:rsidRPr="00AB2265">
              <w:t>23 (32.4%)</w:t>
            </w:r>
          </w:p>
        </w:tc>
        <w:tc>
          <w:tcPr>
            <w:tcW w:w="1276" w:type="dxa"/>
            <w:tcMar>
              <w:left w:w="28" w:type="dxa"/>
              <w:right w:w="28" w:type="dxa"/>
            </w:tcMar>
            <w:vAlign w:val="center"/>
          </w:tcPr>
          <w:p w:rsidR="00942CC4" w:rsidRPr="00AB2265" w:rsidRDefault="00942CC4" w:rsidP="00E40FEC">
            <w:pPr>
              <w:pStyle w:val="TableText"/>
              <w:jc w:val="center"/>
            </w:pPr>
            <w:r w:rsidRPr="00AB2265">
              <w:t>12 (16.4%)</w:t>
            </w:r>
          </w:p>
        </w:tc>
        <w:tc>
          <w:tcPr>
            <w:tcW w:w="1225" w:type="dxa"/>
            <w:shd w:val="clear" w:color="auto" w:fill="auto"/>
            <w:tcMar>
              <w:left w:w="28" w:type="dxa"/>
              <w:right w:w="28" w:type="dxa"/>
            </w:tcMar>
            <w:vAlign w:val="center"/>
          </w:tcPr>
          <w:p w:rsidR="00942CC4" w:rsidRPr="00AB2265" w:rsidRDefault="00942CC4" w:rsidP="00E40FEC">
            <w:pPr>
              <w:pStyle w:val="TableText"/>
              <w:jc w:val="center"/>
            </w:pPr>
            <w:r w:rsidRPr="00AB2265">
              <w:t>NR</w:t>
            </w:r>
          </w:p>
        </w:tc>
      </w:tr>
      <w:tr w:rsidR="00942CC4" w:rsidRPr="00AB2265" w:rsidTr="00E83E3B">
        <w:tc>
          <w:tcPr>
            <w:tcW w:w="2689" w:type="dxa"/>
            <w:tcMar>
              <w:left w:w="28" w:type="dxa"/>
              <w:right w:w="28" w:type="dxa"/>
            </w:tcMar>
          </w:tcPr>
          <w:p w:rsidR="00942CC4" w:rsidRPr="00AB2265" w:rsidRDefault="00942CC4" w:rsidP="00E40FEC">
            <w:pPr>
              <w:pStyle w:val="TableText"/>
            </w:pPr>
            <w:r w:rsidRPr="00AB2265">
              <w:t>Adverse event leading to death</w:t>
            </w:r>
          </w:p>
        </w:tc>
        <w:tc>
          <w:tcPr>
            <w:tcW w:w="1275" w:type="dxa"/>
            <w:tcMar>
              <w:left w:w="28" w:type="dxa"/>
              <w:right w:w="28" w:type="dxa"/>
            </w:tcMar>
            <w:vAlign w:val="center"/>
          </w:tcPr>
          <w:p w:rsidR="00942CC4" w:rsidRPr="00AB2265" w:rsidRDefault="00942CC4" w:rsidP="00E40FEC">
            <w:pPr>
              <w:pStyle w:val="TableText"/>
              <w:jc w:val="center"/>
            </w:pPr>
            <w:r w:rsidRPr="00AB2265">
              <w:t>0</w:t>
            </w:r>
          </w:p>
        </w:tc>
        <w:tc>
          <w:tcPr>
            <w:tcW w:w="1276" w:type="dxa"/>
            <w:tcMar>
              <w:left w:w="28" w:type="dxa"/>
              <w:right w:w="28" w:type="dxa"/>
            </w:tcMar>
            <w:vAlign w:val="center"/>
          </w:tcPr>
          <w:p w:rsidR="00942CC4" w:rsidRPr="00AB2265" w:rsidRDefault="00942CC4" w:rsidP="00E40FEC">
            <w:pPr>
              <w:pStyle w:val="TableText"/>
              <w:jc w:val="center"/>
            </w:pPr>
            <w:r w:rsidRPr="00AB2265">
              <w:t>2 (5.4%)</w:t>
            </w:r>
          </w:p>
        </w:tc>
        <w:tc>
          <w:tcPr>
            <w:tcW w:w="1276" w:type="dxa"/>
            <w:tcMar>
              <w:left w:w="28" w:type="dxa"/>
              <w:right w:w="28" w:type="dxa"/>
            </w:tcMar>
            <w:vAlign w:val="center"/>
          </w:tcPr>
          <w:p w:rsidR="00942CC4" w:rsidRPr="00AB2265" w:rsidRDefault="00942CC4" w:rsidP="00E40FEC">
            <w:pPr>
              <w:pStyle w:val="TableText"/>
              <w:jc w:val="center"/>
            </w:pPr>
            <w:r w:rsidRPr="00AB2265">
              <w:t>1 (1.4%)</w:t>
            </w:r>
          </w:p>
        </w:tc>
        <w:tc>
          <w:tcPr>
            <w:tcW w:w="1276" w:type="dxa"/>
            <w:tcMar>
              <w:left w:w="28" w:type="dxa"/>
              <w:right w:w="28" w:type="dxa"/>
            </w:tcMar>
            <w:vAlign w:val="center"/>
          </w:tcPr>
          <w:p w:rsidR="00942CC4" w:rsidRPr="00AB2265" w:rsidRDefault="00942CC4" w:rsidP="00E40FEC">
            <w:pPr>
              <w:pStyle w:val="TableText"/>
              <w:jc w:val="center"/>
            </w:pPr>
            <w:r w:rsidRPr="00AB2265">
              <w:t>3 (4.1%)</w:t>
            </w:r>
          </w:p>
        </w:tc>
        <w:tc>
          <w:tcPr>
            <w:tcW w:w="1225" w:type="dxa"/>
            <w:tcMar>
              <w:left w:w="28" w:type="dxa"/>
              <w:right w:w="28" w:type="dxa"/>
            </w:tcMar>
            <w:vAlign w:val="center"/>
          </w:tcPr>
          <w:p w:rsidR="00942CC4" w:rsidRPr="00AB2265" w:rsidRDefault="00942CC4" w:rsidP="00E40FEC">
            <w:pPr>
              <w:pStyle w:val="TableText"/>
              <w:jc w:val="center"/>
            </w:pPr>
            <w:r w:rsidRPr="00AB2265">
              <w:t>0</w:t>
            </w:r>
          </w:p>
        </w:tc>
      </w:tr>
      <w:tr w:rsidR="00942CC4" w:rsidRPr="00AB2265" w:rsidTr="00E83E3B">
        <w:tc>
          <w:tcPr>
            <w:tcW w:w="2689" w:type="dxa"/>
            <w:tcMar>
              <w:left w:w="28" w:type="dxa"/>
              <w:right w:w="28" w:type="dxa"/>
            </w:tcMar>
          </w:tcPr>
          <w:p w:rsidR="00942CC4" w:rsidRPr="00AB2265" w:rsidRDefault="00942CC4" w:rsidP="00E40FEC">
            <w:pPr>
              <w:pStyle w:val="TableText"/>
            </w:pPr>
            <w:r w:rsidRPr="00AB2265">
              <w:t>Adverse event leading to discontinuation of study drug</w:t>
            </w:r>
          </w:p>
        </w:tc>
        <w:tc>
          <w:tcPr>
            <w:tcW w:w="1275" w:type="dxa"/>
            <w:tcMar>
              <w:left w:w="28" w:type="dxa"/>
              <w:right w:w="28" w:type="dxa"/>
            </w:tcMar>
            <w:vAlign w:val="center"/>
          </w:tcPr>
          <w:p w:rsidR="00942CC4" w:rsidRPr="00AB2265" w:rsidRDefault="00942CC4" w:rsidP="00E40FEC">
            <w:pPr>
              <w:pStyle w:val="TableText"/>
              <w:jc w:val="center"/>
            </w:pPr>
            <w:r w:rsidRPr="00AB2265">
              <w:t>4 (11.4%)</w:t>
            </w:r>
          </w:p>
        </w:tc>
        <w:tc>
          <w:tcPr>
            <w:tcW w:w="1276" w:type="dxa"/>
            <w:tcMar>
              <w:left w:w="28" w:type="dxa"/>
              <w:right w:w="28" w:type="dxa"/>
            </w:tcMar>
            <w:vAlign w:val="center"/>
          </w:tcPr>
          <w:p w:rsidR="00942CC4" w:rsidRPr="00AB2265" w:rsidRDefault="00942CC4" w:rsidP="00E40FEC">
            <w:pPr>
              <w:pStyle w:val="TableText"/>
              <w:jc w:val="center"/>
            </w:pPr>
            <w:r w:rsidRPr="00AB2265">
              <w:t>2 (5.4%)</w:t>
            </w:r>
          </w:p>
        </w:tc>
        <w:tc>
          <w:tcPr>
            <w:tcW w:w="1276" w:type="dxa"/>
            <w:tcMar>
              <w:left w:w="28" w:type="dxa"/>
              <w:right w:w="28" w:type="dxa"/>
            </w:tcMar>
            <w:vAlign w:val="center"/>
          </w:tcPr>
          <w:p w:rsidR="00942CC4" w:rsidRPr="00AB2265" w:rsidRDefault="00942CC4" w:rsidP="00E40FEC">
            <w:pPr>
              <w:pStyle w:val="TableText"/>
              <w:jc w:val="center"/>
            </w:pPr>
            <w:r w:rsidRPr="00AB2265">
              <w:t>5 (7.0%)</w:t>
            </w:r>
          </w:p>
        </w:tc>
        <w:tc>
          <w:tcPr>
            <w:tcW w:w="1276" w:type="dxa"/>
            <w:tcMar>
              <w:left w:w="28" w:type="dxa"/>
              <w:right w:w="28" w:type="dxa"/>
            </w:tcMar>
            <w:vAlign w:val="center"/>
          </w:tcPr>
          <w:p w:rsidR="00942CC4" w:rsidRPr="00AB2265" w:rsidRDefault="00942CC4" w:rsidP="00E40FEC">
            <w:pPr>
              <w:pStyle w:val="TableText"/>
              <w:jc w:val="center"/>
            </w:pPr>
            <w:r w:rsidRPr="00AB2265">
              <w:t>9 (12.3%)</w:t>
            </w:r>
          </w:p>
        </w:tc>
        <w:tc>
          <w:tcPr>
            <w:tcW w:w="1225" w:type="dxa"/>
            <w:tcMar>
              <w:left w:w="28" w:type="dxa"/>
              <w:right w:w="28" w:type="dxa"/>
            </w:tcMar>
            <w:vAlign w:val="center"/>
          </w:tcPr>
          <w:p w:rsidR="00942CC4" w:rsidRPr="00AB2265" w:rsidRDefault="00942CC4" w:rsidP="00E40FEC">
            <w:pPr>
              <w:pStyle w:val="TableText"/>
              <w:jc w:val="center"/>
            </w:pPr>
            <w:r w:rsidRPr="00AB2265">
              <w:t>1 (3.6%)</w:t>
            </w:r>
          </w:p>
        </w:tc>
      </w:tr>
      <w:tr w:rsidR="00942CC4" w:rsidRPr="00AB2265" w:rsidTr="00E83E3B">
        <w:tc>
          <w:tcPr>
            <w:tcW w:w="2689" w:type="dxa"/>
            <w:tcMar>
              <w:left w:w="28" w:type="dxa"/>
              <w:right w:w="28" w:type="dxa"/>
            </w:tcMar>
          </w:tcPr>
          <w:p w:rsidR="00942CC4" w:rsidRPr="00AB2265" w:rsidRDefault="00942CC4" w:rsidP="00E40FEC">
            <w:pPr>
              <w:pStyle w:val="TableText"/>
            </w:pPr>
            <w:r w:rsidRPr="00AB2265">
              <w:t xml:space="preserve">At least one study drug related treatment emergent adverse event </w:t>
            </w:r>
          </w:p>
        </w:tc>
        <w:tc>
          <w:tcPr>
            <w:tcW w:w="1275" w:type="dxa"/>
            <w:tcMar>
              <w:left w:w="28" w:type="dxa"/>
              <w:right w:w="28" w:type="dxa"/>
            </w:tcMar>
            <w:vAlign w:val="center"/>
          </w:tcPr>
          <w:p w:rsidR="00942CC4" w:rsidRPr="00AB2265" w:rsidRDefault="00942CC4" w:rsidP="00E40FEC">
            <w:pPr>
              <w:pStyle w:val="TableText"/>
              <w:jc w:val="center"/>
            </w:pPr>
            <w:r w:rsidRPr="00AB2265">
              <w:t>20 (57.1%)</w:t>
            </w:r>
          </w:p>
        </w:tc>
        <w:tc>
          <w:tcPr>
            <w:tcW w:w="1276" w:type="dxa"/>
            <w:tcMar>
              <w:left w:w="28" w:type="dxa"/>
              <w:right w:w="28" w:type="dxa"/>
            </w:tcMar>
            <w:vAlign w:val="center"/>
          </w:tcPr>
          <w:p w:rsidR="00942CC4" w:rsidRPr="00AB2265" w:rsidRDefault="00942CC4" w:rsidP="00E40FEC">
            <w:pPr>
              <w:pStyle w:val="TableText"/>
              <w:jc w:val="center"/>
            </w:pPr>
            <w:r w:rsidRPr="00AB2265">
              <w:t>5 (13.5%)</w:t>
            </w:r>
          </w:p>
        </w:tc>
        <w:tc>
          <w:tcPr>
            <w:tcW w:w="1276" w:type="dxa"/>
            <w:tcMar>
              <w:left w:w="28" w:type="dxa"/>
              <w:right w:w="28" w:type="dxa"/>
            </w:tcMar>
            <w:vAlign w:val="center"/>
          </w:tcPr>
          <w:p w:rsidR="00942CC4" w:rsidRPr="00AB2265" w:rsidRDefault="00942CC4" w:rsidP="00E40FEC">
            <w:pPr>
              <w:pStyle w:val="TableText"/>
              <w:jc w:val="center"/>
            </w:pPr>
            <w:r w:rsidRPr="00AB2265">
              <w:t>41 (57.7%)</w:t>
            </w:r>
          </w:p>
        </w:tc>
        <w:tc>
          <w:tcPr>
            <w:tcW w:w="1276" w:type="dxa"/>
            <w:tcMar>
              <w:left w:w="28" w:type="dxa"/>
              <w:right w:w="28" w:type="dxa"/>
            </w:tcMar>
            <w:vAlign w:val="center"/>
          </w:tcPr>
          <w:p w:rsidR="00942CC4" w:rsidRPr="00AB2265" w:rsidRDefault="00942CC4" w:rsidP="00E40FEC">
            <w:pPr>
              <w:pStyle w:val="TableText"/>
              <w:jc w:val="center"/>
            </w:pPr>
            <w:r w:rsidRPr="00AB2265">
              <w:t>32 (43.8%)</w:t>
            </w:r>
          </w:p>
        </w:tc>
        <w:tc>
          <w:tcPr>
            <w:tcW w:w="1225" w:type="dxa"/>
            <w:tcMar>
              <w:left w:w="28" w:type="dxa"/>
              <w:right w:w="28" w:type="dxa"/>
            </w:tcMar>
            <w:vAlign w:val="center"/>
          </w:tcPr>
          <w:p w:rsidR="00942CC4" w:rsidRPr="00AB2265" w:rsidRDefault="00942CC4" w:rsidP="00E40FEC">
            <w:pPr>
              <w:pStyle w:val="TableText"/>
              <w:jc w:val="center"/>
            </w:pPr>
            <w:r w:rsidRPr="00AB2265">
              <w:t>20 (71.4%)</w:t>
            </w:r>
          </w:p>
        </w:tc>
      </w:tr>
      <w:tr w:rsidR="00942CC4" w:rsidRPr="00AB2265" w:rsidTr="00E83E3B">
        <w:tc>
          <w:tcPr>
            <w:tcW w:w="2689" w:type="dxa"/>
            <w:tcMar>
              <w:left w:w="28" w:type="dxa"/>
              <w:right w:w="28" w:type="dxa"/>
            </w:tcMar>
          </w:tcPr>
          <w:p w:rsidR="00942CC4" w:rsidRPr="00AB2265" w:rsidRDefault="00942CC4" w:rsidP="00E40FEC">
            <w:pPr>
              <w:pStyle w:val="TableText"/>
            </w:pPr>
            <w:r w:rsidRPr="00AB2265">
              <w:t xml:space="preserve">At least one bleeding related treatment emergent adverse </w:t>
            </w:r>
            <w:proofErr w:type="spellStart"/>
            <w:r w:rsidRPr="00AB2265">
              <w:t>event</w:t>
            </w:r>
            <w:r w:rsidRPr="00AB2265">
              <w:rPr>
                <w:vertAlign w:val="superscript"/>
              </w:rPr>
              <w:t>a</w:t>
            </w:r>
            <w:proofErr w:type="spellEnd"/>
          </w:p>
        </w:tc>
        <w:tc>
          <w:tcPr>
            <w:tcW w:w="1275" w:type="dxa"/>
            <w:tcMar>
              <w:left w:w="28" w:type="dxa"/>
              <w:right w:w="28" w:type="dxa"/>
            </w:tcMar>
            <w:vAlign w:val="center"/>
          </w:tcPr>
          <w:p w:rsidR="00942CC4" w:rsidRPr="00AB2265" w:rsidRDefault="00942CC4" w:rsidP="00E40FEC">
            <w:pPr>
              <w:pStyle w:val="TableText"/>
              <w:jc w:val="center"/>
            </w:pPr>
            <w:r w:rsidRPr="00AB2265">
              <w:t>19 (54.3%)</w:t>
            </w:r>
          </w:p>
        </w:tc>
        <w:tc>
          <w:tcPr>
            <w:tcW w:w="1276" w:type="dxa"/>
            <w:tcMar>
              <w:left w:w="28" w:type="dxa"/>
              <w:right w:w="28" w:type="dxa"/>
            </w:tcMar>
            <w:vAlign w:val="center"/>
          </w:tcPr>
          <w:p w:rsidR="00942CC4" w:rsidRPr="00AB2265" w:rsidRDefault="00942CC4" w:rsidP="00E40FEC">
            <w:pPr>
              <w:pStyle w:val="TableText"/>
              <w:jc w:val="center"/>
            </w:pPr>
            <w:r w:rsidRPr="00AB2265">
              <w:t>14 (37.8%)</w:t>
            </w:r>
          </w:p>
        </w:tc>
        <w:tc>
          <w:tcPr>
            <w:tcW w:w="1276" w:type="dxa"/>
            <w:tcMar>
              <w:left w:w="28" w:type="dxa"/>
              <w:right w:w="28" w:type="dxa"/>
            </w:tcMar>
            <w:vAlign w:val="center"/>
          </w:tcPr>
          <w:p w:rsidR="00942CC4" w:rsidRPr="00AB2265" w:rsidRDefault="00942CC4" w:rsidP="00E40FEC">
            <w:pPr>
              <w:pStyle w:val="TableText"/>
              <w:jc w:val="center"/>
            </w:pPr>
            <w:r w:rsidRPr="00AB2265">
              <w:t>49 (69.0%)</w:t>
            </w:r>
          </w:p>
        </w:tc>
        <w:tc>
          <w:tcPr>
            <w:tcW w:w="1276" w:type="dxa"/>
            <w:tcMar>
              <w:left w:w="28" w:type="dxa"/>
              <w:right w:w="28" w:type="dxa"/>
            </w:tcMar>
            <w:vAlign w:val="center"/>
          </w:tcPr>
          <w:p w:rsidR="00942CC4" w:rsidRPr="00AB2265" w:rsidRDefault="00942CC4" w:rsidP="00E40FEC">
            <w:pPr>
              <w:pStyle w:val="TableText"/>
              <w:jc w:val="center"/>
            </w:pPr>
            <w:r w:rsidRPr="00AB2265">
              <w:t>49 (67.1%)</w:t>
            </w:r>
          </w:p>
        </w:tc>
        <w:tc>
          <w:tcPr>
            <w:tcW w:w="1225" w:type="dxa"/>
            <w:tcMar>
              <w:left w:w="28" w:type="dxa"/>
              <w:right w:w="28" w:type="dxa"/>
            </w:tcMar>
            <w:vAlign w:val="center"/>
          </w:tcPr>
          <w:p w:rsidR="00942CC4" w:rsidRPr="00AB2265" w:rsidRDefault="00942CC4" w:rsidP="00E40FEC">
            <w:pPr>
              <w:pStyle w:val="TableText"/>
              <w:jc w:val="center"/>
            </w:pPr>
            <w:r w:rsidRPr="00AB2265">
              <w:t>22 (78.6%)</w:t>
            </w:r>
          </w:p>
        </w:tc>
      </w:tr>
      <w:tr w:rsidR="00942CC4" w:rsidRPr="00AB2265" w:rsidTr="00E83E3B">
        <w:tc>
          <w:tcPr>
            <w:tcW w:w="2689" w:type="dxa"/>
            <w:tcMar>
              <w:left w:w="28" w:type="dxa"/>
              <w:right w:w="28" w:type="dxa"/>
            </w:tcMar>
          </w:tcPr>
          <w:p w:rsidR="00942CC4" w:rsidRPr="00AB2265" w:rsidRDefault="00942CC4" w:rsidP="00E40FEC">
            <w:pPr>
              <w:pStyle w:val="TableText"/>
            </w:pPr>
            <w:r w:rsidRPr="00AB2265">
              <w:t>At least one bleeding event (case report form documented event with increased bleeding tendency)</w:t>
            </w:r>
          </w:p>
        </w:tc>
        <w:tc>
          <w:tcPr>
            <w:tcW w:w="1275" w:type="dxa"/>
            <w:tcMar>
              <w:left w:w="28" w:type="dxa"/>
              <w:right w:w="28" w:type="dxa"/>
            </w:tcMar>
            <w:vAlign w:val="center"/>
          </w:tcPr>
          <w:p w:rsidR="00942CC4" w:rsidRPr="00AB2265" w:rsidRDefault="00942CC4" w:rsidP="00E40FEC">
            <w:pPr>
              <w:pStyle w:val="TableText"/>
              <w:jc w:val="center"/>
            </w:pPr>
            <w:r w:rsidRPr="00AB2265">
              <w:t>NR</w:t>
            </w:r>
          </w:p>
        </w:tc>
        <w:tc>
          <w:tcPr>
            <w:tcW w:w="1276" w:type="dxa"/>
            <w:tcMar>
              <w:left w:w="28" w:type="dxa"/>
              <w:right w:w="28" w:type="dxa"/>
            </w:tcMar>
            <w:vAlign w:val="center"/>
          </w:tcPr>
          <w:p w:rsidR="00942CC4" w:rsidRPr="00AB2265" w:rsidRDefault="00942CC4" w:rsidP="00E40FEC">
            <w:pPr>
              <w:pStyle w:val="TableText"/>
              <w:jc w:val="center"/>
            </w:pPr>
            <w:r w:rsidRPr="00AB2265">
              <w:t>NR</w:t>
            </w:r>
          </w:p>
        </w:tc>
        <w:tc>
          <w:tcPr>
            <w:tcW w:w="1276" w:type="dxa"/>
            <w:tcMar>
              <w:left w:w="28" w:type="dxa"/>
              <w:right w:w="28" w:type="dxa"/>
            </w:tcMar>
            <w:vAlign w:val="center"/>
          </w:tcPr>
          <w:p w:rsidR="00942CC4" w:rsidRPr="00AB2265" w:rsidRDefault="00942CC4" w:rsidP="00E40FEC">
            <w:pPr>
              <w:pStyle w:val="TableText"/>
              <w:jc w:val="center"/>
            </w:pPr>
            <w:r w:rsidRPr="00AB2265">
              <w:t>47 (66.2%)</w:t>
            </w:r>
          </w:p>
        </w:tc>
        <w:tc>
          <w:tcPr>
            <w:tcW w:w="1276" w:type="dxa"/>
            <w:tcMar>
              <w:left w:w="28" w:type="dxa"/>
              <w:right w:w="28" w:type="dxa"/>
            </w:tcMar>
            <w:vAlign w:val="center"/>
          </w:tcPr>
          <w:p w:rsidR="00942CC4" w:rsidRPr="00AB2265" w:rsidRDefault="00942CC4" w:rsidP="00E40FEC">
            <w:pPr>
              <w:pStyle w:val="TableText"/>
              <w:jc w:val="center"/>
            </w:pPr>
            <w:r w:rsidRPr="00AB2265">
              <w:t>36 (49.3%)</w:t>
            </w:r>
          </w:p>
        </w:tc>
        <w:tc>
          <w:tcPr>
            <w:tcW w:w="1225" w:type="dxa"/>
            <w:tcMar>
              <w:left w:w="28" w:type="dxa"/>
              <w:right w:w="28" w:type="dxa"/>
            </w:tcMar>
            <w:vAlign w:val="center"/>
          </w:tcPr>
          <w:p w:rsidR="00942CC4" w:rsidRPr="00AB2265" w:rsidRDefault="00942CC4" w:rsidP="00E40FEC">
            <w:pPr>
              <w:pStyle w:val="TableText"/>
              <w:jc w:val="center"/>
            </w:pPr>
            <w:r w:rsidRPr="00AB2265">
              <w:t>21 (75.0)</w:t>
            </w:r>
          </w:p>
        </w:tc>
      </w:tr>
    </w:tbl>
    <w:p w:rsidR="00942CC4" w:rsidRPr="00AB2265" w:rsidRDefault="00942CC4" w:rsidP="00942CC4">
      <w:pPr>
        <w:pStyle w:val="TableFigureFooter"/>
      </w:pPr>
      <w:r w:rsidRPr="00AB2265">
        <w:t>Source: Table 2.5.14, p.76 of the submission; Table 36, p.174; Table 37, p.175 of the HERCULES trial report.</w:t>
      </w:r>
    </w:p>
    <w:p w:rsidR="00942CC4" w:rsidRPr="00AB2265" w:rsidRDefault="00942CC4" w:rsidP="00942CC4">
      <w:pPr>
        <w:pStyle w:val="TableFigureFooter"/>
      </w:pPr>
      <w:r w:rsidRPr="00AB2265">
        <w:t>Abbreviations: DB, double blind; SB, single blind; OL, open label; NR, not reported; PEX, plasma exchange; TTP, thrombotic thrombocytopenic purpura</w:t>
      </w:r>
    </w:p>
    <w:p w:rsidR="00942CC4" w:rsidRPr="00AB2265" w:rsidRDefault="00942CC4" w:rsidP="00942CC4">
      <w:pPr>
        <w:pStyle w:val="TableFigureFooter"/>
      </w:pPr>
      <w:r w:rsidRPr="00AB2265">
        <w:t>Notes: Data are number (percentage) of patients with at least one event during the Overall Study Period which includes treatment-free follow-up.</w:t>
      </w:r>
    </w:p>
    <w:p w:rsidR="00942CC4" w:rsidRPr="00AB2265" w:rsidRDefault="00942CC4" w:rsidP="00942CC4">
      <w:pPr>
        <w:pStyle w:val="TableFigureFooter"/>
        <w:rPr>
          <w:color w:val="0066FF"/>
        </w:rPr>
      </w:pPr>
      <w:proofErr w:type="gramStart"/>
      <w:r w:rsidRPr="00AB2265">
        <w:rPr>
          <w:vertAlign w:val="superscript"/>
        </w:rPr>
        <w:t>a</w:t>
      </w:r>
      <w:proofErr w:type="gramEnd"/>
      <w:r w:rsidRPr="00AB2265">
        <w:t xml:space="preserve"> definition not reported in TITAN; defined by standardised MedDRA query for HERCULES (includes TTP).</w:t>
      </w:r>
    </w:p>
    <w:p w:rsidR="00942CC4" w:rsidRPr="00AB2265" w:rsidRDefault="00942CC4" w:rsidP="00F21D71">
      <w:pPr>
        <w:pStyle w:val="ExecSumBodyText"/>
        <w:numPr>
          <w:ilvl w:val="1"/>
          <w:numId w:val="1"/>
        </w:numPr>
      </w:pPr>
      <w:r w:rsidRPr="00AB2265">
        <w:t xml:space="preserve">In HERCULES more patients in the double blind placebo group experienced at least one serious adverse event (53.4%) compared with the double blind caplacizumab group (39.4%), while the proportions were similar in TITAN (caplacizumab 57.1% versus placebo 51.4%). In the HERCULES trial, this difference was primarily due to adverse events related to TTP, including exacerbation, relapse, recurrence, or worsening of TTP. When TTP events were excluded, the rates of serious adverse events were higher in the double blind caplacizumab group (32.4%) compared with the double blind placebo group (16.4%). </w:t>
      </w:r>
    </w:p>
    <w:p w:rsidR="00942CC4" w:rsidRPr="00AB2265" w:rsidRDefault="00942CC4" w:rsidP="00F21D71">
      <w:pPr>
        <w:pStyle w:val="ExecSumBodyText"/>
        <w:numPr>
          <w:ilvl w:val="1"/>
          <w:numId w:val="1"/>
        </w:numPr>
      </w:pPr>
      <w:r w:rsidRPr="00AB2265">
        <w:t>In the HERCULES trial, 3 patients in the double blind placebo group and 1 in the double blind caplacizumab group died during the trial. The caplacizumab treated patient died of cerebral ischemia 6 days after their last dose of study drug, which was not considered related to therapy. Two patients died in the TITAN study, both had been randomised to placebo.</w:t>
      </w:r>
    </w:p>
    <w:p w:rsidR="00942CC4" w:rsidRPr="00AB2265" w:rsidRDefault="00942CC4" w:rsidP="00F21D71">
      <w:pPr>
        <w:pStyle w:val="ExecSumBodyText"/>
        <w:numPr>
          <w:ilvl w:val="1"/>
          <w:numId w:val="1"/>
        </w:numPr>
      </w:pPr>
      <w:r w:rsidRPr="00AB2265">
        <w:t xml:space="preserve">Adverse events leading to discontinuation of study drug was higher in the caplacizumab group of TITAN versus placebo (11.4% vs 5.4%) but lower in the caplacizumab group of HERCULES versus placebo (7.0% vs 12.3%). </w:t>
      </w:r>
    </w:p>
    <w:p w:rsidR="00942CC4" w:rsidRPr="00AB2265" w:rsidRDefault="00942CC4" w:rsidP="00F21D71">
      <w:pPr>
        <w:pStyle w:val="ExecSumBodyText"/>
        <w:numPr>
          <w:ilvl w:val="1"/>
          <w:numId w:val="1"/>
        </w:numPr>
      </w:pPr>
      <w:r w:rsidRPr="00AB2265">
        <w:t xml:space="preserve">Bleeding-related adverse events were specified in the protocol as adverse events of special interest. In the HERCULES trial, bleeding-related events were reported for 49 patients (69.0%) in the double blind caplacizumab group, 49 patients (67.1%) in the double blind placebo group, and 22 patients (78.6%) in the open label caplacizumab </w:t>
      </w:r>
      <w:r w:rsidRPr="00AB2265">
        <w:lastRenderedPageBreak/>
        <w:t>group during the overall study period. Due to the definition of these events, which included TTP-related bleeding, bleeding treatment-emergent adverse events were also collected based on an Investigator assessment of the event, i.e., investigators indicated whether they considered the adverse event an event indicative of an increased bleeding tendency. When these data are considered, bleeding adverse events were reported for 47 patients (66.2%) in the double blind caplacizumab group,</w:t>
      </w:r>
      <w:r w:rsidR="001C6279">
        <w:t xml:space="preserve"> </w:t>
      </w:r>
      <w:r w:rsidRPr="00AB2265">
        <w:t xml:space="preserve">36 patients (49.3%) in the double blind placebo group, and 21 (75%) of patients in the open label caplacizumab group. Two patients in the HERCULES </w:t>
      </w:r>
      <w:r w:rsidR="003F029B" w:rsidRPr="00AB2265">
        <w:t xml:space="preserve">trial </w:t>
      </w:r>
      <w:r w:rsidRPr="00AB2265">
        <w:t>experienced serious bleeding related treatment emergent adverse events which were considered at least potentially related to caplacizumab: one case each of subarachnoid haemorrhage and uterine bleeding.</w:t>
      </w:r>
    </w:p>
    <w:p w:rsidR="001F016A" w:rsidRPr="00AB2265" w:rsidRDefault="001F016A" w:rsidP="00F21D71">
      <w:pPr>
        <w:pStyle w:val="ExecSumBodyText"/>
        <w:numPr>
          <w:ilvl w:val="1"/>
          <w:numId w:val="1"/>
        </w:numPr>
      </w:pPr>
      <w:r w:rsidRPr="00AB2265">
        <w:t xml:space="preserve">Treatment-related serious bleeding events in the HERCULES trial are summarised in Table </w:t>
      </w:r>
      <w:r w:rsidR="00165AE8" w:rsidRPr="00AB2265">
        <w:t>15</w:t>
      </w:r>
      <w:r w:rsidRPr="00AB2265">
        <w:t>.</w:t>
      </w:r>
    </w:p>
    <w:p w:rsidR="001F016A" w:rsidRPr="00AB2265" w:rsidRDefault="001F016A" w:rsidP="001F016A">
      <w:pPr>
        <w:pStyle w:val="TableText"/>
        <w:rPr>
          <w:b/>
        </w:rPr>
      </w:pPr>
      <w:r w:rsidRPr="00AB2265">
        <w:rPr>
          <w:b/>
        </w:rPr>
        <w:t xml:space="preserve">Table </w:t>
      </w:r>
      <w:r w:rsidR="00C979CC" w:rsidRPr="00AB2265">
        <w:rPr>
          <w:b/>
        </w:rPr>
        <w:t>15</w:t>
      </w:r>
      <w:r w:rsidRPr="00AB2265">
        <w:rPr>
          <w:b/>
        </w:rPr>
        <w:t>: Treatment-related serious bleeding events: HERCULES</w:t>
      </w:r>
    </w:p>
    <w:tbl>
      <w:tblPr>
        <w:tblStyle w:val="TableGrid"/>
        <w:tblW w:w="0" w:type="auto"/>
        <w:tblLook w:val="04A0" w:firstRow="1" w:lastRow="0" w:firstColumn="1" w:lastColumn="0" w:noHBand="0" w:noVBand="1"/>
        <w:tblCaption w:val="Table 15: Treatment-related serious bleeding events: HERCULES"/>
      </w:tblPr>
      <w:tblGrid>
        <w:gridCol w:w="2891"/>
        <w:gridCol w:w="1531"/>
        <w:gridCol w:w="1532"/>
        <w:gridCol w:w="1531"/>
        <w:gridCol w:w="1532"/>
      </w:tblGrid>
      <w:tr w:rsidR="001F016A" w:rsidRPr="00AB2265" w:rsidTr="00187C4E">
        <w:trPr>
          <w:tblHeader/>
        </w:trPr>
        <w:tc>
          <w:tcPr>
            <w:tcW w:w="0" w:type="auto"/>
          </w:tcPr>
          <w:p w:rsidR="001F016A" w:rsidRPr="00AB2265" w:rsidRDefault="001F016A" w:rsidP="00E40FEC">
            <w:pPr>
              <w:pStyle w:val="TableText"/>
            </w:pPr>
          </w:p>
        </w:tc>
        <w:tc>
          <w:tcPr>
            <w:tcW w:w="1531" w:type="dxa"/>
            <w:vAlign w:val="center"/>
          </w:tcPr>
          <w:p w:rsidR="001F016A" w:rsidRPr="00AB2265" w:rsidRDefault="001F016A" w:rsidP="00E40FEC">
            <w:pPr>
              <w:pStyle w:val="TableText"/>
              <w:jc w:val="center"/>
              <w:rPr>
                <w:b/>
              </w:rPr>
            </w:pPr>
            <w:r w:rsidRPr="00AB2265">
              <w:rPr>
                <w:b/>
              </w:rPr>
              <w:t>Placebo (N=73)</w:t>
            </w:r>
          </w:p>
        </w:tc>
        <w:tc>
          <w:tcPr>
            <w:tcW w:w="1532" w:type="dxa"/>
            <w:vAlign w:val="center"/>
          </w:tcPr>
          <w:p w:rsidR="001F016A" w:rsidRPr="00AB2265" w:rsidRDefault="001F016A" w:rsidP="00E40FEC">
            <w:pPr>
              <w:pStyle w:val="TableText"/>
              <w:jc w:val="center"/>
              <w:rPr>
                <w:b/>
              </w:rPr>
            </w:pPr>
            <w:r w:rsidRPr="00AB2265">
              <w:rPr>
                <w:b/>
              </w:rPr>
              <w:t>Caplacizumab (N=71)</w:t>
            </w:r>
          </w:p>
        </w:tc>
        <w:tc>
          <w:tcPr>
            <w:tcW w:w="1531" w:type="dxa"/>
            <w:vAlign w:val="center"/>
          </w:tcPr>
          <w:p w:rsidR="001F016A" w:rsidRPr="00AB2265" w:rsidRDefault="001F016A" w:rsidP="00E40FEC">
            <w:pPr>
              <w:pStyle w:val="TableText"/>
              <w:jc w:val="center"/>
              <w:rPr>
                <w:b/>
              </w:rPr>
            </w:pPr>
            <w:r w:rsidRPr="00AB2265">
              <w:rPr>
                <w:b/>
              </w:rPr>
              <w:t>OL caplacizumab (N=28)</w:t>
            </w:r>
          </w:p>
        </w:tc>
        <w:tc>
          <w:tcPr>
            <w:tcW w:w="1532" w:type="dxa"/>
            <w:vAlign w:val="center"/>
          </w:tcPr>
          <w:p w:rsidR="001F016A" w:rsidRPr="00AB2265" w:rsidRDefault="001F016A" w:rsidP="00E40FEC">
            <w:pPr>
              <w:pStyle w:val="TableText"/>
              <w:jc w:val="center"/>
              <w:rPr>
                <w:b/>
              </w:rPr>
            </w:pPr>
            <w:r w:rsidRPr="00AB2265">
              <w:rPr>
                <w:b/>
              </w:rPr>
              <w:t>Total caplacizumab (DB + OL)</w:t>
            </w:r>
          </w:p>
        </w:tc>
      </w:tr>
      <w:tr w:rsidR="001F016A" w:rsidRPr="00AB2265" w:rsidTr="00E40FEC">
        <w:tc>
          <w:tcPr>
            <w:tcW w:w="0" w:type="auto"/>
            <w:tcBorders>
              <w:bottom w:val="single" w:sz="4" w:space="0" w:color="auto"/>
            </w:tcBorders>
          </w:tcPr>
          <w:p w:rsidR="001F016A" w:rsidRPr="00AB2265" w:rsidRDefault="001F016A" w:rsidP="00E40FEC">
            <w:pPr>
              <w:pStyle w:val="TableText"/>
            </w:pPr>
            <w:r w:rsidRPr="00AB2265">
              <w:t>At least one treatment-related serious bleeding adverse event</w:t>
            </w:r>
          </w:p>
        </w:tc>
        <w:tc>
          <w:tcPr>
            <w:tcW w:w="1531" w:type="dxa"/>
            <w:tcBorders>
              <w:bottom w:val="single" w:sz="4" w:space="0" w:color="auto"/>
            </w:tcBorders>
            <w:vAlign w:val="center"/>
          </w:tcPr>
          <w:p w:rsidR="001F016A" w:rsidRPr="00AB2265" w:rsidRDefault="001F016A" w:rsidP="00E40FEC">
            <w:pPr>
              <w:pStyle w:val="TableText"/>
              <w:jc w:val="center"/>
            </w:pPr>
            <w:r w:rsidRPr="00AB2265">
              <w:t>3 (4.1)</w:t>
            </w:r>
          </w:p>
        </w:tc>
        <w:tc>
          <w:tcPr>
            <w:tcW w:w="1532" w:type="dxa"/>
            <w:tcBorders>
              <w:bottom w:val="single" w:sz="4" w:space="0" w:color="auto"/>
            </w:tcBorders>
            <w:vAlign w:val="center"/>
          </w:tcPr>
          <w:p w:rsidR="001F016A" w:rsidRPr="00AB2265" w:rsidRDefault="001F016A" w:rsidP="00E40FEC">
            <w:pPr>
              <w:pStyle w:val="TableText"/>
              <w:jc w:val="center"/>
            </w:pPr>
            <w:r w:rsidRPr="00AB2265">
              <w:t>8 (11.3)</w:t>
            </w:r>
          </w:p>
        </w:tc>
        <w:tc>
          <w:tcPr>
            <w:tcW w:w="1531" w:type="dxa"/>
            <w:tcBorders>
              <w:bottom w:val="single" w:sz="4" w:space="0" w:color="auto"/>
            </w:tcBorders>
            <w:vAlign w:val="center"/>
          </w:tcPr>
          <w:p w:rsidR="001F016A" w:rsidRPr="00AB2265" w:rsidRDefault="001F016A" w:rsidP="00E40FEC">
            <w:pPr>
              <w:pStyle w:val="TableText"/>
              <w:jc w:val="center"/>
            </w:pPr>
            <w:r w:rsidRPr="00AB2265">
              <w:t>1 (3.6)</w:t>
            </w:r>
          </w:p>
        </w:tc>
        <w:tc>
          <w:tcPr>
            <w:tcW w:w="1532" w:type="dxa"/>
            <w:tcBorders>
              <w:bottom w:val="single" w:sz="4" w:space="0" w:color="auto"/>
            </w:tcBorders>
            <w:vAlign w:val="center"/>
          </w:tcPr>
          <w:p w:rsidR="001F016A" w:rsidRPr="00AB2265" w:rsidRDefault="001F016A" w:rsidP="00E40FEC">
            <w:pPr>
              <w:pStyle w:val="TableText"/>
              <w:jc w:val="center"/>
            </w:pPr>
            <w:r w:rsidRPr="00AB2265">
              <w:t>9 (9.3)</w:t>
            </w:r>
          </w:p>
        </w:tc>
      </w:tr>
      <w:tr w:rsidR="001F016A" w:rsidRPr="00AB2265" w:rsidTr="00E40FEC">
        <w:tc>
          <w:tcPr>
            <w:tcW w:w="0" w:type="auto"/>
            <w:tcBorders>
              <w:bottom w:val="nil"/>
            </w:tcBorders>
          </w:tcPr>
          <w:p w:rsidR="001F016A" w:rsidRPr="00AB2265" w:rsidRDefault="001F016A" w:rsidP="00E40FEC">
            <w:pPr>
              <w:pStyle w:val="TableText"/>
            </w:pPr>
            <w:r w:rsidRPr="00AB2265">
              <w:t>Gastrointestinal disorders</w:t>
            </w:r>
          </w:p>
        </w:tc>
        <w:tc>
          <w:tcPr>
            <w:tcW w:w="1531" w:type="dxa"/>
            <w:tcBorders>
              <w:bottom w:val="nil"/>
            </w:tcBorders>
            <w:vAlign w:val="center"/>
          </w:tcPr>
          <w:p w:rsidR="001F016A" w:rsidRPr="00AB2265" w:rsidRDefault="001F016A" w:rsidP="00E40FEC">
            <w:pPr>
              <w:pStyle w:val="TableText"/>
              <w:jc w:val="center"/>
            </w:pPr>
            <w:r w:rsidRPr="00AB2265">
              <w:t>0</w:t>
            </w:r>
          </w:p>
        </w:tc>
        <w:tc>
          <w:tcPr>
            <w:tcW w:w="1532" w:type="dxa"/>
            <w:tcBorders>
              <w:bottom w:val="nil"/>
            </w:tcBorders>
            <w:vAlign w:val="center"/>
          </w:tcPr>
          <w:p w:rsidR="001F016A" w:rsidRPr="00AB2265" w:rsidRDefault="001F016A" w:rsidP="00E40FEC">
            <w:pPr>
              <w:pStyle w:val="TableText"/>
              <w:jc w:val="center"/>
            </w:pPr>
            <w:r w:rsidRPr="00AB2265">
              <w:t>3 (4.2)</w:t>
            </w:r>
          </w:p>
        </w:tc>
        <w:tc>
          <w:tcPr>
            <w:tcW w:w="1531" w:type="dxa"/>
            <w:tcBorders>
              <w:bottom w:val="nil"/>
            </w:tcBorders>
            <w:vAlign w:val="center"/>
          </w:tcPr>
          <w:p w:rsidR="001F016A" w:rsidRPr="00AB2265" w:rsidRDefault="001F016A" w:rsidP="00E40FEC">
            <w:pPr>
              <w:pStyle w:val="TableText"/>
              <w:jc w:val="center"/>
            </w:pPr>
            <w:r w:rsidRPr="00AB2265">
              <w:t>1 (3.6)</w:t>
            </w:r>
          </w:p>
        </w:tc>
        <w:tc>
          <w:tcPr>
            <w:tcW w:w="1532" w:type="dxa"/>
            <w:tcBorders>
              <w:bottom w:val="nil"/>
            </w:tcBorders>
            <w:vAlign w:val="center"/>
          </w:tcPr>
          <w:p w:rsidR="001F016A" w:rsidRPr="00AB2265" w:rsidRDefault="001F016A" w:rsidP="00E40FEC">
            <w:pPr>
              <w:pStyle w:val="TableText"/>
              <w:jc w:val="center"/>
            </w:pPr>
            <w:r w:rsidRPr="00AB2265">
              <w:t>4 (4.1)</w:t>
            </w:r>
          </w:p>
        </w:tc>
      </w:tr>
      <w:tr w:rsidR="001F016A" w:rsidRPr="00AB2265" w:rsidTr="00E40FEC">
        <w:tc>
          <w:tcPr>
            <w:tcW w:w="0" w:type="auto"/>
            <w:tcBorders>
              <w:top w:val="nil"/>
              <w:bottom w:val="nil"/>
            </w:tcBorders>
          </w:tcPr>
          <w:p w:rsidR="001F016A" w:rsidRPr="00AB2265" w:rsidRDefault="001F016A" w:rsidP="00E40FEC">
            <w:pPr>
              <w:pStyle w:val="TableText"/>
            </w:pPr>
            <w:r w:rsidRPr="00AB2265">
              <w:t>Gingival bleeding</w:t>
            </w:r>
          </w:p>
        </w:tc>
        <w:tc>
          <w:tcPr>
            <w:tcW w:w="1531" w:type="dxa"/>
            <w:tcBorders>
              <w:top w:val="nil"/>
              <w:bottom w:val="nil"/>
            </w:tcBorders>
            <w:vAlign w:val="center"/>
          </w:tcPr>
          <w:p w:rsidR="001F016A" w:rsidRPr="00AB2265" w:rsidRDefault="001F016A" w:rsidP="00E40FEC">
            <w:pPr>
              <w:pStyle w:val="TableText"/>
              <w:jc w:val="center"/>
            </w:pPr>
            <w:r w:rsidRPr="00AB2265">
              <w:t>0</w:t>
            </w:r>
          </w:p>
        </w:tc>
        <w:tc>
          <w:tcPr>
            <w:tcW w:w="1532" w:type="dxa"/>
            <w:tcBorders>
              <w:top w:val="nil"/>
              <w:bottom w:val="nil"/>
            </w:tcBorders>
            <w:vAlign w:val="center"/>
          </w:tcPr>
          <w:p w:rsidR="001F016A" w:rsidRPr="00AB2265" w:rsidRDefault="001F016A" w:rsidP="00E40FEC">
            <w:pPr>
              <w:pStyle w:val="TableText"/>
              <w:jc w:val="center"/>
            </w:pPr>
            <w:r w:rsidRPr="00AB2265">
              <w:t>1 (1.4)</w:t>
            </w:r>
          </w:p>
        </w:tc>
        <w:tc>
          <w:tcPr>
            <w:tcW w:w="1531" w:type="dxa"/>
            <w:tcBorders>
              <w:top w:val="nil"/>
              <w:bottom w:val="nil"/>
            </w:tcBorders>
            <w:vAlign w:val="center"/>
          </w:tcPr>
          <w:p w:rsidR="001F016A" w:rsidRPr="00AB2265" w:rsidRDefault="001F016A" w:rsidP="00E40FEC">
            <w:pPr>
              <w:pStyle w:val="TableText"/>
              <w:jc w:val="center"/>
            </w:pPr>
            <w:r w:rsidRPr="00AB2265">
              <w:t>0</w:t>
            </w:r>
          </w:p>
        </w:tc>
        <w:tc>
          <w:tcPr>
            <w:tcW w:w="1532" w:type="dxa"/>
            <w:tcBorders>
              <w:top w:val="nil"/>
              <w:bottom w:val="nil"/>
            </w:tcBorders>
            <w:vAlign w:val="center"/>
          </w:tcPr>
          <w:p w:rsidR="001F016A" w:rsidRPr="00AB2265" w:rsidRDefault="001F016A" w:rsidP="00E40FEC">
            <w:pPr>
              <w:pStyle w:val="TableText"/>
              <w:jc w:val="center"/>
            </w:pPr>
            <w:r w:rsidRPr="00AB2265">
              <w:t>1 (1.0)</w:t>
            </w:r>
          </w:p>
        </w:tc>
      </w:tr>
      <w:tr w:rsidR="001F016A" w:rsidRPr="00AB2265" w:rsidTr="00E40FEC">
        <w:tc>
          <w:tcPr>
            <w:tcW w:w="0" w:type="auto"/>
            <w:tcBorders>
              <w:top w:val="nil"/>
              <w:bottom w:val="nil"/>
            </w:tcBorders>
          </w:tcPr>
          <w:p w:rsidR="001F016A" w:rsidRPr="00AB2265" w:rsidRDefault="001F016A" w:rsidP="00E40FEC">
            <w:pPr>
              <w:pStyle w:val="TableText"/>
            </w:pPr>
            <w:r w:rsidRPr="00AB2265">
              <w:t>Upper gastrointestinal haemorrhage</w:t>
            </w:r>
          </w:p>
        </w:tc>
        <w:tc>
          <w:tcPr>
            <w:tcW w:w="1531" w:type="dxa"/>
            <w:tcBorders>
              <w:top w:val="nil"/>
              <w:bottom w:val="nil"/>
            </w:tcBorders>
            <w:vAlign w:val="center"/>
          </w:tcPr>
          <w:p w:rsidR="001F016A" w:rsidRPr="00AB2265" w:rsidRDefault="001F016A" w:rsidP="00E40FEC">
            <w:pPr>
              <w:pStyle w:val="TableText"/>
              <w:jc w:val="center"/>
            </w:pPr>
            <w:r w:rsidRPr="00AB2265">
              <w:t>0</w:t>
            </w:r>
          </w:p>
        </w:tc>
        <w:tc>
          <w:tcPr>
            <w:tcW w:w="1532" w:type="dxa"/>
            <w:tcBorders>
              <w:top w:val="nil"/>
              <w:bottom w:val="nil"/>
            </w:tcBorders>
            <w:vAlign w:val="center"/>
          </w:tcPr>
          <w:p w:rsidR="001F016A" w:rsidRPr="00AB2265" w:rsidRDefault="001F016A" w:rsidP="00E40FEC">
            <w:pPr>
              <w:pStyle w:val="TableText"/>
              <w:jc w:val="center"/>
            </w:pPr>
            <w:r w:rsidRPr="00AB2265">
              <w:t>1 (1.4)</w:t>
            </w:r>
          </w:p>
        </w:tc>
        <w:tc>
          <w:tcPr>
            <w:tcW w:w="1531" w:type="dxa"/>
            <w:tcBorders>
              <w:top w:val="nil"/>
              <w:bottom w:val="nil"/>
            </w:tcBorders>
            <w:vAlign w:val="center"/>
          </w:tcPr>
          <w:p w:rsidR="001F016A" w:rsidRPr="00AB2265" w:rsidRDefault="001F016A" w:rsidP="00E40FEC">
            <w:pPr>
              <w:pStyle w:val="TableText"/>
              <w:jc w:val="center"/>
            </w:pPr>
            <w:r w:rsidRPr="00AB2265">
              <w:t>1 (3.6)</w:t>
            </w:r>
          </w:p>
        </w:tc>
        <w:tc>
          <w:tcPr>
            <w:tcW w:w="1532" w:type="dxa"/>
            <w:tcBorders>
              <w:top w:val="nil"/>
              <w:bottom w:val="nil"/>
            </w:tcBorders>
            <w:vAlign w:val="center"/>
          </w:tcPr>
          <w:p w:rsidR="001F016A" w:rsidRPr="00AB2265" w:rsidRDefault="001F016A" w:rsidP="00E40FEC">
            <w:pPr>
              <w:pStyle w:val="TableText"/>
              <w:jc w:val="center"/>
            </w:pPr>
            <w:r w:rsidRPr="00AB2265">
              <w:t>2 (2.1)</w:t>
            </w:r>
          </w:p>
        </w:tc>
      </w:tr>
      <w:tr w:rsidR="001F016A" w:rsidRPr="00AB2265" w:rsidTr="00E40FEC">
        <w:tc>
          <w:tcPr>
            <w:tcW w:w="0" w:type="auto"/>
            <w:tcBorders>
              <w:top w:val="nil"/>
              <w:bottom w:val="single" w:sz="4" w:space="0" w:color="auto"/>
            </w:tcBorders>
          </w:tcPr>
          <w:p w:rsidR="001F016A" w:rsidRPr="00AB2265" w:rsidRDefault="001F016A" w:rsidP="00E40FEC">
            <w:pPr>
              <w:pStyle w:val="TableText"/>
            </w:pPr>
            <w:proofErr w:type="spellStart"/>
            <w:r w:rsidRPr="00AB2265">
              <w:t>Haematemesis</w:t>
            </w:r>
            <w:proofErr w:type="spellEnd"/>
          </w:p>
        </w:tc>
        <w:tc>
          <w:tcPr>
            <w:tcW w:w="1531" w:type="dxa"/>
            <w:tcBorders>
              <w:top w:val="nil"/>
              <w:bottom w:val="single" w:sz="4" w:space="0" w:color="auto"/>
            </w:tcBorders>
            <w:vAlign w:val="center"/>
          </w:tcPr>
          <w:p w:rsidR="001F016A" w:rsidRPr="00AB2265" w:rsidRDefault="001F016A" w:rsidP="00E40FEC">
            <w:pPr>
              <w:pStyle w:val="TableText"/>
              <w:jc w:val="center"/>
            </w:pPr>
            <w:r w:rsidRPr="00AB2265">
              <w:t>0</w:t>
            </w:r>
          </w:p>
        </w:tc>
        <w:tc>
          <w:tcPr>
            <w:tcW w:w="1532" w:type="dxa"/>
            <w:tcBorders>
              <w:top w:val="nil"/>
              <w:bottom w:val="single" w:sz="4" w:space="0" w:color="auto"/>
            </w:tcBorders>
            <w:vAlign w:val="center"/>
          </w:tcPr>
          <w:p w:rsidR="001F016A" w:rsidRPr="00AB2265" w:rsidRDefault="001F016A" w:rsidP="00E40FEC">
            <w:pPr>
              <w:pStyle w:val="TableText"/>
              <w:jc w:val="center"/>
            </w:pPr>
            <w:r w:rsidRPr="00AB2265">
              <w:t>1 (1.4)</w:t>
            </w:r>
          </w:p>
        </w:tc>
        <w:tc>
          <w:tcPr>
            <w:tcW w:w="1531" w:type="dxa"/>
            <w:tcBorders>
              <w:top w:val="nil"/>
              <w:bottom w:val="single" w:sz="4" w:space="0" w:color="auto"/>
            </w:tcBorders>
            <w:vAlign w:val="center"/>
          </w:tcPr>
          <w:p w:rsidR="001F016A" w:rsidRPr="00AB2265" w:rsidRDefault="001F016A" w:rsidP="00E40FEC">
            <w:pPr>
              <w:pStyle w:val="TableText"/>
              <w:jc w:val="center"/>
            </w:pPr>
            <w:r w:rsidRPr="00AB2265">
              <w:t>0</w:t>
            </w:r>
          </w:p>
        </w:tc>
        <w:tc>
          <w:tcPr>
            <w:tcW w:w="1532" w:type="dxa"/>
            <w:tcBorders>
              <w:top w:val="nil"/>
              <w:bottom w:val="single" w:sz="4" w:space="0" w:color="auto"/>
            </w:tcBorders>
            <w:vAlign w:val="center"/>
          </w:tcPr>
          <w:p w:rsidR="001F016A" w:rsidRPr="00AB2265" w:rsidRDefault="001F016A" w:rsidP="00E40FEC">
            <w:pPr>
              <w:pStyle w:val="TableText"/>
              <w:jc w:val="center"/>
            </w:pPr>
            <w:r w:rsidRPr="00AB2265">
              <w:t>1 (1.0)</w:t>
            </w:r>
          </w:p>
        </w:tc>
      </w:tr>
      <w:tr w:rsidR="001F016A" w:rsidRPr="00AB2265" w:rsidTr="00E40FEC">
        <w:tc>
          <w:tcPr>
            <w:tcW w:w="0" w:type="auto"/>
            <w:tcBorders>
              <w:bottom w:val="nil"/>
            </w:tcBorders>
          </w:tcPr>
          <w:p w:rsidR="001F016A" w:rsidRPr="00AB2265" w:rsidRDefault="001F016A" w:rsidP="00E40FEC">
            <w:pPr>
              <w:pStyle w:val="TableText"/>
            </w:pPr>
            <w:r w:rsidRPr="00AB2265">
              <w:t>Nervous system disorders</w:t>
            </w:r>
          </w:p>
        </w:tc>
        <w:tc>
          <w:tcPr>
            <w:tcW w:w="1531" w:type="dxa"/>
            <w:tcBorders>
              <w:bottom w:val="nil"/>
            </w:tcBorders>
            <w:vAlign w:val="center"/>
          </w:tcPr>
          <w:p w:rsidR="001F016A" w:rsidRPr="00AB2265" w:rsidRDefault="001F016A" w:rsidP="00E40FEC">
            <w:pPr>
              <w:pStyle w:val="TableText"/>
              <w:jc w:val="center"/>
            </w:pPr>
            <w:r w:rsidRPr="00AB2265">
              <w:t>1 (1.40)</w:t>
            </w:r>
          </w:p>
        </w:tc>
        <w:tc>
          <w:tcPr>
            <w:tcW w:w="1532" w:type="dxa"/>
            <w:tcBorders>
              <w:bottom w:val="nil"/>
            </w:tcBorders>
            <w:vAlign w:val="center"/>
          </w:tcPr>
          <w:p w:rsidR="001F016A" w:rsidRPr="00AB2265" w:rsidRDefault="001F016A" w:rsidP="00E40FEC">
            <w:pPr>
              <w:pStyle w:val="TableText"/>
              <w:jc w:val="center"/>
            </w:pPr>
            <w:r w:rsidRPr="00AB2265">
              <w:t>0</w:t>
            </w:r>
          </w:p>
        </w:tc>
        <w:tc>
          <w:tcPr>
            <w:tcW w:w="1531" w:type="dxa"/>
            <w:tcBorders>
              <w:bottom w:val="nil"/>
            </w:tcBorders>
            <w:vAlign w:val="center"/>
          </w:tcPr>
          <w:p w:rsidR="001F016A" w:rsidRPr="00AB2265" w:rsidRDefault="001F016A" w:rsidP="00E40FEC">
            <w:pPr>
              <w:pStyle w:val="TableText"/>
              <w:jc w:val="center"/>
            </w:pPr>
            <w:r w:rsidRPr="00AB2265">
              <w:t>0</w:t>
            </w:r>
          </w:p>
        </w:tc>
        <w:tc>
          <w:tcPr>
            <w:tcW w:w="1532" w:type="dxa"/>
            <w:tcBorders>
              <w:bottom w:val="nil"/>
            </w:tcBorders>
            <w:vAlign w:val="center"/>
          </w:tcPr>
          <w:p w:rsidR="001F016A" w:rsidRPr="00AB2265" w:rsidRDefault="001F016A" w:rsidP="00E40FEC">
            <w:pPr>
              <w:pStyle w:val="TableText"/>
              <w:jc w:val="center"/>
            </w:pPr>
            <w:r w:rsidRPr="00AB2265">
              <w:t>0</w:t>
            </w:r>
          </w:p>
        </w:tc>
      </w:tr>
      <w:tr w:rsidR="001F016A" w:rsidRPr="00AB2265" w:rsidTr="00E40FEC">
        <w:tc>
          <w:tcPr>
            <w:tcW w:w="0" w:type="auto"/>
            <w:tcBorders>
              <w:top w:val="nil"/>
            </w:tcBorders>
          </w:tcPr>
          <w:p w:rsidR="001F016A" w:rsidRPr="00AB2265" w:rsidRDefault="001F016A" w:rsidP="00E40FEC">
            <w:pPr>
              <w:pStyle w:val="TableText"/>
            </w:pPr>
            <w:r w:rsidRPr="00AB2265">
              <w:t>Haemorrhagic transformation stroke</w:t>
            </w:r>
          </w:p>
        </w:tc>
        <w:tc>
          <w:tcPr>
            <w:tcW w:w="1531" w:type="dxa"/>
            <w:tcBorders>
              <w:top w:val="nil"/>
            </w:tcBorders>
            <w:vAlign w:val="center"/>
          </w:tcPr>
          <w:p w:rsidR="001F016A" w:rsidRPr="00AB2265" w:rsidRDefault="001F016A" w:rsidP="00E40FEC">
            <w:pPr>
              <w:pStyle w:val="TableText"/>
              <w:jc w:val="center"/>
            </w:pPr>
            <w:r w:rsidRPr="00AB2265">
              <w:t>1 (1.4)</w:t>
            </w:r>
          </w:p>
        </w:tc>
        <w:tc>
          <w:tcPr>
            <w:tcW w:w="1532" w:type="dxa"/>
            <w:tcBorders>
              <w:top w:val="nil"/>
            </w:tcBorders>
            <w:vAlign w:val="center"/>
          </w:tcPr>
          <w:p w:rsidR="001F016A" w:rsidRPr="00AB2265" w:rsidRDefault="001F016A" w:rsidP="00E40FEC">
            <w:pPr>
              <w:pStyle w:val="TableText"/>
              <w:jc w:val="center"/>
            </w:pPr>
            <w:r w:rsidRPr="00AB2265">
              <w:t>0</w:t>
            </w:r>
          </w:p>
        </w:tc>
        <w:tc>
          <w:tcPr>
            <w:tcW w:w="1531" w:type="dxa"/>
            <w:tcBorders>
              <w:top w:val="nil"/>
            </w:tcBorders>
            <w:vAlign w:val="center"/>
          </w:tcPr>
          <w:p w:rsidR="001F016A" w:rsidRPr="00AB2265" w:rsidRDefault="001F016A" w:rsidP="00E40FEC">
            <w:pPr>
              <w:pStyle w:val="TableText"/>
              <w:jc w:val="center"/>
            </w:pPr>
            <w:r w:rsidRPr="00AB2265">
              <w:t>0</w:t>
            </w:r>
          </w:p>
        </w:tc>
        <w:tc>
          <w:tcPr>
            <w:tcW w:w="1532" w:type="dxa"/>
            <w:tcBorders>
              <w:top w:val="nil"/>
            </w:tcBorders>
            <w:vAlign w:val="center"/>
          </w:tcPr>
          <w:p w:rsidR="001F016A" w:rsidRPr="00AB2265" w:rsidRDefault="001F016A" w:rsidP="00E40FEC">
            <w:pPr>
              <w:pStyle w:val="TableText"/>
              <w:jc w:val="center"/>
            </w:pPr>
            <w:r w:rsidRPr="00AB2265">
              <w:t>0</w:t>
            </w:r>
          </w:p>
        </w:tc>
      </w:tr>
      <w:tr w:rsidR="001F016A" w:rsidRPr="00AB2265" w:rsidTr="00E40FEC">
        <w:tc>
          <w:tcPr>
            <w:tcW w:w="0" w:type="auto"/>
          </w:tcPr>
          <w:p w:rsidR="001F016A" w:rsidRPr="00AB2265" w:rsidRDefault="001F016A" w:rsidP="00E40FEC">
            <w:pPr>
              <w:pStyle w:val="TableText"/>
            </w:pPr>
            <w:r w:rsidRPr="00AB2265">
              <w:t>Respiratory, thoracic, and mediastinal disorders</w:t>
            </w:r>
          </w:p>
        </w:tc>
        <w:tc>
          <w:tcPr>
            <w:tcW w:w="1531" w:type="dxa"/>
            <w:vAlign w:val="center"/>
          </w:tcPr>
          <w:p w:rsidR="001F016A" w:rsidRPr="00AB2265" w:rsidRDefault="001F016A" w:rsidP="00E40FEC">
            <w:pPr>
              <w:pStyle w:val="TableText"/>
              <w:jc w:val="center"/>
            </w:pPr>
            <w:r w:rsidRPr="00AB2265">
              <w:t>0</w:t>
            </w:r>
          </w:p>
        </w:tc>
        <w:tc>
          <w:tcPr>
            <w:tcW w:w="1532" w:type="dxa"/>
            <w:vAlign w:val="center"/>
          </w:tcPr>
          <w:p w:rsidR="001F016A" w:rsidRPr="00AB2265" w:rsidRDefault="001F016A" w:rsidP="00E40FEC">
            <w:pPr>
              <w:pStyle w:val="TableText"/>
              <w:jc w:val="center"/>
            </w:pPr>
            <w:r w:rsidRPr="00AB2265">
              <w:t>4 (5.6)</w:t>
            </w:r>
          </w:p>
        </w:tc>
        <w:tc>
          <w:tcPr>
            <w:tcW w:w="1531" w:type="dxa"/>
            <w:vAlign w:val="center"/>
          </w:tcPr>
          <w:p w:rsidR="001F016A" w:rsidRPr="00AB2265" w:rsidRDefault="001F016A" w:rsidP="00E40FEC">
            <w:pPr>
              <w:pStyle w:val="TableText"/>
              <w:jc w:val="center"/>
            </w:pPr>
            <w:r w:rsidRPr="00AB2265">
              <w:t>0</w:t>
            </w:r>
          </w:p>
        </w:tc>
        <w:tc>
          <w:tcPr>
            <w:tcW w:w="1532" w:type="dxa"/>
            <w:vAlign w:val="center"/>
          </w:tcPr>
          <w:p w:rsidR="001F016A" w:rsidRPr="00AB2265" w:rsidRDefault="001F016A" w:rsidP="00E40FEC">
            <w:pPr>
              <w:pStyle w:val="TableText"/>
              <w:jc w:val="center"/>
            </w:pPr>
            <w:r w:rsidRPr="00AB2265">
              <w:t>4 (4.1)</w:t>
            </w:r>
          </w:p>
        </w:tc>
      </w:tr>
      <w:tr w:rsidR="001F016A" w:rsidRPr="00AB2265" w:rsidTr="00E40FEC">
        <w:tc>
          <w:tcPr>
            <w:tcW w:w="0" w:type="auto"/>
          </w:tcPr>
          <w:p w:rsidR="001F016A" w:rsidRPr="00AB2265" w:rsidRDefault="001F016A" w:rsidP="00E40FEC">
            <w:pPr>
              <w:pStyle w:val="TableText"/>
            </w:pPr>
            <w:r w:rsidRPr="00AB2265">
              <w:t>Epistaxis</w:t>
            </w:r>
          </w:p>
        </w:tc>
        <w:tc>
          <w:tcPr>
            <w:tcW w:w="1531" w:type="dxa"/>
            <w:vAlign w:val="center"/>
          </w:tcPr>
          <w:p w:rsidR="001F016A" w:rsidRPr="00AB2265" w:rsidRDefault="001F016A" w:rsidP="00E40FEC">
            <w:pPr>
              <w:pStyle w:val="TableText"/>
              <w:jc w:val="center"/>
            </w:pPr>
            <w:r w:rsidRPr="00AB2265">
              <w:t>0</w:t>
            </w:r>
          </w:p>
        </w:tc>
        <w:tc>
          <w:tcPr>
            <w:tcW w:w="1532" w:type="dxa"/>
            <w:vAlign w:val="center"/>
          </w:tcPr>
          <w:p w:rsidR="001F016A" w:rsidRPr="00AB2265" w:rsidRDefault="001F016A" w:rsidP="00E40FEC">
            <w:pPr>
              <w:pStyle w:val="TableText"/>
              <w:jc w:val="center"/>
            </w:pPr>
            <w:r w:rsidRPr="00AB2265">
              <w:t>4 (5.6)</w:t>
            </w:r>
          </w:p>
        </w:tc>
        <w:tc>
          <w:tcPr>
            <w:tcW w:w="1531" w:type="dxa"/>
            <w:vAlign w:val="center"/>
          </w:tcPr>
          <w:p w:rsidR="001F016A" w:rsidRPr="00AB2265" w:rsidRDefault="001F016A" w:rsidP="00E40FEC">
            <w:pPr>
              <w:pStyle w:val="TableText"/>
              <w:jc w:val="center"/>
            </w:pPr>
            <w:r w:rsidRPr="00AB2265">
              <w:t>0</w:t>
            </w:r>
          </w:p>
        </w:tc>
        <w:tc>
          <w:tcPr>
            <w:tcW w:w="1532" w:type="dxa"/>
            <w:vAlign w:val="center"/>
          </w:tcPr>
          <w:p w:rsidR="001F016A" w:rsidRPr="00AB2265" w:rsidRDefault="001F016A" w:rsidP="00E40FEC">
            <w:pPr>
              <w:pStyle w:val="TableText"/>
              <w:jc w:val="center"/>
            </w:pPr>
            <w:r w:rsidRPr="00AB2265">
              <w:t>4 (4.1)</w:t>
            </w:r>
          </w:p>
        </w:tc>
      </w:tr>
      <w:tr w:rsidR="001F016A" w:rsidRPr="00AB2265" w:rsidTr="00E40FEC">
        <w:tc>
          <w:tcPr>
            <w:tcW w:w="0" w:type="auto"/>
          </w:tcPr>
          <w:p w:rsidR="001F016A" w:rsidRPr="00AB2265" w:rsidRDefault="001F016A" w:rsidP="00E40FEC">
            <w:pPr>
              <w:pStyle w:val="TableText"/>
            </w:pPr>
            <w:r w:rsidRPr="00AB2265">
              <w:t>Bloody and lymphatic system disorders</w:t>
            </w:r>
          </w:p>
        </w:tc>
        <w:tc>
          <w:tcPr>
            <w:tcW w:w="1531" w:type="dxa"/>
            <w:vAlign w:val="center"/>
          </w:tcPr>
          <w:p w:rsidR="001F016A" w:rsidRPr="00AB2265" w:rsidRDefault="001F016A" w:rsidP="00E40FEC">
            <w:pPr>
              <w:pStyle w:val="TableText"/>
              <w:jc w:val="center"/>
            </w:pPr>
            <w:r w:rsidRPr="00AB2265">
              <w:t>2 (2.7)</w:t>
            </w:r>
          </w:p>
        </w:tc>
        <w:tc>
          <w:tcPr>
            <w:tcW w:w="1532" w:type="dxa"/>
            <w:vAlign w:val="center"/>
          </w:tcPr>
          <w:p w:rsidR="001F016A" w:rsidRPr="00AB2265" w:rsidRDefault="001F016A" w:rsidP="00E40FEC">
            <w:pPr>
              <w:pStyle w:val="TableText"/>
              <w:jc w:val="center"/>
            </w:pPr>
            <w:r w:rsidRPr="00AB2265">
              <w:t>0</w:t>
            </w:r>
          </w:p>
        </w:tc>
        <w:tc>
          <w:tcPr>
            <w:tcW w:w="1531" w:type="dxa"/>
            <w:vAlign w:val="center"/>
          </w:tcPr>
          <w:p w:rsidR="001F016A" w:rsidRPr="00AB2265" w:rsidRDefault="001F016A" w:rsidP="00E40FEC">
            <w:pPr>
              <w:pStyle w:val="TableText"/>
              <w:jc w:val="center"/>
            </w:pPr>
            <w:r w:rsidRPr="00AB2265">
              <w:t>0</w:t>
            </w:r>
          </w:p>
        </w:tc>
        <w:tc>
          <w:tcPr>
            <w:tcW w:w="1532" w:type="dxa"/>
            <w:vAlign w:val="center"/>
          </w:tcPr>
          <w:p w:rsidR="001F016A" w:rsidRPr="00AB2265" w:rsidRDefault="001F016A" w:rsidP="00E40FEC">
            <w:pPr>
              <w:pStyle w:val="TableText"/>
              <w:jc w:val="center"/>
            </w:pPr>
            <w:r w:rsidRPr="00AB2265">
              <w:t>0</w:t>
            </w:r>
          </w:p>
        </w:tc>
      </w:tr>
      <w:tr w:rsidR="001F016A" w:rsidRPr="00AB2265" w:rsidTr="00E40FEC">
        <w:tc>
          <w:tcPr>
            <w:tcW w:w="0" w:type="auto"/>
          </w:tcPr>
          <w:p w:rsidR="001F016A" w:rsidRPr="00AB2265" w:rsidRDefault="001F016A" w:rsidP="00E40FEC">
            <w:pPr>
              <w:pStyle w:val="TableText"/>
            </w:pPr>
            <w:r w:rsidRPr="00AB2265">
              <w:t>Thrombotic thrombocytopenic purpura</w:t>
            </w:r>
          </w:p>
        </w:tc>
        <w:tc>
          <w:tcPr>
            <w:tcW w:w="1531" w:type="dxa"/>
            <w:vAlign w:val="center"/>
          </w:tcPr>
          <w:p w:rsidR="001F016A" w:rsidRPr="00AB2265" w:rsidRDefault="001F016A" w:rsidP="00E40FEC">
            <w:pPr>
              <w:pStyle w:val="TableText"/>
              <w:jc w:val="center"/>
            </w:pPr>
            <w:r w:rsidRPr="00AB2265">
              <w:t>2 (2.7)</w:t>
            </w:r>
          </w:p>
        </w:tc>
        <w:tc>
          <w:tcPr>
            <w:tcW w:w="1532" w:type="dxa"/>
            <w:vAlign w:val="center"/>
          </w:tcPr>
          <w:p w:rsidR="001F016A" w:rsidRPr="00AB2265" w:rsidRDefault="001F016A" w:rsidP="00E40FEC">
            <w:pPr>
              <w:pStyle w:val="TableText"/>
              <w:jc w:val="center"/>
            </w:pPr>
            <w:r w:rsidRPr="00AB2265">
              <w:t>0</w:t>
            </w:r>
          </w:p>
        </w:tc>
        <w:tc>
          <w:tcPr>
            <w:tcW w:w="1531" w:type="dxa"/>
            <w:vAlign w:val="center"/>
          </w:tcPr>
          <w:p w:rsidR="001F016A" w:rsidRPr="00AB2265" w:rsidRDefault="001F016A" w:rsidP="00E40FEC">
            <w:pPr>
              <w:pStyle w:val="TableText"/>
              <w:jc w:val="center"/>
            </w:pPr>
            <w:r w:rsidRPr="00AB2265">
              <w:t>0</w:t>
            </w:r>
          </w:p>
        </w:tc>
        <w:tc>
          <w:tcPr>
            <w:tcW w:w="1532" w:type="dxa"/>
            <w:vAlign w:val="center"/>
          </w:tcPr>
          <w:p w:rsidR="001F016A" w:rsidRPr="00AB2265" w:rsidRDefault="001F016A" w:rsidP="00E40FEC">
            <w:pPr>
              <w:pStyle w:val="TableText"/>
              <w:jc w:val="center"/>
            </w:pPr>
            <w:r w:rsidRPr="00AB2265">
              <w:t>0</w:t>
            </w:r>
          </w:p>
        </w:tc>
      </w:tr>
    </w:tbl>
    <w:p w:rsidR="001F016A" w:rsidRPr="00AB2265" w:rsidRDefault="001F016A" w:rsidP="001F016A">
      <w:pPr>
        <w:pStyle w:val="TableFooter"/>
      </w:pPr>
      <w:r w:rsidRPr="00AB2265">
        <w:t>Source: Table 14.3.1.12, HERCULES CSR</w:t>
      </w:r>
    </w:p>
    <w:p w:rsidR="001F016A" w:rsidRPr="00AB2265" w:rsidRDefault="001F016A" w:rsidP="001F016A">
      <w:pPr>
        <w:pStyle w:val="TableFooter"/>
      </w:pPr>
    </w:p>
    <w:p w:rsidR="001F016A" w:rsidRPr="00AB2265" w:rsidRDefault="001F016A" w:rsidP="00F21D71">
      <w:pPr>
        <w:pStyle w:val="ExecSumBodyText"/>
        <w:numPr>
          <w:ilvl w:val="1"/>
          <w:numId w:val="1"/>
        </w:numPr>
      </w:pPr>
      <w:r w:rsidRPr="00AB2265">
        <w:t>In the HERCULES trial, the most frequently reported bleeding events for double blind caplacizumab were gingival bleeding and epistaxis, and the most frequently reported bleeding events for double blind placebo were TTP and contusion. The majority of bleeding events were of mild to moderate severity. Severe bleeding events were reported in 7 patients in the double blind caplacizumab group (9.9%) and 12 in the double blind placebo group (16.4%), however most of which were TTP</w:t>
      </w:r>
      <w:r w:rsidR="00650148" w:rsidRPr="00AB2265">
        <w:t>-related</w:t>
      </w:r>
      <w:r w:rsidRPr="00AB2265">
        <w:t xml:space="preserve"> (caplacizumab: 4 </w:t>
      </w:r>
      <w:proofErr w:type="gramStart"/>
      <w:r w:rsidRPr="00AB2265">
        <w:t>patients</w:t>
      </w:r>
      <w:proofErr w:type="gramEnd"/>
      <w:r w:rsidRPr="00AB2265">
        <w:t xml:space="preserve"> vs placebo: </w:t>
      </w:r>
      <w:r w:rsidR="00AB714C" w:rsidRPr="00AB2265">
        <w:t>11 patients</w:t>
      </w:r>
      <w:r w:rsidRPr="00AB2265">
        <w:t>)</w:t>
      </w:r>
      <w:r w:rsidR="00AB2265">
        <w:t xml:space="preserve">. </w:t>
      </w:r>
      <w:r w:rsidRPr="00AB2265">
        <w:t>In the double blind caplacizumab group, three severe bleeding events, apart from TTP, were reported: one each of epistaxis, gingival bleeding, and upper gastrointestinal haemorrhage. No severe bleeding was reported in the open label caplacizumab group. Overall, bleeding events requiring therapeutic intervention were reported in 14 patients (19.7%) in the caplacizumab group, compared with 2 patients (2.7%) in the placebo group.</w:t>
      </w:r>
    </w:p>
    <w:p w:rsidR="001F016A" w:rsidRPr="00AB2265" w:rsidRDefault="001F016A" w:rsidP="00F21D71">
      <w:pPr>
        <w:pStyle w:val="ExecSumBodyText"/>
        <w:numPr>
          <w:ilvl w:val="1"/>
          <w:numId w:val="1"/>
        </w:numPr>
      </w:pPr>
      <w:r w:rsidRPr="00AB2265">
        <w:lastRenderedPageBreak/>
        <w:t>A summary of complications relating to plasma e</w:t>
      </w:r>
      <w:r w:rsidR="00165AE8" w:rsidRPr="00AB2265">
        <w:t>xchange is presented in Table 16</w:t>
      </w:r>
      <w:r w:rsidRPr="00AB2265">
        <w:t>.</w:t>
      </w:r>
    </w:p>
    <w:p w:rsidR="001F016A" w:rsidRPr="00AB2265" w:rsidRDefault="00C979CC" w:rsidP="001F016A">
      <w:pPr>
        <w:pStyle w:val="Tableheadingrow"/>
        <w:rPr>
          <w:lang w:val="en-AU"/>
        </w:rPr>
      </w:pPr>
      <w:r w:rsidRPr="00AB2265">
        <w:rPr>
          <w:lang w:val="en-AU"/>
        </w:rPr>
        <w:t>Table 16</w:t>
      </w:r>
      <w:r w:rsidR="001F016A" w:rsidRPr="00AB2265">
        <w:rPr>
          <w:lang w:val="en-AU"/>
        </w:rPr>
        <w:t>: Summary of plasma exchange complications in HERCULES (post-hoc analysis): mITT</w:t>
      </w:r>
    </w:p>
    <w:tbl>
      <w:tblPr>
        <w:tblStyle w:val="TableGrid"/>
        <w:tblW w:w="0" w:type="auto"/>
        <w:tblLook w:val="04A0" w:firstRow="1" w:lastRow="0" w:firstColumn="1" w:lastColumn="0" w:noHBand="0" w:noVBand="1"/>
        <w:tblCaption w:val="Table 16: Summary of plasma exchange complications in HERCULES (post-hoc analysis): mITT"/>
      </w:tblPr>
      <w:tblGrid>
        <w:gridCol w:w="2972"/>
        <w:gridCol w:w="567"/>
        <w:gridCol w:w="2455"/>
        <w:gridCol w:w="522"/>
        <w:gridCol w:w="2501"/>
      </w:tblGrid>
      <w:tr w:rsidR="001F016A" w:rsidRPr="00AB2265" w:rsidTr="00187C4E">
        <w:trPr>
          <w:tblHeader/>
        </w:trPr>
        <w:tc>
          <w:tcPr>
            <w:tcW w:w="2972" w:type="dxa"/>
          </w:tcPr>
          <w:p w:rsidR="001F016A" w:rsidRPr="00AB2265" w:rsidRDefault="001F016A" w:rsidP="00E40FEC">
            <w:pPr>
              <w:pStyle w:val="TableText"/>
            </w:pPr>
          </w:p>
        </w:tc>
        <w:tc>
          <w:tcPr>
            <w:tcW w:w="567" w:type="dxa"/>
          </w:tcPr>
          <w:p w:rsidR="001F016A" w:rsidRPr="00AB2265" w:rsidRDefault="001F016A" w:rsidP="00E40FEC">
            <w:pPr>
              <w:pStyle w:val="TableText"/>
              <w:jc w:val="center"/>
              <w:rPr>
                <w:b/>
              </w:rPr>
            </w:pPr>
            <w:r w:rsidRPr="00AB2265">
              <w:rPr>
                <w:b/>
              </w:rPr>
              <w:t>n</w:t>
            </w:r>
          </w:p>
        </w:tc>
        <w:tc>
          <w:tcPr>
            <w:tcW w:w="2455" w:type="dxa"/>
          </w:tcPr>
          <w:p w:rsidR="001F016A" w:rsidRPr="00AB2265" w:rsidRDefault="001F016A" w:rsidP="00E40FEC">
            <w:pPr>
              <w:pStyle w:val="TableText"/>
              <w:jc w:val="center"/>
              <w:rPr>
                <w:b/>
              </w:rPr>
            </w:pPr>
            <w:r w:rsidRPr="00AB2265">
              <w:rPr>
                <w:b/>
              </w:rPr>
              <w:t>Caplacizumab</w:t>
            </w:r>
          </w:p>
          <w:p w:rsidR="001F016A" w:rsidRPr="00AB2265" w:rsidRDefault="001F016A" w:rsidP="00E40FEC">
            <w:pPr>
              <w:pStyle w:val="TableText"/>
              <w:jc w:val="center"/>
              <w:rPr>
                <w:b/>
              </w:rPr>
            </w:pPr>
            <w:proofErr w:type="gramStart"/>
            <w:r w:rsidRPr="00AB2265">
              <w:rPr>
                <w:b/>
              </w:rPr>
              <w:t>n</w:t>
            </w:r>
            <w:proofErr w:type="gramEnd"/>
            <w:r w:rsidRPr="00AB2265">
              <w:rPr>
                <w:b/>
              </w:rPr>
              <w:t xml:space="preserve"> with events (%)</w:t>
            </w:r>
          </w:p>
        </w:tc>
        <w:tc>
          <w:tcPr>
            <w:tcW w:w="522" w:type="dxa"/>
          </w:tcPr>
          <w:p w:rsidR="001F016A" w:rsidRPr="00AB2265" w:rsidRDefault="001F016A" w:rsidP="00E40FEC">
            <w:pPr>
              <w:pStyle w:val="TableText"/>
              <w:jc w:val="center"/>
              <w:rPr>
                <w:b/>
              </w:rPr>
            </w:pPr>
            <w:r w:rsidRPr="00AB2265">
              <w:rPr>
                <w:b/>
              </w:rPr>
              <w:t>n</w:t>
            </w:r>
          </w:p>
        </w:tc>
        <w:tc>
          <w:tcPr>
            <w:tcW w:w="2501" w:type="dxa"/>
          </w:tcPr>
          <w:p w:rsidR="001F016A" w:rsidRPr="00AB2265" w:rsidRDefault="001F016A" w:rsidP="00E40FEC">
            <w:pPr>
              <w:pStyle w:val="TableText"/>
              <w:jc w:val="center"/>
              <w:rPr>
                <w:b/>
              </w:rPr>
            </w:pPr>
            <w:r w:rsidRPr="00AB2265">
              <w:rPr>
                <w:b/>
              </w:rPr>
              <w:t>Placebo</w:t>
            </w:r>
          </w:p>
          <w:p w:rsidR="001F016A" w:rsidRPr="00AB2265" w:rsidRDefault="001F016A" w:rsidP="00E40FEC">
            <w:pPr>
              <w:pStyle w:val="TableText"/>
              <w:jc w:val="center"/>
              <w:rPr>
                <w:b/>
              </w:rPr>
            </w:pPr>
            <w:proofErr w:type="gramStart"/>
            <w:r w:rsidRPr="00AB2265">
              <w:rPr>
                <w:b/>
              </w:rPr>
              <w:t>n</w:t>
            </w:r>
            <w:proofErr w:type="gramEnd"/>
            <w:r w:rsidRPr="00AB2265">
              <w:rPr>
                <w:b/>
              </w:rPr>
              <w:t xml:space="preserve"> with events (%)</w:t>
            </w:r>
          </w:p>
        </w:tc>
      </w:tr>
      <w:tr w:rsidR="001F016A" w:rsidRPr="00AB2265" w:rsidTr="00187C4E">
        <w:trPr>
          <w:tblHeader/>
        </w:trPr>
        <w:tc>
          <w:tcPr>
            <w:tcW w:w="9017" w:type="dxa"/>
            <w:gridSpan w:val="5"/>
            <w:tcBorders>
              <w:bottom w:val="single" w:sz="4" w:space="0" w:color="auto"/>
            </w:tcBorders>
          </w:tcPr>
          <w:p w:rsidR="001F016A" w:rsidRPr="00AB2265" w:rsidRDefault="001F016A" w:rsidP="00E40FEC">
            <w:pPr>
              <w:pStyle w:val="TableText"/>
              <w:rPr>
                <w:b/>
              </w:rPr>
            </w:pPr>
            <w:r w:rsidRPr="00AB2265">
              <w:rPr>
                <w:b/>
              </w:rPr>
              <w:t>Any treatment-emergent adverse event related to plasma exchange</w:t>
            </w:r>
          </w:p>
        </w:tc>
      </w:tr>
      <w:tr w:rsidR="001F016A" w:rsidRPr="00AB2265" w:rsidTr="00E40FEC">
        <w:tc>
          <w:tcPr>
            <w:tcW w:w="2972" w:type="dxa"/>
            <w:tcBorders>
              <w:bottom w:val="nil"/>
            </w:tcBorders>
          </w:tcPr>
          <w:p w:rsidR="001F016A" w:rsidRPr="00AB2265" w:rsidRDefault="001F016A" w:rsidP="00E40FEC">
            <w:pPr>
              <w:pStyle w:val="TableText"/>
            </w:pPr>
            <w:r w:rsidRPr="00AB2265">
              <w:t>Initial (DB) treatment period</w:t>
            </w:r>
          </w:p>
        </w:tc>
        <w:tc>
          <w:tcPr>
            <w:tcW w:w="567" w:type="dxa"/>
            <w:tcBorders>
              <w:bottom w:val="nil"/>
            </w:tcBorders>
          </w:tcPr>
          <w:p w:rsidR="001F016A" w:rsidRPr="00AB2265" w:rsidRDefault="001F016A" w:rsidP="00E40FEC">
            <w:pPr>
              <w:pStyle w:val="TableText"/>
              <w:jc w:val="center"/>
            </w:pPr>
            <w:r w:rsidRPr="00AB2265">
              <w:t>71</w:t>
            </w:r>
          </w:p>
        </w:tc>
        <w:tc>
          <w:tcPr>
            <w:tcW w:w="2455" w:type="dxa"/>
            <w:tcBorders>
              <w:bottom w:val="nil"/>
            </w:tcBorders>
          </w:tcPr>
          <w:p w:rsidR="001F016A" w:rsidRPr="00AB2265" w:rsidRDefault="001F016A" w:rsidP="00E40FEC">
            <w:pPr>
              <w:pStyle w:val="TableText"/>
              <w:jc w:val="center"/>
            </w:pPr>
            <w:r w:rsidRPr="00AB2265">
              <w:t>24 (33.8)</w:t>
            </w:r>
          </w:p>
        </w:tc>
        <w:tc>
          <w:tcPr>
            <w:tcW w:w="522" w:type="dxa"/>
            <w:tcBorders>
              <w:bottom w:val="nil"/>
            </w:tcBorders>
          </w:tcPr>
          <w:p w:rsidR="001F016A" w:rsidRPr="00AB2265" w:rsidRDefault="001F016A" w:rsidP="00E40FEC">
            <w:pPr>
              <w:pStyle w:val="TableText"/>
              <w:jc w:val="center"/>
            </w:pPr>
            <w:r w:rsidRPr="00AB2265">
              <w:t>73</w:t>
            </w:r>
          </w:p>
        </w:tc>
        <w:tc>
          <w:tcPr>
            <w:tcW w:w="2501" w:type="dxa"/>
            <w:tcBorders>
              <w:bottom w:val="nil"/>
            </w:tcBorders>
          </w:tcPr>
          <w:p w:rsidR="001F016A" w:rsidRPr="00AB2265" w:rsidRDefault="001F016A" w:rsidP="00E40FEC">
            <w:pPr>
              <w:pStyle w:val="TableText"/>
              <w:jc w:val="center"/>
            </w:pPr>
            <w:r w:rsidRPr="00AB2265">
              <w:t>30 (41.1)</w:t>
            </w:r>
          </w:p>
        </w:tc>
      </w:tr>
      <w:tr w:rsidR="001F016A" w:rsidRPr="00AB2265" w:rsidTr="00E40FEC">
        <w:tc>
          <w:tcPr>
            <w:tcW w:w="2972" w:type="dxa"/>
            <w:tcBorders>
              <w:top w:val="nil"/>
              <w:bottom w:val="nil"/>
            </w:tcBorders>
          </w:tcPr>
          <w:p w:rsidR="001F016A" w:rsidRPr="00AB2265" w:rsidRDefault="001C6279" w:rsidP="00E40FEC">
            <w:pPr>
              <w:pStyle w:val="TableText"/>
            </w:pPr>
            <w:r>
              <w:t xml:space="preserve"> </w:t>
            </w:r>
            <w:r w:rsidR="001F016A" w:rsidRPr="00AB2265">
              <w:t>During daily plasma exchange</w:t>
            </w:r>
          </w:p>
        </w:tc>
        <w:tc>
          <w:tcPr>
            <w:tcW w:w="567" w:type="dxa"/>
            <w:tcBorders>
              <w:top w:val="nil"/>
              <w:bottom w:val="nil"/>
            </w:tcBorders>
          </w:tcPr>
          <w:p w:rsidR="001F016A" w:rsidRPr="00AB2265" w:rsidRDefault="001F016A" w:rsidP="00E40FEC">
            <w:pPr>
              <w:pStyle w:val="TableText"/>
              <w:jc w:val="center"/>
            </w:pPr>
            <w:r w:rsidRPr="00AB2265">
              <w:t>71</w:t>
            </w:r>
          </w:p>
        </w:tc>
        <w:tc>
          <w:tcPr>
            <w:tcW w:w="2455" w:type="dxa"/>
            <w:tcBorders>
              <w:top w:val="nil"/>
              <w:bottom w:val="nil"/>
            </w:tcBorders>
          </w:tcPr>
          <w:p w:rsidR="001F016A" w:rsidRPr="00AB2265" w:rsidRDefault="001F016A" w:rsidP="00E40FEC">
            <w:pPr>
              <w:pStyle w:val="TableText"/>
              <w:jc w:val="center"/>
            </w:pPr>
            <w:r w:rsidRPr="00AB2265">
              <w:t>24 (33.8)</w:t>
            </w:r>
          </w:p>
        </w:tc>
        <w:tc>
          <w:tcPr>
            <w:tcW w:w="522" w:type="dxa"/>
            <w:tcBorders>
              <w:top w:val="nil"/>
              <w:bottom w:val="nil"/>
            </w:tcBorders>
          </w:tcPr>
          <w:p w:rsidR="001F016A" w:rsidRPr="00AB2265" w:rsidRDefault="001F016A" w:rsidP="00E40FEC">
            <w:pPr>
              <w:pStyle w:val="TableText"/>
              <w:jc w:val="center"/>
            </w:pPr>
            <w:r w:rsidRPr="00AB2265">
              <w:t>73</w:t>
            </w:r>
          </w:p>
        </w:tc>
        <w:tc>
          <w:tcPr>
            <w:tcW w:w="2501" w:type="dxa"/>
            <w:tcBorders>
              <w:top w:val="nil"/>
              <w:bottom w:val="nil"/>
            </w:tcBorders>
          </w:tcPr>
          <w:p w:rsidR="001F016A" w:rsidRPr="00AB2265" w:rsidRDefault="001F016A" w:rsidP="00E40FEC">
            <w:pPr>
              <w:pStyle w:val="TableText"/>
              <w:jc w:val="center"/>
            </w:pPr>
            <w:r w:rsidRPr="00AB2265">
              <w:t>29 (39.7)</w:t>
            </w:r>
          </w:p>
        </w:tc>
      </w:tr>
      <w:tr w:rsidR="001F016A" w:rsidRPr="00AB2265" w:rsidTr="00E40FEC">
        <w:tc>
          <w:tcPr>
            <w:tcW w:w="2972" w:type="dxa"/>
            <w:tcBorders>
              <w:top w:val="nil"/>
              <w:bottom w:val="single" w:sz="4" w:space="0" w:color="auto"/>
            </w:tcBorders>
          </w:tcPr>
          <w:p w:rsidR="001F016A" w:rsidRPr="00AB2265" w:rsidRDefault="001C6279" w:rsidP="00E40FEC">
            <w:pPr>
              <w:pStyle w:val="TableText"/>
            </w:pPr>
            <w:r>
              <w:t xml:space="preserve"> </w:t>
            </w:r>
            <w:r w:rsidR="001F016A" w:rsidRPr="00AB2265">
              <w:t>Post-daily plasma exchange</w:t>
            </w:r>
          </w:p>
        </w:tc>
        <w:tc>
          <w:tcPr>
            <w:tcW w:w="567" w:type="dxa"/>
            <w:tcBorders>
              <w:top w:val="nil"/>
              <w:bottom w:val="single" w:sz="4" w:space="0" w:color="auto"/>
            </w:tcBorders>
          </w:tcPr>
          <w:p w:rsidR="001F016A" w:rsidRPr="00AB2265" w:rsidRDefault="001F016A" w:rsidP="00E40FEC">
            <w:pPr>
              <w:pStyle w:val="TableText"/>
              <w:jc w:val="center"/>
            </w:pPr>
            <w:r w:rsidRPr="00AB2265">
              <w:t>65</w:t>
            </w:r>
          </w:p>
        </w:tc>
        <w:tc>
          <w:tcPr>
            <w:tcW w:w="2455" w:type="dxa"/>
            <w:tcBorders>
              <w:top w:val="nil"/>
              <w:bottom w:val="single" w:sz="4" w:space="0" w:color="auto"/>
            </w:tcBorders>
          </w:tcPr>
          <w:p w:rsidR="001F016A" w:rsidRPr="00AB2265" w:rsidRDefault="001F016A" w:rsidP="00E40FEC">
            <w:pPr>
              <w:pStyle w:val="TableText"/>
              <w:jc w:val="center"/>
            </w:pPr>
            <w:r w:rsidRPr="00AB2265">
              <w:t>0</w:t>
            </w:r>
          </w:p>
        </w:tc>
        <w:tc>
          <w:tcPr>
            <w:tcW w:w="522" w:type="dxa"/>
            <w:tcBorders>
              <w:top w:val="nil"/>
              <w:bottom w:val="single" w:sz="4" w:space="0" w:color="auto"/>
            </w:tcBorders>
          </w:tcPr>
          <w:p w:rsidR="001F016A" w:rsidRPr="00AB2265" w:rsidRDefault="001F016A" w:rsidP="00E40FEC">
            <w:pPr>
              <w:pStyle w:val="TableText"/>
              <w:jc w:val="center"/>
            </w:pPr>
            <w:r w:rsidRPr="00AB2265">
              <w:t>64</w:t>
            </w:r>
          </w:p>
        </w:tc>
        <w:tc>
          <w:tcPr>
            <w:tcW w:w="2501" w:type="dxa"/>
            <w:tcBorders>
              <w:top w:val="nil"/>
              <w:bottom w:val="single" w:sz="4" w:space="0" w:color="auto"/>
            </w:tcBorders>
          </w:tcPr>
          <w:p w:rsidR="001F016A" w:rsidRPr="00AB2265" w:rsidRDefault="001F016A" w:rsidP="00E40FEC">
            <w:pPr>
              <w:pStyle w:val="TableText"/>
              <w:jc w:val="center"/>
            </w:pPr>
            <w:r w:rsidRPr="00AB2265">
              <w:t>2 93.1)</w:t>
            </w:r>
          </w:p>
        </w:tc>
      </w:tr>
      <w:tr w:rsidR="001F016A" w:rsidRPr="00AB2265" w:rsidTr="00E40FEC">
        <w:tc>
          <w:tcPr>
            <w:tcW w:w="2972" w:type="dxa"/>
            <w:tcBorders>
              <w:bottom w:val="nil"/>
            </w:tcBorders>
          </w:tcPr>
          <w:p w:rsidR="001F016A" w:rsidRPr="00AB2265" w:rsidRDefault="001F016A" w:rsidP="00E40FEC">
            <w:pPr>
              <w:pStyle w:val="TableText"/>
            </w:pPr>
            <w:r w:rsidRPr="00AB2265">
              <w:t>Open label treatment period</w:t>
            </w:r>
          </w:p>
        </w:tc>
        <w:tc>
          <w:tcPr>
            <w:tcW w:w="567" w:type="dxa"/>
            <w:tcBorders>
              <w:bottom w:val="nil"/>
            </w:tcBorders>
          </w:tcPr>
          <w:p w:rsidR="001F016A" w:rsidRPr="00AB2265" w:rsidRDefault="001F016A" w:rsidP="00E40FEC">
            <w:pPr>
              <w:pStyle w:val="TableText"/>
              <w:jc w:val="center"/>
            </w:pPr>
            <w:r w:rsidRPr="00AB2265">
              <w:t>2</w:t>
            </w:r>
          </w:p>
        </w:tc>
        <w:tc>
          <w:tcPr>
            <w:tcW w:w="2455" w:type="dxa"/>
            <w:tcBorders>
              <w:bottom w:val="nil"/>
            </w:tcBorders>
          </w:tcPr>
          <w:p w:rsidR="001F016A" w:rsidRPr="00AB2265" w:rsidRDefault="001F016A" w:rsidP="00E40FEC">
            <w:pPr>
              <w:pStyle w:val="TableText"/>
              <w:jc w:val="center"/>
            </w:pPr>
            <w:r w:rsidRPr="00AB2265">
              <w:t>1 (50)</w:t>
            </w:r>
          </w:p>
        </w:tc>
        <w:tc>
          <w:tcPr>
            <w:tcW w:w="522" w:type="dxa"/>
            <w:tcBorders>
              <w:bottom w:val="nil"/>
            </w:tcBorders>
          </w:tcPr>
          <w:p w:rsidR="001F016A" w:rsidRPr="00AB2265" w:rsidRDefault="001F016A" w:rsidP="00E40FEC">
            <w:pPr>
              <w:pStyle w:val="TableText"/>
              <w:jc w:val="center"/>
            </w:pPr>
            <w:r w:rsidRPr="00AB2265">
              <w:t>26</w:t>
            </w:r>
          </w:p>
        </w:tc>
        <w:tc>
          <w:tcPr>
            <w:tcW w:w="2501" w:type="dxa"/>
            <w:tcBorders>
              <w:bottom w:val="nil"/>
            </w:tcBorders>
          </w:tcPr>
          <w:p w:rsidR="001F016A" w:rsidRPr="00AB2265" w:rsidRDefault="001F016A" w:rsidP="00E40FEC">
            <w:pPr>
              <w:pStyle w:val="TableText"/>
              <w:jc w:val="center"/>
            </w:pPr>
            <w:r w:rsidRPr="00AB2265">
              <w:t>10 (38.5)</w:t>
            </w:r>
          </w:p>
        </w:tc>
      </w:tr>
      <w:tr w:rsidR="001F016A" w:rsidRPr="00AB2265" w:rsidTr="00E40FEC">
        <w:tc>
          <w:tcPr>
            <w:tcW w:w="2972" w:type="dxa"/>
            <w:tcBorders>
              <w:top w:val="nil"/>
              <w:bottom w:val="nil"/>
            </w:tcBorders>
          </w:tcPr>
          <w:p w:rsidR="001F016A" w:rsidRPr="00AB2265" w:rsidRDefault="001C6279" w:rsidP="00E40FEC">
            <w:pPr>
              <w:pStyle w:val="TableText"/>
            </w:pPr>
            <w:r>
              <w:t xml:space="preserve"> </w:t>
            </w:r>
            <w:r w:rsidR="001F016A" w:rsidRPr="00AB2265">
              <w:t>During daily plasma exchange</w:t>
            </w:r>
          </w:p>
        </w:tc>
        <w:tc>
          <w:tcPr>
            <w:tcW w:w="567" w:type="dxa"/>
            <w:tcBorders>
              <w:top w:val="nil"/>
              <w:bottom w:val="nil"/>
            </w:tcBorders>
          </w:tcPr>
          <w:p w:rsidR="001F016A" w:rsidRPr="00AB2265" w:rsidRDefault="001F016A" w:rsidP="00E40FEC">
            <w:pPr>
              <w:pStyle w:val="TableText"/>
              <w:jc w:val="center"/>
            </w:pPr>
            <w:r w:rsidRPr="00AB2265">
              <w:t>2</w:t>
            </w:r>
          </w:p>
        </w:tc>
        <w:tc>
          <w:tcPr>
            <w:tcW w:w="2455" w:type="dxa"/>
            <w:tcBorders>
              <w:top w:val="nil"/>
              <w:bottom w:val="nil"/>
            </w:tcBorders>
          </w:tcPr>
          <w:p w:rsidR="001F016A" w:rsidRPr="00AB2265" w:rsidRDefault="001F016A" w:rsidP="00E40FEC">
            <w:pPr>
              <w:pStyle w:val="TableText"/>
              <w:jc w:val="center"/>
            </w:pPr>
            <w:r w:rsidRPr="00AB2265">
              <w:t>1 (50)</w:t>
            </w:r>
          </w:p>
        </w:tc>
        <w:tc>
          <w:tcPr>
            <w:tcW w:w="522" w:type="dxa"/>
            <w:tcBorders>
              <w:top w:val="nil"/>
              <w:bottom w:val="nil"/>
            </w:tcBorders>
          </w:tcPr>
          <w:p w:rsidR="001F016A" w:rsidRPr="00AB2265" w:rsidRDefault="001F016A" w:rsidP="00E40FEC">
            <w:pPr>
              <w:pStyle w:val="TableText"/>
              <w:jc w:val="center"/>
            </w:pPr>
            <w:r w:rsidRPr="00AB2265">
              <w:t>26</w:t>
            </w:r>
          </w:p>
        </w:tc>
        <w:tc>
          <w:tcPr>
            <w:tcW w:w="2501" w:type="dxa"/>
            <w:tcBorders>
              <w:top w:val="nil"/>
              <w:bottom w:val="nil"/>
            </w:tcBorders>
          </w:tcPr>
          <w:p w:rsidR="001F016A" w:rsidRPr="00AB2265" w:rsidRDefault="001F016A" w:rsidP="00E40FEC">
            <w:pPr>
              <w:pStyle w:val="TableText"/>
              <w:jc w:val="center"/>
            </w:pPr>
            <w:r w:rsidRPr="00AB2265">
              <w:t>8 (30.8)</w:t>
            </w:r>
          </w:p>
        </w:tc>
      </w:tr>
      <w:tr w:rsidR="001F016A" w:rsidRPr="00AB2265" w:rsidTr="00E40FEC">
        <w:tc>
          <w:tcPr>
            <w:tcW w:w="2972" w:type="dxa"/>
            <w:tcBorders>
              <w:top w:val="nil"/>
              <w:bottom w:val="single" w:sz="4" w:space="0" w:color="auto"/>
            </w:tcBorders>
          </w:tcPr>
          <w:p w:rsidR="001F016A" w:rsidRPr="00AB2265" w:rsidRDefault="001C6279" w:rsidP="00E40FEC">
            <w:pPr>
              <w:pStyle w:val="TableText"/>
            </w:pPr>
            <w:r>
              <w:t xml:space="preserve"> </w:t>
            </w:r>
            <w:r w:rsidR="001F016A" w:rsidRPr="00AB2265">
              <w:t>Post-daily plasma exchange</w:t>
            </w:r>
          </w:p>
        </w:tc>
        <w:tc>
          <w:tcPr>
            <w:tcW w:w="567" w:type="dxa"/>
            <w:tcBorders>
              <w:top w:val="nil"/>
              <w:bottom w:val="single" w:sz="4" w:space="0" w:color="auto"/>
            </w:tcBorders>
          </w:tcPr>
          <w:p w:rsidR="001F016A" w:rsidRPr="00AB2265" w:rsidRDefault="001F016A" w:rsidP="00E40FEC">
            <w:pPr>
              <w:pStyle w:val="TableText"/>
              <w:jc w:val="center"/>
            </w:pPr>
            <w:r w:rsidRPr="00AB2265">
              <w:t>2</w:t>
            </w:r>
          </w:p>
        </w:tc>
        <w:tc>
          <w:tcPr>
            <w:tcW w:w="2455" w:type="dxa"/>
            <w:tcBorders>
              <w:top w:val="nil"/>
              <w:bottom w:val="single" w:sz="4" w:space="0" w:color="auto"/>
            </w:tcBorders>
          </w:tcPr>
          <w:p w:rsidR="001F016A" w:rsidRPr="00AB2265" w:rsidRDefault="001F016A" w:rsidP="00E40FEC">
            <w:pPr>
              <w:pStyle w:val="TableText"/>
              <w:jc w:val="center"/>
            </w:pPr>
            <w:r w:rsidRPr="00AB2265">
              <w:t>0</w:t>
            </w:r>
          </w:p>
        </w:tc>
        <w:tc>
          <w:tcPr>
            <w:tcW w:w="522" w:type="dxa"/>
            <w:tcBorders>
              <w:top w:val="nil"/>
              <w:bottom w:val="single" w:sz="4" w:space="0" w:color="auto"/>
            </w:tcBorders>
          </w:tcPr>
          <w:p w:rsidR="001F016A" w:rsidRPr="00AB2265" w:rsidRDefault="001F016A" w:rsidP="00E40FEC">
            <w:pPr>
              <w:pStyle w:val="TableText"/>
              <w:jc w:val="center"/>
            </w:pPr>
            <w:r w:rsidRPr="00AB2265">
              <w:t>23</w:t>
            </w:r>
          </w:p>
        </w:tc>
        <w:tc>
          <w:tcPr>
            <w:tcW w:w="2501" w:type="dxa"/>
            <w:tcBorders>
              <w:top w:val="nil"/>
              <w:bottom w:val="single" w:sz="4" w:space="0" w:color="auto"/>
            </w:tcBorders>
          </w:tcPr>
          <w:p w:rsidR="001F016A" w:rsidRPr="00AB2265" w:rsidRDefault="001F016A" w:rsidP="00E40FEC">
            <w:pPr>
              <w:pStyle w:val="TableText"/>
              <w:jc w:val="center"/>
            </w:pPr>
            <w:r w:rsidRPr="00AB2265">
              <w:t>4 (17.4)</w:t>
            </w:r>
          </w:p>
        </w:tc>
      </w:tr>
      <w:tr w:rsidR="001F016A" w:rsidRPr="00AB2265" w:rsidTr="00E40FEC">
        <w:tc>
          <w:tcPr>
            <w:tcW w:w="2972" w:type="dxa"/>
            <w:tcBorders>
              <w:bottom w:val="single" w:sz="4" w:space="0" w:color="auto"/>
            </w:tcBorders>
          </w:tcPr>
          <w:p w:rsidR="001F016A" w:rsidRPr="00AB2265" w:rsidRDefault="001F016A" w:rsidP="00E40FEC">
            <w:pPr>
              <w:pStyle w:val="TableText"/>
            </w:pPr>
            <w:r w:rsidRPr="00AB2265">
              <w:t>Overall treatment period</w:t>
            </w:r>
          </w:p>
        </w:tc>
        <w:tc>
          <w:tcPr>
            <w:tcW w:w="567" w:type="dxa"/>
            <w:tcBorders>
              <w:bottom w:val="single" w:sz="4" w:space="0" w:color="auto"/>
            </w:tcBorders>
          </w:tcPr>
          <w:p w:rsidR="001F016A" w:rsidRPr="00AB2265" w:rsidRDefault="001F016A" w:rsidP="00E40FEC">
            <w:pPr>
              <w:pStyle w:val="TableText"/>
              <w:jc w:val="center"/>
            </w:pPr>
            <w:r w:rsidRPr="00AB2265">
              <w:t>71</w:t>
            </w:r>
          </w:p>
        </w:tc>
        <w:tc>
          <w:tcPr>
            <w:tcW w:w="2455" w:type="dxa"/>
            <w:tcBorders>
              <w:bottom w:val="single" w:sz="4" w:space="0" w:color="auto"/>
            </w:tcBorders>
          </w:tcPr>
          <w:p w:rsidR="001F016A" w:rsidRPr="00AB2265" w:rsidRDefault="001F016A" w:rsidP="00E40FEC">
            <w:pPr>
              <w:pStyle w:val="TableText"/>
              <w:jc w:val="center"/>
            </w:pPr>
            <w:r w:rsidRPr="00AB2265">
              <w:t>25 (35.2)</w:t>
            </w:r>
          </w:p>
        </w:tc>
        <w:tc>
          <w:tcPr>
            <w:tcW w:w="522" w:type="dxa"/>
            <w:tcBorders>
              <w:bottom w:val="single" w:sz="4" w:space="0" w:color="auto"/>
            </w:tcBorders>
          </w:tcPr>
          <w:p w:rsidR="001F016A" w:rsidRPr="00AB2265" w:rsidRDefault="001F016A" w:rsidP="00E40FEC">
            <w:pPr>
              <w:pStyle w:val="TableText"/>
              <w:jc w:val="center"/>
            </w:pPr>
            <w:r w:rsidRPr="00AB2265">
              <w:t>73</w:t>
            </w:r>
          </w:p>
        </w:tc>
        <w:tc>
          <w:tcPr>
            <w:tcW w:w="2501" w:type="dxa"/>
            <w:tcBorders>
              <w:bottom w:val="single" w:sz="4" w:space="0" w:color="auto"/>
            </w:tcBorders>
          </w:tcPr>
          <w:p w:rsidR="001F016A" w:rsidRPr="00AB2265" w:rsidRDefault="001F016A" w:rsidP="00E40FEC">
            <w:pPr>
              <w:pStyle w:val="TableText"/>
              <w:jc w:val="center"/>
            </w:pPr>
            <w:r w:rsidRPr="00AB2265">
              <w:t>34 (46.6)</w:t>
            </w:r>
          </w:p>
        </w:tc>
      </w:tr>
      <w:tr w:rsidR="001F016A" w:rsidRPr="00AB2265" w:rsidTr="00E40FEC">
        <w:tc>
          <w:tcPr>
            <w:tcW w:w="2972" w:type="dxa"/>
            <w:tcBorders>
              <w:top w:val="single" w:sz="4" w:space="0" w:color="auto"/>
              <w:bottom w:val="single" w:sz="4" w:space="0" w:color="auto"/>
            </w:tcBorders>
          </w:tcPr>
          <w:p w:rsidR="001F016A" w:rsidRPr="00AB2265" w:rsidRDefault="001F016A" w:rsidP="00E40FEC">
            <w:pPr>
              <w:pStyle w:val="TableText"/>
            </w:pPr>
            <w:r w:rsidRPr="00AB2265">
              <w:t>Follow-up period</w:t>
            </w:r>
          </w:p>
        </w:tc>
        <w:tc>
          <w:tcPr>
            <w:tcW w:w="567" w:type="dxa"/>
            <w:tcBorders>
              <w:top w:val="single" w:sz="4" w:space="0" w:color="auto"/>
              <w:bottom w:val="single" w:sz="4" w:space="0" w:color="auto"/>
            </w:tcBorders>
          </w:tcPr>
          <w:p w:rsidR="001F016A" w:rsidRPr="00AB2265" w:rsidRDefault="001F016A" w:rsidP="00E40FEC">
            <w:pPr>
              <w:pStyle w:val="TableText"/>
              <w:jc w:val="center"/>
            </w:pPr>
            <w:r w:rsidRPr="00AB2265">
              <w:t>68</w:t>
            </w:r>
          </w:p>
        </w:tc>
        <w:tc>
          <w:tcPr>
            <w:tcW w:w="2455" w:type="dxa"/>
            <w:tcBorders>
              <w:top w:val="single" w:sz="4" w:space="0" w:color="auto"/>
              <w:bottom w:val="single" w:sz="4" w:space="0" w:color="auto"/>
            </w:tcBorders>
          </w:tcPr>
          <w:p w:rsidR="001F016A" w:rsidRPr="00AB2265" w:rsidRDefault="001F016A" w:rsidP="00E40FEC">
            <w:pPr>
              <w:pStyle w:val="TableText"/>
              <w:jc w:val="center"/>
            </w:pPr>
            <w:r w:rsidRPr="00AB2265">
              <w:t>1 (1.5)</w:t>
            </w:r>
          </w:p>
        </w:tc>
        <w:tc>
          <w:tcPr>
            <w:tcW w:w="522" w:type="dxa"/>
            <w:tcBorders>
              <w:top w:val="single" w:sz="4" w:space="0" w:color="auto"/>
              <w:bottom w:val="single" w:sz="4" w:space="0" w:color="auto"/>
            </w:tcBorders>
          </w:tcPr>
          <w:p w:rsidR="001F016A" w:rsidRPr="00AB2265" w:rsidRDefault="001F016A" w:rsidP="00E40FEC">
            <w:pPr>
              <w:pStyle w:val="TableText"/>
              <w:jc w:val="center"/>
            </w:pPr>
            <w:r w:rsidRPr="00AB2265">
              <w:t>61</w:t>
            </w:r>
          </w:p>
        </w:tc>
        <w:tc>
          <w:tcPr>
            <w:tcW w:w="2501" w:type="dxa"/>
            <w:tcBorders>
              <w:top w:val="single" w:sz="4" w:space="0" w:color="auto"/>
              <w:bottom w:val="single" w:sz="4" w:space="0" w:color="auto"/>
            </w:tcBorders>
          </w:tcPr>
          <w:p w:rsidR="001F016A" w:rsidRPr="00AB2265" w:rsidRDefault="001F016A" w:rsidP="00E40FEC">
            <w:pPr>
              <w:pStyle w:val="TableText"/>
              <w:jc w:val="center"/>
            </w:pPr>
            <w:r w:rsidRPr="00AB2265">
              <w:t>0</w:t>
            </w:r>
          </w:p>
        </w:tc>
      </w:tr>
      <w:tr w:rsidR="001F016A" w:rsidRPr="00AB2265" w:rsidTr="00E40FEC">
        <w:tc>
          <w:tcPr>
            <w:tcW w:w="2972" w:type="dxa"/>
            <w:tcBorders>
              <w:top w:val="single" w:sz="4" w:space="0" w:color="auto"/>
              <w:bottom w:val="single" w:sz="4" w:space="0" w:color="auto"/>
            </w:tcBorders>
          </w:tcPr>
          <w:p w:rsidR="001F016A" w:rsidRPr="00AB2265" w:rsidRDefault="001F016A" w:rsidP="00E40FEC">
            <w:pPr>
              <w:pStyle w:val="TableText"/>
            </w:pPr>
            <w:r w:rsidRPr="00AB2265">
              <w:t>Overall study period</w:t>
            </w:r>
          </w:p>
        </w:tc>
        <w:tc>
          <w:tcPr>
            <w:tcW w:w="567" w:type="dxa"/>
            <w:tcBorders>
              <w:top w:val="single" w:sz="4" w:space="0" w:color="auto"/>
              <w:bottom w:val="single" w:sz="4" w:space="0" w:color="auto"/>
            </w:tcBorders>
          </w:tcPr>
          <w:p w:rsidR="001F016A" w:rsidRPr="00AB2265" w:rsidRDefault="001F016A" w:rsidP="00E40FEC">
            <w:pPr>
              <w:pStyle w:val="TableText"/>
              <w:jc w:val="center"/>
            </w:pPr>
            <w:r w:rsidRPr="00AB2265">
              <w:t>72</w:t>
            </w:r>
          </w:p>
        </w:tc>
        <w:tc>
          <w:tcPr>
            <w:tcW w:w="2455" w:type="dxa"/>
            <w:tcBorders>
              <w:top w:val="single" w:sz="4" w:space="0" w:color="auto"/>
              <w:bottom w:val="single" w:sz="4" w:space="0" w:color="auto"/>
            </w:tcBorders>
          </w:tcPr>
          <w:p w:rsidR="001F016A" w:rsidRPr="00AB2265" w:rsidRDefault="001F016A" w:rsidP="00E40FEC">
            <w:pPr>
              <w:pStyle w:val="TableText"/>
              <w:jc w:val="center"/>
            </w:pPr>
            <w:r w:rsidRPr="00AB2265">
              <w:t>25 (34.7)</w:t>
            </w:r>
          </w:p>
        </w:tc>
        <w:tc>
          <w:tcPr>
            <w:tcW w:w="522" w:type="dxa"/>
            <w:tcBorders>
              <w:top w:val="single" w:sz="4" w:space="0" w:color="auto"/>
              <w:bottom w:val="single" w:sz="4" w:space="0" w:color="auto"/>
            </w:tcBorders>
          </w:tcPr>
          <w:p w:rsidR="001F016A" w:rsidRPr="00AB2265" w:rsidRDefault="001F016A" w:rsidP="00E40FEC">
            <w:pPr>
              <w:pStyle w:val="TableText"/>
              <w:jc w:val="center"/>
            </w:pPr>
            <w:r w:rsidRPr="00AB2265">
              <w:t>73</w:t>
            </w:r>
          </w:p>
        </w:tc>
        <w:tc>
          <w:tcPr>
            <w:tcW w:w="2501" w:type="dxa"/>
            <w:tcBorders>
              <w:top w:val="single" w:sz="4" w:space="0" w:color="auto"/>
              <w:bottom w:val="single" w:sz="4" w:space="0" w:color="auto"/>
            </w:tcBorders>
          </w:tcPr>
          <w:p w:rsidR="001F016A" w:rsidRPr="00AB2265" w:rsidRDefault="001F016A" w:rsidP="00E40FEC">
            <w:pPr>
              <w:pStyle w:val="TableText"/>
              <w:jc w:val="center"/>
            </w:pPr>
            <w:r w:rsidRPr="00AB2265">
              <w:t>34 (46.6)</w:t>
            </w:r>
          </w:p>
        </w:tc>
      </w:tr>
    </w:tbl>
    <w:p w:rsidR="001F016A" w:rsidRPr="00AB2265" w:rsidRDefault="001F016A" w:rsidP="001F016A">
      <w:pPr>
        <w:pStyle w:val="TableFooter"/>
      </w:pPr>
      <w:r w:rsidRPr="00AB2265">
        <w:t>Source: Table 14.2.1.6.5.1, p.1 ‘t14_2_1_6_5_1_TEAE_Rel_PEX_Complications_v0.1, Attachment 7 of the submission</w:t>
      </w:r>
    </w:p>
    <w:p w:rsidR="001F016A" w:rsidRPr="00AB2265" w:rsidRDefault="001F016A" w:rsidP="001F016A">
      <w:pPr>
        <w:pStyle w:val="TableFooter"/>
      </w:pPr>
    </w:p>
    <w:p w:rsidR="001F016A" w:rsidRPr="00AB2265" w:rsidRDefault="001F016A" w:rsidP="00F21D71">
      <w:pPr>
        <w:pStyle w:val="ExecSumBodyText"/>
        <w:numPr>
          <w:ilvl w:val="1"/>
          <w:numId w:val="1"/>
        </w:numPr>
      </w:pPr>
      <w:r w:rsidRPr="00AB2265">
        <w:t>The analysis shows a trend towards reduced plasma exchange complications associated with treatment with caplacizumab compared to placebo. However, this was performed post-hoc and should be interpreted with caution. Further, due to the crossover to caplacizumab and the potential for a protocol-driven increase in plasma exchange duration in the placebo arm, this difference is difficult to interpret.</w:t>
      </w:r>
    </w:p>
    <w:p w:rsidR="007F1017" w:rsidRPr="00AB2265" w:rsidRDefault="007F1017" w:rsidP="00D86231">
      <w:pPr>
        <w:pStyle w:val="3-SubsectionHeading"/>
      </w:pPr>
      <w:bookmarkStart w:id="26" w:name="_Toc22897643"/>
      <w:bookmarkStart w:id="27" w:name="_Toc40711455"/>
      <w:bookmarkStart w:id="28" w:name="_Toc40711514"/>
      <w:r w:rsidRPr="00AB2265">
        <w:t>Benefits/harms</w:t>
      </w:r>
      <w:bookmarkEnd w:id="26"/>
      <w:bookmarkEnd w:id="27"/>
      <w:bookmarkEnd w:id="28"/>
    </w:p>
    <w:p w:rsidR="00913B35" w:rsidRPr="00AB2265" w:rsidRDefault="00913B35" w:rsidP="00F21D71">
      <w:pPr>
        <w:pStyle w:val="ExecSumBodyText"/>
        <w:numPr>
          <w:ilvl w:val="1"/>
          <w:numId w:val="1"/>
        </w:numPr>
      </w:pPr>
      <w:r w:rsidRPr="00AB2265">
        <w:t xml:space="preserve">Of the 145 patients in the HERCULES trial population, 72 of whom were randomised to caplacizumab and 73 to placebo, over the double blind treatment period (average </w:t>
      </w:r>
      <w:r w:rsidR="00650148" w:rsidRPr="00AB2265">
        <w:t xml:space="preserve">duration </w:t>
      </w:r>
      <w:r w:rsidRPr="00AB2265">
        <w:t>24 and 37 days in placebo and caplacizumab arms respectively), treatment with caplacizumab was associated with:</w:t>
      </w:r>
    </w:p>
    <w:p w:rsidR="00E95EC3" w:rsidRPr="00AB2265" w:rsidRDefault="00E95EC3" w:rsidP="00DA7AE5">
      <w:pPr>
        <w:pStyle w:val="ExecSumBodyText"/>
        <w:numPr>
          <w:ilvl w:val="1"/>
          <w:numId w:val="7"/>
        </w:numPr>
      </w:pPr>
      <w:r w:rsidRPr="00AB2265">
        <w:t>No difference in</w:t>
      </w:r>
      <w:r w:rsidR="0049489A" w:rsidRPr="00AB2265">
        <w:t xml:space="preserve"> the number of days</w:t>
      </w:r>
      <w:r w:rsidR="008F1FF6" w:rsidRPr="00AB2265">
        <w:t xml:space="preserve"> </w:t>
      </w:r>
      <w:r w:rsidRPr="00AB2265">
        <w:t>to platelet normalisation</w:t>
      </w:r>
    </w:p>
    <w:p w:rsidR="00E95EC3" w:rsidRPr="00AB2265" w:rsidRDefault="00E95EC3" w:rsidP="00DA7AE5">
      <w:pPr>
        <w:pStyle w:val="ExecSumBodyText"/>
        <w:numPr>
          <w:ilvl w:val="1"/>
          <w:numId w:val="7"/>
        </w:numPr>
      </w:pPr>
      <w:r w:rsidRPr="00AB2265">
        <w:t>Approximately one less day of plasma exchange; and</w:t>
      </w:r>
    </w:p>
    <w:p w:rsidR="00E95EC3" w:rsidRPr="00AB2265" w:rsidRDefault="00E95EC3" w:rsidP="00DA7AE5">
      <w:pPr>
        <w:pStyle w:val="ExecSumBodyText"/>
        <w:numPr>
          <w:ilvl w:val="1"/>
          <w:numId w:val="7"/>
        </w:numPr>
      </w:pPr>
      <w:r w:rsidRPr="00AB2265">
        <w:t>Approximately 1.3 fewer days in hospital.</w:t>
      </w:r>
    </w:p>
    <w:p w:rsidR="00B87292" w:rsidRPr="00AB2265" w:rsidRDefault="00B87292" w:rsidP="00F21D71">
      <w:pPr>
        <w:pStyle w:val="ExecSumBodyText"/>
        <w:numPr>
          <w:ilvl w:val="1"/>
          <w:numId w:val="1"/>
        </w:numPr>
      </w:pPr>
      <w:r w:rsidRPr="00AB2265">
        <w:t>On the basis of the direct evidence presented in the submission (HERCULES), every 100 patients with acquired thrombotic thrombocytopenic purpura who are treated with caplacizumab in combination with standard of care, compared with standard of care alone (plasma exchange plus immunosuppression), over an approximately 24-37 day period, would result in:</w:t>
      </w:r>
    </w:p>
    <w:p w:rsidR="00B87292" w:rsidRPr="00AB2265" w:rsidRDefault="00B87292" w:rsidP="00DA7AE5">
      <w:pPr>
        <w:pStyle w:val="ExecSumBodyText"/>
        <w:numPr>
          <w:ilvl w:val="1"/>
          <w:numId w:val="7"/>
        </w:numPr>
      </w:pPr>
      <w:r w:rsidRPr="00AB2265">
        <w:t xml:space="preserve">Approximately 37 </w:t>
      </w:r>
      <w:r w:rsidR="00F21D71" w:rsidRPr="00AB2265">
        <w:t>fewer</w:t>
      </w:r>
      <w:r w:rsidRPr="00AB2265">
        <w:t xml:space="preserve"> patients with </w:t>
      </w:r>
      <w:r w:rsidR="00814C72" w:rsidRPr="00AB2265">
        <w:t xml:space="preserve">either </w:t>
      </w:r>
      <w:r w:rsidRPr="00AB2265">
        <w:t>TTP-related death, recurrence of TTP or major thromboembolic event, primarily due to a difference in recurrence of TTP</w:t>
      </w:r>
      <w:r w:rsidR="00814C72" w:rsidRPr="00AB2265">
        <w:t xml:space="preserve"> (approximately 34 fewer patients)</w:t>
      </w:r>
      <w:r w:rsidRPr="00AB2265">
        <w:t>; and</w:t>
      </w:r>
    </w:p>
    <w:p w:rsidR="00B87292" w:rsidRPr="00AB2265" w:rsidRDefault="00B87292" w:rsidP="00DA7AE5">
      <w:pPr>
        <w:pStyle w:val="ExecSumBodyText"/>
        <w:numPr>
          <w:ilvl w:val="1"/>
          <w:numId w:val="7"/>
        </w:numPr>
      </w:pPr>
      <w:r w:rsidRPr="00AB2265">
        <w:t>No difference in major thromboembolic events such as myocardial infarction and stroke</w:t>
      </w:r>
      <w:r w:rsidR="00F21D71" w:rsidRPr="00AB2265">
        <w:t>.</w:t>
      </w:r>
    </w:p>
    <w:p w:rsidR="00913B35" w:rsidRPr="00AB2265" w:rsidRDefault="00B87292" w:rsidP="00F21D71">
      <w:pPr>
        <w:pStyle w:val="ExecSumBodyText"/>
        <w:numPr>
          <w:ilvl w:val="1"/>
          <w:numId w:val="1"/>
        </w:numPr>
      </w:pPr>
      <w:r w:rsidRPr="00AB2265">
        <w:t xml:space="preserve">On the basis of the direct evidence presented in the submission (HERCULES), every 100 patients with acquired thrombotic thrombocytopenic purpura who are treated </w:t>
      </w:r>
      <w:r w:rsidRPr="00AB2265">
        <w:lastRenderedPageBreak/>
        <w:t>with caplacizumab in combination with standard of care, compared with standard of care alone (plasma exchange plus immunosuppression, with crossover to caplacizumab after disease recurrence in 36% of patients), over an approximately 29 and 37 days treatment period with study drug in placebo and caplacizumab arms respectively, with 28 days additional follow up, would result in</w:t>
      </w:r>
      <w:r w:rsidR="00913B35" w:rsidRPr="00AB2265">
        <w:t>:</w:t>
      </w:r>
    </w:p>
    <w:p w:rsidR="00D438CC" w:rsidRPr="00AB2265" w:rsidRDefault="00D438CC" w:rsidP="00DA7AE5">
      <w:pPr>
        <w:pStyle w:val="ExecSumBodyText"/>
        <w:numPr>
          <w:ilvl w:val="1"/>
          <w:numId w:val="7"/>
        </w:numPr>
      </w:pPr>
      <w:r w:rsidRPr="00AB2265">
        <w:t xml:space="preserve">Approximately </w:t>
      </w:r>
      <w:r w:rsidR="00C56F7D" w:rsidRPr="00AB2265">
        <w:t>23</w:t>
      </w:r>
      <w:r w:rsidRPr="00AB2265">
        <w:t xml:space="preserve"> more patients with</w:t>
      </w:r>
      <w:r w:rsidR="00913B35" w:rsidRPr="00AB2265">
        <w:t xml:space="preserve"> any bleeding event</w:t>
      </w:r>
      <w:r w:rsidR="00C56F7D" w:rsidRPr="00AB2265">
        <w:t xml:space="preserve"> related to the study drug</w:t>
      </w:r>
      <w:r w:rsidR="00913B35" w:rsidRPr="00AB2265">
        <w:t>;</w:t>
      </w:r>
    </w:p>
    <w:p w:rsidR="00D438CC" w:rsidRPr="00AB2265" w:rsidRDefault="00D438CC" w:rsidP="00DA7AE5">
      <w:pPr>
        <w:pStyle w:val="ExecSumBodyText"/>
        <w:numPr>
          <w:ilvl w:val="1"/>
          <w:numId w:val="7"/>
        </w:numPr>
      </w:pPr>
      <w:r w:rsidRPr="00AB2265">
        <w:t>Approximately 7 more patients with a serious bleeding event</w:t>
      </w:r>
      <w:r w:rsidR="007B378C" w:rsidRPr="00AB2265">
        <w:t xml:space="preserve"> (requiring intervention)</w:t>
      </w:r>
      <w:r w:rsidR="00913B35" w:rsidRPr="00AB2265">
        <w:t>; and</w:t>
      </w:r>
    </w:p>
    <w:p w:rsidR="00913B35" w:rsidRPr="00AB2265" w:rsidRDefault="00913B35" w:rsidP="00DA7AE5">
      <w:pPr>
        <w:pStyle w:val="ExecSumBodyText"/>
        <w:numPr>
          <w:ilvl w:val="1"/>
          <w:numId w:val="7"/>
        </w:numPr>
      </w:pPr>
      <w:r w:rsidRPr="00AB2265">
        <w:t>Approximately 14 more patients with headache</w:t>
      </w:r>
      <w:r w:rsidR="00F21D71" w:rsidRPr="00AB2265">
        <w:t>.</w:t>
      </w:r>
    </w:p>
    <w:p w:rsidR="00B60939" w:rsidRPr="00AB2265" w:rsidRDefault="00B60939" w:rsidP="00E9094A">
      <w:pPr>
        <w:pStyle w:val="3-SubsectionHeading"/>
      </w:pPr>
      <w:bookmarkStart w:id="29" w:name="_Toc22897644"/>
      <w:bookmarkStart w:id="30" w:name="_Toc40711456"/>
      <w:bookmarkStart w:id="31" w:name="_Toc40711515"/>
      <w:r w:rsidRPr="00AB2265">
        <w:t>Clinical claim</w:t>
      </w:r>
      <w:bookmarkEnd w:id="29"/>
      <w:bookmarkEnd w:id="30"/>
      <w:bookmarkEnd w:id="31"/>
    </w:p>
    <w:p w:rsidR="00E233CE" w:rsidRPr="00AB2265" w:rsidRDefault="00E233CE" w:rsidP="00F21D71">
      <w:pPr>
        <w:pStyle w:val="ExecSumBodyText"/>
        <w:numPr>
          <w:ilvl w:val="1"/>
          <w:numId w:val="1"/>
        </w:numPr>
      </w:pPr>
      <w:r w:rsidRPr="00AB2265">
        <w:t>The submission described caplacizumab 10 mg daily in combination with standard of care as superior in terms of effectiveness, and inferior in terms of safety compared with standard of care alone for the treatment of aTTP. The submission also stated that in the treatment of adult patients with an acute episode of aTTP, caplacizumab results in a decrease in the time to platelet normalisation and a reduction in the risk of the composite endpoint of aTTP-related death, aTTP recurrence or major thromboembolic events.</w:t>
      </w:r>
    </w:p>
    <w:p w:rsidR="00E233CE" w:rsidRPr="00AB2265" w:rsidRDefault="00F26785" w:rsidP="00F21D71">
      <w:pPr>
        <w:pStyle w:val="ExecSumBodyText"/>
        <w:numPr>
          <w:ilvl w:val="1"/>
          <w:numId w:val="1"/>
        </w:numPr>
      </w:pPr>
      <w:r w:rsidRPr="00AB2265">
        <w:t xml:space="preserve">The ESC considered the claim of superior efficacy of caplacizumab versus standard of care was primarily supported by a reduction in the risk of recurrence. The ESC noted however, that this outcome could be confounded, and is dependent on the extent of use of rituximab in clinical practice, which as noted above has also shown to reduce the risk of relapse. </w:t>
      </w:r>
    </w:p>
    <w:p w:rsidR="00437B8A" w:rsidRPr="00AB2265" w:rsidRDefault="00437B8A" w:rsidP="00437B8A">
      <w:pPr>
        <w:pStyle w:val="ExecSumBodyText"/>
        <w:numPr>
          <w:ilvl w:val="1"/>
          <w:numId w:val="1"/>
        </w:numPr>
      </w:pPr>
      <w:r w:rsidRPr="00AB2265">
        <w:t xml:space="preserve">The statistically significant difference in time to platelet normalisation was interpreted </w:t>
      </w:r>
      <w:r w:rsidR="00061631" w:rsidRPr="00AB2265">
        <w:t>by ESC to be</w:t>
      </w:r>
      <w:r w:rsidRPr="00AB2265">
        <w:t xml:space="preserve"> clinically meaningful</w:t>
      </w:r>
      <w:r w:rsidR="00061631" w:rsidRPr="00AB2265">
        <w:t xml:space="preserve"> if</w:t>
      </w:r>
      <w:r w:rsidRPr="00AB2265">
        <w:t xml:space="preserve"> it resulted in a reduction in the number of days on PEX. The ESC noted that mean days on PEX during the double-blind period was reduced by one, with no difference in the median days; however, there was wide variation in days on PEX (see standard d</w:t>
      </w:r>
      <w:r w:rsidR="00165AE8" w:rsidRPr="00AB2265">
        <w:t>eviations and ranges in Table 13</w:t>
      </w:r>
      <w:r w:rsidRPr="00AB2265">
        <w:t>). The median days to platelet moralisation (0.19) and the wide confidence intervals for the hazard ratio (HR of 1.55; 95% CI: 1.095, 2.195) made the clinical importance of these results unclear</w:t>
      </w:r>
      <w:r w:rsidRPr="00AB2265">
        <w:rPr>
          <w:i/>
        </w:rPr>
        <w:t>.</w:t>
      </w:r>
    </w:p>
    <w:p w:rsidR="00E233CE" w:rsidRPr="00AB2265" w:rsidRDefault="00E233CE" w:rsidP="00F21D71">
      <w:pPr>
        <w:pStyle w:val="ExecSumBodyText"/>
        <w:numPr>
          <w:ilvl w:val="1"/>
          <w:numId w:val="1"/>
        </w:numPr>
      </w:pPr>
      <w:r w:rsidRPr="00AB2265">
        <w:t xml:space="preserve">There is limited information around the treatment effect of caplacizumab on long-term sequelae associated with aTTP. Although resolution of thrombocytopenia is a standard end point for plasma exchange in patients with aTTP, the relationship between faster normalisation of platelet counts and the long-term sequelae of aTTP is unclear. </w:t>
      </w:r>
      <w:r w:rsidR="0076517B" w:rsidRPr="00AB2265">
        <w:t xml:space="preserve">As stated above, the ESC considered it would be reasonable to assume that the better and faster you control </w:t>
      </w:r>
      <w:r w:rsidR="00AB2265" w:rsidRPr="00AB2265">
        <w:t>microangiopathic</w:t>
      </w:r>
      <w:r w:rsidR="0076517B" w:rsidRPr="00AB2265">
        <w:t xml:space="preserve"> events initially, the less long-term sequelae would be experienced; however the ESC noted this is not well documented </w:t>
      </w:r>
      <w:r w:rsidR="0076517B" w:rsidRPr="00AB2265">
        <w:lastRenderedPageBreak/>
        <w:t>and the trials were limited by small patient numbers and lack of long-term follow-up data.</w:t>
      </w:r>
    </w:p>
    <w:p w:rsidR="00E233CE" w:rsidRPr="00AB2265" w:rsidRDefault="00E233CE" w:rsidP="00F21D71">
      <w:pPr>
        <w:pStyle w:val="ExecSumBodyText"/>
        <w:numPr>
          <w:ilvl w:val="1"/>
          <w:numId w:val="1"/>
        </w:numPr>
      </w:pPr>
      <w:r w:rsidRPr="00AB2265">
        <w:t>Uncertainties still remain regarding the benefit-risk in treatment of longer duration than investigated in the studies. Further, no data on re-treatment is currently available.</w:t>
      </w:r>
    </w:p>
    <w:p w:rsidR="00E233CE" w:rsidRPr="00AB2265" w:rsidRDefault="0076517B" w:rsidP="00F21D71">
      <w:pPr>
        <w:pStyle w:val="ExecSumBodyText"/>
        <w:numPr>
          <w:ilvl w:val="1"/>
          <w:numId w:val="1"/>
        </w:numPr>
      </w:pPr>
      <w:r w:rsidRPr="00AB2265">
        <w:t>The ESC considered the claim of inferior safety was appropriate given the increased risk of bleeds, including severe bleeds, and headache.</w:t>
      </w:r>
    </w:p>
    <w:p w:rsidR="001C4B8E" w:rsidRPr="00AB2265" w:rsidRDefault="001C4B8E" w:rsidP="00F21D71">
      <w:pPr>
        <w:pStyle w:val="ExecSumBodyText"/>
        <w:numPr>
          <w:ilvl w:val="1"/>
          <w:numId w:val="1"/>
        </w:numPr>
      </w:pPr>
      <w:r w:rsidRPr="00AB2265">
        <w:t>The PBAC considered the claim of superior comparative effectiveness was supported</w:t>
      </w:r>
      <w:r w:rsidR="00670F9B" w:rsidRPr="00AB2265">
        <w:t xml:space="preserve"> in relation to slightly faster time to platelet normalisation and reduction in haematological aTTP recurrence.</w:t>
      </w:r>
    </w:p>
    <w:p w:rsidR="00670F9B" w:rsidRPr="00AB2265" w:rsidRDefault="00670F9B" w:rsidP="00F21D71">
      <w:pPr>
        <w:pStyle w:val="ExecSumBodyText"/>
        <w:numPr>
          <w:ilvl w:val="1"/>
          <w:numId w:val="1"/>
        </w:numPr>
      </w:pPr>
      <w:r w:rsidRPr="00AB2265">
        <w:t>The PBAC considered the claim of inferior safety was appropriate.</w:t>
      </w:r>
    </w:p>
    <w:p w:rsidR="00B60939" w:rsidRPr="00AB2265" w:rsidRDefault="00B60939" w:rsidP="00E9094A">
      <w:pPr>
        <w:pStyle w:val="3-SubsectionHeading"/>
      </w:pPr>
      <w:bookmarkStart w:id="32" w:name="_Toc22897645"/>
      <w:bookmarkStart w:id="33" w:name="_Toc40711457"/>
      <w:bookmarkStart w:id="34" w:name="_Toc40711516"/>
      <w:r w:rsidRPr="00AB2265">
        <w:t>Economic analysis</w:t>
      </w:r>
      <w:bookmarkEnd w:id="32"/>
      <w:bookmarkEnd w:id="33"/>
      <w:bookmarkEnd w:id="34"/>
      <w:r w:rsidR="00491B3A" w:rsidRPr="00AB2265">
        <w:t xml:space="preserve"> </w:t>
      </w:r>
    </w:p>
    <w:p w:rsidR="000C73B0" w:rsidRPr="00AB2265" w:rsidRDefault="000C73B0" w:rsidP="000C73B0">
      <w:pPr>
        <w:pStyle w:val="ExecSumBodyText"/>
        <w:numPr>
          <w:ilvl w:val="1"/>
          <w:numId w:val="1"/>
        </w:numPr>
      </w:pPr>
      <w:r w:rsidRPr="00AB2265">
        <w:t xml:space="preserve">The ESC considered a cost-effectiveness/utility analysis was appropriate based on the </w:t>
      </w:r>
      <w:r w:rsidR="00694729" w:rsidRPr="00AB2265">
        <w:t>statistically</w:t>
      </w:r>
      <w:r w:rsidRPr="00AB2265">
        <w:t xml:space="preserve"> significant reduction in recurrence of TPP in the caplacizumab arm versus best supportive care. However, the ESC acknowledged the </w:t>
      </w:r>
      <w:r w:rsidR="00694729" w:rsidRPr="00AB2265">
        <w:t>clinical importance</w:t>
      </w:r>
      <w:r w:rsidRPr="00AB2265">
        <w:t xml:space="preserve"> of this result was unclear. The ESC further advised that the long-term clinical benefit was unclear and that further clinical input was required to improve the model structure</w:t>
      </w:r>
      <w:r w:rsidR="00AB2265">
        <w:t>.</w:t>
      </w:r>
      <w:r w:rsidR="001C6279">
        <w:t xml:space="preserve"> </w:t>
      </w:r>
    </w:p>
    <w:p w:rsidR="00F21D71" w:rsidRPr="00AB2265" w:rsidRDefault="00F21D71" w:rsidP="00F21D71">
      <w:pPr>
        <w:pStyle w:val="ExecSumBodyText"/>
        <w:numPr>
          <w:ilvl w:val="1"/>
          <w:numId w:val="1"/>
        </w:numPr>
        <w:rPr>
          <w:b/>
          <w:bCs/>
          <w:color w:val="0066FF"/>
        </w:rPr>
      </w:pPr>
      <w:r w:rsidRPr="00AB2265">
        <w:t>The submission presented a stepped economic evaluation of caplacizumab compared with standard of care for the treatment of acquired thrombotic thrombocytopenic purpura (aTTP). The economic model was based on survival benefit derived from combined HERCULES and TITAN trial data and a retrospective observational study of acute aTTP episodes, extrapolated to 60 years. Other modelled inputs were largely based on HERCULES trial data and assumptions. The economic evaluation was presented as a cost-effectiveness/utility analysis.</w:t>
      </w:r>
    </w:p>
    <w:p w:rsidR="00DA7AE5" w:rsidRPr="00AB2265" w:rsidRDefault="00DA7AE5" w:rsidP="00F21D71">
      <w:pPr>
        <w:pStyle w:val="TableFigureCaption"/>
      </w:pPr>
    </w:p>
    <w:p w:rsidR="00F21D71" w:rsidRPr="00AB2265" w:rsidRDefault="00F21D71" w:rsidP="00E83E3B">
      <w:pPr>
        <w:pStyle w:val="TableFigureCaption"/>
      </w:pPr>
      <w:r w:rsidRPr="00AB2265">
        <w:t xml:space="preserve">Table </w:t>
      </w:r>
      <w:r w:rsidR="00C979CC" w:rsidRPr="00AB2265">
        <w:t>17</w:t>
      </w:r>
      <w:r w:rsidRPr="00AB2265">
        <w:t>: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60"/>
        <w:gridCol w:w="7057"/>
      </w:tblGrid>
      <w:tr w:rsidR="00F21D71" w:rsidRPr="00AB2265" w:rsidTr="00F21D71">
        <w:trPr>
          <w:tblHeader/>
        </w:trPr>
        <w:tc>
          <w:tcPr>
            <w:tcW w:w="1087" w:type="pct"/>
            <w:vAlign w:val="center"/>
          </w:tcPr>
          <w:p w:rsidR="00F21D71" w:rsidRPr="00AB2265" w:rsidRDefault="00F21D71" w:rsidP="00E83E3B">
            <w:pPr>
              <w:pStyle w:val="Tableheadingrow"/>
              <w:jc w:val="center"/>
              <w:rPr>
                <w:lang w:val="en-AU"/>
              </w:rPr>
            </w:pPr>
            <w:r w:rsidRPr="00AB2265">
              <w:rPr>
                <w:lang w:val="en-AU"/>
              </w:rPr>
              <w:t>Component</w:t>
            </w:r>
          </w:p>
        </w:tc>
        <w:tc>
          <w:tcPr>
            <w:tcW w:w="3913" w:type="pct"/>
            <w:vAlign w:val="center"/>
          </w:tcPr>
          <w:p w:rsidR="00F21D71" w:rsidRPr="00AB2265" w:rsidRDefault="00F21D71" w:rsidP="00E83E3B">
            <w:pPr>
              <w:pStyle w:val="Tableheadingrow"/>
              <w:jc w:val="center"/>
              <w:rPr>
                <w:lang w:val="en-AU"/>
              </w:rPr>
            </w:pPr>
            <w:r w:rsidRPr="00AB2265">
              <w:rPr>
                <w:lang w:val="en-AU"/>
              </w:rPr>
              <w:t>Description</w:t>
            </w:r>
          </w:p>
        </w:tc>
      </w:tr>
      <w:tr w:rsidR="00F21D71" w:rsidRPr="00AB2265" w:rsidTr="00F21D71">
        <w:tc>
          <w:tcPr>
            <w:tcW w:w="1087" w:type="pct"/>
            <w:vAlign w:val="center"/>
          </w:tcPr>
          <w:p w:rsidR="00F21D71" w:rsidRPr="00AB2265" w:rsidRDefault="00F21D71" w:rsidP="00E83E3B">
            <w:pPr>
              <w:pStyle w:val="TableText"/>
            </w:pPr>
            <w:r w:rsidRPr="00AB2265">
              <w:t>Type of analysis</w:t>
            </w:r>
          </w:p>
        </w:tc>
        <w:tc>
          <w:tcPr>
            <w:tcW w:w="3913" w:type="pct"/>
            <w:vAlign w:val="center"/>
          </w:tcPr>
          <w:p w:rsidR="00F21D71" w:rsidRPr="00AB2265" w:rsidRDefault="00F21D71" w:rsidP="00E83E3B">
            <w:pPr>
              <w:pStyle w:val="TableText"/>
            </w:pPr>
            <w:r w:rsidRPr="00AB2265">
              <w:t>Cost-effectiveness/cost-utility analyses</w:t>
            </w:r>
          </w:p>
        </w:tc>
      </w:tr>
      <w:tr w:rsidR="00F21D71" w:rsidRPr="00AB2265" w:rsidTr="00F21D71">
        <w:tc>
          <w:tcPr>
            <w:tcW w:w="1087" w:type="pct"/>
            <w:vAlign w:val="center"/>
          </w:tcPr>
          <w:p w:rsidR="00F21D71" w:rsidRPr="00AB2265" w:rsidRDefault="00F21D71" w:rsidP="00E83E3B">
            <w:pPr>
              <w:pStyle w:val="TableText"/>
            </w:pPr>
            <w:r w:rsidRPr="00AB2265">
              <w:t>Outcomes</w:t>
            </w:r>
          </w:p>
        </w:tc>
        <w:tc>
          <w:tcPr>
            <w:tcW w:w="3913" w:type="pct"/>
            <w:vAlign w:val="center"/>
          </w:tcPr>
          <w:p w:rsidR="00F21D71" w:rsidRPr="00AB2265" w:rsidRDefault="00F21D71" w:rsidP="00E83E3B">
            <w:pPr>
              <w:pStyle w:val="TableText"/>
            </w:pPr>
            <w:r w:rsidRPr="00AB2265">
              <w:t>LYs, QALYs</w:t>
            </w:r>
          </w:p>
        </w:tc>
      </w:tr>
      <w:tr w:rsidR="00F21D71" w:rsidRPr="00AB2265" w:rsidTr="00F21D71">
        <w:tc>
          <w:tcPr>
            <w:tcW w:w="1087" w:type="pct"/>
            <w:vAlign w:val="center"/>
          </w:tcPr>
          <w:p w:rsidR="00F21D71" w:rsidRPr="00AB2265" w:rsidRDefault="00F21D71" w:rsidP="00E83E3B">
            <w:pPr>
              <w:pStyle w:val="TableText"/>
            </w:pPr>
            <w:r w:rsidRPr="00AB2265">
              <w:t>Time horizon</w:t>
            </w:r>
          </w:p>
        </w:tc>
        <w:tc>
          <w:tcPr>
            <w:tcW w:w="3913" w:type="pct"/>
            <w:vAlign w:val="center"/>
          </w:tcPr>
          <w:p w:rsidR="00F21D71" w:rsidRPr="00AB2265" w:rsidRDefault="00F21D71" w:rsidP="00E83E3B">
            <w:pPr>
              <w:pStyle w:val="TableText"/>
            </w:pPr>
            <w:r w:rsidRPr="00AB2265">
              <w:t>60 years in model base case versus median treatment duration of 35 days in the overall treatment period (double-blind and open-label periods) of the HERCULES trial</w:t>
            </w:r>
          </w:p>
        </w:tc>
      </w:tr>
      <w:tr w:rsidR="00F21D71" w:rsidRPr="00AB2265" w:rsidTr="00F21D71">
        <w:tc>
          <w:tcPr>
            <w:tcW w:w="1087" w:type="pct"/>
            <w:vAlign w:val="center"/>
          </w:tcPr>
          <w:p w:rsidR="00F21D71" w:rsidRPr="00AB2265" w:rsidRDefault="00F21D71" w:rsidP="00E83E3B">
            <w:pPr>
              <w:pStyle w:val="TableText"/>
            </w:pPr>
            <w:r w:rsidRPr="00AB2265">
              <w:t>Methods used to generate results</w:t>
            </w:r>
          </w:p>
        </w:tc>
        <w:tc>
          <w:tcPr>
            <w:tcW w:w="3913" w:type="pct"/>
            <w:vAlign w:val="center"/>
          </w:tcPr>
          <w:p w:rsidR="00F21D71" w:rsidRPr="00AB2265" w:rsidRDefault="00F21D71" w:rsidP="00E83E3B">
            <w:pPr>
              <w:pStyle w:val="TableText"/>
            </w:pPr>
            <w:r w:rsidRPr="00AB2265">
              <w:t>Markov cohort model</w:t>
            </w:r>
          </w:p>
        </w:tc>
      </w:tr>
      <w:tr w:rsidR="00F21D71" w:rsidRPr="00AB2265" w:rsidTr="00F21D71">
        <w:tc>
          <w:tcPr>
            <w:tcW w:w="1087" w:type="pct"/>
            <w:vAlign w:val="center"/>
          </w:tcPr>
          <w:p w:rsidR="00F21D71" w:rsidRPr="00AB2265" w:rsidRDefault="00F21D71" w:rsidP="00E83E3B">
            <w:pPr>
              <w:pStyle w:val="TableText"/>
            </w:pPr>
            <w:r w:rsidRPr="00AB2265">
              <w:t>Cycle length</w:t>
            </w:r>
          </w:p>
        </w:tc>
        <w:tc>
          <w:tcPr>
            <w:tcW w:w="3913" w:type="pct"/>
            <w:vAlign w:val="center"/>
          </w:tcPr>
          <w:p w:rsidR="00F21D71" w:rsidRPr="00AB2265" w:rsidRDefault="00F21D71" w:rsidP="00E83E3B">
            <w:pPr>
              <w:pStyle w:val="TableText"/>
            </w:pPr>
            <w:r w:rsidRPr="00AB2265">
              <w:t>3 months, half-cycle corrections applied to both costs and outcomes</w:t>
            </w:r>
          </w:p>
        </w:tc>
      </w:tr>
      <w:tr w:rsidR="00F21D71" w:rsidRPr="00AB2265" w:rsidTr="00F21D71">
        <w:tc>
          <w:tcPr>
            <w:tcW w:w="1087" w:type="pct"/>
            <w:vAlign w:val="center"/>
          </w:tcPr>
          <w:p w:rsidR="00F21D71" w:rsidRPr="00AB2265" w:rsidRDefault="00F21D71" w:rsidP="00E83E3B">
            <w:pPr>
              <w:pStyle w:val="TableText"/>
            </w:pPr>
            <w:r w:rsidRPr="00AB2265">
              <w:t>Health states</w:t>
            </w:r>
          </w:p>
        </w:tc>
        <w:tc>
          <w:tcPr>
            <w:tcW w:w="3913" w:type="pct"/>
            <w:vAlign w:val="center"/>
          </w:tcPr>
          <w:p w:rsidR="00F21D71" w:rsidRPr="00AB2265" w:rsidRDefault="00F21D71" w:rsidP="00E83E3B">
            <w:pPr>
              <w:pStyle w:val="TableText"/>
            </w:pPr>
            <w:r w:rsidRPr="00AB2265">
              <w:t>The Markov model contains 7 health states, distributed over 2 model phases:</w:t>
            </w:r>
          </w:p>
          <w:p w:rsidR="00F21D71" w:rsidRPr="00AB2265" w:rsidRDefault="00F21D71" w:rsidP="00E83E3B">
            <w:pPr>
              <w:pStyle w:val="TableText"/>
              <w:numPr>
                <w:ilvl w:val="0"/>
                <w:numId w:val="9"/>
              </w:numPr>
            </w:pPr>
            <w:r w:rsidRPr="00AB2265">
              <w:t>Acute aTTP episode (1</w:t>
            </w:r>
            <w:r w:rsidRPr="00AB2265">
              <w:rPr>
                <w:vertAlign w:val="superscript"/>
              </w:rPr>
              <w:t>st</w:t>
            </w:r>
            <w:r w:rsidRPr="00AB2265">
              <w:t xml:space="preserve"> model cycle)</w:t>
            </w:r>
          </w:p>
          <w:p w:rsidR="00F21D71" w:rsidRPr="00AB2265" w:rsidRDefault="00F21D71" w:rsidP="00E83E3B">
            <w:pPr>
              <w:pStyle w:val="TableText"/>
              <w:numPr>
                <w:ilvl w:val="1"/>
                <w:numId w:val="9"/>
              </w:numPr>
            </w:pPr>
            <w:r w:rsidRPr="00AB2265">
              <w:t>No acute MI/stroke</w:t>
            </w:r>
          </w:p>
          <w:p w:rsidR="00F21D71" w:rsidRPr="00AB2265" w:rsidRDefault="00F21D71" w:rsidP="00E83E3B">
            <w:pPr>
              <w:pStyle w:val="TableText"/>
              <w:numPr>
                <w:ilvl w:val="1"/>
                <w:numId w:val="9"/>
              </w:numPr>
            </w:pPr>
            <w:r w:rsidRPr="00AB2265">
              <w:t>Acute MI</w:t>
            </w:r>
          </w:p>
          <w:p w:rsidR="00F21D71" w:rsidRPr="00AB2265" w:rsidRDefault="00F21D71" w:rsidP="00E83E3B">
            <w:pPr>
              <w:pStyle w:val="TableText"/>
              <w:numPr>
                <w:ilvl w:val="1"/>
                <w:numId w:val="9"/>
              </w:numPr>
            </w:pPr>
            <w:r w:rsidRPr="00AB2265">
              <w:t>Acute stroke</w:t>
            </w:r>
          </w:p>
          <w:p w:rsidR="00F21D71" w:rsidRPr="00AB2265" w:rsidRDefault="00F21D71" w:rsidP="00E83E3B">
            <w:pPr>
              <w:pStyle w:val="TableText"/>
              <w:numPr>
                <w:ilvl w:val="0"/>
                <w:numId w:val="9"/>
              </w:numPr>
            </w:pPr>
            <w:r w:rsidRPr="00AB2265">
              <w:t>Chronic remission (subsequent cycles)</w:t>
            </w:r>
          </w:p>
          <w:p w:rsidR="00F21D71" w:rsidRPr="00AB2265" w:rsidRDefault="00F21D71" w:rsidP="00E83E3B">
            <w:pPr>
              <w:pStyle w:val="TableText"/>
              <w:numPr>
                <w:ilvl w:val="1"/>
                <w:numId w:val="9"/>
              </w:numPr>
            </w:pPr>
            <w:r w:rsidRPr="00AB2265">
              <w:t>No prior MI/stroke</w:t>
            </w:r>
          </w:p>
          <w:p w:rsidR="00F21D71" w:rsidRPr="00AB2265" w:rsidRDefault="00F21D71" w:rsidP="00E83E3B">
            <w:pPr>
              <w:pStyle w:val="TableText"/>
              <w:numPr>
                <w:ilvl w:val="1"/>
                <w:numId w:val="9"/>
              </w:numPr>
            </w:pPr>
            <w:r w:rsidRPr="00AB2265">
              <w:t>Post MI</w:t>
            </w:r>
          </w:p>
          <w:p w:rsidR="00F21D71" w:rsidRPr="00AB2265" w:rsidRDefault="00F21D71" w:rsidP="00E83E3B">
            <w:pPr>
              <w:pStyle w:val="TableText"/>
              <w:numPr>
                <w:ilvl w:val="1"/>
                <w:numId w:val="9"/>
              </w:numPr>
            </w:pPr>
            <w:r w:rsidRPr="00AB2265">
              <w:t>Post stroke</w:t>
            </w:r>
          </w:p>
          <w:p w:rsidR="00F21D71" w:rsidRPr="00AB2265" w:rsidRDefault="00F21D71" w:rsidP="00E83E3B">
            <w:pPr>
              <w:pStyle w:val="TableText"/>
              <w:numPr>
                <w:ilvl w:val="0"/>
                <w:numId w:val="9"/>
              </w:numPr>
            </w:pPr>
            <w:r w:rsidRPr="00AB2265">
              <w:t>Dead (patients can transition from either acute or chronic health states)</w:t>
            </w:r>
          </w:p>
        </w:tc>
      </w:tr>
      <w:tr w:rsidR="00F21D71" w:rsidRPr="00AB2265" w:rsidTr="00F21D71">
        <w:tc>
          <w:tcPr>
            <w:tcW w:w="1087" w:type="pct"/>
            <w:vAlign w:val="center"/>
          </w:tcPr>
          <w:p w:rsidR="00F21D71" w:rsidRPr="00AB2265" w:rsidRDefault="00F21D71" w:rsidP="00E83E3B">
            <w:pPr>
              <w:pStyle w:val="TableText"/>
            </w:pPr>
            <w:r w:rsidRPr="00AB2265">
              <w:t>Transition probabilities</w:t>
            </w:r>
          </w:p>
        </w:tc>
        <w:tc>
          <w:tcPr>
            <w:tcW w:w="3913" w:type="pct"/>
            <w:vAlign w:val="center"/>
          </w:tcPr>
          <w:p w:rsidR="00F21D71" w:rsidRPr="00AB2265" w:rsidRDefault="00F21D71" w:rsidP="00E83E3B">
            <w:pPr>
              <w:pStyle w:val="TableText"/>
            </w:pPr>
            <w:r w:rsidRPr="00AB2265">
              <w:t xml:space="preserve">Transition probabilities in the first 3-month cycle were derived using the probability of death due to an acute aTTP episode and the incidence of MI and stroke from the HERCULES trial (post-hoc analysis of double-blind period). The probability of aTTP-related death was derived separately for each arm. For caplacizumab, the death rate was derived using combined data from the HERCULES and TITAN trials. For SOC, the death rate was based on a retrospective study of aTTP mortality from the UK TTP registry (Alwan 2017). There were no death transitions in the first cycle. </w:t>
            </w:r>
          </w:p>
          <w:p w:rsidR="00F21D71" w:rsidRPr="00AB2265" w:rsidRDefault="00F21D71" w:rsidP="00E83E3B">
            <w:pPr>
              <w:pStyle w:val="TableText"/>
            </w:pPr>
          </w:p>
          <w:p w:rsidR="00F21D71" w:rsidRPr="00AB2265" w:rsidRDefault="00F21D71" w:rsidP="00E83E3B">
            <w:pPr>
              <w:pStyle w:val="TableText"/>
            </w:pPr>
            <w:r w:rsidRPr="00AB2265">
              <w:t>The submission assumed all deaths related to acute events (aTTP-related, MI and stroke) occurred after the first cycle. Deaths due to aTTP were attributed to patients in the no MI/stroke health state. The probabilities of death due to MI or stroke were derived using mortality multipliers for MI (SOLVD 1992 heart failure study), stroke (FUTURE study of TIA and stroke, Rutten-Jacobs 1993) and background mortality (general population mortality estimates from ABS 2016-2018 Life Tables)</w:t>
            </w:r>
            <w:r w:rsidR="00AB2265">
              <w:t xml:space="preserve">. </w:t>
            </w:r>
            <w:r w:rsidRPr="00AB2265">
              <w:t xml:space="preserve">The distribution of patients across chronic health states in the second cycle was based on patients remaining alive from each acute health state after accounting for aTTP-related death, death due to acute MI or stroke and background mortality. </w:t>
            </w:r>
          </w:p>
          <w:p w:rsidR="00F21D71" w:rsidRPr="00AB2265" w:rsidRDefault="00F21D71" w:rsidP="00E83E3B">
            <w:pPr>
              <w:pStyle w:val="TableText"/>
            </w:pPr>
          </w:p>
          <w:p w:rsidR="00F21D71" w:rsidRPr="00AB2265" w:rsidRDefault="00F21D71" w:rsidP="00E83E3B">
            <w:pPr>
              <w:pStyle w:val="TableText"/>
            </w:pPr>
            <w:r w:rsidRPr="00AB2265">
              <w:t>In subsequent cycles, all patients in the no prior MI/stroke health state either remain in their health state or die due to background mortality. All patients in the post MI or post stroke health states either remain in their respective states or die of increased mortality due to MI or stroke</w:t>
            </w:r>
            <w:r w:rsidR="00AB2265">
              <w:t xml:space="preserve">. </w:t>
            </w:r>
          </w:p>
        </w:tc>
      </w:tr>
      <w:tr w:rsidR="00F21D71" w:rsidRPr="00AB2265" w:rsidTr="00F21D71">
        <w:tc>
          <w:tcPr>
            <w:tcW w:w="1087" w:type="pct"/>
            <w:vAlign w:val="center"/>
          </w:tcPr>
          <w:p w:rsidR="00F21D71" w:rsidRPr="00AB2265" w:rsidRDefault="00F21D71" w:rsidP="00F21D71">
            <w:pPr>
              <w:pStyle w:val="TableText"/>
              <w:keepNext w:val="0"/>
            </w:pPr>
            <w:r w:rsidRPr="00AB2265">
              <w:t>Health related quality of life</w:t>
            </w:r>
          </w:p>
        </w:tc>
        <w:tc>
          <w:tcPr>
            <w:tcW w:w="3913" w:type="pct"/>
            <w:vAlign w:val="center"/>
          </w:tcPr>
          <w:p w:rsidR="00F21D71" w:rsidRPr="00AB2265" w:rsidRDefault="00F21D71" w:rsidP="00F21D71">
            <w:pPr>
              <w:pStyle w:val="TableText"/>
              <w:keepNext w:val="0"/>
            </w:pPr>
            <w:r w:rsidRPr="00AB2265">
              <w:t>No acute MI/stroke utility: caplacizumab, 0.841; SOC, 0.827</w:t>
            </w:r>
          </w:p>
          <w:p w:rsidR="00F21D71" w:rsidRPr="00AB2265" w:rsidRDefault="00F21D71" w:rsidP="00F21D71">
            <w:pPr>
              <w:pStyle w:val="TableText"/>
              <w:keepNext w:val="0"/>
            </w:pPr>
            <w:r w:rsidRPr="00AB2265">
              <w:t>Acute MI utility: caplacizumab, 0.336; SOC, 0.331</w:t>
            </w:r>
          </w:p>
          <w:p w:rsidR="00F21D71" w:rsidRPr="00AB2265" w:rsidRDefault="00F21D71" w:rsidP="00F21D71">
            <w:pPr>
              <w:pStyle w:val="TableText"/>
              <w:keepNext w:val="0"/>
            </w:pPr>
            <w:r w:rsidRPr="00AB2265">
              <w:t>Acute stroke utility: caplacizumab, 0.528; SOC, 0.520</w:t>
            </w:r>
          </w:p>
          <w:p w:rsidR="00F21D71" w:rsidRPr="00AB2265" w:rsidRDefault="00F21D71" w:rsidP="00F21D71">
            <w:pPr>
              <w:pStyle w:val="TableText"/>
              <w:keepNext w:val="0"/>
            </w:pPr>
          </w:p>
          <w:p w:rsidR="00F21D71" w:rsidRPr="00AB2265" w:rsidRDefault="00F21D71" w:rsidP="00F21D71">
            <w:pPr>
              <w:pStyle w:val="TableText"/>
              <w:keepNext w:val="0"/>
            </w:pPr>
            <w:r w:rsidRPr="00AB2265">
              <w:t>The baseline aTTP utility (applied to no acute MI/stroke health state) in each arm was derived using a complex, multi-step approach incorporating general population utility estimates (EQ-5D-5L) and 3-month QALY decrements due to the acute aTTP episode. QALY decrements were derived using published disutilities (EQ-5D-3L) for other disease areas for an assumed set of events, HERCULES trial data and assumptions.</w:t>
            </w:r>
          </w:p>
          <w:p w:rsidR="00F21D71" w:rsidRPr="00AB2265" w:rsidRDefault="00F21D71" w:rsidP="00F21D71">
            <w:pPr>
              <w:pStyle w:val="TableText"/>
              <w:keepNext w:val="0"/>
            </w:pPr>
          </w:p>
          <w:p w:rsidR="00F21D71" w:rsidRPr="00AB2265" w:rsidRDefault="00F21D71" w:rsidP="00F21D71">
            <w:pPr>
              <w:pStyle w:val="TableText"/>
              <w:keepNext w:val="0"/>
            </w:pPr>
            <w:r w:rsidRPr="00AB2265">
              <w:t xml:space="preserve">The acute MI and stroke utilities were calculated using utility multipliers for MI and stroke published in draft guidance for lipid modification for cardiovascular disease (NICE February 2014). The MI utility multiplier was further adjusted in the submission based on an assumed </w:t>
            </w:r>
            <w:r w:rsidRPr="00AB2265">
              <w:lastRenderedPageBreak/>
              <w:t>distribution across 3-monthly periods in the first year. The multipliers were applied to the baseline aTTP utility.</w:t>
            </w:r>
          </w:p>
          <w:p w:rsidR="00F21D71" w:rsidRPr="00AB2265" w:rsidRDefault="00F21D71" w:rsidP="00F21D71">
            <w:pPr>
              <w:pStyle w:val="TableText"/>
              <w:keepNext w:val="0"/>
            </w:pPr>
          </w:p>
          <w:p w:rsidR="00F21D71" w:rsidRPr="00AB2265" w:rsidRDefault="00F21D71" w:rsidP="00F21D71">
            <w:pPr>
              <w:pStyle w:val="TableText"/>
              <w:keepNext w:val="0"/>
            </w:pPr>
            <w:r w:rsidRPr="00AB2265">
              <w:t xml:space="preserve">No prior MI/stroke utility: 0.879 decreasing to 0.829 </w:t>
            </w:r>
          </w:p>
          <w:p w:rsidR="00F21D71" w:rsidRPr="00AB2265" w:rsidRDefault="00F21D71" w:rsidP="00F21D71">
            <w:pPr>
              <w:pStyle w:val="TableText"/>
              <w:keepNext w:val="0"/>
            </w:pPr>
            <w:r w:rsidRPr="00AB2265">
              <w:t xml:space="preserve">Post MI utility: 0.774 decreasing to 0.730 </w:t>
            </w:r>
          </w:p>
          <w:p w:rsidR="00F21D71" w:rsidRPr="00AB2265" w:rsidRDefault="00F21D71" w:rsidP="00F21D71">
            <w:pPr>
              <w:pStyle w:val="TableText"/>
              <w:keepNext w:val="0"/>
            </w:pPr>
            <w:r w:rsidRPr="00AB2265">
              <w:t>Post stroke utility: 0.552 decreasing to 0.521</w:t>
            </w:r>
          </w:p>
          <w:p w:rsidR="00F21D71" w:rsidRPr="00AB2265" w:rsidRDefault="00F21D71" w:rsidP="00F21D71">
            <w:pPr>
              <w:pStyle w:val="TableText"/>
              <w:keepNext w:val="0"/>
            </w:pPr>
          </w:p>
          <w:p w:rsidR="00251C9C" w:rsidRPr="00AB2265" w:rsidRDefault="00F21D71" w:rsidP="00251C9C">
            <w:pPr>
              <w:pStyle w:val="TableText"/>
              <w:keepNext w:val="0"/>
            </w:pPr>
            <w:r w:rsidRPr="00AB2265">
              <w:t>The no prior MI/stroke utility was assumed based on age- and gender-adjusted general population EQ-5D-5L utility values (McCaffrey 2016). The post MI and stroke utility values were calculated using utility multipliers for MI and stroke published in draft guidance for lipid modification for cardiovascular disease (NICE February 2014) and general population utility estimates.</w:t>
            </w:r>
          </w:p>
        </w:tc>
      </w:tr>
      <w:tr w:rsidR="00F21D71" w:rsidRPr="00AB2265" w:rsidTr="00F21D71">
        <w:trPr>
          <w:trHeight w:val="290"/>
        </w:trPr>
        <w:tc>
          <w:tcPr>
            <w:tcW w:w="1087" w:type="pct"/>
            <w:vAlign w:val="center"/>
          </w:tcPr>
          <w:p w:rsidR="00F21D71" w:rsidRPr="00AB2265" w:rsidRDefault="00F21D71" w:rsidP="00F21D71">
            <w:pPr>
              <w:pStyle w:val="TableText"/>
              <w:keepNext w:val="0"/>
            </w:pPr>
            <w:r w:rsidRPr="00AB2265">
              <w:lastRenderedPageBreak/>
              <w:t xml:space="preserve">Health resource use and costs </w:t>
            </w:r>
          </w:p>
        </w:tc>
        <w:tc>
          <w:tcPr>
            <w:tcW w:w="3913" w:type="pct"/>
            <w:vAlign w:val="center"/>
          </w:tcPr>
          <w:p w:rsidR="00F21D71" w:rsidRPr="00AB2265" w:rsidRDefault="00F21D71" w:rsidP="00F21D71">
            <w:pPr>
              <w:pStyle w:val="TableText"/>
              <w:keepNext w:val="0"/>
            </w:pPr>
            <w:r w:rsidRPr="00AB2265">
              <w:t>Caplacizumab drug cost was estimated based on circumstances of use in the HERCULES trial including a proposed 3-vial cost offset (35.6 vials) and the proposed effective AEMP $</w:t>
            </w:r>
            <w:r w:rsidR="003F618D">
              <w:rPr>
                <w:noProof/>
                <w:color w:val="000000"/>
                <w:highlight w:val="black"/>
              </w:rPr>
              <w:t>''''''''''''</w:t>
            </w:r>
            <w:r w:rsidRPr="00AB2265">
              <w:t xml:space="preserve"> per vial.</w:t>
            </w:r>
          </w:p>
          <w:p w:rsidR="00F21D71" w:rsidRPr="00AB2265" w:rsidRDefault="00F21D71" w:rsidP="00F21D71">
            <w:pPr>
              <w:pStyle w:val="TableText"/>
              <w:keepNext w:val="0"/>
            </w:pPr>
          </w:p>
          <w:p w:rsidR="00F21D71" w:rsidRPr="00AB2265" w:rsidRDefault="00F21D71" w:rsidP="00F21D71">
            <w:pPr>
              <w:pStyle w:val="TableText"/>
              <w:keepNext w:val="0"/>
            </w:pPr>
            <w:r w:rsidRPr="00AB2265">
              <w:t>Treatment and disease management costs for the acute aTTP episode for caplacizumab ($</w:t>
            </w:r>
            <w:r w:rsidR="003F618D">
              <w:rPr>
                <w:noProof/>
                <w:color w:val="000000"/>
                <w:highlight w:val="black"/>
              </w:rPr>
              <w:t>'''''''''''''''''</w:t>
            </w:r>
            <w:r w:rsidRPr="00AB2265">
              <w:t>) and SOC ($</w:t>
            </w:r>
            <w:r w:rsidR="003F618D">
              <w:rPr>
                <w:noProof/>
                <w:color w:val="000000"/>
                <w:highlight w:val="black"/>
              </w:rPr>
              <w:t>'''''''''''''''''</w:t>
            </w:r>
            <w:r w:rsidRPr="00AB2265">
              <w:t>) included costs associated with plasma exchange, hospitalisation (acute ward), ICU stay, rituximab drug and administration, ADAMTS13 tests and specialist visits. Costs associated with plasma exchange, hospitalisation and ICU stay were estimated using AR-DRG items and estimated use during the HERCULES trial. Rituximab drug and administration costs (outpatient costs only) were estimated using the DPMA for 800 mg doses, infusion costs based on MBS item for 1 hour or less, and assumed circumstances of use. The ADAMTS13 test cost was based on the sponsor’s survey of Australian test centres and assumed frequency. Specialist visit costs (outpatient costs only) were based on the relevant MBS item and assumed frequency.</w:t>
            </w:r>
          </w:p>
          <w:p w:rsidR="00F21D71" w:rsidRPr="00AB2265" w:rsidRDefault="00F21D71" w:rsidP="00F21D71">
            <w:pPr>
              <w:pStyle w:val="TableText"/>
              <w:keepNext w:val="0"/>
            </w:pPr>
          </w:p>
          <w:p w:rsidR="00F21D71" w:rsidRPr="00AB2265" w:rsidRDefault="00F21D71" w:rsidP="00F21D71">
            <w:pPr>
              <w:pStyle w:val="TableText"/>
              <w:keepNext w:val="0"/>
            </w:pPr>
            <w:r w:rsidRPr="00AB2265">
              <w:t>Acute MI health state costs ($1,693) were based on Australian data from the COSMIC study (Ioannides-Demos 2010). Acute stroke health state costs ($7,102) were based on Australian data from the NEMESIS study (Cadilhac 2009). Estimates were inflated to 2020 costs using the ABS Consumer Price Index. There were no costs for patients in the no acute MI/stroke health state.</w:t>
            </w:r>
          </w:p>
          <w:p w:rsidR="00F21D71" w:rsidRPr="00AB2265" w:rsidRDefault="00F21D71" w:rsidP="00F21D71">
            <w:pPr>
              <w:pStyle w:val="TableText"/>
              <w:keepNext w:val="0"/>
            </w:pPr>
          </w:p>
          <w:p w:rsidR="00F21D71" w:rsidRPr="00AB2265" w:rsidRDefault="00F21D71" w:rsidP="00F21D71">
            <w:pPr>
              <w:pStyle w:val="TableText"/>
              <w:keepNext w:val="0"/>
            </w:pPr>
            <w:r w:rsidRPr="00AB2265">
              <w:t>Post MI health state costs ($761) were based on Australian data from the LIPID trial (</w:t>
            </w:r>
            <w:proofErr w:type="spellStart"/>
            <w:r w:rsidRPr="00AB2265">
              <w:t>Glaziou</w:t>
            </w:r>
            <w:proofErr w:type="spellEnd"/>
            <w:r w:rsidRPr="00AB2265">
              <w:t xml:space="preserve"> 2002). Post stroke health state costs ($1,451) were based on Australian data from the NEMESIS study (Cadilhac 2009). Estimates were inflated to 2020 costs using the ABS Consumer Price Index. There were no costs for patients in the no prior MI/stroke health state. </w:t>
            </w:r>
          </w:p>
        </w:tc>
      </w:tr>
    </w:tbl>
    <w:p w:rsidR="00F21D71" w:rsidRPr="00AB2265" w:rsidRDefault="00F21D71" w:rsidP="00F21D71">
      <w:pPr>
        <w:pStyle w:val="TableFigureFooter"/>
        <w:tabs>
          <w:tab w:val="left" w:pos="3500"/>
        </w:tabs>
        <w:rPr>
          <w:iCs/>
        </w:rPr>
      </w:pPr>
      <w:r w:rsidRPr="00AB2265">
        <w:rPr>
          <w:iCs/>
        </w:rPr>
        <w:t>Source: Section 3.3, p 123; Section 3.4, p</w:t>
      </w:r>
      <w:r w:rsidR="001C6279">
        <w:rPr>
          <w:iCs/>
        </w:rPr>
        <w:t xml:space="preserve"> </w:t>
      </w:r>
      <w:r w:rsidRPr="00AB2265">
        <w:rPr>
          <w:iCs/>
        </w:rPr>
        <w:t>127; Section 3.5, p 137; Section 3.6, p 142 of the submission</w:t>
      </w:r>
    </w:p>
    <w:p w:rsidR="00F21D71" w:rsidRPr="00AB2265" w:rsidRDefault="00F21D71" w:rsidP="00F21D71">
      <w:pPr>
        <w:pStyle w:val="TableFigureFooter"/>
        <w:rPr>
          <w:iCs/>
        </w:rPr>
      </w:pPr>
      <w:r w:rsidRPr="00AB2265">
        <w:rPr>
          <w:iCs/>
        </w:rPr>
        <w:t xml:space="preserve">Abbreviations: AR-DRG, Australian Refined – Diagnosis Related Groups, </w:t>
      </w:r>
      <w:r w:rsidRPr="00AB2265">
        <w:t xml:space="preserve">EQ-5D-3L, </w:t>
      </w:r>
      <w:proofErr w:type="spellStart"/>
      <w:r w:rsidRPr="00AB2265">
        <w:t>EuroQol</w:t>
      </w:r>
      <w:proofErr w:type="spellEnd"/>
      <w:r w:rsidRPr="00AB2265">
        <w:t xml:space="preserve"> 5-dimension 3-level quality of life questionnaire; EQ-5D-5L, </w:t>
      </w:r>
      <w:proofErr w:type="spellStart"/>
      <w:r w:rsidRPr="00AB2265">
        <w:t>EuroQol</w:t>
      </w:r>
      <w:proofErr w:type="spellEnd"/>
      <w:r w:rsidRPr="00AB2265">
        <w:t xml:space="preserve"> 5-dimension 5-level quality of life questionnaire</w:t>
      </w:r>
    </w:p>
    <w:p w:rsidR="003270E4" w:rsidRPr="00AB2265" w:rsidRDefault="003270E4" w:rsidP="00BB00B3">
      <w:pPr>
        <w:pStyle w:val="TableFigureFooter"/>
      </w:pPr>
    </w:p>
    <w:p w:rsidR="00417E21" w:rsidRPr="00AB2265" w:rsidRDefault="00F21D71" w:rsidP="00417E21">
      <w:pPr>
        <w:pStyle w:val="ExecSumBodyText"/>
        <w:numPr>
          <w:ilvl w:val="1"/>
          <w:numId w:val="1"/>
        </w:numPr>
        <w:rPr>
          <w:color w:val="0066FF"/>
        </w:rPr>
      </w:pPr>
      <w:r w:rsidRPr="00AB2265">
        <w:t>The Markov model structure included 7 health states distributed between an acute aTTP episode (initial 3-month cycle) and chronic remission (subsequent 3-month cycles until 60 years). A decision tree of the model is presented in the figure below.</w:t>
      </w:r>
    </w:p>
    <w:p w:rsidR="00F21D71" w:rsidRPr="00AB2265" w:rsidRDefault="00F21D71" w:rsidP="00F21D71">
      <w:pPr>
        <w:pStyle w:val="Tableheadingrow"/>
        <w:rPr>
          <w:lang w:val="en-AU"/>
        </w:rPr>
      </w:pPr>
      <w:r w:rsidRPr="00AB2265">
        <w:rPr>
          <w:lang w:val="en-AU"/>
        </w:rPr>
        <w:lastRenderedPageBreak/>
        <w:t>Figure 3: Decision tree diagram of the economic model</w:t>
      </w:r>
    </w:p>
    <w:p w:rsidR="00F21D71" w:rsidRPr="00AB2265" w:rsidRDefault="00F21D71" w:rsidP="00F21D71">
      <w:pPr>
        <w:rPr>
          <w:color w:val="3366FF"/>
        </w:rPr>
      </w:pPr>
      <w:r w:rsidRPr="00AB2265">
        <w:rPr>
          <w:noProof/>
          <w:color w:val="0070C0"/>
        </w:rPr>
        <w:drawing>
          <wp:inline distT="0" distB="0" distL="0" distR="0" wp14:anchorId="61BB8402" wp14:editId="586E4568">
            <wp:extent cx="5732145" cy="3022600"/>
            <wp:effectExtent l="0" t="0" r="1905" b="6350"/>
            <wp:docPr id="10" name="Picture 10" title="Figure 3: Decision tree diagram of the econom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lth state transitions.JPG"/>
                    <pic:cNvPicPr/>
                  </pic:nvPicPr>
                  <pic:blipFill>
                    <a:blip r:embed="rId10">
                      <a:extLst>
                        <a:ext uri="{28A0092B-C50C-407E-A947-70E740481C1C}">
                          <a14:useLocalDpi xmlns:a14="http://schemas.microsoft.com/office/drawing/2010/main" val="0"/>
                        </a:ext>
                      </a:extLst>
                    </a:blip>
                    <a:stretch>
                      <a:fillRect/>
                    </a:stretch>
                  </pic:blipFill>
                  <pic:spPr>
                    <a:xfrm>
                      <a:off x="0" y="0"/>
                      <a:ext cx="5732145" cy="3022600"/>
                    </a:xfrm>
                    <a:prstGeom prst="rect">
                      <a:avLst/>
                    </a:prstGeom>
                  </pic:spPr>
                </pic:pic>
              </a:graphicData>
            </a:graphic>
          </wp:inline>
        </w:drawing>
      </w:r>
    </w:p>
    <w:p w:rsidR="00F21D71" w:rsidRPr="00AB2265" w:rsidRDefault="00F21D71" w:rsidP="00F21D71">
      <w:pPr>
        <w:pStyle w:val="TableFigureFooter"/>
      </w:pPr>
      <w:r w:rsidRPr="00AB2265">
        <w:t>Source: constructed during the evaluation using ‘Cablivi+PBAC+Section+3+CEA_March+2020’ Excel workbook, Attachment 7 of the submission</w:t>
      </w:r>
    </w:p>
    <w:p w:rsidR="005D5AD8" w:rsidRPr="00AB2265" w:rsidRDefault="00F21D71" w:rsidP="000E186E">
      <w:pPr>
        <w:pStyle w:val="ExecSumBodyText"/>
        <w:numPr>
          <w:ilvl w:val="1"/>
          <w:numId w:val="1"/>
        </w:numPr>
      </w:pPr>
      <w:r w:rsidRPr="00AB2265">
        <w:t xml:space="preserve">It was difficult to interpret the submission’s assumption of no deaths in the first cycle and implementation of acute event deaths (aTTP mortality, acute MI mortality, </w:t>
      </w:r>
      <w:proofErr w:type="gramStart"/>
      <w:r w:rsidRPr="00AB2265">
        <w:t>acute</w:t>
      </w:r>
      <w:proofErr w:type="gramEnd"/>
      <w:r w:rsidRPr="00AB2265">
        <w:t xml:space="preserve"> stroke mortality) in the second cycle, due to poor documentation. During the evaluation, alternative adjustments to death transitions were tested which appeared to have a limited impact on the results of the economic analysis.</w:t>
      </w:r>
      <w:r w:rsidR="000C73B0" w:rsidRPr="00AB2265">
        <w:t xml:space="preserve"> </w:t>
      </w:r>
      <w:r w:rsidR="005D5AD8" w:rsidRPr="00AB2265">
        <w:t xml:space="preserve">The ESC </w:t>
      </w:r>
      <w:r w:rsidR="000C73B0" w:rsidRPr="00AB2265">
        <w:t>considered the assumption of</w:t>
      </w:r>
      <w:r w:rsidR="005D5AD8" w:rsidRPr="00AB2265">
        <w:t xml:space="preserve"> no death</w:t>
      </w:r>
      <w:r w:rsidR="000C73B0" w:rsidRPr="00AB2265">
        <w:t>s</w:t>
      </w:r>
      <w:r w:rsidR="005D5AD8" w:rsidRPr="00AB2265">
        <w:t xml:space="preserve"> in the acute phase (first three month cycle) was inconsistent with the underlying data presented (Alwan 2017), suggesting a median time to death of four days (range: 1-39 days) from initial presentation of symptoms.</w:t>
      </w:r>
    </w:p>
    <w:p w:rsidR="00F21D71" w:rsidRPr="00AB2265" w:rsidRDefault="00F21D71" w:rsidP="00F21D71">
      <w:pPr>
        <w:pStyle w:val="ExecSumBodyText"/>
        <w:numPr>
          <w:ilvl w:val="1"/>
          <w:numId w:val="1"/>
        </w:numPr>
      </w:pPr>
      <w:r w:rsidRPr="00AB2265">
        <w:t>The submission assumed no long-term costs and consequences due to the acute aTTP episode aside from MI or stroke events. The ongoing benefit due to caplacizumab treatment was driven by aTTP-related deaths during the acute episode, with events due to MI and stroke having minimal impact</w:t>
      </w:r>
      <w:r w:rsidR="00AB2265">
        <w:t xml:space="preserve">. </w:t>
      </w:r>
      <w:r w:rsidR="000E186E" w:rsidRPr="00AB2265">
        <w:t xml:space="preserve">The ESC considered that although stroke and MI are rare events, they are clinically important in the context of </w:t>
      </w:r>
      <w:r w:rsidR="00AB2265" w:rsidRPr="00AB2265">
        <w:t>TTP</w:t>
      </w:r>
      <w:r w:rsidR="000E186E" w:rsidRPr="00AB2265">
        <w:t xml:space="preserve"> and are associated with high morbidity and mortality. </w:t>
      </w:r>
      <w:r w:rsidR="008E20A3" w:rsidRPr="00AB2265">
        <w:t xml:space="preserve">However, the inclusion of MI and stroke and </w:t>
      </w:r>
      <w:r w:rsidR="00EC1FB3" w:rsidRPr="00AB2265">
        <w:t>no</w:t>
      </w:r>
      <w:r w:rsidR="008E20A3" w:rsidRPr="00AB2265">
        <w:t xml:space="preserve"> other events, such as pulmonary embolism and DVT was not justified</w:t>
      </w:r>
      <w:r w:rsidR="00C611E0" w:rsidRPr="00AB2265">
        <w:t>.</w:t>
      </w:r>
      <w:r w:rsidR="008E20A3" w:rsidRPr="00AB2265">
        <w:t xml:space="preserve"> Data from the included trials did not support a difference in the occurrence of major thromboembolic events between treatment arms.</w:t>
      </w:r>
    </w:p>
    <w:p w:rsidR="00F21D71" w:rsidRPr="00AB2265" w:rsidRDefault="00F21D71" w:rsidP="00F21D71">
      <w:pPr>
        <w:pStyle w:val="ExecSumBodyText"/>
        <w:numPr>
          <w:ilvl w:val="1"/>
          <w:numId w:val="1"/>
        </w:numPr>
      </w:pPr>
      <w:r w:rsidRPr="00AB2265">
        <w:t>The</w:t>
      </w:r>
      <w:r w:rsidR="006930F2" w:rsidRPr="00AB2265">
        <w:t xml:space="preserve"> ESC noted the</w:t>
      </w:r>
      <w:r w:rsidRPr="00AB2265">
        <w:t xml:space="preserve"> modelled extrapolation resulted in substantial prolonged benefits in the caplacizumab arm, driven by </w:t>
      </w:r>
      <w:r w:rsidR="0086153E" w:rsidRPr="00AB2265">
        <w:t xml:space="preserve">a greater number of </w:t>
      </w:r>
      <w:r w:rsidRPr="00AB2265">
        <w:t xml:space="preserve">patients remaining in the no prior MI/stroke health state </w:t>
      </w:r>
      <w:r w:rsidR="0086153E" w:rsidRPr="00AB2265">
        <w:t xml:space="preserve">compared to </w:t>
      </w:r>
      <w:r w:rsidR="00354B41" w:rsidRPr="00AB2265">
        <w:t>standard of care</w:t>
      </w:r>
      <w:r w:rsidR="0086153E" w:rsidRPr="00AB2265">
        <w:t xml:space="preserve">, </w:t>
      </w:r>
      <w:r w:rsidRPr="00AB2265">
        <w:t>with no ongoing costs or consequences</w:t>
      </w:r>
      <w:r w:rsidR="00AB2265">
        <w:t xml:space="preserve">. </w:t>
      </w:r>
      <w:r w:rsidRPr="00AB2265">
        <w:t xml:space="preserve">The </w:t>
      </w:r>
      <w:r w:rsidR="006930F2" w:rsidRPr="00AB2265">
        <w:t xml:space="preserve">ESC </w:t>
      </w:r>
      <w:r w:rsidR="008E20A3" w:rsidRPr="00AB2265">
        <w:t>consider</w:t>
      </w:r>
      <w:r w:rsidR="006930F2" w:rsidRPr="00AB2265">
        <w:t xml:space="preserve">ed the </w:t>
      </w:r>
      <w:r w:rsidRPr="00AB2265">
        <w:t xml:space="preserve">extrapolation of treatment benefit beyond the </w:t>
      </w:r>
      <w:r w:rsidRPr="00AB2265">
        <w:lastRenderedPageBreak/>
        <w:t xml:space="preserve">trial duration was inadequately supported by clinical evidence in the submission. A trial-based analysis may </w:t>
      </w:r>
      <w:r w:rsidR="008E20A3" w:rsidRPr="00AB2265">
        <w:t xml:space="preserve">have </w:t>
      </w:r>
      <w:r w:rsidRPr="00AB2265">
        <w:t>be</w:t>
      </w:r>
      <w:r w:rsidR="008E20A3" w:rsidRPr="00AB2265">
        <w:t>en</w:t>
      </w:r>
      <w:r w:rsidRPr="00AB2265">
        <w:t xml:space="preserve"> more appropriate.</w:t>
      </w:r>
    </w:p>
    <w:p w:rsidR="0008478E" w:rsidRPr="00AB2265" w:rsidRDefault="0008478E" w:rsidP="00F21D71">
      <w:pPr>
        <w:pStyle w:val="ExecSumBodyText"/>
        <w:numPr>
          <w:ilvl w:val="1"/>
          <w:numId w:val="1"/>
        </w:numPr>
      </w:pPr>
      <w:r w:rsidRPr="00AB2265">
        <w:t xml:space="preserve">The ESC considered the model structure did not adequately capture the long term consequences of events occurring in the acute phase. The ESC noted the structure did not allow for subsequent events or relapses, which was inconsistent with the evidence presented, </w:t>
      </w:r>
      <w:r w:rsidR="008E20A3" w:rsidRPr="00AB2265">
        <w:t xml:space="preserve">which </w:t>
      </w:r>
      <w:r w:rsidRPr="00AB2265">
        <w:t>suggest</w:t>
      </w:r>
      <w:r w:rsidR="008E20A3" w:rsidRPr="00AB2265">
        <w:t>ed</w:t>
      </w:r>
      <w:r w:rsidRPr="00AB2265">
        <w:t xml:space="preserve"> </w:t>
      </w:r>
      <w:r w:rsidR="008E20A3" w:rsidRPr="00AB2265">
        <w:t>recurrence</w:t>
      </w:r>
      <w:r w:rsidRPr="00AB2265">
        <w:t xml:space="preserve"> occur</w:t>
      </w:r>
      <w:r w:rsidR="008E20A3" w:rsidRPr="00AB2265">
        <w:t>red</w:t>
      </w:r>
      <w:r w:rsidRPr="00AB2265">
        <w:t xml:space="preserve"> in </w:t>
      </w:r>
      <w:r w:rsidR="008E20A3" w:rsidRPr="00AB2265">
        <w:t xml:space="preserve">close to </w:t>
      </w:r>
      <w:r w:rsidRPr="00AB2265">
        <w:t>40% of patients following their initial presentation of aTTP</w:t>
      </w:r>
      <w:r w:rsidR="008E20A3" w:rsidRPr="00AB2265">
        <w:t xml:space="preserve"> in the placebo arm</w:t>
      </w:r>
      <w:r w:rsidRPr="00AB2265">
        <w:t xml:space="preserve">. The ESC noted </w:t>
      </w:r>
      <w:r w:rsidR="00DA15E1" w:rsidRPr="00AB2265">
        <w:t>the increased risk of multiple long-term health issues, related to an acute episode of aTTP in patients who had recovered was not captured in the model. The ESC noted the long-term consequences were only present via the acute MI/stroke health states</w:t>
      </w:r>
      <w:r w:rsidR="00694729" w:rsidRPr="00AB2265">
        <w:t xml:space="preserve"> and these had almost no impact on the modelled outcome</w:t>
      </w:r>
      <w:r w:rsidR="00DA15E1" w:rsidRPr="00AB2265">
        <w:t xml:space="preserve">. </w:t>
      </w:r>
    </w:p>
    <w:p w:rsidR="00F21D71" w:rsidRPr="00AB2265" w:rsidRDefault="00F21D71" w:rsidP="00F21D71">
      <w:pPr>
        <w:pStyle w:val="ExecSumBodyText"/>
        <w:numPr>
          <w:ilvl w:val="1"/>
          <w:numId w:val="1"/>
        </w:numPr>
      </w:pPr>
      <w:r w:rsidRPr="00AB2265">
        <w:t xml:space="preserve">The baseline aTTP utility estimate was dependent on the assumption that general population utility was representative of the modelled population prior to the acute aTTP episode. This was inconsistent with baseline characteristics from the HERCULES trial with documentation of some patients having significant co-morbidities (e.g. prior history of thromboembolic events, concurrent immune system disorders, </w:t>
      </w:r>
      <w:proofErr w:type="gramStart"/>
      <w:r w:rsidRPr="00AB2265">
        <w:t>prior</w:t>
      </w:r>
      <w:proofErr w:type="gramEnd"/>
      <w:r w:rsidRPr="00AB2265">
        <w:t xml:space="preserve"> history of splenectomies). </w:t>
      </w:r>
      <w:r w:rsidR="008E643E" w:rsidRPr="00AB2265">
        <w:t xml:space="preserve">The ESC considered the baseline aTTP utility estimate did not meet face validity. </w:t>
      </w:r>
    </w:p>
    <w:p w:rsidR="00F21D71" w:rsidRPr="00AB2265" w:rsidRDefault="00F21D71" w:rsidP="00F21D71">
      <w:pPr>
        <w:pStyle w:val="ExecSumBodyText"/>
        <w:numPr>
          <w:ilvl w:val="1"/>
          <w:numId w:val="1"/>
        </w:numPr>
      </w:pPr>
      <w:r w:rsidRPr="00AB2265">
        <w:t xml:space="preserve">There was no justification provided in the submission for the selection of events used to capture consequences of an acute aTTP episode (pulmonary embolism, deep vein thrombosis, plasma exchange complications, aTTP hospitalisation, treatment-related serious bleeding). The selection of outcomes appears to be based on a limited number of events captured in the HERCULES trial that may not be a comprehensive representation of other clinically significant events related to severe thrombocytopenia, tissue </w:t>
      </w:r>
      <w:proofErr w:type="spellStart"/>
      <w:r w:rsidRPr="00AB2265">
        <w:t>ischaemia</w:t>
      </w:r>
      <w:proofErr w:type="spellEnd"/>
      <w:r w:rsidRPr="00AB2265">
        <w:t xml:space="preserve"> and organ dysfunction (e.g. renal failure)</w:t>
      </w:r>
      <w:r w:rsidR="00AB2265">
        <w:t xml:space="preserve">. </w:t>
      </w:r>
    </w:p>
    <w:p w:rsidR="00F21D71" w:rsidRPr="00AB2265" w:rsidRDefault="00F21D71" w:rsidP="00F21D71">
      <w:pPr>
        <w:pStyle w:val="ExecSumBodyText"/>
        <w:numPr>
          <w:ilvl w:val="1"/>
          <w:numId w:val="1"/>
        </w:numPr>
      </w:pPr>
      <w:r w:rsidRPr="00AB2265">
        <w:t xml:space="preserve">The submission inappropriately applied a 3-month QALY decrement due to other events to the general population utility estimate to derive a baseline aTTP utility. In the model, there was a further adjustment for the model cycle when calculating total QALYs (i.e. divided by 4 again), which resulted in very small QALY decrements due to these events. Overall, the estimated utility did not meet face validity. </w:t>
      </w:r>
    </w:p>
    <w:p w:rsidR="00F21D71" w:rsidRPr="00AB2265" w:rsidRDefault="00F21D71" w:rsidP="00F21D71">
      <w:pPr>
        <w:pStyle w:val="ExecSumBodyText"/>
        <w:numPr>
          <w:ilvl w:val="1"/>
          <w:numId w:val="1"/>
        </w:numPr>
      </w:pPr>
      <w:r w:rsidRPr="00AB2265">
        <w:t xml:space="preserve">The </w:t>
      </w:r>
      <w:r w:rsidR="008E643E" w:rsidRPr="00AB2265">
        <w:t xml:space="preserve">ESC agreed </w:t>
      </w:r>
      <w:r w:rsidR="008A58C2" w:rsidRPr="00AB2265">
        <w:t>with the evaluation that</w:t>
      </w:r>
      <w:r w:rsidR="008E643E" w:rsidRPr="00AB2265">
        <w:t xml:space="preserve"> the </w:t>
      </w:r>
      <w:r w:rsidRPr="00AB2265">
        <w:t>utility value for an acute MI lacks face validity as it appears significantly worse than the utility value for an acute stroke. This was due to the use of an acute MI multiplier that was inappropriately derived in the submission</w:t>
      </w:r>
      <w:r w:rsidR="00AB2265">
        <w:t xml:space="preserve">. </w:t>
      </w:r>
    </w:p>
    <w:p w:rsidR="00F21D71" w:rsidRPr="00AB2265" w:rsidRDefault="00F21D71" w:rsidP="00F21D71">
      <w:pPr>
        <w:pStyle w:val="ExecSumBodyText"/>
        <w:numPr>
          <w:ilvl w:val="1"/>
          <w:numId w:val="1"/>
        </w:numPr>
      </w:pPr>
      <w:r w:rsidRPr="00AB2265">
        <w:t xml:space="preserve">The submission assumed that patients in the no prior MI/stroke health state have the same utility as the general population. There were no data provided in support of this assumption. The submission did not account for increased baseline risk in the modelled population </w:t>
      </w:r>
      <w:r w:rsidR="008A58C2" w:rsidRPr="00AB2265">
        <w:t>due to co-morbidities</w:t>
      </w:r>
      <w:r w:rsidR="008A58C2" w:rsidRPr="00AB2265">
        <w:rPr>
          <w:i/>
        </w:rPr>
        <w:t xml:space="preserve"> </w:t>
      </w:r>
      <w:r w:rsidRPr="00AB2265">
        <w:t xml:space="preserve">and potential long-term consequences in individuals who have recovered from an episode of aTTP. </w:t>
      </w:r>
      <w:r w:rsidR="006930F2" w:rsidRPr="00AB2265">
        <w:t>The ESC considered that overall, th</w:t>
      </w:r>
      <w:r w:rsidR="008A58C2" w:rsidRPr="00AB2265">
        <w:t>e</w:t>
      </w:r>
      <w:r w:rsidR="006930F2" w:rsidRPr="00AB2265">
        <w:t xml:space="preserve"> approach favoured caplacizumab.</w:t>
      </w:r>
    </w:p>
    <w:p w:rsidR="00F21D71" w:rsidRPr="00AB2265" w:rsidRDefault="00F21D71" w:rsidP="00F21D71">
      <w:pPr>
        <w:pStyle w:val="ExecSumBodyText"/>
        <w:numPr>
          <w:ilvl w:val="1"/>
          <w:numId w:val="1"/>
        </w:numPr>
      </w:pPr>
      <w:r w:rsidRPr="00AB2265">
        <w:lastRenderedPageBreak/>
        <w:t>The estimated utility values for the post MI and post stroke health states were derived using utility multipliers for patients with cardiovascular events (MI or stroke) that may not be similar to the aTTP population in the model. It was not appropriate to assume utility decrements solely due to presence of MI or stroke as there are likely differences in patient characteristics apart from cardiovascular disease.</w:t>
      </w:r>
    </w:p>
    <w:p w:rsidR="00F21D71" w:rsidRPr="00AB2265" w:rsidRDefault="00F21D71" w:rsidP="00F21D71">
      <w:pPr>
        <w:pStyle w:val="ExecSumBodyText"/>
        <w:numPr>
          <w:ilvl w:val="1"/>
          <w:numId w:val="1"/>
        </w:numPr>
      </w:pPr>
      <w:r w:rsidRPr="00AB2265">
        <w:t xml:space="preserve">The submission assumed the circumstances of use of caplacizumab in the HERCULES trial were </w:t>
      </w:r>
      <w:r w:rsidR="00EC1FB3" w:rsidRPr="00AB2265">
        <w:t>generalizable</w:t>
      </w:r>
      <w:r w:rsidRPr="00AB2265">
        <w:t xml:space="preserve"> to the requested PBS population. The estimated use of caplacizumab was primarily driven by mean treatment duration during the double-blind treatment period of the trial, which may be affected by lower rates of rituximab use and shorter durations of plasma exchange than expected in clinical practice</w:t>
      </w:r>
      <w:r w:rsidR="00AB2265">
        <w:t xml:space="preserve">. </w:t>
      </w:r>
      <w:r w:rsidRPr="00AB2265">
        <w:t>Treatment durations were variable between patients, with wide-ranging estimates within the double-blind period (median 35.0 days; range: 1 to 65 days).</w:t>
      </w:r>
      <w:r w:rsidR="00472CCE" w:rsidRPr="00AB2265">
        <w:t xml:space="preserve"> The ESC considered the extent of the generalisability of the trial population to the requested PBS population remained uncertain</w:t>
      </w:r>
      <w:r w:rsidR="00834C58" w:rsidRPr="00AB2265">
        <w:t>, particularly</w:t>
      </w:r>
      <w:r w:rsidR="00472CCE" w:rsidRPr="00AB2265">
        <w:t xml:space="preserve"> given the varied</w:t>
      </w:r>
      <w:r w:rsidR="006611F6" w:rsidRPr="00AB2265">
        <w:t xml:space="preserve"> and unknown extent of</w:t>
      </w:r>
      <w:r w:rsidR="00472CCE" w:rsidRPr="00AB2265">
        <w:t xml:space="preserve"> use of rituximab in Australian clinical practice. </w:t>
      </w:r>
    </w:p>
    <w:p w:rsidR="00F21D71" w:rsidRPr="00AB2265" w:rsidRDefault="00F21D71" w:rsidP="00F21D71">
      <w:pPr>
        <w:pStyle w:val="ExecSumBodyText"/>
        <w:numPr>
          <w:ilvl w:val="1"/>
          <w:numId w:val="1"/>
        </w:numPr>
      </w:pPr>
      <w:r w:rsidRPr="00AB2265">
        <w:t>In the trial, patients had one session of plasma exchange prior to randomisation. As mean treatment duration reported in the trial was based on on-study treatment, the calculated number of vials in the submission did not account for caplacizumab use (one dose) alongside the first plasma exchange session.</w:t>
      </w:r>
    </w:p>
    <w:p w:rsidR="00F21D71" w:rsidRPr="00AB2265" w:rsidRDefault="00F21D71" w:rsidP="00F21D71">
      <w:pPr>
        <w:pStyle w:val="ExecSumBodyText"/>
        <w:numPr>
          <w:ilvl w:val="1"/>
          <w:numId w:val="1"/>
        </w:numPr>
      </w:pPr>
      <w:r w:rsidRPr="00AB2265">
        <w:t>The submission assumed that the trial-based estimates of use were applicable to the 3-month duration of the initial cycle. The estimated use of caplacizumab was calculated based on variable utilisation during the initial plasma exchange period, potential weekly treatment extensions (up to 30 days) and a relatively small number of patients with exacerbations who re-initiated treatment. The submission did not account for patients who relapsed during the 1-month follow up (6/71 patients, 8.5%). The management of relapses in practice was unclear.</w:t>
      </w:r>
    </w:p>
    <w:p w:rsidR="00F21D71" w:rsidRPr="00AB2265" w:rsidRDefault="00F21D71" w:rsidP="00F21D71">
      <w:pPr>
        <w:pStyle w:val="ExecSumBodyText"/>
        <w:numPr>
          <w:ilvl w:val="1"/>
          <w:numId w:val="1"/>
        </w:numPr>
      </w:pPr>
      <w:r w:rsidRPr="00AB2265">
        <w:t>The drug cost was offset by 3 vials, based on a proposed arrangement that caplacizumab will be provided at no cost prior to confirmation of diagnosis via ADAMTS13 testing. The number of vials was estimated based on an assumed time lag between treatment initiation and test results. A survey of testing centres in Australia suggested turn-around times of between 24 hours and 7 days, depending on the urgency of the request. The model was moderately sensitive to the estimated use of caplacizumab and proposed offset</w:t>
      </w:r>
      <w:r w:rsidR="00AB2265">
        <w:t xml:space="preserve">. </w:t>
      </w:r>
    </w:p>
    <w:p w:rsidR="00F21D71" w:rsidRPr="00AB2265" w:rsidRDefault="00F21D71" w:rsidP="00F21D71">
      <w:pPr>
        <w:pStyle w:val="ExecSumBodyText"/>
        <w:numPr>
          <w:ilvl w:val="1"/>
          <w:numId w:val="1"/>
        </w:numPr>
      </w:pPr>
      <w:r w:rsidRPr="00AB2265">
        <w:t xml:space="preserve">The submission assumed the use of plasma exchange and duration of hospitalisation from the HERCULES trial was applicable to clinical practice. It was difficult to interpret data from the overall treatment duration, which includes additional resource use during the open-label caplacizumab period, analysed by initial randomisation. The results suggested differential use between treatment arms, which was largely driven by increased exacerbations and re-initiation of plasma exchange in the placebo arm (26 placebo patients and 2 caplacizumab patients). The increased exacerbations may </w:t>
      </w:r>
      <w:r w:rsidRPr="00AB2265">
        <w:lastRenderedPageBreak/>
        <w:t xml:space="preserve">be a consequence of protocol-driven use of plasma exchange, which was shorter than expected in clinical practice. Results based on the double-blind period suggest smaller differences in durations of plasma exchange and hospitalisation between treatment arms. </w:t>
      </w:r>
    </w:p>
    <w:p w:rsidR="00F21D71" w:rsidRPr="00AB2265" w:rsidRDefault="00F21D71" w:rsidP="00F21D71">
      <w:pPr>
        <w:pStyle w:val="ExecSumBodyText"/>
        <w:numPr>
          <w:ilvl w:val="1"/>
          <w:numId w:val="1"/>
        </w:numPr>
      </w:pPr>
      <w:r w:rsidRPr="00AB2265">
        <w:t>Resource use associated with general hospitalisation, ICU stay and plasma exchange were inappropriately applied as mutually exclusive items in the model. In practice, there is likely to be overlap between costs associated with plasma exchange and hospitalisation. It was unclear from the trial report whether ICU stay and general hospitalisation were independent measures.</w:t>
      </w:r>
    </w:p>
    <w:p w:rsidR="00F21D71" w:rsidRPr="00AB2265" w:rsidRDefault="00F21D71" w:rsidP="00F21D71">
      <w:pPr>
        <w:pStyle w:val="ExecSumBodyText"/>
        <w:numPr>
          <w:ilvl w:val="1"/>
          <w:numId w:val="1"/>
        </w:numPr>
      </w:pPr>
      <w:r w:rsidRPr="00AB2265">
        <w:t>Estimated health state costs for MI or stroke in the acute and chronic phases were derived from relatively old data that may not represent current clinical practice and/or health resource costs. Overall, these health state costs had limited impact on the economic analysis due to the relatively small number of cardiovascular events.</w:t>
      </w:r>
    </w:p>
    <w:p w:rsidR="00F21D71" w:rsidRPr="00AB2265" w:rsidRDefault="00F21D71" w:rsidP="00F21D71">
      <w:pPr>
        <w:pStyle w:val="ExecSumBodyText"/>
        <w:numPr>
          <w:ilvl w:val="1"/>
          <w:numId w:val="1"/>
        </w:numPr>
      </w:pPr>
      <w:r w:rsidRPr="00AB2265">
        <w:t>Key drivers of the economic model are summarised in the table below.</w:t>
      </w:r>
    </w:p>
    <w:p w:rsidR="00F21D71" w:rsidRPr="00AB2265" w:rsidRDefault="00C979CC" w:rsidP="00F21D71">
      <w:pPr>
        <w:pStyle w:val="TableFigureCaption"/>
      </w:pPr>
      <w:r w:rsidRPr="00AB2265">
        <w:t>Table 18</w:t>
      </w:r>
      <w:r w:rsidR="00F21D71" w:rsidRPr="00AB2265">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6238"/>
        <w:gridCol w:w="1650"/>
      </w:tblGrid>
      <w:tr w:rsidR="00F21D71" w:rsidRPr="00AB2265" w:rsidTr="00F21D71">
        <w:trPr>
          <w:tblHeader/>
        </w:trPr>
        <w:tc>
          <w:tcPr>
            <w:tcW w:w="626" w:type="pct"/>
            <w:shd w:val="clear" w:color="auto" w:fill="auto"/>
            <w:vAlign w:val="center"/>
          </w:tcPr>
          <w:p w:rsidR="00F21D71" w:rsidRPr="00AB2265" w:rsidRDefault="00F21D71" w:rsidP="00F21D71">
            <w:pPr>
              <w:pStyle w:val="Tableheadingrow"/>
              <w:keepNext w:val="0"/>
              <w:jc w:val="center"/>
              <w:rPr>
                <w:lang w:val="en-AU"/>
              </w:rPr>
            </w:pPr>
            <w:r w:rsidRPr="00AB2265">
              <w:rPr>
                <w:lang w:val="en-AU"/>
              </w:rPr>
              <w:t>Description</w:t>
            </w:r>
          </w:p>
        </w:tc>
        <w:tc>
          <w:tcPr>
            <w:tcW w:w="3458" w:type="pct"/>
            <w:shd w:val="clear" w:color="auto" w:fill="auto"/>
            <w:vAlign w:val="center"/>
          </w:tcPr>
          <w:p w:rsidR="00F21D71" w:rsidRPr="00AB2265" w:rsidRDefault="00F21D71" w:rsidP="00F21D71">
            <w:pPr>
              <w:pStyle w:val="Tableheadingrow"/>
              <w:keepNext w:val="0"/>
              <w:jc w:val="center"/>
              <w:rPr>
                <w:lang w:val="en-AU"/>
              </w:rPr>
            </w:pPr>
            <w:r w:rsidRPr="00AB2265">
              <w:rPr>
                <w:lang w:val="en-AU"/>
              </w:rPr>
              <w:t>Method/Value</w:t>
            </w:r>
          </w:p>
        </w:tc>
        <w:tc>
          <w:tcPr>
            <w:tcW w:w="915" w:type="pct"/>
            <w:shd w:val="clear" w:color="auto" w:fill="auto"/>
            <w:vAlign w:val="center"/>
          </w:tcPr>
          <w:p w:rsidR="00F21D71" w:rsidRPr="00AB2265" w:rsidRDefault="00F21D71" w:rsidP="00F21D71">
            <w:pPr>
              <w:pStyle w:val="Tableheadingrow"/>
              <w:keepNext w:val="0"/>
              <w:jc w:val="center"/>
              <w:rPr>
                <w:lang w:val="en-AU"/>
              </w:rPr>
            </w:pPr>
            <w:r w:rsidRPr="00AB2265">
              <w:rPr>
                <w:lang w:val="en-AU"/>
              </w:rPr>
              <w:t>Impact</w:t>
            </w:r>
          </w:p>
        </w:tc>
      </w:tr>
      <w:tr w:rsidR="00F21D71" w:rsidRPr="00AB2265" w:rsidTr="00F21D71">
        <w:tc>
          <w:tcPr>
            <w:tcW w:w="626" w:type="pct"/>
            <w:shd w:val="clear" w:color="auto" w:fill="auto"/>
            <w:vAlign w:val="center"/>
          </w:tcPr>
          <w:p w:rsidR="00F21D71" w:rsidRPr="00AB2265" w:rsidRDefault="00F21D71" w:rsidP="00F21D71">
            <w:pPr>
              <w:pStyle w:val="TableText"/>
              <w:keepNext w:val="0"/>
              <w:jc w:val="center"/>
            </w:pPr>
            <w:r w:rsidRPr="00AB2265">
              <w:t xml:space="preserve">Modelled survival benefit </w:t>
            </w:r>
          </w:p>
        </w:tc>
        <w:tc>
          <w:tcPr>
            <w:tcW w:w="3458" w:type="pct"/>
            <w:shd w:val="clear" w:color="auto" w:fill="auto"/>
            <w:vAlign w:val="center"/>
          </w:tcPr>
          <w:p w:rsidR="00F21D71" w:rsidRPr="00AB2265" w:rsidRDefault="00F21D71" w:rsidP="00F21D71">
            <w:pPr>
              <w:pStyle w:val="TableText"/>
              <w:keepNext w:val="0"/>
            </w:pPr>
            <w:r w:rsidRPr="00AB2265">
              <w:t xml:space="preserve">The probability of death from an acute aTTP episode for caplacizumab (0.93%) was based on a crude death rate calculated using combined data from the caplacizumab arms of the HERCULES and TITAN trials. This estimate should not be considered reliable as data from the included trials were insufficient. The numerical difference in deaths between arms in the HERCULES trial was based on a relatively small number of deaths, and there were multiple concerns with the conduct of the TITAN trial that was prematurely terminated due to recruitment challenges. </w:t>
            </w:r>
          </w:p>
          <w:p w:rsidR="00F21D71" w:rsidRPr="00AB2265" w:rsidRDefault="00F21D71" w:rsidP="00F21D71">
            <w:pPr>
              <w:pStyle w:val="TableText"/>
              <w:keepNext w:val="0"/>
              <w:rPr>
                <w:i/>
              </w:rPr>
            </w:pPr>
          </w:p>
          <w:p w:rsidR="00F21D71" w:rsidRPr="00AB2265" w:rsidRDefault="00F21D71" w:rsidP="00F21D71">
            <w:pPr>
              <w:pStyle w:val="TableText"/>
              <w:keepNext w:val="0"/>
            </w:pPr>
            <w:r w:rsidRPr="00AB2265">
              <w:t>The submission claimed the trial-based mortality data for the placebo arm may not be representative of standard of care due to treatment-switching during the open-label period of HERCULES. The submission claimed that a retrospective study of acute aTTP episodes provided the most reliable estimate of mortality risk for SOC as it was based on a relatively large dataset (N=312 episodes involving 292 patients), had more recent data capture (2009 to 2016) and was conducted in a similar healthcare setting (UK) to the Australian system (Alwan 2017). Results from the Alwan 2017 study suggests an overall mortality rate of 10.26% (n = 32 deaths out of 312 episodes). The assumed timing of aTTP-related deaths in the model (during the second 3-month cycle) was inconsistent with data the Alwan 2017 study suggesting a median time to death of 4 days (range 1-39 days) from initial presentation.</w:t>
            </w:r>
          </w:p>
          <w:p w:rsidR="00F21D71" w:rsidRPr="00AB2265" w:rsidRDefault="00F21D71" w:rsidP="00F21D71">
            <w:pPr>
              <w:pStyle w:val="TableText"/>
              <w:keepNext w:val="0"/>
            </w:pPr>
          </w:p>
          <w:p w:rsidR="00F21D71" w:rsidRPr="00AB2265" w:rsidRDefault="00F21D71" w:rsidP="00F21D71">
            <w:pPr>
              <w:pStyle w:val="TableText"/>
              <w:keepNext w:val="0"/>
            </w:pPr>
            <w:r w:rsidRPr="00AB2265">
              <w:t>There were concerns with the generalisability of the mortality rate to the modelled population due to differences in the distribution of initial versus recurrent patients, and limited reporting of other prognostic factors (e.g. co-morbidities, history of thromboembolic events), disease management and interventions used in the registry dataset.</w:t>
            </w:r>
          </w:p>
          <w:p w:rsidR="00F21D71" w:rsidRPr="00AB2265" w:rsidRDefault="00F21D71" w:rsidP="00F21D71">
            <w:pPr>
              <w:pStyle w:val="TableText"/>
              <w:keepNext w:val="0"/>
            </w:pPr>
          </w:p>
          <w:p w:rsidR="00F21D71" w:rsidRPr="00AB2265" w:rsidRDefault="00F21D71" w:rsidP="00F21D71">
            <w:pPr>
              <w:pStyle w:val="TableText"/>
              <w:keepNext w:val="0"/>
            </w:pPr>
            <w:r w:rsidRPr="00AB2265">
              <w:t xml:space="preserve">The submission noted the developers of the global economic model conducted a literature review of mortality due to aTTP based on 127 trials (data not provided). The submission stated that mortality rates varied widely across these studies, ranging from 0 to 57%. Results from a meta-analysis of the data suggested an overall mortality rate of 13.2% (95% CI: 11.9%, 14.5%) during the acute phase of the disease. However, the submission claimed the meta-analysed results were limited by </w:t>
            </w:r>
            <w:r w:rsidRPr="00AB2265">
              <w:lastRenderedPageBreak/>
              <w:t>concerns with heterogeneity of patient populations and small patient numbers informing mortality rates. These results could not be validated as the literature review and meta-analysis were not provided in the submission</w:t>
            </w:r>
          </w:p>
          <w:p w:rsidR="00F21D71" w:rsidRPr="00AB2265" w:rsidRDefault="00F21D71" w:rsidP="00F21D71">
            <w:pPr>
              <w:pStyle w:val="TableText"/>
              <w:keepNext w:val="0"/>
            </w:pPr>
          </w:p>
          <w:p w:rsidR="00F21D71" w:rsidRPr="00AB2265" w:rsidRDefault="00F21D71" w:rsidP="00F21D71">
            <w:pPr>
              <w:pStyle w:val="TableText"/>
              <w:keepNext w:val="0"/>
              <w:rPr>
                <w:i/>
              </w:rPr>
            </w:pPr>
            <w:r w:rsidRPr="00AB2265">
              <w:t>Based on the mortality rates used in the model, the submission assumed a 91% reduction in mortality due to the addition of caplacizumab to standard of care. The assumed magnitude of survival benefit with caplacizumab treatment was larger than the numerical difference calculated in the submission using exploratory data from the included trials. No data were provided in support of this assumption. The model was sensitive to the magnitude of survival benefit attributed to caplacizumab.</w:t>
            </w:r>
            <w:r w:rsidR="00694729" w:rsidRPr="00AB2265">
              <w:t xml:space="preserve"> The ESC considered the mortality benefit in the model was unreliable.</w:t>
            </w:r>
          </w:p>
        </w:tc>
        <w:tc>
          <w:tcPr>
            <w:tcW w:w="915" w:type="pct"/>
            <w:shd w:val="clear" w:color="auto" w:fill="auto"/>
            <w:vAlign w:val="center"/>
          </w:tcPr>
          <w:p w:rsidR="00F21D71" w:rsidRPr="00AB2265" w:rsidRDefault="00F21D71" w:rsidP="00F21D71">
            <w:pPr>
              <w:pStyle w:val="TableText"/>
              <w:keepNext w:val="0"/>
            </w:pPr>
            <w:r w:rsidRPr="00AB2265">
              <w:lastRenderedPageBreak/>
              <w:t>High, favours caplacizumab</w:t>
            </w:r>
          </w:p>
        </w:tc>
      </w:tr>
      <w:tr w:rsidR="00F21D71" w:rsidRPr="00AB2265" w:rsidTr="00F21D71">
        <w:tc>
          <w:tcPr>
            <w:tcW w:w="626" w:type="pct"/>
            <w:shd w:val="clear" w:color="auto" w:fill="auto"/>
            <w:vAlign w:val="center"/>
          </w:tcPr>
          <w:p w:rsidR="00F21D71" w:rsidRPr="00AB2265" w:rsidRDefault="00F21D71" w:rsidP="00F21D71">
            <w:pPr>
              <w:pStyle w:val="TableText"/>
              <w:keepNext w:val="0"/>
              <w:jc w:val="center"/>
            </w:pPr>
            <w:r w:rsidRPr="00AB2265">
              <w:t>Extrapolation</w:t>
            </w:r>
          </w:p>
        </w:tc>
        <w:tc>
          <w:tcPr>
            <w:tcW w:w="3458" w:type="pct"/>
            <w:shd w:val="clear" w:color="auto" w:fill="auto"/>
            <w:vAlign w:val="center"/>
          </w:tcPr>
          <w:p w:rsidR="00F21D71" w:rsidRPr="00AB2265" w:rsidRDefault="00F21D71" w:rsidP="00F21D71">
            <w:pPr>
              <w:pStyle w:val="TableText"/>
              <w:keepNext w:val="0"/>
            </w:pPr>
            <w:r w:rsidRPr="00AB2265">
              <w:t xml:space="preserve">The modelled survival difference between treatment arms due to the acute aTTP episode informed the proportion of patients entering the chronic remission health states in the second 3-month cycle. </w:t>
            </w:r>
          </w:p>
          <w:p w:rsidR="00F21D71" w:rsidRPr="00AB2265" w:rsidRDefault="00F21D71" w:rsidP="00F21D71">
            <w:pPr>
              <w:pStyle w:val="TableText"/>
              <w:keepNext w:val="0"/>
            </w:pPr>
          </w:p>
          <w:p w:rsidR="00F21D71" w:rsidRPr="00AB2265" w:rsidRDefault="00F21D71" w:rsidP="00F21D71">
            <w:pPr>
              <w:pStyle w:val="TableText"/>
              <w:keepNext w:val="0"/>
              <w:rPr>
                <w:i/>
              </w:rPr>
            </w:pPr>
            <w:r w:rsidRPr="00AB2265">
              <w:t xml:space="preserve">All patients entering the chronic remission health states (no prior MI/stroke, post MI, post stroke) were assumed to remain in those health states or die of background mortality. Patients in the post MI and stroke states were at increased risk of mortality due to the acute MI or stroke event. </w:t>
            </w:r>
          </w:p>
          <w:p w:rsidR="00F21D71" w:rsidRPr="00AB2265" w:rsidRDefault="00F21D71" w:rsidP="00F21D71">
            <w:pPr>
              <w:pStyle w:val="TableText"/>
              <w:keepNext w:val="0"/>
              <w:rPr>
                <w:i/>
              </w:rPr>
            </w:pPr>
          </w:p>
          <w:p w:rsidR="00F21D71" w:rsidRPr="00AB2265" w:rsidRDefault="00F21D71" w:rsidP="00F21D71">
            <w:pPr>
              <w:pStyle w:val="TableText"/>
              <w:keepNext w:val="0"/>
            </w:pPr>
            <w:r w:rsidRPr="00AB2265">
              <w:t>There were no data provided in support of the assumed transition probabilities in the chronic remission state. The model structure did not allow for subsequent events or relapses, which is inconsistent with the potential for relapses (30-40%) in the majority of patients who are relatively young at initial presentation. MI and stroke events had a limited impact on the results of the economic analysis due to a relatively small number of events in the model.</w:t>
            </w:r>
          </w:p>
          <w:p w:rsidR="00F21D71" w:rsidRPr="00AB2265" w:rsidRDefault="00F21D71" w:rsidP="00F21D71">
            <w:pPr>
              <w:pStyle w:val="TableText"/>
              <w:keepNext w:val="0"/>
            </w:pPr>
          </w:p>
          <w:p w:rsidR="00F21D71" w:rsidRPr="00AB2265" w:rsidRDefault="00F21D71" w:rsidP="00F21D71">
            <w:pPr>
              <w:pStyle w:val="TableText"/>
              <w:keepNext w:val="0"/>
            </w:pPr>
            <w:r w:rsidRPr="00AB2265">
              <w:t xml:space="preserve">The submission assumed that patients who did not have an MI or stroke have the same mortality rate as the general population. There were no data provided in support of this assumption. The submission did not account for increased baseline risk in the modelled population based on the HERCULES trial, with documentation of some patients having significant co-morbidities (e.g. prior history of thromboembolic events, concurrent immune system disorders, </w:t>
            </w:r>
            <w:proofErr w:type="gramStart"/>
            <w:r w:rsidRPr="00AB2265">
              <w:t>prior</w:t>
            </w:r>
            <w:proofErr w:type="gramEnd"/>
            <w:r w:rsidRPr="00AB2265">
              <w:t xml:space="preserve"> history of splenectomies). Long-term follow-up observations have documented increased risks for multiple health problems in individuals who have recovered from an episode of aTTP. These risks include minor cognitive impairment, major depression, hypertension, abnormal kidney function, and development of systemic lupus erythematosus.</w:t>
            </w:r>
          </w:p>
          <w:p w:rsidR="00F21D71" w:rsidRPr="00AB2265" w:rsidRDefault="00F21D71" w:rsidP="00F21D71">
            <w:pPr>
              <w:pStyle w:val="TableText"/>
              <w:keepNext w:val="0"/>
            </w:pPr>
          </w:p>
          <w:p w:rsidR="00F21D71" w:rsidRPr="00AB2265" w:rsidRDefault="00F21D71" w:rsidP="00F21D71">
            <w:pPr>
              <w:pStyle w:val="TableText"/>
              <w:keepNext w:val="0"/>
              <w:rPr>
                <w:i/>
              </w:rPr>
            </w:pPr>
            <w:r w:rsidRPr="00AB2265">
              <w:t>Overall, the submission’s approach was in favour of caplacizumab as a greater proportion of patients remain in the no prior MI/stroke state compared to SOC, with no ongoing costs or consequences.</w:t>
            </w:r>
          </w:p>
        </w:tc>
        <w:tc>
          <w:tcPr>
            <w:tcW w:w="915" w:type="pct"/>
            <w:shd w:val="clear" w:color="auto" w:fill="auto"/>
            <w:vAlign w:val="center"/>
          </w:tcPr>
          <w:p w:rsidR="00F21D71" w:rsidRPr="00AB2265" w:rsidRDefault="00F21D71" w:rsidP="00F21D71">
            <w:pPr>
              <w:pStyle w:val="TableText"/>
              <w:keepNext w:val="0"/>
            </w:pPr>
            <w:r w:rsidRPr="00AB2265">
              <w:t>High, favours caplacizumab</w:t>
            </w:r>
          </w:p>
        </w:tc>
      </w:tr>
    </w:tbl>
    <w:p w:rsidR="00F21D71" w:rsidRPr="00AB2265" w:rsidRDefault="00F21D71" w:rsidP="00F21D71">
      <w:pPr>
        <w:pStyle w:val="TableFigureFooter"/>
      </w:pPr>
      <w:r w:rsidRPr="00AB2265">
        <w:t>Source: Constructed during the evaluation</w:t>
      </w:r>
    </w:p>
    <w:p w:rsidR="00F21D71" w:rsidRPr="00AB2265" w:rsidRDefault="00F21D71" w:rsidP="00F21D71">
      <w:pPr>
        <w:pStyle w:val="ExecSumBodyText"/>
        <w:numPr>
          <w:ilvl w:val="1"/>
          <w:numId w:val="1"/>
        </w:numPr>
      </w:pPr>
      <w:r w:rsidRPr="00AB2265">
        <w:t>The results of the modelled economic evaluation are summarised below.</w:t>
      </w:r>
    </w:p>
    <w:p w:rsidR="00F21D71" w:rsidRPr="00AB2265" w:rsidRDefault="00C979CC" w:rsidP="00F21D71">
      <w:pPr>
        <w:pStyle w:val="TableFigureCaption"/>
      </w:pPr>
      <w:r w:rsidRPr="00AB2265">
        <w:t>Table 19</w:t>
      </w:r>
      <w:r w:rsidR="00F21D71" w:rsidRPr="00AB2265">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F21D71" w:rsidRPr="00AB2265" w:rsidTr="00F21D71">
        <w:trPr>
          <w:tblHeader/>
        </w:trPr>
        <w:tc>
          <w:tcPr>
            <w:tcW w:w="1529" w:type="pct"/>
            <w:vAlign w:val="center"/>
          </w:tcPr>
          <w:p w:rsidR="00F21D71" w:rsidRPr="00AB2265" w:rsidRDefault="00F21D71" w:rsidP="00F21D71">
            <w:pPr>
              <w:pStyle w:val="Tableheadingrow"/>
              <w:keepNext w:val="0"/>
              <w:rPr>
                <w:lang w:val="en-AU"/>
              </w:rPr>
            </w:pPr>
            <w:r w:rsidRPr="00AB2265">
              <w:rPr>
                <w:lang w:val="en-AU"/>
              </w:rPr>
              <w:t>Step and component</w:t>
            </w:r>
          </w:p>
        </w:tc>
        <w:tc>
          <w:tcPr>
            <w:tcW w:w="1359" w:type="pct"/>
            <w:vAlign w:val="center"/>
          </w:tcPr>
          <w:p w:rsidR="00F21D71" w:rsidRPr="00AB2265" w:rsidRDefault="00F21D71" w:rsidP="00F21D71">
            <w:pPr>
              <w:pStyle w:val="Tableheadingrow"/>
              <w:keepNext w:val="0"/>
              <w:jc w:val="center"/>
              <w:rPr>
                <w:lang w:val="en-AU"/>
              </w:rPr>
            </w:pPr>
            <w:r w:rsidRPr="00AB2265">
              <w:rPr>
                <w:lang w:val="en-AU"/>
              </w:rPr>
              <w:t>Caplacizumab</w:t>
            </w:r>
          </w:p>
        </w:tc>
        <w:tc>
          <w:tcPr>
            <w:tcW w:w="1274" w:type="pct"/>
            <w:vAlign w:val="center"/>
          </w:tcPr>
          <w:p w:rsidR="00F21D71" w:rsidRPr="00AB2265" w:rsidRDefault="00F21D71" w:rsidP="00F21D71">
            <w:pPr>
              <w:pStyle w:val="Tableheadingrow"/>
              <w:keepNext w:val="0"/>
              <w:jc w:val="center"/>
              <w:rPr>
                <w:lang w:val="en-AU"/>
              </w:rPr>
            </w:pPr>
            <w:r w:rsidRPr="00AB2265">
              <w:rPr>
                <w:lang w:val="en-AU"/>
              </w:rPr>
              <w:t>SOC</w:t>
            </w:r>
          </w:p>
        </w:tc>
        <w:tc>
          <w:tcPr>
            <w:tcW w:w="838" w:type="pct"/>
            <w:vAlign w:val="center"/>
          </w:tcPr>
          <w:p w:rsidR="00F21D71" w:rsidRPr="00AB2265" w:rsidRDefault="00F21D71" w:rsidP="00F21D71">
            <w:pPr>
              <w:pStyle w:val="Tableheadingrow"/>
              <w:keepNext w:val="0"/>
              <w:jc w:val="center"/>
              <w:rPr>
                <w:lang w:val="en-AU"/>
              </w:rPr>
            </w:pPr>
            <w:r w:rsidRPr="00AB2265">
              <w:rPr>
                <w:lang w:val="en-AU"/>
              </w:rPr>
              <w:t>Increment</w:t>
            </w:r>
          </w:p>
        </w:tc>
      </w:tr>
      <w:tr w:rsidR="00F21D71" w:rsidRPr="00AB2265" w:rsidTr="00F21D71">
        <w:tc>
          <w:tcPr>
            <w:tcW w:w="5000" w:type="pct"/>
            <w:gridSpan w:val="4"/>
            <w:vAlign w:val="center"/>
          </w:tcPr>
          <w:p w:rsidR="00F21D71" w:rsidRPr="00AB2265" w:rsidRDefault="00F21D71" w:rsidP="00F21D71">
            <w:pPr>
              <w:pStyle w:val="TableText"/>
              <w:keepNext w:val="0"/>
              <w:rPr>
                <w:b/>
              </w:rPr>
            </w:pPr>
            <w:r w:rsidRPr="00AB2265">
              <w:rPr>
                <w:b/>
              </w:rPr>
              <w:t>Step 1a: Mortality data based on the overall study period of the HERCULES trial (caplacizumab 1.41%, SOC 4.10%), caplacizumab drug costs based on the double-blind period of the HERCULES trial</w:t>
            </w:r>
          </w:p>
        </w:tc>
      </w:tr>
      <w:tr w:rsidR="00F21D71" w:rsidRPr="00AB2265" w:rsidTr="00F21D71">
        <w:tc>
          <w:tcPr>
            <w:tcW w:w="1529" w:type="pct"/>
            <w:vAlign w:val="center"/>
          </w:tcPr>
          <w:p w:rsidR="00F21D71" w:rsidRPr="00AB2265" w:rsidRDefault="00F21D71" w:rsidP="00F21D71">
            <w:pPr>
              <w:pStyle w:val="TableText"/>
              <w:keepNext w:val="0"/>
              <w:rPr>
                <w:rFonts w:ascii="Times" w:hAnsi="Times"/>
              </w:rPr>
            </w:pPr>
            <w:r w:rsidRPr="00AB2265">
              <w:t>Costs</w:t>
            </w:r>
          </w:p>
        </w:tc>
        <w:tc>
          <w:tcPr>
            <w:tcW w:w="1359" w:type="pct"/>
            <w:vAlign w:val="center"/>
          </w:tcPr>
          <w:p w:rsidR="00F21D71" w:rsidRPr="00AB2265" w:rsidRDefault="00F21D71" w:rsidP="00F21D71">
            <w:pPr>
              <w:pStyle w:val="TableText"/>
              <w:keepNext w:val="0"/>
              <w:jc w:val="center"/>
              <w:rPr>
                <w:rFonts w:ascii="Times" w:hAnsi="Times"/>
              </w:rPr>
            </w:pPr>
            <w:r w:rsidRPr="00AB2265">
              <w:t>$</w:t>
            </w:r>
            <w:r w:rsidR="003F618D">
              <w:rPr>
                <w:noProof/>
                <w:color w:val="000000"/>
                <w:highlight w:val="black"/>
              </w:rPr>
              <w:t>''''''''''''''''''</w:t>
            </w:r>
          </w:p>
        </w:tc>
        <w:tc>
          <w:tcPr>
            <w:tcW w:w="1274" w:type="pct"/>
            <w:vAlign w:val="center"/>
          </w:tcPr>
          <w:p w:rsidR="00F21D71" w:rsidRPr="00AB2265" w:rsidRDefault="00F21D71" w:rsidP="00F21D71">
            <w:pPr>
              <w:pStyle w:val="TableText"/>
              <w:keepNext w:val="0"/>
              <w:jc w:val="center"/>
              <w:rPr>
                <w:rFonts w:ascii="Times" w:hAnsi="Times"/>
              </w:rPr>
            </w:pPr>
            <w:r w:rsidRPr="00AB2265">
              <w:t>$0</w:t>
            </w:r>
          </w:p>
        </w:tc>
        <w:tc>
          <w:tcPr>
            <w:tcW w:w="838" w:type="pct"/>
            <w:vAlign w:val="center"/>
          </w:tcPr>
          <w:p w:rsidR="00F21D71" w:rsidRPr="00AB2265" w:rsidRDefault="00F21D71" w:rsidP="00F21D71">
            <w:pPr>
              <w:pStyle w:val="TableText"/>
              <w:keepNext w:val="0"/>
              <w:jc w:val="center"/>
              <w:rPr>
                <w:rFonts w:ascii="Times" w:hAnsi="Times"/>
              </w:rPr>
            </w:pPr>
            <w:r w:rsidRPr="00AB2265">
              <w:t>$</w:t>
            </w:r>
            <w:r w:rsidR="003F618D">
              <w:rPr>
                <w:noProof/>
                <w:color w:val="000000"/>
                <w:highlight w:val="black"/>
              </w:rPr>
              <w:t>''''''''''''''''''''</w:t>
            </w:r>
          </w:p>
        </w:tc>
      </w:tr>
      <w:tr w:rsidR="00F21D71" w:rsidRPr="00AB2265" w:rsidTr="00F21D71">
        <w:tc>
          <w:tcPr>
            <w:tcW w:w="1529" w:type="pct"/>
            <w:vAlign w:val="center"/>
          </w:tcPr>
          <w:p w:rsidR="00F21D71" w:rsidRPr="00AB2265" w:rsidRDefault="00F21D71" w:rsidP="00F21D71">
            <w:pPr>
              <w:pStyle w:val="TableText"/>
              <w:keepNext w:val="0"/>
              <w:rPr>
                <w:rFonts w:ascii="Times" w:hAnsi="Times"/>
              </w:rPr>
            </w:pPr>
            <w:r w:rsidRPr="00AB2265">
              <w:t xml:space="preserve">Deaths </w:t>
            </w:r>
          </w:p>
        </w:tc>
        <w:tc>
          <w:tcPr>
            <w:tcW w:w="1359" w:type="pct"/>
            <w:vAlign w:val="center"/>
          </w:tcPr>
          <w:p w:rsidR="00F21D71" w:rsidRPr="00AB2265" w:rsidRDefault="00F21D71" w:rsidP="00F21D71">
            <w:pPr>
              <w:pStyle w:val="TableText"/>
              <w:keepNext w:val="0"/>
              <w:jc w:val="center"/>
              <w:rPr>
                <w:rFonts w:ascii="Times" w:hAnsi="Times"/>
              </w:rPr>
            </w:pPr>
            <w:r w:rsidRPr="00AB2265">
              <w:t>0.0141</w:t>
            </w:r>
          </w:p>
        </w:tc>
        <w:tc>
          <w:tcPr>
            <w:tcW w:w="1274" w:type="pct"/>
            <w:vAlign w:val="center"/>
          </w:tcPr>
          <w:p w:rsidR="00F21D71" w:rsidRPr="00AB2265" w:rsidRDefault="00F21D71" w:rsidP="00F21D71">
            <w:pPr>
              <w:pStyle w:val="TableText"/>
              <w:keepNext w:val="0"/>
              <w:jc w:val="center"/>
              <w:rPr>
                <w:rFonts w:ascii="Times" w:hAnsi="Times"/>
              </w:rPr>
            </w:pPr>
            <w:r w:rsidRPr="00AB2265">
              <w:t>0.0410</w:t>
            </w:r>
          </w:p>
        </w:tc>
        <w:tc>
          <w:tcPr>
            <w:tcW w:w="838" w:type="pct"/>
            <w:vAlign w:val="center"/>
          </w:tcPr>
          <w:p w:rsidR="00F21D71" w:rsidRPr="00AB2265" w:rsidRDefault="00F21D71" w:rsidP="00F21D71">
            <w:pPr>
              <w:pStyle w:val="TableText"/>
              <w:keepNext w:val="0"/>
              <w:jc w:val="center"/>
            </w:pPr>
            <w:r w:rsidRPr="00AB2265">
              <w:t>-0.0269</w:t>
            </w:r>
          </w:p>
        </w:tc>
      </w:tr>
      <w:tr w:rsidR="00F21D71" w:rsidRPr="00AB2265" w:rsidTr="00F21D71">
        <w:tc>
          <w:tcPr>
            <w:tcW w:w="4162" w:type="pct"/>
            <w:gridSpan w:val="3"/>
            <w:vAlign w:val="center"/>
          </w:tcPr>
          <w:p w:rsidR="00F21D71" w:rsidRPr="00AB2265" w:rsidRDefault="00F21D71" w:rsidP="00F21D71">
            <w:pPr>
              <w:pStyle w:val="TableText"/>
              <w:keepNext w:val="0"/>
              <w:rPr>
                <w:rFonts w:ascii="Times" w:hAnsi="Times"/>
                <w:b/>
              </w:rPr>
            </w:pPr>
            <w:r w:rsidRPr="00AB2265">
              <w:rPr>
                <w:b/>
              </w:rPr>
              <w:t>Incremental cost/death avoided</w:t>
            </w:r>
          </w:p>
        </w:tc>
        <w:tc>
          <w:tcPr>
            <w:tcW w:w="838" w:type="pct"/>
            <w:vAlign w:val="center"/>
          </w:tcPr>
          <w:p w:rsidR="00F21D71" w:rsidRPr="00AB2265" w:rsidRDefault="00F21D71" w:rsidP="00F21D71">
            <w:pPr>
              <w:pStyle w:val="TableText"/>
              <w:keepNext w:val="0"/>
              <w:jc w:val="center"/>
              <w:rPr>
                <w:rFonts w:ascii="Times" w:hAnsi="Times"/>
                <w:b/>
              </w:rPr>
            </w:pPr>
            <w:r w:rsidRPr="00AB2265">
              <w:rPr>
                <w:b/>
              </w:rPr>
              <w:t>$</w:t>
            </w:r>
            <w:r w:rsidR="003F618D">
              <w:rPr>
                <w:b/>
                <w:noProof/>
                <w:color w:val="000000"/>
                <w:highlight w:val="black"/>
              </w:rPr>
              <w:t>'''''''''''''''''''''</w:t>
            </w:r>
          </w:p>
        </w:tc>
      </w:tr>
      <w:tr w:rsidR="00F21D71" w:rsidRPr="00AB2265" w:rsidTr="00F21D71">
        <w:tc>
          <w:tcPr>
            <w:tcW w:w="5000" w:type="pct"/>
            <w:gridSpan w:val="4"/>
            <w:vAlign w:val="center"/>
          </w:tcPr>
          <w:p w:rsidR="00F21D71" w:rsidRPr="00AB2265" w:rsidRDefault="00F21D71" w:rsidP="00F21D71">
            <w:pPr>
              <w:pStyle w:val="TableText"/>
              <w:keepNext w:val="0"/>
              <w:rPr>
                <w:b/>
              </w:rPr>
            </w:pPr>
            <w:r w:rsidRPr="00AB2265">
              <w:rPr>
                <w:b/>
              </w:rPr>
              <w:lastRenderedPageBreak/>
              <w:t>Step 1b: Mortality data based on combined overall study periods of the HERCULES and TITAN trials (caplacizumab 0.93%, SOC 4.46%), caplacizumab drug costs based on the double-blind period of the HERCULES trial</w:t>
            </w:r>
          </w:p>
        </w:tc>
      </w:tr>
      <w:tr w:rsidR="00F21D71" w:rsidRPr="00AB2265" w:rsidTr="00F21D71">
        <w:tc>
          <w:tcPr>
            <w:tcW w:w="1529" w:type="pct"/>
            <w:vAlign w:val="center"/>
          </w:tcPr>
          <w:p w:rsidR="00F21D71" w:rsidRPr="00AB2265" w:rsidRDefault="00F21D71" w:rsidP="00F21D71">
            <w:pPr>
              <w:pStyle w:val="TableText"/>
              <w:keepNext w:val="0"/>
              <w:rPr>
                <w:rFonts w:ascii="Times" w:hAnsi="Times"/>
              </w:rPr>
            </w:pPr>
            <w:r w:rsidRPr="00AB2265">
              <w:t>Costs</w:t>
            </w:r>
          </w:p>
        </w:tc>
        <w:tc>
          <w:tcPr>
            <w:tcW w:w="1359" w:type="pct"/>
            <w:vAlign w:val="center"/>
          </w:tcPr>
          <w:p w:rsidR="00F21D71" w:rsidRPr="00AB2265" w:rsidRDefault="00F21D71" w:rsidP="00F21D71">
            <w:pPr>
              <w:pStyle w:val="TableText"/>
              <w:keepNext w:val="0"/>
              <w:jc w:val="center"/>
              <w:rPr>
                <w:rFonts w:ascii="Times" w:hAnsi="Times"/>
              </w:rPr>
            </w:pPr>
            <w:r w:rsidRPr="00AB2265">
              <w:t>$</w:t>
            </w:r>
            <w:r w:rsidR="003F618D">
              <w:rPr>
                <w:noProof/>
                <w:color w:val="000000"/>
                <w:highlight w:val="black"/>
              </w:rPr>
              <w:t>''''''''''''''''''</w:t>
            </w:r>
          </w:p>
        </w:tc>
        <w:tc>
          <w:tcPr>
            <w:tcW w:w="1274" w:type="pct"/>
            <w:vAlign w:val="center"/>
          </w:tcPr>
          <w:p w:rsidR="00F21D71" w:rsidRPr="00AB2265" w:rsidRDefault="00F21D71" w:rsidP="00F21D71">
            <w:pPr>
              <w:pStyle w:val="TableText"/>
              <w:keepNext w:val="0"/>
              <w:jc w:val="center"/>
              <w:rPr>
                <w:rFonts w:ascii="Times" w:hAnsi="Times"/>
              </w:rPr>
            </w:pPr>
            <w:r w:rsidRPr="00AB2265">
              <w:t>$0</w:t>
            </w:r>
          </w:p>
        </w:tc>
        <w:tc>
          <w:tcPr>
            <w:tcW w:w="838" w:type="pct"/>
            <w:vAlign w:val="center"/>
          </w:tcPr>
          <w:p w:rsidR="00F21D71" w:rsidRPr="00AB2265" w:rsidRDefault="00F21D71" w:rsidP="00F21D71">
            <w:pPr>
              <w:pStyle w:val="TableText"/>
              <w:keepNext w:val="0"/>
              <w:jc w:val="center"/>
              <w:rPr>
                <w:rFonts w:ascii="Times" w:hAnsi="Times"/>
              </w:rPr>
            </w:pPr>
            <w:r w:rsidRPr="00AB2265">
              <w:t>$</w:t>
            </w:r>
            <w:r w:rsidR="003F618D">
              <w:rPr>
                <w:noProof/>
                <w:color w:val="000000"/>
                <w:highlight w:val="black"/>
              </w:rPr>
              <w:t>'''''''''''''''''''</w:t>
            </w:r>
          </w:p>
        </w:tc>
      </w:tr>
      <w:tr w:rsidR="00F21D71" w:rsidRPr="00AB2265" w:rsidTr="00F21D71">
        <w:tc>
          <w:tcPr>
            <w:tcW w:w="1529" w:type="pct"/>
            <w:vAlign w:val="center"/>
          </w:tcPr>
          <w:p w:rsidR="00F21D71" w:rsidRPr="00AB2265" w:rsidRDefault="00F21D71" w:rsidP="00F21D71">
            <w:pPr>
              <w:pStyle w:val="TableText"/>
              <w:keepNext w:val="0"/>
              <w:rPr>
                <w:rFonts w:ascii="Times" w:hAnsi="Times"/>
              </w:rPr>
            </w:pPr>
            <w:r w:rsidRPr="00AB2265">
              <w:t>Deaths</w:t>
            </w:r>
          </w:p>
        </w:tc>
        <w:tc>
          <w:tcPr>
            <w:tcW w:w="1359" w:type="pct"/>
            <w:vAlign w:val="center"/>
          </w:tcPr>
          <w:p w:rsidR="00F21D71" w:rsidRPr="00AB2265" w:rsidRDefault="00F21D71" w:rsidP="00F21D71">
            <w:pPr>
              <w:pStyle w:val="TableText"/>
              <w:keepNext w:val="0"/>
              <w:jc w:val="center"/>
              <w:rPr>
                <w:rFonts w:ascii="Times" w:hAnsi="Times"/>
              </w:rPr>
            </w:pPr>
            <w:r w:rsidRPr="00AB2265">
              <w:t>0.0093</w:t>
            </w:r>
          </w:p>
        </w:tc>
        <w:tc>
          <w:tcPr>
            <w:tcW w:w="1274" w:type="pct"/>
            <w:vAlign w:val="center"/>
          </w:tcPr>
          <w:p w:rsidR="00F21D71" w:rsidRPr="00AB2265" w:rsidRDefault="00F21D71" w:rsidP="00F21D71">
            <w:pPr>
              <w:pStyle w:val="TableText"/>
              <w:keepNext w:val="0"/>
              <w:jc w:val="center"/>
              <w:rPr>
                <w:rFonts w:ascii="Times" w:hAnsi="Times"/>
              </w:rPr>
            </w:pPr>
            <w:r w:rsidRPr="00AB2265">
              <w:t>0.0446</w:t>
            </w:r>
          </w:p>
        </w:tc>
        <w:tc>
          <w:tcPr>
            <w:tcW w:w="838" w:type="pct"/>
            <w:vAlign w:val="center"/>
          </w:tcPr>
          <w:p w:rsidR="00F21D71" w:rsidRPr="00AB2265" w:rsidRDefault="00F21D71" w:rsidP="00F21D71">
            <w:pPr>
              <w:pStyle w:val="TableText"/>
              <w:keepNext w:val="0"/>
              <w:jc w:val="center"/>
            </w:pPr>
            <w:r w:rsidRPr="00AB2265">
              <w:t>-0.0353</w:t>
            </w:r>
          </w:p>
        </w:tc>
      </w:tr>
      <w:tr w:rsidR="00F21D71" w:rsidRPr="00AB2265" w:rsidTr="00F21D71">
        <w:tc>
          <w:tcPr>
            <w:tcW w:w="4162" w:type="pct"/>
            <w:gridSpan w:val="3"/>
            <w:vAlign w:val="center"/>
          </w:tcPr>
          <w:p w:rsidR="00F21D71" w:rsidRPr="00AB2265" w:rsidRDefault="00F21D71" w:rsidP="00F21D71">
            <w:pPr>
              <w:pStyle w:val="TableText"/>
              <w:keepNext w:val="0"/>
              <w:rPr>
                <w:rFonts w:ascii="Times" w:hAnsi="Times"/>
                <w:b/>
              </w:rPr>
            </w:pPr>
            <w:r w:rsidRPr="00AB2265">
              <w:rPr>
                <w:b/>
              </w:rPr>
              <w:t>Incremental cost/death avoided</w:t>
            </w:r>
          </w:p>
        </w:tc>
        <w:tc>
          <w:tcPr>
            <w:tcW w:w="838" w:type="pct"/>
            <w:vAlign w:val="center"/>
          </w:tcPr>
          <w:p w:rsidR="00F21D71" w:rsidRPr="00AB2265" w:rsidRDefault="00F21D71" w:rsidP="00F21D71">
            <w:pPr>
              <w:pStyle w:val="TableText"/>
              <w:keepNext w:val="0"/>
              <w:jc w:val="center"/>
              <w:rPr>
                <w:rFonts w:ascii="Times" w:hAnsi="Times"/>
                <w:b/>
              </w:rPr>
            </w:pPr>
            <w:r w:rsidRPr="00AB2265">
              <w:rPr>
                <w:b/>
              </w:rPr>
              <w:t>$</w:t>
            </w:r>
            <w:r w:rsidR="003F618D">
              <w:rPr>
                <w:b/>
                <w:noProof/>
                <w:color w:val="000000"/>
                <w:highlight w:val="black"/>
              </w:rPr>
              <w:t>'''''''''''''''''</w:t>
            </w:r>
          </w:p>
        </w:tc>
      </w:tr>
      <w:tr w:rsidR="00F21D71" w:rsidRPr="00AB2265" w:rsidTr="00F21D71">
        <w:tc>
          <w:tcPr>
            <w:tcW w:w="5000" w:type="pct"/>
            <w:gridSpan w:val="4"/>
            <w:vAlign w:val="center"/>
          </w:tcPr>
          <w:p w:rsidR="00F21D71" w:rsidRPr="00AB2265" w:rsidRDefault="00F21D71" w:rsidP="00F21D71">
            <w:pPr>
              <w:pStyle w:val="TableText"/>
              <w:keepNext w:val="0"/>
              <w:rPr>
                <w:b/>
              </w:rPr>
            </w:pPr>
            <w:r w:rsidRPr="00AB2265">
              <w:rPr>
                <w:b/>
              </w:rPr>
              <w:t>Step 1c: Mortality data for caplacizumab based on the combined overall study periods of HERCULES and TITAN trials (0.93%) and for SOC based on Alwan 2017 retrospective study (10.26%), caplacizumab drug costs based on the double-blind period of the HERCULES trial</w:t>
            </w:r>
          </w:p>
        </w:tc>
      </w:tr>
      <w:tr w:rsidR="00F21D71" w:rsidRPr="00AB2265" w:rsidTr="00F21D71">
        <w:tc>
          <w:tcPr>
            <w:tcW w:w="1529" w:type="pct"/>
            <w:vAlign w:val="center"/>
          </w:tcPr>
          <w:p w:rsidR="00F21D71" w:rsidRPr="00AB2265" w:rsidRDefault="00F21D71" w:rsidP="00F21D71">
            <w:pPr>
              <w:pStyle w:val="TableText"/>
              <w:keepNext w:val="0"/>
              <w:rPr>
                <w:rFonts w:ascii="Times" w:hAnsi="Times"/>
              </w:rPr>
            </w:pPr>
            <w:r w:rsidRPr="00AB2265">
              <w:t>Costs</w:t>
            </w:r>
          </w:p>
        </w:tc>
        <w:tc>
          <w:tcPr>
            <w:tcW w:w="1359" w:type="pct"/>
            <w:vAlign w:val="center"/>
          </w:tcPr>
          <w:p w:rsidR="00F21D71" w:rsidRPr="00AB2265" w:rsidRDefault="00F21D71" w:rsidP="00F21D71">
            <w:pPr>
              <w:pStyle w:val="TableText"/>
              <w:keepNext w:val="0"/>
              <w:jc w:val="center"/>
              <w:rPr>
                <w:rFonts w:ascii="Times" w:hAnsi="Times"/>
              </w:rPr>
            </w:pPr>
            <w:r w:rsidRPr="00AB2265">
              <w:t>$</w:t>
            </w:r>
            <w:r w:rsidR="003F618D">
              <w:rPr>
                <w:noProof/>
                <w:color w:val="000000"/>
                <w:highlight w:val="black"/>
              </w:rPr>
              <w:t>'''''''''''''''''''</w:t>
            </w:r>
          </w:p>
        </w:tc>
        <w:tc>
          <w:tcPr>
            <w:tcW w:w="1274" w:type="pct"/>
            <w:vAlign w:val="center"/>
          </w:tcPr>
          <w:p w:rsidR="00F21D71" w:rsidRPr="00AB2265" w:rsidRDefault="00F21D71" w:rsidP="00F21D71">
            <w:pPr>
              <w:pStyle w:val="TableText"/>
              <w:keepNext w:val="0"/>
              <w:jc w:val="center"/>
              <w:rPr>
                <w:rFonts w:ascii="Times" w:hAnsi="Times"/>
              </w:rPr>
            </w:pPr>
            <w:r w:rsidRPr="00AB2265">
              <w:t>$0</w:t>
            </w:r>
          </w:p>
        </w:tc>
        <w:tc>
          <w:tcPr>
            <w:tcW w:w="838" w:type="pct"/>
            <w:vAlign w:val="center"/>
          </w:tcPr>
          <w:p w:rsidR="00F21D71" w:rsidRPr="00AB2265" w:rsidRDefault="00F21D71" w:rsidP="00F21D71">
            <w:pPr>
              <w:pStyle w:val="TableText"/>
              <w:keepNext w:val="0"/>
              <w:jc w:val="center"/>
              <w:rPr>
                <w:rFonts w:ascii="Times" w:hAnsi="Times"/>
              </w:rPr>
            </w:pPr>
            <w:r w:rsidRPr="00AB2265">
              <w:t>$</w:t>
            </w:r>
            <w:r w:rsidR="003F618D">
              <w:rPr>
                <w:noProof/>
                <w:color w:val="000000"/>
                <w:highlight w:val="black"/>
              </w:rPr>
              <w:t>'''''''''''''''''''</w:t>
            </w:r>
          </w:p>
        </w:tc>
      </w:tr>
      <w:tr w:rsidR="00F21D71" w:rsidRPr="00AB2265" w:rsidTr="00F21D71">
        <w:tc>
          <w:tcPr>
            <w:tcW w:w="1529" w:type="pct"/>
            <w:vAlign w:val="center"/>
          </w:tcPr>
          <w:p w:rsidR="00F21D71" w:rsidRPr="00AB2265" w:rsidRDefault="00F21D71" w:rsidP="00F21D71">
            <w:pPr>
              <w:pStyle w:val="TableText"/>
              <w:keepNext w:val="0"/>
              <w:rPr>
                <w:rFonts w:ascii="Times" w:hAnsi="Times"/>
              </w:rPr>
            </w:pPr>
            <w:r w:rsidRPr="00AB2265">
              <w:t>Deaths</w:t>
            </w:r>
          </w:p>
        </w:tc>
        <w:tc>
          <w:tcPr>
            <w:tcW w:w="1359" w:type="pct"/>
            <w:vAlign w:val="center"/>
          </w:tcPr>
          <w:p w:rsidR="00F21D71" w:rsidRPr="00AB2265" w:rsidRDefault="00F21D71" w:rsidP="00F21D71">
            <w:pPr>
              <w:pStyle w:val="TableText"/>
              <w:keepNext w:val="0"/>
              <w:jc w:val="center"/>
              <w:rPr>
                <w:rFonts w:ascii="Times" w:hAnsi="Times"/>
              </w:rPr>
            </w:pPr>
            <w:r w:rsidRPr="00AB2265">
              <w:t>0.0093</w:t>
            </w:r>
          </w:p>
        </w:tc>
        <w:tc>
          <w:tcPr>
            <w:tcW w:w="1274" w:type="pct"/>
            <w:vAlign w:val="center"/>
          </w:tcPr>
          <w:p w:rsidR="00F21D71" w:rsidRPr="00AB2265" w:rsidRDefault="00F21D71" w:rsidP="00F21D71">
            <w:pPr>
              <w:pStyle w:val="TableText"/>
              <w:keepNext w:val="0"/>
              <w:jc w:val="center"/>
              <w:rPr>
                <w:rFonts w:ascii="Times" w:hAnsi="Times"/>
              </w:rPr>
            </w:pPr>
            <w:r w:rsidRPr="00AB2265">
              <w:t>0.1026</w:t>
            </w:r>
          </w:p>
        </w:tc>
        <w:tc>
          <w:tcPr>
            <w:tcW w:w="838" w:type="pct"/>
            <w:vAlign w:val="center"/>
          </w:tcPr>
          <w:p w:rsidR="00F21D71" w:rsidRPr="00AB2265" w:rsidRDefault="00F21D71" w:rsidP="00F21D71">
            <w:pPr>
              <w:pStyle w:val="TableText"/>
              <w:keepNext w:val="0"/>
              <w:jc w:val="center"/>
            </w:pPr>
            <w:r w:rsidRPr="00AB2265">
              <w:t>-0.0933</w:t>
            </w:r>
          </w:p>
        </w:tc>
      </w:tr>
      <w:tr w:rsidR="00F21D71" w:rsidRPr="00AB2265" w:rsidTr="00F21D71">
        <w:tc>
          <w:tcPr>
            <w:tcW w:w="4162" w:type="pct"/>
            <w:gridSpan w:val="3"/>
            <w:vAlign w:val="center"/>
          </w:tcPr>
          <w:p w:rsidR="00F21D71" w:rsidRPr="00AB2265" w:rsidRDefault="00F21D71" w:rsidP="00F21D71">
            <w:pPr>
              <w:pStyle w:val="TableText"/>
              <w:keepNext w:val="0"/>
              <w:rPr>
                <w:rFonts w:ascii="Times" w:hAnsi="Times"/>
                <w:b/>
              </w:rPr>
            </w:pPr>
            <w:r w:rsidRPr="00AB2265">
              <w:rPr>
                <w:b/>
              </w:rPr>
              <w:t>Incremental cost/death avoided</w:t>
            </w:r>
          </w:p>
        </w:tc>
        <w:tc>
          <w:tcPr>
            <w:tcW w:w="838" w:type="pct"/>
            <w:vAlign w:val="center"/>
          </w:tcPr>
          <w:p w:rsidR="00F21D71" w:rsidRPr="00AB2265" w:rsidRDefault="00F21D71" w:rsidP="00F21D71">
            <w:pPr>
              <w:pStyle w:val="TableText"/>
              <w:keepNext w:val="0"/>
              <w:jc w:val="center"/>
              <w:rPr>
                <w:rFonts w:ascii="Times" w:hAnsi="Times"/>
                <w:b/>
              </w:rPr>
            </w:pPr>
            <w:r w:rsidRPr="00AB2265">
              <w:rPr>
                <w:b/>
              </w:rPr>
              <w:t>$</w:t>
            </w:r>
            <w:r w:rsidR="003F618D">
              <w:rPr>
                <w:b/>
                <w:noProof/>
                <w:color w:val="000000"/>
                <w:highlight w:val="black"/>
              </w:rPr>
              <w:t>''''''''''''''''''</w:t>
            </w:r>
          </w:p>
        </w:tc>
      </w:tr>
      <w:tr w:rsidR="00F21D71" w:rsidRPr="00AB2265" w:rsidTr="00F21D71">
        <w:tc>
          <w:tcPr>
            <w:tcW w:w="5000" w:type="pct"/>
            <w:gridSpan w:val="4"/>
            <w:vAlign w:val="center"/>
          </w:tcPr>
          <w:p w:rsidR="00F21D71" w:rsidRPr="00AB2265" w:rsidRDefault="00F21D71" w:rsidP="00F21D71">
            <w:pPr>
              <w:pStyle w:val="TableText"/>
              <w:keepNext w:val="0"/>
              <w:rPr>
                <w:b/>
              </w:rPr>
            </w:pPr>
            <w:r w:rsidRPr="00AB2265">
              <w:rPr>
                <w:b/>
              </w:rPr>
              <w:t>Step 2: Assume mortality data and caplacizumab drug costs are applicable to a 3-month time horizon (deaths occur at the start of the cycle, no half-cycle correction)</w:t>
            </w:r>
          </w:p>
        </w:tc>
      </w:tr>
      <w:tr w:rsidR="00F21D71" w:rsidRPr="00AB2265" w:rsidTr="00F21D71">
        <w:tc>
          <w:tcPr>
            <w:tcW w:w="1529" w:type="pct"/>
            <w:vAlign w:val="center"/>
          </w:tcPr>
          <w:p w:rsidR="00F21D71" w:rsidRPr="00AB2265" w:rsidRDefault="00F21D71" w:rsidP="00F21D71">
            <w:pPr>
              <w:pStyle w:val="TableText"/>
              <w:keepNext w:val="0"/>
              <w:rPr>
                <w:rFonts w:ascii="Times" w:hAnsi="Times"/>
              </w:rPr>
            </w:pPr>
            <w:r w:rsidRPr="00AB2265">
              <w:t>Costs</w:t>
            </w:r>
          </w:p>
        </w:tc>
        <w:tc>
          <w:tcPr>
            <w:tcW w:w="1359" w:type="pct"/>
            <w:vAlign w:val="center"/>
          </w:tcPr>
          <w:p w:rsidR="00F21D71" w:rsidRPr="00AB2265" w:rsidRDefault="00F21D71" w:rsidP="00F21D71">
            <w:pPr>
              <w:pStyle w:val="TableText"/>
              <w:keepNext w:val="0"/>
              <w:jc w:val="center"/>
              <w:rPr>
                <w:rFonts w:ascii="Times" w:hAnsi="Times"/>
              </w:rPr>
            </w:pPr>
            <w:r w:rsidRPr="00AB2265">
              <w:t>$</w:t>
            </w:r>
            <w:r w:rsidR="003F618D">
              <w:rPr>
                <w:noProof/>
                <w:color w:val="000000"/>
                <w:highlight w:val="black"/>
              </w:rPr>
              <w:t>''''''''''''''''''''</w:t>
            </w:r>
          </w:p>
        </w:tc>
        <w:tc>
          <w:tcPr>
            <w:tcW w:w="1274" w:type="pct"/>
            <w:vAlign w:val="center"/>
          </w:tcPr>
          <w:p w:rsidR="00F21D71" w:rsidRPr="00AB2265" w:rsidRDefault="00F21D71" w:rsidP="00F21D71">
            <w:pPr>
              <w:pStyle w:val="TableText"/>
              <w:keepNext w:val="0"/>
              <w:jc w:val="center"/>
              <w:rPr>
                <w:rFonts w:ascii="Times" w:hAnsi="Times"/>
              </w:rPr>
            </w:pPr>
            <w:r w:rsidRPr="00AB2265">
              <w:t>$0</w:t>
            </w:r>
          </w:p>
        </w:tc>
        <w:tc>
          <w:tcPr>
            <w:tcW w:w="838" w:type="pct"/>
            <w:vAlign w:val="center"/>
          </w:tcPr>
          <w:p w:rsidR="00F21D71" w:rsidRPr="00AB2265" w:rsidRDefault="00F21D71" w:rsidP="00F21D71">
            <w:pPr>
              <w:pStyle w:val="TableText"/>
              <w:keepNext w:val="0"/>
              <w:jc w:val="center"/>
              <w:rPr>
                <w:rFonts w:ascii="Times" w:hAnsi="Times"/>
              </w:rPr>
            </w:pPr>
            <w:r w:rsidRPr="00AB2265">
              <w:t>$</w:t>
            </w:r>
            <w:r w:rsidR="003F618D">
              <w:rPr>
                <w:noProof/>
                <w:color w:val="000000"/>
                <w:highlight w:val="black"/>
              </w:rPr>
              <w:t>''''''''''''''''''</w:t>
            </w:r>
          </w:p>
        </w:tc>
      </w:tr>
      <w:tr w:rsidR="00F21D71" w:rsidRPr="00AB2265" w:rsidTr="00F21D71">
        <w:tc>
          <w:tcPr>
            <w:tcW w:w="1529" w:type="pct"/>
            <w:vAlign w:val="center"/>
          </w:tcPr>
          <w:p w:rsidR="00F21D71" w:rsidRPr="00AB2265" w:rsidRDefault="00F21D71" w:rsidP="00F21D71">
            <w:pPr>
              <w:pStyle w:val="TableText"/>
              <w:keepNext w:val="0"/>
              <w:rPr>
                <w:rFonts w:ascii="Times" w:hAnsi="Times"/>
              </w:rPr>
            </w:pPr>
            <w:r w:rsidRPr="00AB2265">
              <w:t>LYs</w:t>
            </w:r>
          </w:p>
        </w:tc>
        <w:tc>
          <w:tcPr>
            <w:tcW w:w="1359" w:type="pct"/>
            <w:vAlign w:val="center"/>
          </w:tcPr>
          <w:p w:rsidR="00F21D71" w:rsidRPr="00AB2265" w:rsidRDefault="00F21D71" w:rsidP="00F21D71">
            <w:pPr>
              <w:pStyle w:val="TableText"/>
              <w:keepNext w:val="0"/>
              <w:jc w:val="center"/>
            </w:pPr>
            <w:r w:rsidRPr="00AB2265">
              <w:t>0.2477</w:t>
            </w:r>
          </w:p>
        </w:tc>
        <w:tc>
          <w:tcPr>
            <w:tcW w:w="1274" w:type="pct"/>
            <w:vAlign w:val="center"/>
          </w:tcPr>
          <w:p w:rsidR="00F21D71" w:rsidRPr="00AB2265" w:rsidRDefault="00F21D71" w:rsidP="00F21D71">
            <w:pPr>
              <w:pStyle w:val="TableText"/>
              <w:keepNext w:val="0"/>
              <w:jc w:val="center"/>
            </w:pPr>
            <w:r w:rsidRPr="00AB2265">
              <w:t>0.2244</w:t>
            </w:r>
          </w:p>
        </w:tc>
        <w:tc>
          <w:tcPr>
            <w:tcW w:w="838" w:type="pct"/>
            <w:vAlign w:val="center"/>
          </w:tcPr>
          <w:p w:rsidR="00F21D71" w:rsidRPr="00AB2265" w:rsidRDefault="00F21D71" w:rsidP="00F21D71">
            <w:pPr>
              <w:pStyle w:val="TableText"/>
              <w:keepNext w:val="0"/>
              <w:jc w:val="center"/>
            </w:pPr>
            <w:r w:rsidRPr="00AB2265">
              <w:t>0.0233</w:t>
            </w:r>
          </w:p>
        </w:tc>
      </w:tr>
      <w:tr w:rsidR="00F21D71" w:rsidRPr="00AB2265" w:rsidTr="00F21D71">
        <w:tc>
          <w:tcPr>
            <w:tcW w:w="4162" w:type="pct"/>
            <w:gridSpan w:val="3"/>
            <w:vAlign w:val="center"/>
          </w:tcPr>
          <w:p w:rsidR="00F21D71" w:rsidRPr="00AB2265" w:rsidRDefault="00F21D71" w:rsidP="00F21D71">
            <w:pPr>
              <w:pStyle w:val="TableText"/>
              <w:keepNext w:val="0"/>
              <w:rPr>
                <w:rFonts w:ascii="Times" w:hAnsi="Times"/>
                <w:b/>
              </w:rPr>
            </w:pPr>
            <w:r w:rsidRPr="00AB2265">
              <w:rPr>
                <w:b/>
              </w:rPr>
              <w:t>Incremental cost/LY gained</w:t>
            </w:r>
          </w:p>
        </w:tc>
        <w:tc>
          <w:tcPr>
            <w:tcW w:w="838" w:type="pct"/>
            <w:vAlign w:val="center"/>
          </w:tcPr>
          <w:p w:rsidR="00F21D71" w:rsidRPr="00AB2265" w:rsidRDefault="00F21D71" w:rsidP="00F21D71">
            <w:pPr>
              <w:pStyle w:val="TableText"/>
              <w:keepNext w:val="0"/>
              <w:jc w:val="center"/>
              <w:rPr>
                <w:b/>
              </w:rPr>
            </w:pPr>
            <w:r w:rsidRPr="00AB2265">
              <w:rPr>
                <w:b/>
              </w:rPr>
              <w:t>$</w:t>
            </w:r>
            <w:r w:rsidR="003F618D">
              <w:rPr>
                <w:b/>
                <w:noProof/>
                <w:color w:val="000000"/>
                <w:highlight w:val="black"/>
              </w:rPr>
              <w:t>'''''''''''''''''</w:t>
            </w:r>
          </w:p>
        </w:tc>
      </w:tr>
      <w:tr w:rsidR="00F21D71" w:rsidRPr="00AB2265" w:rsidTr="00F21D71">
        <w:tc>
          <w:tcPr>
            <w:tcW w:w="5000" w:type="pct"/>
            <w:gridSpan w:val="4"/>
            <w:vAlign w:val="center"/>
          </w:tcPr>
          <w:p w:rsidR="00F21D71" w:rsidRPr="00AB2265" w:rsidRDefault="00F21D71" w:rsidP="00F21D71">
            <w:pPr>
              <w:pStyle w:val="Tableheadingrow"/>
              <w:keepNext w:val="0"/>
              <w:rPr>
                <w:lang w:val="en-AU"/>
              </w:rPr>
            </w:pPr>
            <w:r w:rsidRPr="00AB2265">
              <w:rPr>
                <w:lang w:val="en-AU"/>
              </w:rPr>
              <w:t xml:space="preserve">Step 3: Add treatment and disease management costs (hospitalisation, ICU stay, plasma exchange, ADAMTS13 tests, specialist visits, rituximab drug and administration costs) based on HERCULES trial data (double-blind and open-label periods) and assumptions </w:t>
            </w:r>
          </w:p>
        </w:tc>
      </w:tr>
      <w:tr w:rsidR="00F21D71" w:rsidRPr="00AB2265" w:rsidTr="00F21D71">
        <w:tc>
          <w:tcPr>
            <w:tcW w:w="1529" w:type="pct"/>
            <w:vAlign w:val="center"/>
          </w:tcPr>
          <w:p w:rsidR="00F21D71" w:rsidRPr="00AB2265" w:rsidRDefault="00F21D71" w:rsidP="00F21D71">
            <w:pPr>
              <w:pStyle w:val="TableText"/>
              <w:keepNext w:val="0"/>
              <w:rPr>
                <w:rFonts w:ascii="Times" w:hAnsi="Times"/>
              </w:rPr>
            </w:pPr>
            <w:r w:rsidRPr="00AB2265">
              <w:t>Costs</w:t>
            </w:r>
          </w:p>
        </w:tc>
        <w:tc>
          <w:tcPr>
            <w:tcW w:w="1359" w:type="pct"/>
            <w:vAlign w:val="center"/>
          </w:tcPr>
          <w:p w:rsidR="00F21D71" w:rsidRPr="00AB2265" w:rsidRDefault="00F21D71" w:rsidP="00F21D71">
            <w:pPr>
              <w:pStyle w:val="TableText"/>
              <w:keepNext w:val="0"/>
              <w:jc w:val="center"/>
              <w:rPr>
                <w:rFonts w:ascii="Times" w:hAnsi="Times"/>
              </w:rPr>
            </w:pPr>
            <w:r w:rsidRPr="00AB2265">
              <w:t>$</w:t>
            </w:r>
            <w:r w:rsidR="003F618D">
              <w:rPr>
                <w:noProof/>
                <w:color w:val="000000"/>
                <w:highlight w:val="black"/>
              </w:rPr>
              <w:t>''''''''''''''''''''</w:t>
            </w:r>
          </w:p>
        </w:tc>
        <w:tc>
          <w:tcPr>
            <w:tcW w:w="1274" w:type="pct"/>
            <w:vAlign w:val="center"/>
          </w:tcPr>
          <w:p w:rsidR="00F21D71" w:rsidRPr="00AB2265" w:rsidRDefault="00F21D71" w:rsidP="00F21D71">
            <w:pPr>
              <w:pStyle w:val="TableText"/>
              <w:keepNext w:val="0"/>
              <w:jc w:val="center"/>
              <w:rPr>
                <w:rFonts w:ascii="Times" w:hAnsi="Times"/>
              </w:rPr>
            </w:pPr>
            <w:r w:rsidRPr="00AB2265">
              <w:t>$</w:t>
            </w:r>
            <w:r w:rsidRPr="00AC0B9A">
              <w:t>58,540</w:t>
            </w:r>
          </w:p>
        </w:tc>
        <w:tc>
          <w:tcPr>
            <w:tcW w:w="838" w:type="pct"/>
            <w:vAlign w:val="center"/>
          </w:tcPr>
          <w:p w:rsidR="00F21D71" w:rsidRPr="00AB2265" w:rsidRDefault="00F21D71" w:rsidP="00F21D71">
            <w:pPr>
              <w:pStyle w:val="TableText"/>
              <w:keepNext w:val="0"/>
              <w:jc w:val="center"/>
              <w:rPr>
                <w:rFonts w:ascii="Times" w:hAnsi="Times"/>
              </w:rPr>
            </w:pPr>
            <w:r w:rsidRPr="00AB2265">
              <w:t>$</w:t>
            </w:r>
            <w:r w:rsidR="003F618D">
              <w:rPr>
                <w:noProof/>
                <w:color w:val="000000"/>
                <w:highlight w:val="black"/>
              </w:rPr>
              <w:t>''''''''''''''''''</w:t>
            </w:r>
          </w:p>
        </w:tc>
      </w:tr>
      <w:tr w:rsidR="00F21D71" w:rsidRPr="00AB2265" w:rsidTr="00F21D71">
        <w:tc>
          <w:tcPr>
            <w:tcW w:w="1529" w:type="pct"/>
            <w:vAlign w:val="center"/>
          </w:tcPr>
          <w:p w:rsidR="00F21D71" w:rsidRPr="00AB2265" w:rsidRDefault="00F21D71" w:rsidP="00F21D71">
            <w:pPr>
              <w:pStyle w:val="TableText"/>
              <w:keepNext w:val="0"/>
              <w:rPr>
                <w:rFonts w:ascii="Times" w:hAnsi="Times"/>
              </w:rPr>
            </w:pPr>
            <w:r w:rsidRPr="00AB2265">
              <w:t>LYs</w:t>
            </w:r>
          </w:p>
        </w:tc>
        <w:tc>
          <w:tcPr>
            <w:tcW w:w="1359" w:type="pct"/>
            <w:vAlign w:val="center"/>
          </w:tcPr>
          <w:p w:rsidR="00F21D71" w:rsidRPr="00AB2265" w:rsidRDefault="00F21D71" w:rsidP="00F21D71">
            <w:pPr>
              <w:pStyle w:val="TableText"/>
              <w:keepNext w:val="0"/>
              <w:jc w:val="center"/>
              <w:rPr>
                <w:rFonts w:ascii="Times" w:hAnsi="Times"/>
              </w:rPr>
            </w:pPr>
            <w:r w:rsidRPr="00AB2265">
              <w:t>0.2477</w:t>
            </w:r>
          </w:p>
        </w:tc>
        <w:tc>
          <w:tcPr>
            <w:tcW w:w="1274" w:type="pct"/>
            <w:vAlign w:val="center"/>
          </w:tcPr>
          <w:p w:rsidR="00F21D71" w:rsidRPr="00AB2265" w:rsidRDefault="00F21D71" w:rsidP="00F21D71">
            <w:pPr>
              <w:pStyle w:val="TableText"/>
              <w:keepNext w:val="0"/>
              <w:jc w:val="center"/>
              <w:rPr>
                <w:rFonts w:ascii="Times" w:hAnsi="Times"/>
              </w:rPr>
            </w:pPr>
            <w:r w:rsidRPr="00AB2265">
              <w:t>0.2244</w:t>
            </w:r>
          </w:p>
        </w:tc>
        <w:tc>
          <w:tcPr>
            <w:tcW w:w="838" w:type="pct"/>
            <w:vAlign w:val="center"/>
          </w:tcPr>
          <w:p w:rsidR="00F21D71" w:rsidRPr="00AB2265" w:rsidRDefault="00F21D71" w:rsidP="00F21D71">
            <w:pPr>
              <w:pStyle w:val="TableText"/>
              <w:keepNext w:val="0"/>
              <w:jc w:val="center"/>
            </w:pPr>
            <w:r w:rsidRPr="00AB2265">
              <w:t>0.0233</w:t>
            </w:r>
          </w:p>
        </w:tc>
      </w:tr>
      <w:tr w:rsidR="00F21D71" w:rsidRPr="00AB2265" w:rsidTr="00F21D71">
        <w:tc>
          <w:tcPr>
            <w:tcW w:w="4162" w:type="pct"/>
            <w:gridSpan w:val="3"/>
            <w:vAlign w:val="center"/>
          </w:tcPr>
          <w:p w:rsidR="00F21D71" w:rsidRPr="00AB2265" w:rsidRDefault="00F21D71" w:rsidP="00F21D71">
            <w:pPr>
              <w:pStyle w:val="TableText"/>
              <w:keepNext w:val="0"/>
              <w:rPr>
                <w:rFonts w:ascii="Times" w:hAnsi="Times"/>
                <w:b/>
              </w:rPr>
            </w:pPr>
            <w:r w:rsidRPr="00AB2265">
              <w:rPr>
                <w:b/>
              </w:rPr>
              <w:t>Incremental cost/LY gained</w:t>
            </w:r>
          </w:p>
        </w:tc>
        <w:tc>
          <w:tcPr>
            <w:tcW w:w="838" w:type="pct"/>
            <w:vAlign w:val="center"/>
          </w:tcPr>
          <w:p w:rsidR="00F21D71" w:rsidRPr="00AB2265" w:rsidRDefault="00F21D71" w:rsidP="00F21D71">
            <w:pPr>
              <w:pStyle w:val="TableText"/>
              <w:keepNext w:val="0"/>
              <w:jc w:val="center"/>
              <w:rPr>
                <w:rFonts w:ascii="Times" w:hAnsi="Times"/>
                <w:b/>
              </w:rPr>
            </w:pPr>
            <w:r w:rsidRPr="00AB2265">
              <w:rPr>
                <w:b/>
              </w:rPr>
              <w:t>$</w:t>
            </w:r>
            <w:r w:rsidR="003F618D">
              <w:rPr>
                <w:b/>
                <w:noProof/>
                <w:color w:val="000000"/>
                <w:highlight w:val="black"/>
              </w:rPr>
              <w:t>''''''''''''''''''''</w:t>
            </w:r>
          </w:p>
        </w:tc>
      </w:tr>
      <w:tr w:rsidR="00F21D71" w:rsidRPr="00AB2265" w:rsidTr="00F21D71">
        <w:tc>
          <w:tcPr>
            <w:tcW w:w="5000" w:type="pct"/>
            <w:gridSpan w:val="4"/>
            <w:vAlign w:val="center"/>
          </w:tcPr>
          <w:p w:rsidR="00F21D71" w:rsidRPr="00AB2265" w:rsidRDefault="00F21D71" w:rsidP="00F21D71">
            <w:pPr>
              <w:pStyle w:val="Tableheadingrow"/>
              <w:keepNext w:val="0"/>
              <w:rPr>
                <w:vertAlign w:val="superscript"/>
                <w:lang w:val="en-AU"/>
              </w:rPr>
            </w:pPr>
            <w:r w:rsidRPr="00AB2265">
              <w:rPr>
                <w:lang w:val="en-AU"/>
              </w:rPr>
              <w:t>Step 4: Include probabilities for acute MI and stroke based on HERCULES trial data (double-blind period) which were adjusted for deaths due to aTTP, add costs due to acute MI and stroke events</w:t>
            </w:r>
          </w:p>
        </w:tc>
      </w:tr>
      <w:tr w:rsidR="00F21D71" w:rsidRPr="00AB2265" w:rsidTr="00F21D71">
        <w:tc>
          <w:tcPr>
            <w:tcW w:w="1529" w:type="pct"/>
            <w:vAlign w:val="center"/>
          </w:tcPr>
          <w:p w:rsidR="00F21D71" w:rsidRPr="00AB2265" w:rsidRDefault="00F21D71" w:rsidP="00F21D71">
            <w:pPr>
              <w:pStyle w:val="TableText"/>
              <w:keepNext w:val="0"/>
              <w:rPr>
                <w:rFonts w:ascii="Times" w:hAnsi="Times"/>
              </w:rPr>
            </w:pPr>
            <w:r w:rsidRPr="00AB2265">
              <w:t>Costs</w:t>
            </w:r>
          </w:p>
        </w:tc>
        <w:tc>
          <w:tcPr>
            <w:tcW w:w="1359" w:type="pct"/>
            <w:vAlign w:val="center"/>
          </w:tcPr>
          <w:p w:rsidR="00F21D71" w:rsidRPr="00AB2265" w:rsidRDefault="00F21D71" w:rsidP="00F21D71">
            <w:pPr>
              <w:pStyle w:val="TableText"/>
              <w:keepNext w:val="0"/>
              <w:jc w:val="center"/>
              <w:rPr>
                <w:rFonts w:ascii="Times" w:hAnsi="Times"/>
              </w:rPr>
            </w:pPr>
            <w:r w:rsidRPr="00AB2265">
              <w:t>$</w:t>
            </w:r>
            <w:r w:rsidR="003F618D">
              <w:rPr>
                <w:noProof/>
                <w:color w:val="000000"/>
                <w:highlight w:val="black"/>
              </w:rPr>
              <w:t>'''''''''''''''''''''</w:t>
            </w:r>
          </w:p>
        </w:tc>
        <w:tc>
          <w:tcPr>
            <w:tcW w:w="1274" w:type="pct"/>
            <w:vAlign w:val="center"/>
          </w:tcPr>
          <w:p w:rsidR="00F21D71" w:rsidRPr="00AB2265" w:rsidRDefault="00F21D71" w:rsidP="00F21D71">
            <w:pPr>
              <w:pStyle w:val="TableText"/>
              <w:keepNext w:val="0"/>
              <w:jc w:val="center"/>
              <w:rPr>
                <w:rFonts w:ascii="Times" w:hAnsi="Times"/>
              </w:rPr>
            </w:pPr>
            <w:r w:rsidRPr="00AB2265">
              <w:t>$</w:t>
            </w:r>
            <w:r w:rsidRPr="00AC0B9A">
              <w:t>58,823</w:t>
            </w:r>
          </w:p>
        </w:tc>
        <w:tc>
          <w:tcPr>
            <w:tcW w:w="838" w:type="pct"/>
            <w:vAlign w:val="center"/>
          </w:tcPr>
          <w:p w:rsidR="00F21D71" w:rsidRPr="00AB2265" w:rsidRDefault="00F21D71" w:rsidP="00F21D71">
            <w:pPr>
              <w:pStyle w:val="TableText"/>
              <w:keepNext w:val="0"/>
              <w:jc w:val="center"/>
              <w:rPr>
                <w:rFonts w:ascii="Times" w:hAnsi="Times"/>
              </w:rPr>
            </w:pPr>
            <w:r w:rsidRPr="00AB2265">
              <w:t>$</w:t>
            </w:r>
            <w:r w:rsidR="003F618D">
              <w:rPr>
                <w:noProof/>
                <w:color w:val="000000"/>
                <w:highlight w:val="black"/>
              </w:rPr>
              <w:t>''''''''''''''''''''</w:t>
            </w:r>
          </w:p>
        </w:tc>
      </w:tr>
      <w:tr w:rsidR="00F21D71" w:rsidRPr="00AB2265" w:rsidTr="00F21D71">
        <w:tc>
          <w:tcPr>
            <w:tcW w:w="1529" w:type="pct"/>
            <w:vAlign w:val="center"/>
          </w:tcPr>
          <w:p w:rsidR="00F21D71" w:rsidRPr="00AB2265" w:rsidRDefault="00F21D71" w:rsidP="00F21D71">
            <w:pPr>
              <w:pStyle w:val="TableText"/>
              <w:keepNext w:val="0"/>
              <w:rPr>
                <w:rFonts w:ascii="Times" w:hAnsi="Times"/>
              </w:rPr>
            </w:pPr>
            <w:r w:rsidRPr="00AB2265">
              <w:t>LYs</w:t>
            </w:r>
          </w:p>
        </w:tc>
        <w:tc>
          <w:tcPr>
            <w:tcW w:w="1359" w:type="pct"/>
            <w:vAlign w:val="center"/>
          </w:tcPr>
          <w:p w:rsidR="00F21D71" w:rsidRPr="00AB2265" w:rsidRDefault="00F21D71" w:rsidP="00F21D71">
            <w:pPr>
              <w:pStyle w:val="TableText"/>
              <w:keepNext w:val="0"/>
              <w:jc w:val="center"/>
              <w:rPr>
                <w:rFonts w:ascii="Times" w:hAnsi="Times"/>
              </w:rPr>
            </w:pPr>
            <w:r w:rsidRPr="00AB2265">
              <w:t>0.2477</w:t>
            </w:r>
          </w:p>
        </w:tc>
        <w:tc>
          <w:tcPr>
            <w:tcW w:w="1274" w:type="pct"/>
            <w:vAlign w:val="center"/>
          </w:tcPr>
          <w:p w:rsidR="00F21D71" w:rsidRPr="00AB2265" w:rsidRDefault="00F21D71" w:rsidP="00F21D71">
            <w:pPr>
              <w:pStyle w:val="TableText"/>
              <w:keepNext w:val="0"/>
              <w:jc w:val="center"/>
              <w:rPr>
                <w:rFonts w:ascii="Times" w:hAnsi="Times"/>
              </w:rPr>
            </w:pPr>
            <w:r w:rsidRPr="00AB2265">
              <w:t>0.2244</w:t>
            </w:r>
          </w:p>
        </w:tc>
        <w:tc>
          <w:tcPr>
            <w:tcW w:w="838" w:type="pct"/>
            <w:vAlign w:val="center"/>
          </w:tcPr>
          <w:p w:rsidR="00F21D71" w:rsidRPr="00AB2265" w:rsidRDefault="00F21D71" w:rsidP="00F21D71">
            <w:pPr>
              <w:pStyle w:val="TableText"/>
              <w:keepNext w:val="0"/>
              <w:jc w:val="center"/>
              <w:rPr>
                <w:vertAlign w:val="superscript"/>
              </w:rPr>
            </w:pPr>
            <w:r w:rsidRPr="00AB2265">
              <w:t>0.0233</w:t>
            </w:r>
            <w:r w:rsidRPr="00AB2265">
              <w:rPr>
                <w:vertAlign w:val="superscript"/>
              </w:rPr>
              <w:t>a</w:t>
            </w:r>
          </w:p>
        </w:tc>
      </w:tr>
      <w:tr w:rsidR="00F21D71" w:rsidRPr="00AB2265" w:rsidTr="00F21D71">
        <w:tc>
          <w:tcPr>
            <w:tcW w:w="4162" w:type="pct"/>
            <w:gridSpan w:val="3"/>
            <w:vAlign w:val="center"/>
          </w:tcPr>
          <w:p w:rsidR="00F21D71" w:rsidRPr="00AB2265" w:rsidRDefault="00F21D71" w:rsidP="00F21D71">
            <w:pPr>
              <w:pStyle w:val="TableText"/>
              <w:keepNext w:val="0"/>
              <w:rPr>
                <w:rFonts w:ascii="Times" w:hAnsi="Times"/>
                <w:b/>
              </w:rPr>
            </w:pPr>
            <w:r w:rsidRPr="00AB2265">
              <w:rPr>
                <w:b/>
              </w:rPr>
              <w:t>Incremental cost/LY gained</w:t>
            </w:r>
          </w:p>
        </w:tc>
        <w:tc>
          <w:tcPr>
            <w:tcW w:w="838" w:type="pct"/>
            <w:vAlign w:val="center"/>
          </w:tcPr>
          <w:p w:rsidR="00F21D71" w:rsidRPr="00AB2265" w:rsidRDefault="00F21D71" w:rsidP="00F21D71">
            <w:pPr>
              <w:pStyle w:val="TableText"/>
              <w:keepNext w:val="0"/>
              <w:jc w:val="center"/>
              <w:rPr>
                <w:rFonts w:ascii="Times" w:hAnsi="Times"/>
                <w:b/>
              </w:rPr>
            </w:pPr>
            <w:r w:rsidRPr="00AB2265">
              <w:rPr>
                <w:b/>
              </w:rPr>
              <w:t>$</w:t>
            </w:r>
            <w:r w:rsidR="003F618D">
              <w:rPr>
                <w:b/>
                <w:noProof/>
                <w:color w:val="000000"/>
                <w:highlight w:val="black"/>
              </w:rPr>
              <w:t>''''''''''''''''''''</w:t>
            </w:r>
          </w:p>
        </w:tc>
      </w:tr>
      <w:tr w:rsidR="00F21D71" w:rsidRPr="00AB2265" w:rsidTr="00F21D71">
        <w:tc>
          <w:tcPr>
            <w:tcW w:w="5000" w:type="pct"/>
            <w:gridSpan w:val="4"/>
            <w:vAlign w:val="center"/>
          </w:tcPr>
          <w:p w:rsidR="00F21D71" w:rsidRPr="00AB2265" w:rsidRDefault="00F21D71" w:rsidP="00F21D71">
            <w:pPr>
              <w:pStyle w:val="Tableheadingrow"/>
              <w:keepNext w:val="0"/>
              <w:rPr>
                <w:lang w:val="en-AU"/>
              </w:rPr>
            </w:pPr>
            <w:r w:rsidRPr="00AB2265">
              <w:rPr>
                <w:lang w:val="en-AU"/>
              </w:rPr>
              <w:t>Step 5: Extrapolate to 60 years: Include transition probabilities to no prior MI/stroke health state, post MI and post stroke health states; assume all deaths (due to aTTP, acute stroke and MI) occur during second cycle, include background mortality and increased mortality due to post MI or stroke (from second cycle), add half-cycle correction</w:t>
            </w:r>
          </w:p>
        </w:tc>
      </w:tr>
      <w:tr w:rsidR="00F21D71" w:rsidRPr="00AB2265" w:rsidTr="00F21D71">
        <w:tc>
          <w:tcPr>
            <w:tcW w:w="1529" w:type="pct"/>
            <w:vAlign w:val="center"/>
          </w:tcPr>
          <w:p w:rsidR="00F21D71" w:rsidRPr="00AB2265" w:rsidRDefault="00F21D71" w:rsidP="00F21D71">
            <w:pPr>
              <w:pStyle w:val="TableText"/>
              <w:keepNext w:val="0"/>
              <w:rPr>
                <w:rFonts w:ascii="Times" w:hAnsi="Times"/>
              </w:rPr>
            </w:pPr>
            <w:r w:rsidRPr="00AB2265">
              <w:t>Costs</w:t>
            </w:r>
          </w:p>
        </w:tc>
        <w:tc>
          <w:tcPr>
            <w:tcW w:w="1359" w:type="pct"/>
            <w:vAlign w:val="center"/>
          </w:tcPr>
          <w:p w:rsidR="00F21D71" w:rsidRPr="00AB2265" w:rsidRDefault="00F21D71" w:rsidP="00F21D71">
            <w:pPr>
              <w:pStyle w:val="TableText"/>
              <w:keepNext w:val="0"/>
              <w:jc w:val="center"/>
            </w:pPr>
            <w:r w:rsidRPr="00AB2265">
              <w:t>$</w:t>
            </w:r>
            <w:r w:rsidR="003F618D">
              <w:rPr>
                <w:noProof/>
                <w:color w:val="000000"/>
                <w:highlight w:val="black"/>
              </w:rPr>
              <w:t>'''''''''''''''''''</w:t>
            </w:r>
          </w:p>
        </w:tc>
        <w:tc>
          <w:tcPr>
            <w:tcW w:w="1274" w:type="pct"/>
            <w:vAlign w:val="center"/>
          </w:tcPr>
          <w:p w:rsidR="00F21D71" w:rsidRPr="00AB2265" w:rsidRDefault="00F21D71" w:rsidP="00F21D71">
            <w:pPr>
              <w:pStyle w:val="TableText"/>
              <w:keepNext w:val="0"/>
              <w:jc w:val="center"/>
            </w:pPr>
            <w:r w:rsidRPr="00AB2265">
              <w:t>$</w:t>
            </w:r>
            <w:r w:rsidRPr="00AC0B9A">
              <w:t>65,513</w:t>
            </w:r>
          </w:p>
        </w:tc>
        <w:tc>
          <w:tcPr>
            <w:tcW w:w="838" w:type="pct"/>
            <w:vAlign w:val="center"/>
          </w:tcPr>
          <w:p w:rsidR="00F21D71" w:rsidRPr="00AB2265" w:rsidRDefault="00F21D71" w:rsidP="00F21D71">
            <w:pPr>
              <w:pStyle w:val="TableText"/>
              <w:keepNext w:val="0"/>
              <w:jc w:val="center"/>
            </w:pPr>
            <w:r w:rsidRPr="00AB2265">
              <w:t>$</w:t>
            </w:r>
            <w:r w:rsidR="003F618D">
              <w:rPr>
                <w:noProof/>
                <w:color w:val="000000"/>
                <w:highlight w:val="black"/>
              </w:rPr>
              <w:t>'''''''''''''''''</w:t>
            </w:r>
          </w:p>
        </w:tc>
      </w:tr>
      <w:tr w:rsidR="00F21D71" w:rsidRPr="00AB2265" w:rsidTr="00F21D71">
        <w:trPr>
          <w:trHeight w:val="153"/>
        </w:trPr>
        <w:tc>
          <w:tcPr>
            <w:tcW w:w="1529" w:type="pct"/>
            <w:vAlign w:val="center"/>
          </w:tcPr>
          <w:p w:rsidR="00F21D71" w:rsidRPr="00AB2265" w:rsidRDefault="00F21D71" w:rsidP="00F21D71">
            <w:pPr>
              <w:pStyle w:val="TableText"/>
              <w:keepNext w:val="0"/>
              <w:rPr>
                <w:rFonts w:ascii="Times" w:hAnsi="Times"/>
              </w:rPr>
            </w:pPr>
            <w:r w:rsidRPr="00AB2265">
              <w:t>LYs</w:t>
            </w:r>
          </w:p>
        </w:tc>
        <w:tc>
          <w:tcPr>
            <w:tcW w:w="1359" w:type="pct"/>
            <w:vAlign w:val="center"/>
          </w:tcPr>
          <w:p w:rsidR="00F21D71" w:rsidRPr="00AB2265" w:rsidRDefault="00F21D71" w:rsidP="00F21D71">
            <w:pPr>
              <w:pStyle w:val="TableText"/>
              <w:keepNext w:val="0"/>
              <w:jc w:val="center"/>
            </w:pPr>
            <w:r w:rsidRPr="00AB2265">
              <w:t>38.037</w:t>
            </w:r>
          </w:p>
        </w:tc>
        <w:tc>
          <w:tcPr>
            <w:tcW w:w="1274" w:type="pct"/>
            <w:vAlign w:val="center"/>
          </w:tcPr>
          <w:p w:rsidR="00F21D71" w:rsidRPr="00AB2265" w:rsidRDefault="00F21D71" w:rsidP="00F21D71">
            <w:pPr>
              <w:pStyle w:val="TableText"/>
              <w:keepNext w:val="0"/>
              <w:jc w:val="center"/>
            </w:pPr>
            <w:r w:rsidRPr="00AB2265">
              <w:t>34.311</w:t>
            </w:r>
          </w:p>
        </w:tc>
        <w:tc>
          <w:tcPr>
            <w:tcW w:w="838" w:type="pct"/>
            <w:vAlign w:val="center"/>
          </w:tcPr>
          <w:p w:rsidR="00F21D71" w:rsidRPr="00AB2265" w:rsidRDefault="00F21D71" w:rsidP="00F21D71">
            <w:pPr>
              <w:pStyle w:val="TableText"/>
              <w:keepNext w:val="0"/>
              <w:jc w:val="center"/>
            </w:pPr>
            <w:r w:rsidRPr="00AB2265">
              <w:t>3.726</w:t>
            </w:r>
          </w:p>
        </w:tc>
      </w:tr>
      <w:tr w:rsidR="00F21D71" w:rsidRPr="00AB2265" w:rsidTr="00F21D71">
        <w:tc>
          <w:tcPr>
            <w:tcW w:w="4162" w:type="pct"/>
            <w:gridSpan w:val="3"/>
            <w:vAlign w:val="center"/>
          </w:tcPr>
          <w:p w:rsidR="00F21D71" w:rsidRPr="00AB2265" w:rsidRDefault="00F21D71" w:rsidP="00F21D71">
            <w:pPr>
              <w:pStyle w:val="TableText"/>
              <w:keepNext w:val="0"/>
              <w:rPr>
                <w:rFonts w:ascii="Times" w:hAnsi="Times"/>
                <w:b/>
              </w:rPr>
            </w:pPr>
            <w:r w:rsidRPr="00AB2265">
              <w:rPr>
                <w:b/>
              </w:rPr>
              <w:t>Incremental cost/LY gained</w:t>
            </w:r>
          </w:p>
        </w:tc>
        <w:tc>
          <w:tcPr>
            <w:tcW w:w="838" w:type="pct"/>
            <w:vAlign w:val="center"/>
          </w:tcPr>
          <w:p w:rsidR="00F21D71" w:rsidRPr="00AB2265" w:rsidRDefault="00F21D71" w:rsidP="00F21D71">
            <w:pPr>
              <w:pStyle w:val="TableText"/>
              <w:keepNext w:val="0"/>
              <w:jc w:val="center"/>
              <w:rPr>
                <w:b/>
              </w:rPr>
            </w:pPr>
            <w:r w:rsidRPr="00AB2265">
              <w:rPr>
                <w:b/>
              </w:rPr>
              <w:t>$</w:t>
            </w:r>
            <w:r w:rsidR="003F618D">
              <w:rPr>
                <w:b/>
                <w:noProof/>
                <w:color w:val="000000"/>
                <w:highlight w:val="black"/>
              </w:rPr>
              <w:t>''''''''''''''</w:t>
            </w:r>
          </w:p>
        </w:tc>
      </w:tr>
      <w:tr w:rsidR="00F21D71" w:rsidRPr="00AB2265" w:rsidTr="00F21D71">
        <w:tc>
          <w:tcPr>
            <w:tcW w:w="5000" w:type="pct"/>
            <w:gridSpan w:val="4"/>
            <w:vAlign w:val="center"/>
          </w:tcPr>
          <w:p w:rsidR="00F21D71" w:rsidRPr="00AB2265" w:rsidRDefault="00F21D71" w:rsidP="00F21D71">
            <w:pPr>
              <w:pStyle w:val="Tableheadingrow"/>
              <w:keepNext w:val="0"/>
              <w:rPr>
                <w:lang w:val="en-AU"/>
              </w:rPr>
            </w:pPr>
            <w:r w:rsidRPr="00AB2265">
              <w:rPr>
                <w:lang w:val="en-AU"/>
              </w:rPr>
              <w:t>Step 6: Add post MI and post stroke health state costs</w:t>
            </w:r>
          </w:p>
        </w:tc>
      </w:tr>
      <w:tr w:rsidR="00F21D71" w:rsidRPr="00AB2265" w:rsidTr="00F21D71">
        <w:tc>
          <w:tcPr>
            <w:tcW w:w="1529" w:type="pct"/>
            <w:vAlign w:val="center"/>
          </w:tcPr>
          <w:p w:rsidR="00F21D71" w:rsidRPr="00AB2265" w:rsidRDefault="00F21D71" w:rsidP="00F21D71">
            <w:pPr>
              <w:pStyle w:val="TableText"/>
              <w:keepNext w:val="0"/>
              <w:rPr>
                <w:rFonts w:ascii="Times" w:hAnsi="Times"/>
              </w:rPr>
            </w:pPr>
            <w:r w:rsidRPr="00AB2265">
              <w:t>Costs</w:t>
            </w:r>
          </w:p>
        </w:tc>
        <w:tc>
          <w:tcPr>
            <w:tcW w:w="1359" w:type="pct"/>
            <w:vAlign w:val="center"/>
          </w:tcPr>
          <w:p w:rsidR="00F21D71" w:rsidRPr="00AB2265" w:rsidRDefault="00F21D71" w:rsidP="00F21D71">
            <w:pPr>
              <w:pStyle w:val="TableText"/>
              <w:keepNext w:val="0"/>
              <w:jc w:val="center"/>
            </w:pPr>
            <w:r w:rsidRPr="00AB2265">
              <w:t>$</w:t>
            </w:r>
            <w:r w:rsidR="003F618D">
              <w:rPr>
                <w:noProof/>
                <w:color w:val="000000"/>
                <w:highlight w:val="black"/>
              </w:rPr>
              <w:t>''''''''''''''''''''</w:t>
            </w:r>
          </w:p>
        </w:tc>
        <w:tc>
          <w:tcPr>
            <w:tcW w:w="1274" w:type="pct"/>
            <w:vAlign w:val="center"/>
          </w:tcPr>
          <w:p w:rsidR="00F21D71" w:rsidRPr="00AB2265" w:rsidRDefault="00F21D71" w:rsidP="00F21D71">
            <w:pPr>
              <w:pStyle w:val="TableText"/>
              <w:keepNext w:val="0"/>
              <w:jc w:val="center"/>
            </w:pPr>
            <w:r w:rsidRPr="00AB2265">
              <w:t>$</w:t>
            </w:r>
            <w:r w:rsidRPr="00AC0B9A">
              <w:t>72,442</w:t>
            </w:r>
          </w:p>
        </w:tc>
        <w:tc>
          <w:tcPr>
            <w:tcW w:w="838" w:type="pct"/>
            <w:vAlign w:val="center"/>
          </w:tcPr>
          <w:p w:rsidR="00F21D71" w:rsidRPr="00AB2265" w:rsidRDefault="00F21D71" w:rsidP="00F21D71">
            <w:pPr>
              <w:pStyle w:val="TableText"/>
              <w:keepNext w:val="0"/>
              <w:jc w:val="center"/>
            </w:pPr>
            <w:r w:rsidRPr="00AB2265">
              <w:t>$</w:t>
            </w:r>
            <w:r w:rsidR="003F618D">
              <w:rPr>
                <w:noProof/>
                <w:color w:val="000000"/>
                <w:highlight w:val="black"/>
              </w:rPr>
              <w:t>''''''''''''''''''</w:t>
            </w:r>
          </w:p>
        </w:tc>
      </w:tr>
      <w:tr w:rsidR="00F21D71" w:rsidRPr="00AB2265" w:rsidTr="00F21D71">
        <w:tc>
          <w:tcPr>
            <w:tcW w:w="1529" w:type="pct"/>
            <w:vAlign w:val="center"/>
          </w:tcPr>
          <w:p w:rsidR="00F21D71" w:rsidRPr="00AB2265" w:rsidRDefault="00F21D71" w:rsidP="00F21D71">
            <w:pPr>
              <w:pStyle w:val="TableText"/>
              <w:keepNext w:val="0"/>
              <w:rPr>
                <w:rFonts w:ascii="Times" w:hAnsi="Times"/>
              </w:rPr>
            </w:pPr>
            <w:r w:rsidRPr="00AB2265">
              <w:t>LYs</w:t>
            </w:r>
          </w:p>
        </w:tc>
        <w:tc>
          <w:tcPr>
            <w:tcW w:w="1359" w:type="pct"/>
            <w:vAlign w:val="center"/>
          </w:tcPr>
          <w:p w:rsidR="00F21D71" w:rsidRPr="00AB2265" w:rsidRDefault="00F21D71" w:rsidP="00F21D71">
            <w:pPr>
              <w:pStyle w:val="TableText"/>
              <w:keepNext w:val="0"/>
              <w:jc w:val="center"/>
            </w:pPr>
            <w:r w:rsidRPr="00AB2265">
              <w:t>38.037</w:t>
            </w:r>
          </w:p>
        </w:tc>
        <w:tc>
          <w:tcPr>
            <w:tcW w:w="1274" w:type="pct"/>
            <w:vAlign w:val="center"/>
          </w:tcPr>
          <w:p w:rsidR="00F21D71" w:rsidRPr="00AB2265" w:rsidRDefault="00F21D71" w:rsidP="00F21D71">
            <w:pPr>
              <w:pStyle w:val="TableText"/>
              <w:keepNext w:val="0"/>
              <w:jc w:val="center"/>
            </w:pPr>
            <w:r w:rsidRPr="00AB2265">
              <w:t>34.311</w:t>
            </w:r>
          </w:p>
        </w:tc>
        <w:tc>
          <w:tcPr>
            <w:tcW w:w="838" w:type="pct"/>
            <w:vAlign w:val="center"/>
          </w:tcPr>
          <w:p w:rsidR="00F21D71" w:rsidRPr="00AB2265" w:rsidRDefault="00F21D71" w:rsidP="00F21D71">
            <w:pPr>
              <w:pStyle w:val="TableText"/>
              <w:keepNext w:val="0"/>
              <w:jc w:val="center"/>
            </w:pPr>
            <w:r w:rsidRPr="00AB2265">
              <w:t>3.726</w:t>
            </w:r>
          </w:p>
        </w:tc>
      </w:tr>
      <w:tr w:rsidR="00F21D71" w:rsidRPr="00AB2265" w:rsidTr="00F21D71">
        <w:tc>
          <w:tcPr>
            <w:tcW w:w="4162" w:type="pct"/>
            <w:gridSpan w:val="3"/>
            <w:vAlign w:val="center"/>
          </w:tcPr>
          <w:p w:rsidR="00F21D71" w:rsidRPr="00AB2265" w:rsidRDefault="00F21D71" w:rsidP="00F21D71">
            <w:pPr>
              <w:pStyle w:val="TableText"/>
              <w:keepNext w:val="0"/>
              <w:rPr>
                <w:rFonts w:ascii="Times" w:hAnsi="Times"/>
                <w:b/>
              </w:rPr>
            </w:pPr>
            <w:r w:rsidRPr="00AB2265">
              <w:rPr>
                <w:b/>
              </w:rPr>
              <w:t>Incremental cost/LY gained</w:t>
            </w:r>
          </w:p>
        </w:tc>
        <w:tc>
          <w:tcPr>
            <w:tcW w:w="838" w:type="pct"/>
            <w:vAlign w:val="center"/>
          </w:tcPr>
          <w:p w:rsidR="00F21D71" w:rsidRPr="00AB2265" w:rsidRDefault="00F21D71" w:rsidP="00F21D71">
            <w:pPr>
              <w:pStyle w:val="TableText"/>
              <w:keepNext w:val="0"/>
              <w:jc w:val="center"/>
              <w:rPr>
                <w:b/>
              </w:rPr>
            </w:pPr>
            <w:r w:rsidRPr="00AB2265">
              <w:rPr>
                <w:b/>
              </w:rPr>
              <w:t>$</w:t>
            </w:r>
            <w:r w:rsidR="003F618D">
              <w:rPr>
                <w:b/>
                <w:noProof/>
                <w:color w:val="000000"/>
                <w:highlight w:val="black"/>
              </w:rPr>
              <w:t>''''''''''''''</w:t>
            </w:r>
          </w:p>
        </w:tc>
      </w:tr>
      <w:tr w:rsidR="00F21D71" w:rsidRPr="00AB2265" w:rsidTr="00F21D71">
        <w:tc>
          <w:tcPr>
            <w:tcW w:w="5000" w:type="pct"/>
            <w:gridSpan w:val="4"/>
            <w:vAlign w:val="center"/>
          </w:tcPr>
          <w:p w:rsidR="00F21D71" w:rsidRPr="00AB2265" w:rsidRDefault="00F21D71" w:rsidP="00F21D71">
            <w:pPr>
              <w:pStyle w:val="Tableheadingrow"/>
              <w:keepNext w:val="0"/>
              <w:rPr>
                <w:lang w:val="en-AU"/>
              </w:rPr>
            </w:pPr>
            <w:r w:rsidRPr="00AB2265">
              <w:rPr>
                <w:lang w:val="en-AU"/>
              </w:rPr>
              <w:t>Step 7: Include health state utility values</w:t>
            </w:r>
          </w:p>
        </w:tc>
      </w:tr>
      <w:tr w:rsidR="00F21D71" w:rsidRPr="00AB2265" w:rsidTr="00F21D71">
        <w:tc>
          <w:tcPr>
            <w:tcW w:w="1529" w:type="pct"/>
            <w:vAlign w:val="center"/>
          </w:tcPr>
          <w:p w:rsidR="00F21D71" w:rsidRPr="00AB2265" w:rsidRDefault="00F21D71" w:rsidP="00F21D71">
            <w:pPr>
              <w:pStyle w:val="TableText"/>
              <w:keepNext w:val="0"/>
              <w:rPr>
                <w:rFonts w:ascii="Times" w:hAnsi="Times"/>
              </w:rPr>
            </w:pPr>
            <w:r w:rsidRPr="00AB2265">
              <w:t>Costs</w:t>
            </w:r>
          </w:p>
        </w:tc>
        <w:tc>
          <w:tcPr>
            <w:tcW w:w="1359" w:type="pct"/>
            <w:vAlign w:val="center"/>
          </w:tcPr>
          <w:p w:rsidR="00F21D71" w:rsidRPr="00AB2265" w:rsidRDefault="00F21D71" w:rsidP="00F21D71">
            <w:pPr>
              <w:pStyle w:val="TableText"/>
              <w:keepNext w:val="0"/>
              <w:jc w:val="center"/>
            </w:pPr>
            <w:r w:rsidRPr="00AB2265">
              <w:t>$</w:t>
            </w:r>
            <w:r w:rsidR="003F618D">
              <w:rPr>
                <w:noProof/>
                <w:color w:val="000000"/>
                <w:highlight w:val="black"/>
              </w:rPr>
              <w:t>''''''''''''''''''</w:t>
            </w:r>
          </w:p>
        </w:tc>
        <w:tc>
          <w:tcPr>
            <w:tcW w:w="1274" w:type="pct"/>
            <w:vAlign w:val="center"/>
          </w:tcPr>
          <w:p w:rsidR="00F21D71" w:rsidRPr="00AB2265" w:rsidRDefault="00F21D71" w:rsidP="00F21D71">
            <w:pPr>
              <w:pStyle w:val="TableText"/>
              <w:keepNext w:val="0"/>
              <w:jc w:val="center"/>
            </w:pPr>
            <w:r w:rsidRPr="00AB2265">
              <w:t>$</w:t>
            </w:r>
            <w:r w:rsidRPr="00AC0B9A">
              <w:t>72,442</w:t>
            </w:r>
          </w:p>
        </w:tc>
        <w:tc>
          <w:tcPr>
            <w:tcW w:w="838" w:type="pct"/>
            <w:vAlign w:val="center"/>
          </w:tcPr>
          <w:p w:rsidR="00F21D71" w:rsidRPr="00AB2265" w:rsidRDefault="00F21D71" w:rsidP="00F21D71">
            <w:pPr>
              <w:pStyle w:val="TableText"/>
              <w:keepNext w:val="0"/>
              <w:jc w:val="center"/>
            </w:pPr>
            <w:r w:rsidRPr="00AB2265">
              <w:t>$</w:t>
            </w:r>
            <w:r w:rsidR="003F618D">
              <w:rPr>
                <w:noProof/>
                <w:color w:val="000000"/>
                <w:highlight w:val="black"/>
              </w:rPr>
              <w:t>''''''''''''''''''</w:t>
            </w:r>
          </w:p>
        </w:tc>
      </w:tr>
      <w:tr w:rsidR="00F21D71" w:rsidRPr="00AB2265" w:rsidTr="00F21D71">
        <w:tc>
          <w:tcPr>
            <w:tcW w:w="1529" w:type="pct"/>
            <w:vAlign w:val="center"/>
          </w:tcPr>
          <w:p w:rsidR="00F21D71" w:rsidRPr="00AB2265" w:rsidRDefault="00F21D71" w:rsidP="00F21D71">
            <w:pPr>
              <w:pStyle w:val="TableText"/>
              <w:keepNext w:val="0"/>
              <w:rPr>
                <w:rFonts w:ascii="Times" w:hAnsi="Times"/>
              </w:rPr>
            </w:pPr>
            <w:r w:rsidRPr="00AB2265">
              <w:t>QALYs</w:t>
            </w:r>
          </w:p>
        </w:tc>
        <w:tc>
          <w:tcPr>
            <w:tcW w:w="1359" w:type="pct"/>
            <w:vAlign w:val="center"/>
          </w:tcPr>
          <w:p w:rsidR="00F21D71" w:rsidRPr="00AB2265" w:rsidRDefault="00F21D71" w:rsidP="00F21D71">
            <w:pPr>
              <w:pStyle w:val="TableText"/>
              <w:keepNext w:val="0"/>
              <w:jc w:val="center"/>
            </w:pPr>
            <w:r w:rsidRPr="00AB2265">
              <w:t>32.591</w:t>
            </w:r>
          </w:p>
        </w:tc>
        <w:tc>
          <w:tcPr>
            <w:tcW w:w="1274" w:type="pct"/>
            <w:vAlign w:val="center"/>
          </w:tcPr>
          <w:p w:rsidR="00F21D71" w:rsidRPr="00AB2265" w:rsidRDefault="00F21D71" w:rsidP="00F21D71">
            <w:pPr>
              <w:pStyle w:val="TableText"/>
              <w:keepNext w:val="0"/>
              <w:jc w:val="center"/>
            </w:pPr>
            <w:r w:rsidRPr="00AB2265">
              <w:t>29.272</w:t>
            </w:r>
          </w:p>
        </w:tc>
        <w:tc>
          <w:tcPr>
            <w:tcW w:w="838" w:type="pct"/>
            <w:vAlign w:val="center"/>
          </w:tcPr>
          <w:p w:rsidR="00F21D71" w:rsidRPr="00AB2265" w:rsidRDefault="00F21D71" w:rsidP="00F21D71">
            <w:pPr>
              <w:pStyle w:val="TableText"/>
              <w:keepNext w:val="0"/>
              <w:jc w:val="center"/>
            </w:pPr>
            <w:r w:rsidRPr="00AB2265">
              <w:t>3.32</w:t>
            </w:r>
          </w:p>
        </w:tc>
      </w:tr>
      <w:tr w:rsidR="00F21D71" w:rsidRPr="00AB2265" w:rsidTr="00F21D71">
        <w:tc>
          <w:tcPr>
            <w:tcW w:w="4162" w:type="pct"/>
            <w:gridSpan w:val="3"/>
            <w:vAlign w:val="center"/>
          </w:tcPr>
          <w:p w:rsidR="00F21D71" w:rsidRPr="00AB2265" w:rsidRDefault="00F21D71" w:rsidP="00F21D71">
            <w:pPr>
              <w:pStyle w:val="TableText"/>
              <w:keepNext w:val="0"/>
              <w:rPr>
                <w:rFonts w:ascii="Times" w:hAnsi="Times"/>
                <w:b/>
              </w:rPr>
            </w:pPr>
            <w:r w:rsidRPr="00AB2265">
              <w:rPr>
                <w:b/>
              </w:rPr>
              <w:t xml:space="preserve">Incremental cost/QALY gained </w:t>
            </w:r>
          </w:p>
        </w:tc>
        <w:tc>
          <w:tcPr>
            <w:tcW w:w="838" w:type="pct"/>
            <w:vAlign w:val="center"/>
          </w:tcPr>
          <w:p w:rsidR="00F21D71" w:rsidRPr="00AB2265" w:rsidRDefault="00F21D71" w:rsidP="00F21D71">
            <w:pPr>
              <w:pStyle w:val="TableText"/>
              <w:keepNext w:val="0"/>
              <w:jc w:val="center"/>
              <w:rPr>
                <w:b/>
              </w:rPr>
            </w:pPr>
            <w:r w:rsidRPr="00AB2265">
              <w:rPr>
                <w:b/>
              </w:rPr>
              <w:t>$</w:t>
            </w:r>
            <w:r w:rsidR="003F618D">
              <w:rPr>
                <w:b/>
                <w:noProof/>
                <w:color w:val="000000"/>
                <w:highlight w:val="black"/>
              </w:rPr>
              <w:t>''''''''''''</w:t>
            </w:r>
          </w:p>
        </w:tc>
      </w:tr>
      <w:tr w:rsidR="00F21D71" w:rsidRPr="00AB2265" w:rsidTr="00F21D71">
        <w:tc>
          <w:tcPr>
            <w:tcW w:w="5000" w:type="pct"/>
            <w:gridSpan w:val="4"/>
            <w:vAlign w:val="center"/>
          </w:tcPr>
          <w:p w:rsidR="00F21D71" w:rsidRPr="00AB2265" w:rsidRDefault="00F21D71" w:rsidP="00F21D71">
            <w:pPr>
              <w:pStyle w:val="Tableheadingrow"/>
              <w:keepNext w:val="0"/>
              <w:rPr>
                <w:lang w:val="en-AU"/>
              </w:rPr>
            </w:pPr>
            <w:r w:rsidRPr="00AB2265">
              <w:rPr>
                <w:lang w:val="en-AU"/>
              </w:rPr>
              <w:t>Step 8: Apply 5% discount rate to costs and consequences</w:t>
            </w:r>
          </w:p>
        </w:tc>
      </w:tr>
      <w:tr w:rsidR="00F21D71" w:rsidRPr="00AB2265" w:rsidTr="00F21D71">
        <w:tc>
          <w:tcPr>
            <w:tcW w:w="1529" w:type="pct"/>
            <w:vAlign w:val="center"/>
          </w:tcPr>
          <w:p w:rsidR="00F21D71" w:rsidRPr="00AB2265" w:rsidRDefault="00F21D71" w:rsidP="00F21D71">
            <w:pPr>
              <w:pStyle w:val="TableText"/>
              <w:keepNext w:val="0"/>
              <w:rPr>
                <w:rFonts w:ascii="Times" w:hAnsi="Times"/>
              </w:rPr>
            </w:pPr>
            <w:r w:rsidRPr="00AB2265">
              <w:t>Costs</w:t>
            </w:r>
          </w:p>
        </w:tc>
        <w:tc>
          <w:tcPr>
            <w:tcW w:w="1359" w:type="pct"/>
            <w:vAlign w:val="center"/>
          </w:tcPr>
          <w:p w:rsidR="00F21D71" w:rsidRPr="00AB2265" w:rsidRDefault="00F21D71" w:rsidP="00F21D71">
            <w:pPr>
              <w:pStyle w:val="TableText"/>
              <w:keepNext w:val="0"/>
              <w:jc w:val="center"/>
              <w:rPr>
                <w:rFonts w:ascii="Times" w:hAnsi="Times"/>
              </w:rPr>
            </w:pPr>
            <w:r w:rsidRPr="00AB2265">
              <w:t>$</w:t>
            </w:r>
            <w:r w:rsidR="003F618D">
              <w:rPr>
                <w:noProof/>
                <w:color w:val="000000"/>
                <w:highlight w:val="black"/>
              </w:rPr>
              <w:t>''''''''''''''''''''</w:t>
            </w:r>
          </w:p>
        </w:tc>
        <w:tc>
          <w:tcPr>
            <w:tcW w:w="1274" w:type="pct"/>
            <w:vAlign w:val="center"/>
          </w:tcPr>
          <w:p w:rsidR="00F21D71" w:rsidRPr="00AB2265" w:rsidRDefault="00F21D71" w:rsidP="00F21D71">
            <w:pPr>
              <w:pStyle w:val="TableText"/>
              <w:keepNext w:val="0"/>
              <w:jc w:val="center"/>
              <w:rPr>
                <w:rFonts w:ascii="Times" w:hAnsi="Times"/>
              </w:rPr>
            </w:pPr>
            <w:r w:rsidRPr="00AB2265">
              <w:t>$</w:t>
            </w:r>
            <w:r w:rsidRPr="00AC0B9A">
              <w:t>67,834</w:t>
            </w:r>
          </w:p>
        </w:tc>
        <w:tc>
          <w:tcPr>
            <w:tcW w:w="838" w:type="pct"/>
            <w:vAlign w:val="center"/>
          </w:tcPr>
          <w:p w:rsidR="00F21D71" w:rsidRPr="00AB2265" w:rsidRDefault="00F21D71" w:rsidP="00F21D71">
            <w:pPr>
              <w:pStyle w:val="TableText"/>
              <w:keepNext w:val="0"/>
              <w:jc w:val="center"/>
              <w:rPr>
                <w:rFonts w:ascii="Times" w:hAnsi="Times"/>
              </w:rPr>
            </w:pPr>
            <w:r w:rsidRPr="00AB2265">
              <w:t>$</w:t>
            </w:r>
            <w:r w:rsidR="003F618D">
              <w:rPr>
                <w:noProof/>
                <w:color w:val="000000"/>
                <w:highlight w:val="black"/>
              </w:rPr>
              <w:t>'''''''''''''''''</w:t>
            </w:r>
          </w:p>
        </w:tc>
      </w:tr>
      <w:tr w:rsidR="00F21D71" w:rsidRPr="00AB2265" w:rsidTr="00F21D71">
        <w:tc>
          <w:tcPr>
            <w:tcW w:w="1529" w:type="pct"/>
            <w:vAlign w:val="center"/>
          </w:tcPr>
          <w:p w:rsidR="00F21D71" w:rsidRPr="00AB2265" w:rsidRDefault="00F21D71" w:rsidP="00F21D71">
            <w:pPr>
              <w:pStyle w:val="TableText"/>
              <w:keepNext w:val="0"/>
              <w:rPr>
                <w:rFonts w:ascii="Times" w:hAnsi="Times"/>
              </w:rPr>
            </w:pPr>
            <w:r w:rsidRPr="00AB2265">
              <w:t>QALYs</w:t>
            </w:r>
          </w:p>
        </w:tc>
        <w:tc>
          <w:tcPr>
            <w:tcW w:w="1359" w:type="pct"/>
            <w:vAlign w:val="center"/>
          </w:tcPr>
          <w:p w:rsidR="00F21D71" w:rsidRPr="00AB2265" w:rsidRDefault="00F21D71" w:rsidP="00F21D71">
            <w:pPr>
              <w:pStyle w:val="TableText"/>
              <w:keepNext w:val="0"/>
              <w:jc w:val="center"/>
              <w:rPr>
                <w:rFonts w:ascii="Times" w:hAnsi="Times"/>
              </w:rPr>
            </w:pPr>
            <w:r w:rsidRPr="00AB2265">
              <w:t>14.185</w:t>
            </w:r>
          </w:p>
        </w:tc>
        <w:tc>
          <w:tcPr>
            <w:tcW w:w="1274" w:type="pct"/>
            <w:vAlign w:val="center"/>
          </w:tcPr>
          <w:p w:rsidR="00F21D71" w:rsidRPr="00AB2265" w:rsidRDefault="00F21D71" w:rsidP="00F21D71">
            <w:pPr>
              <w:pStyle w:val="TableText"/>
              <w:keepNext w:val="0"/>
              <w:jc w:val="center"/>
              <w:rPr>
                <w:rFonts w:ascii="Times" w:hAnsi="Times"/>
              </w:rPr>
            </w:pPr>
            <w:r w:rsidRPr="00AB2265">
              <w:t>12.768</w:t>
            </w:r>
          </w:p>
        </w:tc>
        <w:tc>
          <w:tcPr>
            <w:tcW w:w="838" w:type="pct"/>
            <w:vAlign w:val="center"/>
          </w:tcPr>
          <w:p w:rsidR="00F21D71" w:rsidRPr="00AB2265" w:rsidRDefault="00F21D71" w:rsidP="00F21D71">
            <w:pPr>
              <w:pStyle w:val="TableText"/>
              <w:keepNext w:val="0"/>
              <w:jc w:val="center"/>
            </w:pPr>
            <w:r w:rsidRPr="00AB2265">
              <w:t>1.416</w:t>
            </w:r>
          </w:p>
        </w:tc>
      </w:tr>
      <w:tr w:rsidR="00F21D71" w:rsidRPr="00AB2265" w:rsidTr="00F21D71">
        <w:tc>
          <w:tcPr>
            <w:tcW w:w="4162" w:type="pct"/>
            <w:gridSpan w:val="3"/>
            <w:vAlign w:val="center"/>
          </w:tcPr>
          <w:p w:rsidR="00F21D71" w:rsidRPr="00AB2265" w:rsidRDefault="00F21D71" w:rsidP="00F21D71">
            <w:pPr>
              <w:pStyle w:val="TableText"/>
              <w:keepNext w:val="0"/>
              <w:rPr>
                <w:rFonts w:ascii="Times" w:hAnsi="Times"/>
                <w:b/>
              </w:rPr>
            </w:pPr>
            <w:r w:rsidRPr="00AB2265">
              <w:rPr>
                <w:b/>
              </w:rPr>
              <w:t>Incremental cost/QALY gained (base case)</w:t>
            </w:r>
          </w:p>
        </w:tc>
        <w:tc>
          <w:tcPr>
            <w:tcW w:w="838" w:type="pct"/>
            <w:vAlign w:val="center"/>
          </w:tcPr>
          <w:p w:rsidR="00F21D71" w:rsidRPr="00AB2265" w:rsidRDefault="00F21D71" w:rsidP="00F21D71">
            <w:pPr>
              <w:pStyle w:val="TableText"/>
              <w:keepNext w:val="0"/>
              <w:jc w:val="center"/>
              <w:rPr>
                <w:rFonts w:ascii="Times" w:hAnsi="Times"/>
                <w:b/>
              </w:rPr>
            </w:pPr>
            <w:r w:rsidRPr="00AB2265">
              <w:rPr>
                <w:b/>
              </w:rPr>
              <w:t>$</w:t>
            </w:r>
            <w:r w:rsidR="003F618D">
              <w:rPr>
                <w:b/>
                <w:noProof/>
                <w:color w:val="000000"/>
                <w:highlight w:val="black"/>
              </w:rPr>
              <w:t>''''''''''''</w:t>
            </w:r>
          </w:p>
        </w:tc>
      </w:tr>
    </w:tbl>
    <w:p w:rsidR="00F21D71" w:rsidRPr="00AB2265" w:rsidRDefault="00F21D71" w:rsidP="00F21D71">
      <w:pPr>
        <w:pStyle w:val="TableFigureFooter"/>
        <w:rPr>
          <w:sz w:val="20"/>
        </w:rPr>
      </w:pPr>
      <w:r w:rsidRPr="00AB2265">
        <w:t>Source: Table 3.8.2, p 154 and ‘Cablivi+PBAC+Section+3+CEA_March+2020’ Excel workbook, Attachment 7 of the submission</w:t>
      </w:r>
    </w:p>
    <w:p w:rsidR="00F21D71" w:rsidRPr="00AB2265" w:rsidRDefault="00F21D71" w:rsidP="00F21D71">
      <w:pPr>
        <w:pStyle w:val="TableFigureFooter"/>
      </w:pPr>
      <w:r w:rsidRPr="00AB2265">
        <w:t>Abbreviations: LY, life years; QALY, quality adjusted life years</w:t>
      </w:r>
    </w:p>
    <w:p w:rsidR="00F21D71" w:rsidRPr="00AB2265" w:rsidRDefault="00F21D71" w:rsidP="00F21D71">
      <w:pPr>
        <w:pStyle w:val="TableFigureFooter"/>
      </w:pPr>
      <w:proofErr w:type="gramStart"/>
      <w:r w:rsidRPr="00AB2265">
        <w:rPr>
          <w:vertAlign w:val="superscript"/>
        </w:rPr>
        <w:t>a</w:t>
      </w:r>
      <w:proofErr w:type="gramEnd"/>
      <w:r w:rsidRPr="00AB2265">
        <w:t xml:space="preserve"> There was no change to cumulative life years in both arms as the submission assumed no deaths due to cardiovascular events in the first cycle</w:t>
      </w:r>
    </w:p>
    <w:p w:rsidR="00F21D71" w:rsidRPr="00AB2265" w:rsidRDefault="00F21D71" w:rsidP="00F21D71">
      <w:pPr>
        <w:pStyle w:val="ExecSumBodyText"/>
        <w:numPr>
          <w:ilvl w:val="1"/>
          <w:numId w:val="1"/>
        </w:numPr>
      </w:pPr>
      <w:r w:rsidRPr="00AB2265">
        <w:lastRenderedPageBreak/>
        <w:t>The modelled survival benefit with caplacizumab treatment during the acute aTTP episode and extrapolation to 60 years had the largest impacts on the stepped economic evaluation.</w:t>
      </w:r>
      <w:r w:rsidR="00685E08" w:rsidRPr="00AB2265">
        <w:t xml:space="preserve"> </w:t>
      </w:r>
    </w:p>
    <w:p w:rsidR="00251C9C" w:rsidRPr="00AB2265" w:rsidRDefault="00F21D71" w:rsidP="00251C9C">
      <w:pPr>
        <w:pStyle w:val="ExecSumBodyText"/>
        <w:numPr>
          <w:ilvl w:val="1"/>
          <w:numId w:val="1"/>
        </w:numPr>
      </w:pPr>
      <w:r w:rsidRPr="00AB2265">
        <w:t xml:space="preserve">Based on the economic model, treatment with caplacizumab was associated with a cost per QALY gained of </w:t>
      </w:r>
      <w:r w:rsidR="001A46CC" w:rsidRPr="00B1026A">
        <w:rPr>
          <w:rFonts w:cstheme="minorHAnsi"/>
        </w:rPr>
        <w:t>$75,000 to &lt; $95,000</w:t>
      </w:r>
      <w:r w:rsidRPr="00AB2265">
        <w:t xml:space="preserve"> compared with standard of care. The</w:t>
      </w:r>
      <w:r w:rsidR="00251C9C" w:rsidRPr="00AB2265">
        <w:t xml:space="preserve"> ESC agreed with the </w:t>
      </w:r>
      <w:r w:rsidR="00311426" w:rsidRPr="00AB2265">
        <w:t>evaluation</w:t>
      </w:r>
      <w:r w:rsidR="00251C9C" w:rsidRPr="00AB2265">
        <w:t xml:space="preserve"> that the</w:t>
      </w:r>
      <w:r w:rsidRPr="00AB2265">
        <w:t xml:space="preserve"> cost-effectiveness estimate should not be considered reliable as extrapolated benefits to 60 years were based on limited mortality data from the trials combined with mortality rates from the Alwan 2017 study, an assumed survival benefit with caplacizumab and inadequately supported assumptions regarding long-term consequences.</w:t>
      </w:r>
      <w:r w:rsidR="00251C9C" w:rsidRPr="00AB2265">
        <w:t xml:space="preserve"> </w:t>
      </w:r>
    </w:p>
    <w:p w:rsidR="00F21D71" w:rsidRPr="00AB2265" w:rsidRDefault="00F21D71" w:rsidP="00F21D71">
      <w:pPr>
        <w:pStyle w:val="ExecSumBodyText"/>
        <w:numPr>
          <w:ilvl w:val="1"/>
          <w:numId w:val="1"/>
        </w:numPr>
      </w:pPr>
      <w:r w:rsidRPr="00AB2265">
        <w:t>The figure below illustrates the distribution of patients in each health state (no acute MI/stroke, acute MI, acute stroke, no chronic MI/stroke, chronic MI, chronic stroke, dead) over the model duration.</w:t>
      </w:r>
    </w:p>
    <w:p w:rsidR="00F21D71" w:rsidRPr="00AB2265" w:rsidRDefault="00F21D71" w:rsidP="00F21D71">
      <w:pPr>
        <w:pStyle w:val="Tableheadingrow"/>
        <w:jc w:val="both"/>
        <w:rPr>
          <w:lang w:val="en-AU"/>
        </w:rPr>
      </w:pPr>
      <w:r w:rsidRPr="00AB2265">
        <w:rPr>
          <w:lang w:val="en-AU"/>
        </w:rPr>
        <w:t xml:space="preserve">Figure 4: Markov trace of no prior MI/stroke, post stroke, post MI and total death </w:t>
      </w:r>
    </w:p>
    <w:p w:rsidR="00F21D71" w:rsidRPr="00AB2265" w:rsidRDefault="00F21D71" w:rsidP="00F21D71">
      <w:r w:rsidRPr="00AB2265">
        <w:rPr>
          <w:noProof/>
        </w:rPr>
        <w:drawing>
          <wp:inline distT="0" distB="0" distL="0" distR="0" wp14:anchorId="0F2FD0D4" wp14:editId="386B0F63">
            <wp:extent cx="5693681" cy="4022202"/>
            <wp:effectExtent l="0" t="0" r="2540" b="0"/>
            <wp:docPr id="11" name="Picture 11" title="Figure 4: Markov trace of no prior MI/stroke, post stroke, post MI and total dea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4586" cy="4029905"/>
                    </a:xfrm>
                    <a:prstGeom prst="rect">
                      <a:avLst/>
                    </a:prstGeom>
                    <a:noFill/>
                  </pic:spPr>
                </pic:pic>
              </a:graphicData>
            </a:graphic>
          </wp:inline>
        </w:drawing>
      </w:r>
    </w:p>
    <w:p w:rsidR="00F21D71" w:rsidRPr="00AB2265" w:rsidRDefault="00F21D71" w:rsidP="00F21D71">
      <w:pPr>
        <w:pStyle w:val="TableFigureFooter"/>
      </w:pPr>
      <w:r w:rsidRPr="00AB2265">
        <w:t>Source: Constructed during the evaluation using ‘Cablivi+PBAC+Section+3+CEA_March+2020’ Excel workbook, Attachment 7 of the submission</w:t>
      </w:r>
    </w:p>
    <w:p w:rsidR="00F21D71" w:rsidRPr="00AB2265" w:rsidRDefault="00F21D71" w:rsidP="00F21D71">
      <w:pPr>
        <w:pStyle w:val="TableFigureFooter"/>
      </w:pPr>
      <w:r w:rsidRPr="00AB2265">
        <w:t>Abbreviation: MI, myocardial infarction</w:t>
      </w:r>
    </w:p>
    <w:p w:rsidR="00F21D71" w:rsidRPr="00AB2265" w:rsidRDefault="00F21D71" w:rsidP="00F21D71">
      <w:pPr>
        <w:pStyle w:val="ExecSumBodyText"/>
        <w:numPr>
          <w:ilvl w:val="1"/>
          <w:numId w:val="1"/>
        </w:numPr>
      </w:pPr>
      <w:r w:rsidRPr="00AB2265">
        <w:t xml:space="preserve">The Markov trace shows that while the treatment effect of caplacizumab was in the initial cycle, the ongoing consequences of remaining in the no prior MI/stroke health state from Cycle 2 (6 months) resulted in a substantial prolonged benefit. The ongoing </w:t>
      </w:r>
      <w:r w:rsidRPr="00AB2265">
        <w:lastRenderedPageBreak/>
        <w:t xml:space="preserve">benefit was driven by deaths occurring due to the acute aTTP episode, with events due to MI and stroke having a minimal impact. </w:t>
      </w:r>
      <w:r w:rsidR="00DA15E1" w:rsidRPr="00AB2265">
        <w:t xml:space="preserve">The ESC </w:t>
      </w:r>
      <w:r w:rsidR="00311426" w:rsidRPr="00AB2265">
        <w:t>consider</w:t>
      </w:r>
      <w:r w:rsidR="00DA15E1" w:rsidRPr="00AB2265">
        <w:t>ed that the</w:t>
      </w:r>
      <w:r w:rsidR="00DA15E1" w:rsidRPr="00AB2265">
        <w:rPr>
          <w:i/>
        </w:rPr>
        <w:t xml:space="preserve"> </w:t>
      </w:r>
      <w:r w:rsidR="00DA15E1" w:rsidRPr="00AB2265">
        <w:t>m</w:t>
      </w:r>
      <w:r w:rsidRPr="00AB2265">
        <w:t xml:space="preserve">odelled survival benefits due to caplacizumab treatment were inappropriately derived and insufficiently supported by the limited trial data. No data were provided in support of changes to long-term consequences when adding caplacizumab to standard of care during the acute aTTP episode. </w:t>
      </w:r>
    </w:p>
    <w:p w:rsidR="00F21D71" w:rsidRPr="00AB2265" w:rsidRDefault="00F21D71" w:rsidP="00F21D71">
      <w:pPr>
        <w:pStyle w:val="ExecSumBodyText"/>
        <w:numPr>
          <w:ilvl w:val="1"/>
          <w:numId w:val="1"/>
        </w:numPr>
      </w:pPr>
      <w:r w:rsidRPr="00AB2265">
        <w:t>The results of key sensitivity analyses are summarised below.</w:t>
      </w:r>
    </w:p>
    <w:p w:rsidR="00F21D71" w:rsidRPr="00AB2265" w:rsidRDefault="00F21D71" w:rsidP="001C6279">
      <w:pPr>
        <w:pStyle w:val="TableFigureCaption"/>
        <w:keepLines/>
      </w:pPr>
      <w:r w:rsidRPr="00AB2265">
        <w:lastRenderedPageBreak/>
        <w:t>Table</w:t>
      </w:r>
      <w:r w:rsidR="00C979CC" w:rsidRPr="00AB2265">
        <w:t xml:space="preserve"> 20</w:t>
      </w:r>
      <w:r w:rsidRPr="00AB2265">
        <w:t>: Results of sensitivity analyses</w:t>
      </w: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701"/>
        <w:gridCol w:w="1701"/>
        <w:gridCol w:w="1360"/>
      </w:tblGrid>
      <w:tr w:rsidR="00F21D71" w:rsidRPr="00AB2265" w:rsidTr="001E19E0">
        <w:trPr>
          <w:tblHeader/>
        </w:trPr>
        <w:tc>
          <w:tcPr>
            <w:tcW w:w="4248" w:type="dxa"/>
            <w:vAlign w:val="center"/>
          </w:tcPr>
          <w:p w:rsidR="00F21D71" w:rsidRPr="00AB2265" w:rsidRDefault="00F21D71" w:rsidP="001C6279">
            <w:pPr>
              <w:pStyle w:val="Tableheadingrow"/>
              <w:keepLines/>
              <w:rPr>
                <w:lang w:val="en-AU"/>
              </w:rPr>
            </w:pPr>
            <w:r w:rsidRPr="00AB2265">
              <w:rPr>
                <w:lang w:val="en-AU"/>
              </w:rPr>
              <w:t>Analyses</w:t>
            </w:r>
          </w:p>
        </w:tc>
        <w:tc>
          <w:tcPr>
            <w:tcW w:w="1701" w:type="dxa"/>
            <w:vAlign w:val="center"/>
          </w:tcPr>
          <w:p w:rsidR="00F21D71" w:rsidRPr="00AB2265" w:rsidRDefault="00F21D71" w:rsidP="001C6279">
            <w:pPr>
              <w:pStyle w:val="Tableheadingrow"/>
              <w:keepLines/>
              <w:jc w:val="center"/>
              <w:rPr>
                <w:lang w:val="en-AU"/>
              </w:rPr>
            </w:pPr>
            <w:r w:rsidRPr="00AB2265">
              <w:rPr>
                <w:lang w:val="en-AU"/>
              </w:rPr>
              <w:t>Incremental cost</w:t>
            </w:r>
          </w:p>
        </w:tc>
        <w:tc>
          <w:tcPr>
            <w:tcW w:w="1701" w:type="dxa"/>
            <w:vAlign w:val="center"/>
          </w:tcPr>
          <w:p w:rsidR="00F21D71" w:rsidRPr="00AB2265" w:rsidRDefault="00F21D71" w:rsidP="001C6279">
            <w:pPr>
              <w:pStyle w:val="Tableheadingrow"/>
              <w:keepLines/>
              <w:jc w:val="center"/>
              <w:rPr>
                <w:lang w:val="en-AU"/>
              </w:rPr>
            </w:pPr>
            <w:r w:rsidRPr="00AB2265">
              <w:rPr>
                <w:lang w:val="en-AU"/>
              </w:rPr>
              <w:t>Incremental QALY</w:t>
            </w:r>
          </w:p>
        </w:tc>
        <w:tc>
          <w:tcPr>
            <w:tcW w:w="1360" w:type="dxa"/>
            <w:vAlign w:val="center"/>
          </w:tcPr>
          <w:p w:rsidR="00F21D71" w:rsidRPr="00AB2265" w:rsidRDefault="00F21D71" w:rsidP="001C6279">
            <w:pPr>
              <w:pStyle w:val="Tableheadingrow"/>
              <w:keepLines/>
              <w:jc w:val="center"/>
              <w:rPr>
                <w:lang w:val="en-AU"/>
              </w:rPr>
            </w:pPr>
            <w:r w:rsidRPr="00AB2265">
              <w:rPr>
                <w:lang w:val="en-AU"/>
              </w:rPr>
              <w:t>ICER</w:t>
            </w:r>
          </w:p>
        </w:tc>
      </w:tr>
      <w:tr w:rsidR="00F21D71" w:rsidRPr="00AB2265" w:rsidTr="001E19E0">
        <w:tc>
          <w:tcPr>
            <w:tcW w:w="4248" w:type="dxa"/>
            <w:vAlign w:val="center"/>
          </w:tcPr>
          <w:p w:rsidR="00F21D71" w:rsidRPr="00AB2265" w:rsidRDefault="00F21D71" w:rsidP="001C6279">
            <w:pPr>
              <w:pStyle w:val="TableText"/>
              <w:keepLines/>
              <w:rPr>
                <w:b/>
              </w:rPr>
            </w:pPr>
            <w:r w:rsidRPr="00AB2265">
              <w:rPr>
                <w:b/>
              </w:rPr>
              <w:t>Base case</w:t>
            </w:r>
          </w:p>
        </w:tc>
        <w:tc>
          <w:tcPr>
            <w:tcW w:w="1701" w:type="dxa"/>
            <w:vAlign w:val="center"/>
          </w:tcPr>
          <w:p w:rsidR="00F21D71" w:rsidRPr="00AB2265" w:rsidRDefault="00F21D71" w:rsidP="001C6279">
            <w:pPr>
              <w:pStyle w:val="TableText"/>
              <w:keepLines/>
              <w:jc w:val="center"/>
              <w:rPr>
                <w:b/>
              </w:rPr>
            </w:pPr>
            <w:r w:rsidRPr="00AB2265">
              <w:rPr>
                <w:b/>
              </w:rPr>
              <w:t>$</w:t>
            </w:r>
            <w:r w:rsidR="003F618D">
              <w:rPr>
                <w:b/>
                <w:noProof/>
                <w:color w:val="000000"/>
                <w:highlight w:val="black"/>
              </w:rPr>
              <w:t>'''''''''''''''</w:t>
            </w:r>
          </w:p>
        </w:tc>
        <w:tc>
          <w:tcPr>
            <w:tcW w:w="1701" w:type="dxa"/>
            <w:vAlign w:val="center"/>
          </w:tcPr>
          <w:p w:rsidR="00F21D71" w:rsidRPr="00AB2265" w:rsidRDefault="00F21D71" w:rsidP="001C6279">
            <w:pPr>
              <w:pStyle w:val="TableText"/>
              <w:keepLines/>
              <w:jc w:val="center"/>
              <w:rPr>
                <w:b/>
              </w:rPr>
            </w:pPr>
            <w:r w:rsidRPr="00AB2265">
              <w:rPr>
                <w:b/>
              </w:rPr>
              <w:t>1.42</w:t>
            </w:r>
          </w:p>
        </w:tc>
        <w:tc>
          <w:tcPr>
            <w:tcW w:w="1360" w:type="dxa"/>
            <w:vAlign w:val="center"/>
          </w:tcPr>
          <w:p w:rsidR="00F21D71" w:rsidRPr="00AB2265" w:rsidRDefault="00F21D71" w:rsidP="001C6279">
            <w:pPr>
              <w:pStyle w:val="TableText"/>
              <w:keepLines/>
              <w:jc w:val="center"/>
              <w:rPr>
                <w:b/>
              </w:rPr>
            </w:pPr>
            <w:r w:rsidRPr="00AB2265">
              <w:rPr>
                <w:b/>
              </w:rPr>
              <w:t>$</w:t>
            </w:r>
            <w:r w:rsidR="003F618D">
              <w:rPr>
                <w:b/>
                <w:noProof/>
                <w:color w:val="000000"/>
                <w:highlight w:val="black"/>
              </w:rPr>
              <w:t>''''''''''''</w:t>
            </w:r>
          </w:p>
        </w:tc>
      </w:tr>
      <w:tr w:rsidR="00F21D71" w:rsidRPr="00AB2265" w:rsidTr="00F21D71">
        <w:tc>
          <w:tcPr>
            <w:tcW w:w="9010" w:type="dxa"/>
            <w:gridSpan w:val="4"/>
            <w:vAlign w:val="center"/>
          </w:tcPr>
          <w:p w:rsidR="00F21D71" w:rsidRPr="00AB2265" w:rsidRDefault="00F21D71" w:rsidP="001C6279">
            <w:pPr>
              <w:pStyle w:val="TableText"/>
              <w:keepLines/>
              <w:rPr>
                <w:b/>
              </w:rPr>
            </w:pPr>
            <w:r w:rsidRPr="00AB2265">
              <w:rPr>
                <w:b/>
              </w:rPr>
              <w:t>Time horizon (base case: 60 years)</w:t>
            </w:r>
          </w:p>
        </w:tc>
      </w:tr>
      <w:tr w:rsidR="00F21D71" w:rsidRPr="00AB2265" w:rsidTr="001E19E0">
        <w:tc>
          <w:tcPr>
            <w:tcW w:w="4248" w:type="dxa"/>
            <w:vAlign w:val="center"/>
          </w:tcPr>
          <w:p w:rsidR="00F21D71" w:rsidRPr="00AB2265" w:rsidRDefault="00F21D71" w:rsidP="001C6279">
            <w:pPr>
              <w:pStyle w:val="TableText"/>
              <w:keepLines/>
            </w:pPr>
            <w:r w:rsidRPr="00AB2265">
              <w:t>1 year</w:t>
            </w:r>
          </w:p>
        </w:tc>
        <w:tc>
          <w:tcPr>
            <w:tcW w:w="1701" w:type="dxa"/>
            <w:vAlign w:val="center"/>
          </w:tcPr>
          <w:p w:rsidR="00F21D71" w:rsidRPr="00AB2265" w:rsidRDefault="00F21D71" w:rsidP="001C6279">
            <w:pPr>
              <w:pStyle w:val="TableText"/>
              <w:keepLines/>
              <w:jc w:val="center"/>
            </w:pPr>
            <w:r w:rsidRPr="00AB2265">
              <w:t>$</w:t>
            </w:r>
            <w:r w:rsidR="003F618D">
              <w:rPr>
                <w:noProof/>
                <w:color w:val="000000"/>
                <w:highlight w:val="black"/>
              </w:rPr>
              <w:t>''''''''''''''''''</w:t>
            </w:r>
          </w:p>
        </w:tc>
        <w:tc>
          <w:tcPr>
            <w:tcW w:w="1701" w:type="dxa"/>
            <w:vAlign w:val="center"/>
          </w:tcPr>
          <w:p w:rsidR="00F21D71" w:rsidRPr="00AB2265" w:rsidRDefault="00F21D71" w:rsidP="001C6279">
            <w:pPr>
              <w:pStyle w:val="TableText"/>
              <w:keepLines/>
              <w:jc w:val="center"/>
            </w:pPr>
            <w:r w:rsidRPr="00AB2265">
              <w:t>0.06</w:t>
            </w:r>
          </w:p>
        </w:tc>
        <w:tc>
          <w:tcPr>
            <w:tcW w:w="1360" w:type="dxa"/>
            <w:vAlign w:val="center"/>
          </w:tcPr>
          <w:p w:rsidR="00F21D71" w:rsidRPr="00AB2265" w:rsidRDefault="00F21D71" w:rsidP="001C6279">
            <w:pPr>
              <w:pStyle w:val="TableText"/>
              <w:keepLines/>
              <w:jc w:val="center"/>
            </w:pPr>
            <w:r w:rsidRPr="00AB2265">
              <w:t>$</w:t>
            </w:r>
            <w:r w:rsidR="003F618D">
              <w:rPr>
                <w:noProof/>
                <w:color w:val="000000"/>
                <w:highlight w:val="black"/>
              </w:rPr>
              <w:t>'''''''''''''''''''''''''</w:t>
            </w:r>
          </w:p>
        </w:tc>
      </w:tr>
      <w:tr w:rsidR="00F21D71" w:rsidRPr="00AB2265" w:rsidTr="001E19E0">
        <w:tc>
          <w:tcPr>
            <w:tcW w:w="4248" w:type="dxa"/>
            <w:vAlign w:val="center"/>
          </w:tcPr>
          <w:p w:rsidR="00F21D71" w:rsidRPr="00AB2265" w:rsidRDefault="00F21D71" w:rsidP="001C6279">
            <w:pPr>
              <w:pStyle w:val="TableText"/>
              <w:keepLines/>
            </w:pPr>
            <w:r w:rsidRPr="00AB2265">
              <w:t>2 years</w:t>
            </w:r>
          </w:p>
        </w:tc>
        <w:tc>
          <w:tcPr>
            <w:tcW w:w="1701" w:type="dxa"/>
            <w:vAlign w:val="center"/>
          </w:tcPr>
          <w:p w:rsidR="00F21D71" w:rsidRPr="00AB2265" w:rsidRDefault="00F21D71" w:rsidP="001C6279">
            <w:pPr>
              <w:pStyle w:val="TableText"/>
              <w:keepLines/>
              <w:jc w:val="center"/>
            </w:pPr>
            <w:r w:rsidRPr="00AB2265">
              <w:t>$</w:t>
            </w:r>
            <w:r w:rsidR="003F618D">
              <w:rPr>
                <w:noProof/>
                <w:color w:val="000000"/>
                <w:highlight w:val="black"/>
              </w:rPr>
              <w:t>'''''''''''''''''''</w:t>
            </w:r>
          </w:p>
        </w:tc>
        <w:tc>
          <w:tcPr>
            <w:tcW w:w="1701" w:type="dxa"/>
            <w:vAlign w:val="center"/>
          </w:tcPr>
          <w:p w:rsidR="00F21D71" w:rsidRPr="00AB2265" w:rsidRDefault="00F21D71" w:rsidP="001C6279">
            <w:pPr>
              <w:pStyle w:val="TableText"/>
              <w:keepLines/>
              <w:jc w:val="center"/>
            </w:pPr>
            <w:r w:rsidRPr="00AB2265">
              <w:t>0.13</w:t>
            </w:r>
          </w:p>
        </w:tc>
        <w:tc>
          <w:tcPr>
            <w:tcW w:w="1360" w:type="dxa"/>
            <w:vAlign w:val="center"/>
          </w:tcPr>
          <w:p w:rsidR="00F21D71" w:rsidRPr="00AB2265" w:rsidRDefault="00F21D71" w:rsidP="001C6279">
            <w:pPr>
              <w:pStyle w:val="TableText"/>
              <w:keepLines/>
              <w:jc w:val="center"/>
            </w:pPr>
            <w:r w:rsidRPr="00AB2265">
              <w:t>$</w:t>
            </w:r>
            <w:r w:rsidR="003F618D">
              <w:rPr>
                <w:noProof/>
                <w:color w:val="000000"/>
                <w:highlight w:val="black"/>
              </w:rPr>
              <w:t>''''''''''''''''''</w:t>
            </w:r>
          </w:p>
        </w:tc>
      </w:tr>
      <w:tr w:rsidR="00F21D71" w:rsidRPr="00AB2265" w:rsidTr="001E19E0">
        <w:tc>
          <w:tcPr>
            <w:tcW w:w="4248" w:type="dxa"/>
            <w:vAlign w:val="center"/>
          </w:tcPr>
          <w:p w:rsidR="00F21D71" w:rsidRPr="00AB2265" w:rsidRDefault="00F21D71" w:rsidP="001C6279">
            <w:pPr>
              <w:pStyle w:val="TableText"/>
              <w:keepLines/>
            </w:pPr>
            <w:r w:rsidRPr="00AB2265">
              <w:t>5 years</w:t>
            </w:r>
          </w:p>
        </w:tc>
        <w:tc>
          <w:tcPr>
            <w:tcW w:w="1701" w:type="dxa"/>
            <w:vAlign w:val="center"/>
          </w:tcPr>
          <w:p w:rsidR="00F21D71" w:rsidRPr="00AB2265" w:rsidRDefault="00F21D71" w:rsidP="001C6279">
            <w:pPr>
              <w:pStyle w:val="TableText"/>
              <w:keepLines/>
              <w:jc w:val="center"/>
            </w:pPr>
            <w:r w:rsidRPr="00AB2265">
              <w:t>$</w:t>
            </w:r>
            <w:r w:rsidR="003F618D">
              <w:rPr>
                <w:noProof/>
                <w:color w:val="000000"/>
                <w:highlight w:val="black"/>
              </w:rPr>
              <w:t>''''''''''''''''''''</w:t>
            </w:r>
          </w:p>
        </w:tc>
        <w:tc>
          <w:tcPr>
            <w:tcW w:w="1701" w:type="dxa"/>
            <w:vAlign w:val="center"/>
          </w:tcPr>
          <w:p w:rsidR="00F21D71" w:rsidRPr="00AB2265" w:rsidRDefault="00F21D71" w:rsidP="001C6279">
            <w:pPr>
              <w:pStyle w:val="TableText"/>
              <w:keepLines/>
              <w:jc w:val="center"/>
            </w:pPr>
            <w:r w:rsidRPr="00AB2265">
              <w:t>0.35</w:t>
            </w:r>
          </w:p>
        </w:tc>
        <w:tc>
          <w:tcPr>
            <w:tcW w:w="1360" w:type="dxa"/>
            <w:vAlign w:val="center"/>
          </w:tcPr>
          <w:p w:rsidR="00F21D71" w:rsidRPr="00AB2265" w:rsidRDefault="00F21D71" w:rsidP="001C6279">
            <w:pPr>
              <w:pStyle w:val="TableText"/>
              <w:keepLines/>
              <w:jc w:val="center"/>
            </w:pPr>
            <w:r w:rsidRPr="00AB2265">
              <w:t>$</w:t>
            </w:r>
            <w:r w:rsidR="003F618D">
              <w:rPr>
                <w:noProof/>
                <w:color w:val="000000"/>
                <w:highlight w:val="black"/>
              </w:rPr>
              <w:t>'''''''''''''''''''</w:t>
            </w:r>
          </w:p>
        </w:tc>
      </w:tr>
      <w:tr w:rsidR="00F21D71" w:rsidRPr="00AB2265" w:rsidTr="001E19E0">
        <w:tc>
          <w:tcPr>
            <w:tcW w:w="4248" w:type="dxa"/>
            <w:vAlign w:val="center"/>
          </w:tcPr>
          <w:p w:rsidR="00F21D71" w:rsidRPr="00AB2265" w:rsidRDefault="00F21D71" w:rsidP="001C6279">
            <w:pPr>
              <w:pStyle w:val="TableText"/>
              <w:keepLines/>
            </w:pPr>
            <w:r w:rsidRPr="00AB2265">
              <w:t>10 years</w:t>
            </w:r>
          </w:p>
        </w:tc>
        <w:tc>
          <w:tcPr>
            <w:tcW w:w="1701" w:type="dxa"/>
            <w:vAlign w:val="center"/>
          </w:tcPr>
          <w:p w:rsidR="00F21D71" w:rsidRPr="00AB2265" w:rsidRDefault="00F21D71" w:rsidP="001C6279">
            <w:pPr>
              <w:pStyle w:val="TableText"/>
              <w:keepLines/>
              <w:jc w:val="center"/>
            </w:pPr>
            <w:r w:rsidRPr="00AB2265">
              <w:t>$</w:t>
            </w:r>
            <w:r w:rsidR="003F618D">
              <w:rPr>
                <w:noProof/>
                <w:color w:val="000000"/>
                <w:highlight w:val="black"/>
              </w:rPr>
              <w:t>''''''''''''''''''</w:t>
            </w:r>
          </w:p>
        </w:tc>
        <w:tc>
          <w:tcPr>
            <w:tcW w:w="1701" w:type="dxa"/>
            <w:vAlign w:val="center"/>
          </w:tcPr>
          <w:p w:rsidR="00F21D71" w:rsidRPr="00AB2265" w:rsidRDefault="00F21D71" w:rsidP="001C6279">
            <w:pPr>
              <w:pStyle w:val="TableText"/>
              <w:keepLines/>
              <w:jc w:val="center"/>
            </w:pPr>
            <w:r w:rsidRPr="00AB2265">
              <w:t>0.64</w:t>
            </w:r>
          </w:p>
        </w:tc>
        <w:tc>
          <w:tcPr>
            <w:tcW w:w="1360" w:type="dxa"/>
            <w:vAlign w:val="center"/>
          </w:tcPr>
          <w:p w:rsidR="00F21D71" w:rsidRPr="00AB2265" w:rsidRDefault="00F21D71" w:rsidP="001C6279">
            <w:pPr>
              <w:pStyle w:val="TableText"/>
              <w:keepLines/>
              <w:jc w:val="center"/>
            </w:pPr>
            <w:r w:rsidRPr="00AB2265">
              <w:t>$</w:t>
            </w:r>
            <w:r w:rsidR="003F618D">
              <w:rPr>
                <w:noProof/>
                <w:color w:val="000000"/>
                <w:highlight w:val="black"/>
              </w:rPr>
              <w:t>''''''''''''''''''''</w:t>
            </w:r>
          </w:p>
        </w:tc>
      </w:tr>
      <w:tr w:rsidR="00F21D71" w:rsidRPr="00AB2265" w:rsidTr="001E19E0">
        <w:tc>
          <w:tcPr>
            <w:tcW w:w="4248" w:type="dxa"/>
            <w:vAlign w:val="center"/>
          </w:tcPr>
          <w:p w:rsidR="00F21D71" w:rsidRPr="00AB2265" w:rsidRDefault="00F21D71" w:rsidP="001C6279">
            <w:pPr>
              <w:pStyle w:val="TableText"/>
              <w:keepLines/>
            </w:pPr>
            <w:r w:rsidRPr="00AB2265">
              <w:t>20 years</w:t>
            </w:r>
          </w:p>
        </w:tc>
        <w:tc>
          <w:tcPr>
            <w:tcW w:w="1701" w:type="dxa"/>
            <w:vAlign w:val="center"/>
          </w:tcPr>
          <w:p w:rsidR="00F21D71" w:rsidRPr="00AB2265" w:rsidRDefault="00F21D71" w:rsidP="001C6279">
            <w:pPr>
              <w:pStyle w:val="TableText"/>
              <w:keepLines/>
              <w:jc w:val="center"/>
            </w:pPr>
            <w:r w:rsidRPr="00AB2265">
              <w:t>$</w:t>
            </w:r>
            <w:r w:rsidR="003F618D">
              <w:rPr>
                <w:noProof/>
                <w:color w:val="000000"/>
                <w:highlight w:val="black"/>
              </w:rPr>
              <w:t>'''''''''''''''''''''</w:t>
            </w:r>
          </w:p>
        </w:tc>
        <w:tc>
          <w:tcPr>
            <w:tcW w:w="1701" w:type="dxa"/>
            <w:vAlign w:val="center"/>
          </w:tcPr>
          <w:p w:rsidR="00F21D71" w:rsidRPr="00AB2265" w:rsidRDefault="00F21D71" w:rsidP="001C6279">
            <w:pPr>
              <w:pStyle w:val="TableText"/>
              <w:keepLines/>
              <w:jc w:val="center"/>
            </w:pPr>
            <w:r w:rsidRPr="00AB2265">
              <w:t>1.05</w:t>
            </w:r>
          </w:p>
        </w:tc>
        <w:tc>
          <w:tcPr>
            <w:tcW w:w="1360" w:type="dxa"/>
            <w:vAlign w:val="center"/>
          </w:tcPr>
          <w:p w:rsidR="00F21D71" w:rsidRPr="00AB2265" w:rsidRDefault="00F21D71" w:rsidP="001C6279">
            <w:pPr>
              <w:pStyle w:val="TableText"/>
              <w:keepLines/>
              <w:jc w:val="center"/>
            </w:pPr>
            <w:r w:rsidRPr="00AB2265">
              <w:t>$</w:t>
            </w:r>
            <w:r w:rsidR="003F618D">
              <w:rPr>
                <w:noProof/>
                <w:color w:val="000000"/>
                <w:highlight w:val="black"/>
              </w:rPr>
              <w:t>'''''''''''''''''''</w:t>
            </w:r>
          </w:p>
        </w:tc>
      </w:tr>
      <w:tr w:rsidR="00F21D71" w:rsidRPr="00AB2265" w:rsidTr="001E19E0">
        <w:tc>
          <w:tcPr>
            <w:tcW w:w="4248" w:type="dxa"/>
            <w:vAlign w:val="center"/>
          </w:tcPr>
          <w:p w:rsidR="00F21D71" w:rsidRPr="00AB2265" w:rsidRDefault="00F21D71" w:rsidP="001C6279">
            <w:pPr>
              <w:pStyle w:val="TableText"/>
              <w:keepLines/>
              <w:rPr>
                <w:i/>
              </w:rPr>
            </w:pPr>
            <w:r w:rsidRPr="00AB2265">
              <w:rPr>
                <w:i/>
              </w:rPr>
              <w:t>50 years</w:t>
            </w:r>
          </w:p>
        </w:tc>
        <w:tc>
          <w:tcPr>
            <w:tcW w:w="1701" w:type="dxa"/>
            <w:vAlign w:val="center"/>
          </w:tcPr>
          <w:p w:rsidR="00F21D71" w:rsidRPr="00AB2265" w:rsidRDefault="00F21D71" w:rsidP="001C6279">
            <w:pPr>
              <w:pStyle w:val="TableText"/>
              <w:keepLines/>
              <w:jc w:val="center"/>
              <w:rPr>
                <w:i/>
              </w:rPr>
            </w:pPr>
            <w:r w:rsidRPr="00AB2265">
              <w:rPr>
                <w:i/>
              </w:rPr>
              <w:t>$</w:t>
            </w:r>
            <w:r w:rsidR="003F618D">
              <w:rPr>
                <w:i/>
                <w:noProof/>
                <w:color w:val="000000"/>
                <w:highlight w:val="black"/>
              </w:rPr>
              <w:t>''''''''''''''''''</w:t>
            </w:r>
          </w:p>
        </w:tc>
        <w:tc>
          <w:tcPr>
            <w:tcW w:w="1701" w:type="dxa"/>
            <w:vAlign w:val="center"/>
          </w:tcPr>
          <w:p w:rsidR="00F21D71" w:rsidRPr="00AB2265" w:rsidRDefault="00F21D71" w:rsidP="001C6279">
            <w:pPr>
              <w:pStyle w:val="TableText"/>
              <w:keepLines/>
              <w:jc w:val="center"/>
              <w:rPr>
                <w:i/>
              </w:rPr>
            </w:pPr>
            <w:r w:rsidRPr="00AB2265">
              <w:rPr>
                <w:i/>
              </w:rPr>
              <w:t>1.41</w:t>
            </w:r>
          </w:p>
        </w:tc>
        <w:tc>
          <w:tcPr>
            <w:tcW w:w="1360" w:type="dxa"/>
            <w:vAlign w:val="center"/>
          </w:tcPr>
          <w:p w:rsidR="00F21D71" w:rsidRPr="00AB2265" w:rsidRDefault="00F21D71" w:rsidP="001C6279">
            <w:pPr>
              <w:pStyle w:val="TableText"/>
              <w:keepLines/>
              <w:jc w:val="center"/>
              <w:rPr>
                <w:i/>
              </w:rPr>
            </w:pPr>
            <w:r w:rsidRPr="00AB2265">
              <w:rPr>
                <w:i/>
              </w:rPr>
              <w:t>$</w:t>
            </w:r>
            <w:r w:rsidR="003F618D">
              <w:rPr>
                <w:i/>
                <w:noProof/>
                <w:color w:val="000000"/>
                <w:highlight w:val="black"/>
              </w:rPr>
              <w:t>''''''''''''''''''</w:t>
            </w:r>
          </w:p>
        </w:tc>
      </w:tr>
      <w:tr w:rsidR="00F21D71" w:rsidRPr="00AB2265" w:rsidTr="00F21D71">
        <w:tc>
          <w:tcPr>
            <w:tcW w:w="9010" w:type="dxa"/>
            <w:gridSpan w:val="4"/>
            <w:vAlign w:val="center"/>
          </w:tcPr>
          <w:p w:rsidR="00F21D71" w:rsidRPr="00AB2265" w:rsidRDefault="00F21D71" w:rsidP="001C6279">
            <w:pPr>
              <w:pStyle w:val="TableText"/>
              <w:keepLines/>
              <w:rPr>
                <w:b/>
                <w:i/>
              </w:rPr>
            </w:pPr>
            <w:r w:rsidRPr="00AB2265">
              <w:rPr>
                <w:b/>
                <w:i/>
              </w:rPr>
              <w:t>Probability of death from the acute aTTP episode (base case caplacizumab: 0.93%, SOC: 10.26%)</w:t>
            </w:r>
          </w:p>
        </w:tc>
      </w:tr>
      <w:tr w:rsidR="00F21D71" w:rsidRPr="00AB2265" w:rsidTr="001E19E0">
        <w:tc>
          <w:tcPr>
            <w:tcW w:w="4248" w:type="dxa"/>
            <w:vAlign w:val="center"/>
          </w:tcPr>
          <w:p w:rsidR="00F21D71" w:rsidRPr="00AB2265" w:rsidRDefault="00F21D71" w:rsidP="001C6279">
            <w:pPr>
              <w:pStyle w:val="TableText"/>
              <w:keepLines/>
              <w:rPr>
                <w:i/>
              </w:rPr>
            </w:pPr>
            <w:r w:rsidRPr="00AB2265">
              <w:rPr>
                <w:i/>
              </w:rPr>
              <w:t>SOC arm based on combined HERCULES and TITAN trial data, caplacizumab assumed (caplacizumab: 0.46%, SOC: 4.5%)</w:t>
            </w:r>
          </w:p>
        </w:tc>
        <w:tc>
          <w:tcPr>
            <w:tcW w:w="1701" w:type="dxa"/>
            <w:vAlign w:val="center"/>
          </w:tcPr>
          <w:p w:rsidR="00F21D71" w:rsidRPr="00AB2265" w:rsidRDefault="00F21D71" w:rsidP="001C6279">
            <w:pPr>
              <w:pStyle w:val="TableText"/>
              <w:keepLines/>
              <w:jc w:val="center"/>
              <w:rPr>
                <w:i/>
              </w:rPr>
            </w:pPr>
            <w:r w:rsidRPr="00AB2265">
              <w:rPr>
                <w:i/>
              </w:rPr>
              <w:t>$</w:t>
            </w:r>
            <w:r w:rsidR="003F618D">
              <w:rPr>
                <w:i/>
                <w:noProof/>
                <w:color w:val="000000"/>
                <w:highlight w:val="black"/>
              </w:rPr>
              <w:t>''''''''''''''''''</w:t>
            </w:r>
          </w:p>
        </w:tc>
        <w:tc>
          <w:tcPr>
            <w:tcW w:w="1701" w:type="dxa"/>
            <w:vAlign w:val="center"/>
          </w:tcPr>
          <w:p w:rsidR="00F21D71" w:rsidRPr="00AB2265" w:rsidRDefault="00F21D71" w:rsidP="001C6279">
            <w:pPr>
              <w:pStyle w:val="TableText"/>
              <w:keepLines/>
              <w:jc w:val="center"/>
              <w:rPr>
                <w:i/>
              </w:rPr>
            </w:pPr>
            <w:r w:rsidRPr="00AB2265">
              <w:rPr>
                <w:i/>
              </w:rPr>
              <w:t>0.67</w:t>
            </w:r>
          </w:p>
        </w:tc>
        <w:tc>
          <w:tcPr>
            <w:tcW w:w="1360" w:type="dxa"/>
            <w:vAlign w:val="center"/>
          </w:tcPr>
          <w:p w:rsidR="00F21D71" w:rsidRPr="00AB2265" w:rsidRDefault="00F21D71" w:rsidP="001C6279">
            <w:pPr>
              <w:pStyle w:val="TableText"/>
              <w:keepLines/>
              <w:jc w:val="center"/>
              <w:rPr>
                <w:i/>
              </w:rPr>
            </w:pPr>
            <w:r w:rsidRPr="00AB2265">
              <w:rPr>
                <w:i/>
              </w:rPr>
              <w:t>$</w:t>
            </w:r>
            <w:r w:rsidR="003F618D">
              <w:rPr>
                <w:i/>
                <w:noProof/>
                <w:color w:val="000000"/>
                <w:highlight w:val="black"/>
              </w:rPr>
              <w:t>''''''''''''''''''</w:t>
            </w:r>
          </w:p>
        </w:tc>
      </w:tr>
      <w:tr w:rsidR="00F21D71" w:rsidRPr="00AB2265" w:rsidTr="001E19E0">
        <w:tc>
          <w:tcPr>
            <w:tcW w:w="4248" w:type="dxa"/>
            <w:vAlign w:val="center"/>
          </w:tcPr>
          <w:p w:rsidR="00F21D71" w:rsidRPr="00AB2265" w:rsidRDefault="00F21D71" w:rsidP="001C6279">
            <w:pPr>
              <w:pStyle w:val="TableText"/>
              <w:keepLines/>
              <w:rPr>
                <w:i/>
              </w:rPr>
            </w:pPr>
            <w:r w:rsidRPr="00AB2265">
              <w:rPr>
                <w:i/>
              </w:rPr>
              <w:t xml:space="preserve">SOC arm based on </w:t>
            </w:r>
            <w:proofErr w:type="gramStart"/>
            <w:r w:rsidRPr="00AB2265">
              <w:rPr>
                <w:i/>
              </w:rPr>
              <w:t>sponsor’s</w:t>
            </w:r>
            <w:proofErr w:type="gramEnd"/>
            <w:r w:rsidRPr="00AB2265">
              <w:rPr>
                <w:i/>
              </w:rPr>
              <w:t xml:space="preserve"> meta-analysis (not provided), caplacizumab assumed (caplacizumab: 1.20%, SOC: 13.2%)</w:t>
            </w:r>
          </w:p>
        </w:tc>
        <w:tc>
          <w:tcPr>
            <w:tcW w:w="1701" w:type="dxa"/>
            <w:vAlign w:val="center"/>
          </w:tcPr>
          <w:p w:rsidR="00F21D71" w:rsidRPr="00AB2265" w:rsidRDefault="00F21D71" w:rsidP="001C6279">
            <w:pPr>
              <w:pStyle w:val="TableText"/>
              <w:keepLines/>
              <w:jc w:val="center"/>
              <w:rPr>
                <w:i/>
              </w:rPr>
            </w:pPr>
            <w:r w:rsidRPr="00AB2265">
              <w:rPr>
                <w:i/>
              </w:rPr>
              <w:t>$</w:t>
            </w:r>
            <w:r w:rsidR="003F618D">
              <w:rPr>
                <w:i/>
                <w:noProof/>
                <w:color w:val="000000"/>
                <w:highlight w:val="black"/>
              </w:rPr>
              <w:t>''''''''''''''''''</w:t>
            </w:r>
          </w:p>
        </w:tc>
        <w:tc>
          <w:tcPr>
            <w:tcW w:w="1701" w:type="dxa"/>
            <w:vAlign w:val="center"/>
          </w:tcPr>
          <w:p w:rsidR="00F21D71" w:rsidRPr="00AB2265" w:rsidRDefault="00F21D71" w:rsidP="001C6279">
            <w:pPr>
              <w:pStyle w:val="TableText"/>
              <w:keepLines/>
              <w:jc w:val="center"/>
              <w:rPr>
                <w:i/>
              </w:rPr>
            </w:pPr>
            <w:r w:rsidRPr="00AB2265">
              <w:rPr>
                <w:i/>
              </w:rPr>
              <w:t>1.80</w:t>
            </w:r>
          </w:p>
        </w:tc>
        <w:tc>
          <w:tcPr>
            <w:tcW w:w="1360" w:type="dxa"/>
            <w:vAlign w:val="center"/>
          </w:tcPr>
          <w:p w:rsidR="00F21D71" w:rsidRPr="00AB2265" w:rsidRDefault="00F21D71" w:rsidP="001C6279">
            <w:pPr>
              <w:pStyle w:val="TableText"/>
              <w:keepLines/>
              <w:jc w:val="center"/>
              <w:rPr>
                <w:i/>
              </w:rPr>
            </w:pPr>
            <w:r w:rsidRPr="00AB2265">
              <w:rPr>
                <w:i/>
              </w:rPr>
              <w:t>$</w:t>
            </w:r>
            <w:r w:rsidR="003F618D">
              <w:rPr>
                <w:i/>
                <w:noProof/>
                <w:color w:val="000000"/>
                <w:highlight w:val="black"/>
              </w:rPr>
              <w:t>'''''''''''''''''</w:t>
            </w:r>
          </w:p>
        </w:tc>
      </w:tr>
      <w:tr w:rsidR="00F21D71" w:rsidRPr="00AB2265" w:rsidTr="001E19E0">
        <w:tc>
          <w:tcPr>
            <w:tcW w:w="4248" w:type="dxa"/>
            <w:vAlign w:val="center"/>
          </w:tcPr>
          <w:p w:rsidR="00F21D71" w:rsidRPr="00AB2265" w:rsidRDefault="00F21D71" w:rsidP="001C6279">
            <w:pPr>
              <w:pStyle w:val="TableText"/>
              <w:keepLines/>
              <w:rPr>
                <w:i/>
              </w:rPr>
            </w:pPr>
            <w:r w:rsidRPr="00AB2265">
              <w:rPr>
                <w:i/>
              </w:rPr>
              <w:t>SOC arm based on Alwan 2017 study, caplacizumab assumed (caplacizumab: 2.05%, SOC: 10.26%)</w:t>
            </w:r>
          </w:p>
        </w:tc>
        <w:tc>
          <w:tcPr>
            <w:tcW w:w="1701" w:type="dxa"/>
            <w:vAlign w:val="center"/>
          </w:tcPr>
          <w:p w:rsidR="00F21D71" w:rsidRPr="00AB2265" w:rsidRDefault="00F21D71" w:rsidP="001C6279">
            <w:pPr>
              <w:pStyle w:val="TableText"/>
              <w:keepLines/>
              <w:jc w:val="center"/>
              <w:rPr>
                <w:i/>
              </w:rPr>
            </w:pPr>
            <w:r w:rsidRPr="00AB2265">
              <w:rPr>
                <w:i/>
              </w:rPr>
              <w:t>$</w:t>
            </w:r>
            <w:r w:rsidR="003F618D">
              <w:rPr>
                <w:i/>
                <w:noProof/>
                <w:color w:val="000000"/>
                <w:highlight w:val="black"/>
              </w:rPr>
              <w:t>''''''''''''''''''</w:t>
            </w:r>
          </w:p>
        </w:tc>
        <w:tc>
          <w:tcPr>
            <w:tcW w:w="1701" w:type="dxa"/>
            <w:vAlign w:val="center"/>
          </w:tcPr>
          <w:p w:rsidR="00F21D71" w:rsidRPr="00AB2265" w:rsidRDefault="00F21D71" w:rsidP="001C6279">
            <w:pPr>
              <w:pStyle w:val="TableText"/>
              <w:keepLines/>
              <w:jc w:val="center"/>
              <w:rPr>
                <w:i/>
              </w:rPr>
            </w:pPr>
            <w:r w:rsidRPr="00AB2265">
              <w:rPr>
                <w:i/>
              </w:rPr>
              <w:t>1.26</w:t>
            </w:r>
          </w:p>
        </w:tc>
        <w:tc>
          <w:tcPr>
            <w:tcW w:w="1360" w:type="dxa"/>
            <w:vAlign w:val="center"/>
          </w:tcPr>
          <w:p w:rsidR="00F21D71" w:rsidRPr="00AB2265" w:rsidRDefault="00F21D71" w:rsidP="001C6279">
            <w:pPr>
              <w:pStyle w:val="TableText"/>
              <w:keepLines/>
              <w:jc w:val="center"/>
              <w:rPr>
                <w:i/>
              </w:rPr>
            </w:pPr>
            <w:r w:rsidRPr="00AB2265">
              <w:rPr>
                <w:i/>
              </w:rPr>
              <w:t>$</w:t>
            </w:r>
            <w:r w:rsidR="003F618D">
              <w:rPr>
                <w:i/>
                <w:noProof/>
                <w:color w:val="000000"/>
                <w:highlight w:val="black"/>
              </w:rPr>
              <w:t>'''''''''''''''</w:t>
            </w:r>
          </w:p>
        </w:tc>
      </w:tr>
      <w:tr w:rsidR="00F21D71" w:rsidRPr="00AB2265" w:rsidTr="001E19E0">
        <w:tc>
          <w:tcPr>
            <w:tcW w:w="4248" w:type="dxa"/>
            <w:vAlign w:val="center"/>
          </w:tcPr>
          <w:p w:rsidR="00F21D71" w:rsidRPr="00AB2265" w:rsidRDefault="00F21D71" w:rsidP="001C6279">
            <w:pPr>
              <w:pStyle w:val="TableText"/>
              <w:keepLines/>
              <w:rPr>
                <w:i/>
              </w:rPr>
            </w:pPr>
            <w:r w:rsidRPr="00AB2265">
              <w:rPr>
                <w:i/>
              </w:rPr>
              <w:t>Combined HERCULES and TITAN trial data (caplacizumab: 0.93%, SOC: 4.46%)</w:t>
            </w:r>
          </w:p>
        </w:tc>
        <w:tc>
          <w:tcPr>
            <w:tcW w:w="1701" w:type="dxa"/>
            <w:vAlign w:val="center"/>
          </w:tcPr>
          <w:p w:rsidR="00F21D71" w:rsidRPr="00AB2265" w:rsidRDefault="00F21D71" w:rsidP="001C6279">
            <w:pPr>
              <w:pStyle w:val="TableText"/>
              <w:keepLines/>
              <w:jc w:val="center"/>
              <w:rPr>
                <w:i/>
              </w:rPr>
            </w:pPr>
            <w:r w:rsidRPr="00AB2265">
              <w:rPr>
                <w:i/>
              </w:rPr>
              <w:t>$</w:t>
            </w:r>
            <w:r w:rsidR="003F618D">
              <w:rPr>
                <w:i/>
                <w:noProof/>
                <w:color w:val="000000"/>
                <w:highlight w:val="black"/>
              </w:rPr>
              <w:t>'''''''''''''''''''''</w:t>
            </w:r>
          </w:p>
        </w:tc>
        <w:tc>
          <w:tcPr>
            <w:tcW w:w="1701" w:type="dxa"/>
            <w:vAlign w:val="center"/>
          </w:tcPr>
          <w:p w:rsidR="00F21D71" w:rsidRPr="00AB2265" w:rsidRDefault="00F21D71" w:rsidP="001C6279">
            <w:pPr>
              <w:pStyle w:val="TableText"/>
              <w:keepLines/>
              <w:jc w:val="center"/>
              <w:rPr>
                <w:i/>
              </w:rPr>
            </w:pPr>
            <w:r w:rsidRPr="00AB2265">
              <w:rPr>
                <w:i/>
              </w:rPr>
              <w:t>0.59</w:t>
            </w:r>
          </w:p>
        </w:tc>
        <w:tc>
          <w:tcPr>
            <w:tcW w:w="1360" w:type="dxa"/>
            <w:vAlign w:val="center"/>
          </w:tcPr>
          <w:p w:rsidR="00F21D71" w:rsidRPr="00AB2265" w:rsidRDefault="00F21D71" w:rsidP="001C6279">
            <w:pPr>
              <w:pStyle w:val="TableText"/>
              <w:keepLines/>
              <w:jc w:val="center"/>
              <w:rPr>
                <w:i/>
              </w:rPr>
            </w:pPr>
            <w:r w:rsidRPr="00AB2265">
              <w:rPr>
                <w:i/>
              </w:rPr>
              <w:t>$</w:t>
            </w:r>
            <w:r w:rsidR="003F618D">
              <w:rPr>
                <w:i/>
                <w:noProof/>
                <w:color w:val="000000"/>
                <w:highlight w:val="black"/>
              </w:rPr>
              <w:t>'''''''''''''''''''</w:t>
            </w:r>
          </w:p>
        </w:tc>
      </w:tr>
      <w:tr w:rsidR="00F21D71" w:rsidRPr="00AB2265" w:rsidTr="001E19E0">
        <w:tc>
          <w:tcPr>
            <w:tcW w:w="4248" w:type="dxa"/>
            <w:vAlign w:val="center"/>
          </w:tcPr>
          <w:p w:rsidR="00F21D71" w:rsidRPr="00AB2265" w:rsidRDefault="00F21D71" w:rsidP="001C6279">
            <w:pPr>
              <w:pStyle w:val="TableText"/>
              <w:keepLines/>
              <w:rPr>
                <w:i/>
              </w:rPr>
            </w:pPr>
            <w:r w:rsidRPr="00AB2265">
              <w:rPr>
                <w:i/>
              </w:rPr>
              <w:t>HERCULES trial (caplacizumab: 1.41%, SOC: 4.10%)</w:t>
            </w:r>
          </w:p>
        </w:tc>
        <w:tc>
          <w:tcPr>
            <w:tcW w:w="1701" w:type="dxa"/>
            <w:vAlign w:val="center"/>
          </w:tcPr>
          <w:p w:rsidR="00F21D71" w:rsidRPr="00AB2265" w:rsidRDefault="00F21D71" w:rsidP="001C6279">
            <w:pPr>
              <w:pStyle w:val="TableText"/>
              <w:keepLines/>
              <w:jc w:val="center"/>
              <w:rPr>
                <w:i/>
              </w:rPr>
            </w:pPr>
            <w:r w:rsidRPr="00AB2265">
              <w:rPr>
                <w:i/>
              </w:rPr>
              <w:t>$</w:t>
            </w:r>
            <w:r w:rsidR="003F618D">
              <w:rPr>
                <w:i/>
                <w:noProof/>
                <w:color w:val="000000"/>
                <w:highlight w:val="black"/>
              </w:rPr>
              <w:t>''''''''''''''''''</w:t>
            </w:r>
          </w:p>
        </w:tc>
        <w:tc>
          <w:tcPr>
            <w:tcW w:w="1701" w:type="dxa"/>
            <w:vAlign w:val="center"/>
          </w:tcPr>
          <w:p w:rsidR="00F21D71" w:rsidRPr="00AB2265" w:rsidRDefault="00F21D71" w:rsidP="001C6279">
            <w:pPr>
              <w:pStyle w:val="TableText"/>
              <w:keepLines/>
              <w:jc w:val="center"/>
              <w:rPr>
                <w:i/>
              </w:rPr>
            </w:pPr>
            <w:r w:rsidRPr="00AB2265">
              <w:rPr>
                <w:i/>
              </w:rPr>
              <w:t>0.47</w:t>
            </w:r>
          </w:p>
        </w:tc>
        <w:tc>
          <w:tcPr>
            <w:tcW w:w="1360" w:type="dxa"/>
            <w:vAlign w:val="center"/>
          </w:tcPr>
          <w:p w:rsidR="00F21D71" w:rsidRPr="00AB2265" w:rsidRDefault="00F21D71" w:rsidP="001C6279">
            <w:pPr>
              <w:pStyle w:val="TableText"/>
              <w:keepLines/>
              <w:jc w:val="center"/>
              <w:rPr>
                <w:i/>
              </w:rPr>
            </w:pPr>
            <w:r w:rsidRPr="00AB2265">
              <w:rPr>
                <w:i/>
              </w:rPr>
              <w:t>$</w:t>
            </w:r>
            <w:r w:rsidR="003F618D">
              <w:rPr>
                <w:i/>
                <w:noProof/>
                <w:color w:val="000000"/>
                <w:highlight w:val="black"/>
              </w:rPr>
              <w:t>'''''''''''''''''''''</w:t>
            </w:r>
          </w:p>
        </w:tc>
      </w:tr>
      <w:tr w:rsidR="00F21D71" w:rsidRPr="00AB2265" w:rsidTr="001E19E0">
        <w:tc>
          <w:tcPr>
            <w:tcW w:w="4248" w:type="dxa"/>
            <w:vAlign w:val="center"/>
          </w:tcPr>
          <w:p w:rsidR="00F21D71" w:rsidRPr="00AB2265" w:rsidRDefault="00F21D71" w:rsidP="001C6279">
            <w:pPr>
              <w:pStyle w:val="TableText"/>
              <w:keepLines/>
              <w:rPr>
                <w:i/>
              </w:rPr>
            </w:pPr>
            <w:r w:rsidRPr="00AB2265">
              <w:rPr>
                <w:i/>
              </w:rPr>
              <w:t>TITAN trial (caplacizumab: 0%, SOC: 5.1%)</w:t>
            </w:r>
          </w:p>
        </w:tc>
        <w:tc>
          <w:tcPr>
            <w:tcW w:w="1701" w:type="dxa"/>
            <w:vAlign w:val="center"/>
          </w:tcPr>
          <w:p w:rsidR="00F21D71" w:rsidRPr="00AB2265" w:rsidRDefault="00F21D71" w:rsidP="001C6279">
            <w:pPr>
              <w:pStyle w:val="TableText"/>
              <w:keepLines/>
              <w:jc w:val="center"/>
              <w:rPr>
                <w:i/>
              </w:rPr>
            </w:pPr>
            <w:r w:rsidRPr="00AB2265">
              <w:rPr>
                <w:i/>
              </w:rPr>
              <w:t>$</w:t>
            </w:r>
            <w:r w:rsidR="003F618D">
              <w:rPr>
                <w:i/>
                <w:noProof/>
                <w:color w:val="000000"/>
                <w:highlight w:val="black"/>
              </w:rPr>
              <w:t>'''''''''''''''''''</w:t>
            </w:r>
          </w:p>
        </w:tc>
        <w:tc>
          <w:tcPr>
            <w:tcW w:w="1701" w:type="dxa"/>
            <w:vAlign w:val="center"/>
          </w:tcPr>
          <w:p w:rsidR="00F21D71" w:rsidRPr="00AB2265" w:rsidRDefault="00F21D71" w:rsidP="001C6279">
            <w:pPr>
              <w:pStyle w:val="TableText"/>
              <w:keepLines/>
              <w:jc w:val="center"/>
              <w:rPr>
                <w:i/>
              </w:rPr>
            </w:pPr>
            <w:r w:rsidRPr="00AB2265">
              <w:rPr>
                <w:i/>
              </w:rPr>
              <w:t>0.82</w:t>
            </w:r>
          </w:p>
        </w:tc>
        <w:tc>
          <w:tcPr>
            <w:tcW w:w="1360" w:type="dxa"/>
            <w:vAlign w:val="center"/>
          </w:tcPr>
          <w:p w:rsidR="00F21D71" w:rsidRPr="00AB2265" w:rsidRDefault="00F21D71" w:rsidP="001C6279">
            <w:pPr>
              <w:pStyle w:val="TableText"/>
              <w:keepLines/>
              <w:jc w:val="center"/>
              <w:rPr>
                <w:i/>
              </w:rPr>
            </w:pPr>
            <w:r w:rsidRPr="00AB2265">
              <w:rPr>
                <w:i/>
              </w:rPr>
              <w:t>$</w:t>
            </w:r>
            <w:r w:rsidR="003F618D">
              <w:rPr>
                <w:i/>
                <w:noProof/>
                <w:color w:val="000000"/>
                <w:highlight w:val="black"/>
              </w:rPr>
              <w:t>''''''''''''''''''''</w:t>
            </w:r>
          </w:p>
        </w:tc>
      </w:tr>
      <w:tr w:rsidR="00F21D71" w:rsidRPr="00AB2265" w:rsidTr="00F21D71">
        <w:tc>
          <w:tcPr>
            <w:tcW w:w="9010" w:type="dxa"/>
            <w:gridSpan w:val="4"/>
            <w:vAlign w:val="center"/>
          </w:tcPr>
          <w:p w:rsidR="00F21D71" w:rsidRPr="00AB2265" w:rsidRDefault="00F21D71" w:rsidP="001C6279">
            <w:pPr>
              <w:pStyle w:val="TableText"/>
              <w:keepLines/>
              <w:rPr>
                <w:b/>
                <w:i/>
              </w:rPr>
            </w:pPr>
            <w:r w:rsidRPr="00AB2265">
              <w:rPr>
                <w:b/>
                <w:i/>
              </w:rPr>
              <w:t>Effective price of caplacizumab (base case: AEMP $</w:t>
            </w:r>
            <w:r w:rsidR="00DE2A9D">
              <w:rPr>
                <w:b/>
                <w:i/>
                <w:noProof/>
                <w:color w:val="000000"/>
                <w:highlight w:val="black"/>
              </w:rPr>
              <w:t xml:space="preserve">''''''''''' </w:t>
            </w:r>
            <w:r w:rsidRPr="00AB2265">
              <w:rPr>
                <w:b/>
                <w:i/>
              </w:rPr>
              <w:t>per vial)</w:t>
            </w:r>
          </w:p>
        </w:tc>
      </w:tr>
      <w:tr w:rsidR="00F21D71" w:rsidRPr="00AB2265" w:rsidTr="001E19E0">
        <w:tc>
          <w:tcPr>
            <w:tcW w:w="4248" w:type="dxa"/>
            <w:vAlign w:val="center"/>
          </w:tcPr>
          <w:p w:rsidR="00F21D71" w:rsidRPr="00AB2265" w:rsidRDefault="00F21D71" w:rsidP="001C6279">
            <w:pPr>
              <w:pStyle w:val="TableText"/>
              <w:keepLines/>
              <w:rPr>
                <w:i/>
              </w:rPr>
            </w:pPr>
            <w:r w:rsidRPr="00AB2265">
              <w:rPr>
                <w:i/>
              </w:rPr>
              <w:t>10% price reduction (AEMP $</w:t>
            </w:r>
            <w:r w:rsidR="00DE2A9D">
              <w:rPr>
                <w:i/>
                <w:noProof/>
                <w:color w:val="000000"/>
                <w:highlight w:val="black"/>
              </w:rPr>
              <w:t>'''''''''''''</w:t>
            </w:r>
            <w:r w:rsidRPr="00AB2265">
              <w:rPr>
                <w:i/>
              </w:rPr>
              <w:t xml:space="preserve"> per vial)</w:t>
            </w:r>
          </w:p>
        </w:tc>
        <w:tc>
          <w:tcPr>
            <w:tcW w:w="1701" w:type="dxa"/>
            <w:vAlign w:val="center"/>
          </w:tcPr>
          <w:p w:rsidR="00F21D71" w:rsidRPr="00AB2265" w:rsidRDefault="00F21D71" w:rsidP="001C6279">
            <w:pPr>
              <w:pStyle w:val="TableText"/>
              <w:keepLines/>
              <w:jc w:val="center"/>
              <w:rPr>
                <w:i/>
              </w:rPr>
            </w:pPr>
            <w:r w:rsidRPr="00AB2265">
              <w:rPr>
                <w:i/>
              </w:rPr>
              <w:t>$</w:t>
            </w:r>
            <w:r w:rsidR="003F618D">
              <w:rPr>
                <w:i/>
                <w:noProof/>
                <w:color w:val="000000"/>
                <w:highlight w:val="black"/>
              </w:rPr>
              <w:t>'''''''''''''''</w:t>
            </w:r>
          </w:p>
        </w:tc>
        <w:tc>
          <w:tcPr>
            <w:tcW w:w="1701" w:type="dxa"/>
            <w:vAlign w:val="center"/>
          </w:tcPr>
          <w:p w:rsidR="00F21D71" w:rsidRPr="00AB2265" w:rsidRDefault="00F21D71" w:rsidP="001C6279">
            <w:pPr>
              <w:pStyle w:val="TableText"/>
              <w:keepLines/>
              <w:jc w:val="center"/>
              <w:rPr>
                <w:i/>
              </w:rPr>
            </w:pPr>
            <w:r w:rsidRPr="00AB2265">
              <w:rPr>
                <w:i/>
              </w:rPr>
              <w:t>1.42</w:t>
            </w:r>
          </w:p>
        </w:tc>
        <w:tc>
          <w:tcPr>
            <w:tcW w:w="1360" w:type="dxa"/>
            <w:vAlign w:val="center"/>
          </w:tcPr>
          <w:p w:rsidR="00F21D71" w:rsidRPr="00AB2265" w:rsidRDefault="00F21D71" w:rsidP="001C6279">
            <w:pPr>
              <w:pStyle w:val="TableText"/>
              <w:keepLines/>
              <w:jc w:val="center"/>
              <w:rPr>
                <w:i/>
              </w:rPr>
            </w:pPr>
            <w:r w:rsidRPr="00AB2265">
              <w:rPr>
                <w:i/>
              </w:rPr>
              <w:t>$</w:t>
            </w:r>
            <w:r w:rsidR="003F618D">
              <w:rPr>
                <w:i/>
                <w:noProof/>
                <w:color w:val="000000"/>
                <w:highlight w:val="black"/>
              </w:rPr>
              <w:t>'''''''''''''''''</w:t>
            </w:r>
          </w:p>
        </w:tc>
      </w:tr>
      <w:tr w:rsidR="00F21D71" w:rsidRPr="00AB2265" w:rsidTr="001E19E0">
        <w:tc>
          <w:tcPr>
            <w:tcW w:w="4248" w:type="dxa"/>
            <w:vAlign w:val="center"/>
          </w:tcPr>
          <w:p w:rsidR="00F21D71" w:rsidRPr="00AB2265" w:rsidRDefault="00F21D71" w:rsidP="001C6279">
            <w:pPr>
              <w:pStyle w:val="TableText"/>
              <w:keepLines/>
              <w:rPr>
                <w:i/>
              </w:rPr>
            </w:pPr>
            <w:r w:rsidRPr="00AB2265">
              <w:rPr>
                <w:i/>
              </w:rPr>
              <w:t>10% price increase (AEMP $</w:t>
            </w:r>
            <w:r w:rsidR="00DE2A9D">
              <w:rPr>
                <w:i/>
                <w:noProof/>
                <w:color w:val="000000"/>
                <w:highlight w:val="black"/>
              </w:rPr>
              <w:t>''''''''''''''</w:t>
            </w:r>
            <w:r w:rsidRPr="00AB2265">
              <w:rPr>
                <w:i/>
              </w:rPr>
              <w:t xml:space="preserve"> per vial)</w:t>
            </w:r>
          </w:p>
        </w:tc>
        <w:tc>
          <w:tcPr>
            <w:tcW w:w="1701" w:type="dxa"/>
            <w:vAlign w:val="center"/>
          </w:tcPr>
          <w:p w:rsidR="00F21D71" w:rsidRPr="00AB2265" w:rsidRDefault="00F21D71" w:rsidP="001C6279">
            <w:pPr>
              <w:pStyle w:val="TableText"/>
              <w:keepLines/>
              <w:jc w:val="center"/>
              <w:rPr>
                <w:i/>
              </w:rPr>
            </w:pPr>
            <w:r w:rsidRPr="00AB2265">
              <w:rPr>
                <w:i/>
              </w:rPr>
              <w:t>$</w:t>
            </w:r>
            <w:r w:rsidR="003F618D">
              <w:rPr>
                <w:i/>
                <w:noProof/>
                <w:color w:val="000000"/>
                <w:highlight w:val="black"/>
              </w:rPr>
              <w:t>''''''''''''''''''''</w:t>
            </w:r>
          </w:p>
        </w:tc>
        <w:tc>
          <w:tcPr>
            <w:tcW w:w="1701" w:type="dxa"/>
            <w:vAlign w:val="center"/>
          </w:tcPr>
          <w:p w:rsidR="00F21D71" w:rsidRPr="00AB2265" w:rsidRDefault="00F21D71" w:rsidP="001C6279">
            <w:pPr>
              <w:pStyle w:val="TableText"/>
              <w:keepLines/>
              <w:jc w:val="center"/>
              <w:rPr>
                <w:i/>
              </w:rPr>
            </w:pPr>
            <w:r w:rsidRPr="00AB2265">
              <w:rPr>
                <w:i/>
              </w:rPr>
              <w:t>1.42</w:t>
            </w:r>
          </w:p>
        </w:tc>
        <w:tc>
          <w:tcPr>
            <w:tcW w:w="1360" w:type="dxa"/>
            <w:vAlign w:val="center"/>
          </w:tcPr>
          <w:p w:rsidR="00F21D71" w:rsidRPr="00AB2265" w:rsidRDefault="00F21D71" w:rsidP="001C6279">
            <w:pPr>
              <w:pStyle w:val="TableText"/>
              <w:keepLines/>
              <w:jc w:val="center"/>
              <w:rPr>
                <w:i/>
              </w:rPr>
            </w:pPr>
            <w:r w:rsidRPr="00AB2265">
              <w:rPr>
                <w:i/>
              </w:rPr>
              <w:t>$</w:t>
            </w:r>
            <w:r w:rsidR="003F618D">
              <w:rPr>
                <w:i/>
                <w:noProof/>
                <w:color w:val="000000"/>
                <w:highlight w:val="black"/>
              </w:rPr>
              <w:t>''''''''''''''''</w:t>
            </w:r>
          </w:p>
        </w:tc>
      </w:tr>
      <w:tr w:rsidR="00F21D71" w:rsidRPr="00AB2265" w:rsidTr="00F21D71">
        <w:tc>
          <w:tcPr>
            <w:tcW w:w="9010" w:type="dxa"/>
            <w:gridSpan w:val="4"/>
            <w:vAlign w:val="center"/>
          </w:tcPr>
          <w:p w:rsidR="00F21D71" w:rsidRPr="00AB2265" w:rsidRDefault="00F21D71" w:rsidP="001C6279">
            <w:pPr>
              <w:pStyle w:val="TableText"/>
              <w:keepLines/>
              <w:rPr>
                <w:b/>
                <w:i/>
              </w:rPr>
            </w:pPr>
            <w:r w:rsidRPr="00AB2265">
              <w:rPr>
                <w:b/>
                <w:i/>
              </w:rPr>
              <w:t>Number of vials used to estimate caplacizumab drug cost (base case: 35.6 vials, including 3 vial cost offset)</w:t>
            </w:r>
          </w:p>
        </w:tc>
      </w:tr>
      <w:tr w:rsidR="00F21D71" w:rsidRPr="00AB2265" w:rsidTr="001E19E0">
        <w:tc>
          <w:tcPr>
            <w:tcW w:w="4248" w:type="dxa"/>
            <w:vAlign w:val="center"/>
          </w:tcPr>
          <w:p w:rsidR="00F21D71" w:rsidRPr="00AB2265" w:rsidRDefault="00F21D71" w:rsidP="001C6279">
            <w:pPr>
              <w:pStyle w:val="TableText"/>
              <w:keepLines/>
              <w:rPr>
                <w:i/>
              </w:rPr>
            </w:pPr>
            <w:r w:rsidRPr="00AB2265">
              <w:rPr>
                <w:i/>
              </w:rPr>
              <w:t>38.6 vials, without cost offset</w:t>
            </w:r>
          </w:p>
        </w:tc>
        <w:tc>
          <w:tcPr>
            <w:tcW w:w="1701" w:type="dxa"/>
            <w:vAlign w:val="center"/>
          </w:tcPr>
          <w:p w:rsidR="00F21D71" w:rsidRPr="00AB2265" w:rsidRDefault="00F21D71" w:rsidP="001C6279">
            <w:pPr>
              <w:pStyle w:val="TableText"/>
              <w:keepLines/>
              <w:jc w:val="center"/>
              <w:rPr>
                <w:i/>
              </w:rPr>
            </w:pPr>
            <w:r w:rsidRPr="00AB2265">
              <w:rPr>
                <w:i/>
              </w:rPr>
              <w:t>$</w:t>
            </w:r>
            <w:r w:rsidR="003F618D">
              <w:rPr>
                <w:i/>
                <w:noProof/>
                <w:color w:val="000000"/>
                <w:highlight w:val="black"/>
              </w:rPr>
              <w:t>''''''''''''''''''</w:t>
            </w:r>
          </w:p>
        </w:tc>
        <w:tc>
          <w:tcPr>
            <w:tcW w:w="1701" w:type="dxa"/>
            <w:vAlign w:val="center"/>
          </w:tcPr>
          <w:p w:rsidR="00F21D71" w:rsidRPr="00AB2265" w:rsidRDefault="00F21D71" w:rsidP="001C6279">
            <w:pPr>
              <w:pStyle w:val="TableText"/>
              <w:keepLines/>
              <w:jc w:val="center"/>
              <w:rPr>
                <w:i/>
              </w:rPr>
            </w:pPr>
            <w:r w:rsidRPr="00AB2265">
              <w:rPr>
                <w:i/>
              </w:rPr>
              <w:t>1.42</w:t>
            </w:r>
          </w:p>
        </w:tc>
        <w:tc>
          <w:tcPr>
            <w:tcW w:w="1360" w:type="dxa"/>
            <w:vAlign w:val="center"/>
          </w:tcPr>
          <w:p w:rsidR="00F21D71" w:rsidRPr="00AB2265" w:rsidRDefault="00F21D71" w:rsidP="001C6279">
            <w:pPr>
              <w:pStyle w:val="TableText"/>
              <w:keepLines/>
              <w:jc w:val="center"/>
              <w:rPr>
                <w:i/>
              </w:rPr>
            </w:pPr>
            <w:r w:rsidRPr="00AB2265">
              <w:rPr>
                <w:i/>
              </w:rPr>
              <w:t>$</w:t>
            </w:r>
            <w:r w:rsidR="003F618D">
              <w:rPr>
                <w:i/>
                <w:noProof/>
                <w:color w:val="000000"/>
                <w:highlight w:val="black"/>
              </w:rPr>
              <w:t>'''''''''''''''</w:t>
            </w:r>
          </w:p>
        </w:tc>
      </w:tr>
      <w:tr w:rsidR="00F21D71" w:rsidRPr="00AB2265" w:rsidTr="001E19E0">
        <w:tc>
          <w:tcPr>
            <w:tcW w:w="4248" w:type="dxa"/>
            <w:vAlign w:val="center"/>
          </w:tcPr>
          <w:p w:rsidR="00F21D71" w:rsidRPr="00AB2265" w:rsidRDefault="00F21D71" w:rsidP="001C6279">
            <w:pPr>
              <w:pStyle w:val="TableText"/>
              <w:keepLines/>
              <w:rPr>
                <w:i/>
              </w:rPr>
            </w:pPr>
            <w:r w:rsidRPr="00AB2265">
              <w:rPr>
                <w:i/>
              </w:rPr>
              <w:t>37.6 vials, with 1 vial cost offset</w:t>
            </w:r>
          </w:p>
        </w:tc>
        <w:tc>
          <w:tcPr>
            <w:tcW w:w="1701" w:type="dxa"/>
            <w:vAlign w:val="center"/>
          </w:tcPr>
          <w:p w:rsidR="00F21D71" w:rsidRPr="00AB2265" w:rsidRDefault="00F21D71" w:rsidP="001C6279">
            <w:pPr>
              <w:pStyle w:val="TableText"/>
              <w:keepLines/>
              <w:jc w:val="center"/>
              <w:rPr>
                <w:i/>
              </w:rPr>
            </w:pPr>
            <w:r w:rsidRPr="00AB2265">
              <w:rPr>
                <w:i/>
              </w:rPr>
              <w:t>$</w:t>
            </w:r>
            <w:r w:rsidR="003F618D">
              <w:rPr>
                <w:i/>
                <w:noProof/>
                <w:color w:val="000000"/>
                <w:highlight w:val="black"/>
              </w:rPr>
              <w:t>''''''''''''''''''''</w:t>
            </w:r>
          </w:p>
        </w:tc>
        <w:tc>
          <w:tcPr>
            <w:tcW w:w="1701" w:type="dxa"/>
            <w:vAlign w:val="center"/>
          </w:tcPr>
          <w:p w:rsidR="00F21D71" w:rsidRPr="00AB2265" w:rsidRDefault="00F21D71" w:rsidP="001C6279">
            <w:pPr>
              <w:pStyle w:val="TableText"/>
              <w:keepLines/>
              <w:jc w:val="center"/>
              <w:rPr>
                <w:i/>
              </w:rPr>
            </w:pPr>
            <w:r w:rsidRPr="00AB2265">
              <w:rPr>
                <w:i/>
              </w:rPr>
              <w:t>1.42</w:t>
            </w:r>
          </w:p>
        </w:tc>
        <w:tc>
          <w:tcPr>
            <w:tcW w:w="1360" w:type="dxa"/>
            <w:vAlign w:val="center"/>
          </w:tcPr>
          <w:p w:rsidR="00F21D71" w:rsidRPr="00AB2265" w:rsidRDefault="00F21D71" w:rsidP="001C6279">
            <w:pPr>
              <w:pStyle w:val="TableText"/>
              <w:keepLines/>
              <w:jc w:val="center"/>
              <w:rPr>
                <w:i/>
              </w:rPr>
            </w:pPr>
            <w:r w:rsidRPr="00AB2265">
              <w:rPr>
                <w:i/>
              </w:rPr>
              <w:t>$</w:t>
            </w:r>
            <w:r w:rsidR="003F618D">
              <w:rPr>
                <w:i/>
                <w:noProof/>
                <w:color w:val="000000"/>
                <w:highlight w:val="black"/>
              </w:rPr>
              <w:t>''''''''''''''''</w:t>
            </w:r>
          </w:p>
        </w:tc>
      </w:tr>
      <w:tr w:rsidR="00F21D71" w:rsidRPr="00AB2265" w:rsidTr="001E19E0">
        <w:tc>
          <w:tcPr>
            <w:tcW w:w="4248" w:type="dxa"/>
            <w:vAlign w:val="center"/>
          </w:tcPr>
          <w:p w:rsidR="00F21D71" w:rsidRPr="00AB2265" w:rsidRDefault="00F21D71" w:rsidP="001C6279">
            <w:pPr>
              <w:pStyle w:val="TableText"/>
              <w:keepLines/>
              <w:rPr>
                <w:i/>
              </w:rPr>
            </w:pPr>
            <w:r w:rsidRPr="00AB2265">
              <w:rPr>
                <w:i/>
              </w:rPr>
              <w:t>31.6 vials, with 7 vial cost offset</w:t>
            </w:r>
          </w:p>
        </w:tc>
        <w:tc>
          <w:tcPr>
            <w:tcW w:w="1701" w:type="dxa"/>
            <w:vAlign w:val="center"/>
          </w:tcPr>
          <w:p w:rsidR="00F21D71" w:rsidRPr="00AB2265" w:rsidRDefault="00F21D71" w:rsidP="001C6279">
            <w:pPr>
              <w:pStyle w:val="TableText"/>
              <w:keepLines/>
              <w:jc w:val="center"/>
              <w:rPr>
                <w:i/>
              </w:rPr>
            </w:pPr>
            <w:r w:rsidRPr="00AB2265">
              <w:rPr>
                <w:i/>
              </w:rPr>
              <w:t>$</w:t>
            </w:r>
            <w:r w:rsidR="003F618D">
              <w:rPr>
                <w:i/>
                <w:noProof/>
                <w:color w:val="000000"/>
                <w:highlight w:val="black"/>
              </w:rPr>
              <w:t>''''''''''''''''''</w:t>
            </w:r>
          </w:p>
        </w:tc>
        <w:tc>
          <w:tcPr>
            <w:tcW w:w="1701" w:type="dxa"/>
            <w:vAlign w:val="center"/>
          </w:tcPr>
          <w:p w:rsidR="00F21D71" w:rsidRPr="00AB2265" w:rsidRDefault="00F21D71" w:rsidP="001C6279">
            <w:pPr>
              <w:pStyle w:val="TableText"/>
              <w:keepLines/>
              <w:jc w:val="center"/>
              <w:rPr>
                <w:i/>
              </w:rPr>
            </w:pPr>
            <w:r w:rsidRPr="00AB2265">
              <w:rPr>
                <w:i/>
              </w:rPr>
              <w:t>1.42</w:t>
            </w:r>
          </w:p>
        </w:tc>
        <w:tc>
          <w:tcPr>
            <w:tcW w:w="1360" w:type="dxa"/>
            <w:vAlign w:val="center"/>
          </w:tcPr>
          <w:p w:rsidR="00F21D71" w:rsidRPr="00AB2265" w:rsidRDefault="00F21D71" w:rsidP="001C6279">
            <w:pPr>
              <w:pStyle w:val="TableText"/>
              <w:keepLines/>
              <w:jc w:val="center"/>
              <w:rPr>
                <w:i/>
              </w:rPr>
            </w:pPr>
            <w:r w:rsidRPr="00AB2265">
              <w:rPr>
                <w:i/>
              </w:rPr>
              <w:t>$</w:t>
            </w:r>
            <w:r w:rsidR="003F618D">
              <w:rPr>
                <w:i/>
                <w:noProof/>
                <w:color w:val="000000"/>
                <w:highlight w:val="black"/>
              </w:rPr>
              <w:t>'''''''''''''''''</w:t>
            </w:r>
          </w:p>
        </w:tc>
      </w:tr>
      <w:tr w:rsidR="00F21D71" w:rsidRPr="00AB2265" w:rsidTr="00F21D71">
        <w:tc>
          <w:tcPr>
            <w:tcW w:w="9010" w:type="dxa"/>
            <w:gridSpan w:val="4"/>
            <w:vAlign w:val="center"/>
          </w:tcPr>
          <w:p w:rsidR="00F21D71" w:rsidRPr="00AB2265" w:rsidRDefault="00F21D71" w:rsidP="001C6279">
            <w:pPr>
              <w:pStyle w:val="TableText"/>
              <w:keepLines/>
              <w:rPr>
                <w:b/>
                <w:i/>
              </w:rPr>
            </w:pPr>
            <w:r w:rsidRPr="00AB2265">
              <w:rPr>
                <w:b/>
                <w:i/>
              </w:rPr>
              <w:t>Health resource utilisation during the acute aTTP episode (base case using data from the double-blind and open-label periods of the HERCULES trial: caplacizumab 5.9 days plasma exchange, 9.9 days hospitalisation, 1.33 days ICU stay; SOC 9.5 days plasma exchange, 14.4 days hospitalisation, 3.59 days ICU stay)</w:t>
            </w:r>
          </w:p>
        </w:tc>
      </w:tr>
      <w:tr w:rsidR="00F21D71" w:rsidRPr="00AB2265" w:rsidTr="001E19E0">
        <w:tc>
          <w:tcPr>
            <w:tcW w:w="4248" w:type="dxa"/>
            <w:vAlign w:val="center"/>
          </w:tcPr>
          <w:p w:rsidR="00F21D71" w:rsidRPr="00AB2265" w:rsidRDefault="00F21D71" w:rsidP="001C6279">
            <w:pPr>
              <w:pStyle w:val="TableText"/>
              <w:keepLines/>
              <w:rPr>
                <w:i/>
              </w:rPr>
            </w:pPr>
            <w:r w:rsidRPr="00AB2265">
              <w:rPr>
                <w:i/>
              </w:rPr>
              <w:t>Based on the double-blind period of the HERCULES trial (caplacizumab 5.5 days plasma exchange, 5.5 days hospitalisation, 1.2 days ICU; SOC 6.5 days plasma exchange, 6.8 days hospitalisation, 2.4 days ICU stay)</w:t>
            </w:r>
            <w:r w:rsidRPr="00AB2265">
              <w:rPr>
                <w:i/>
                <w:vertAlign w:val="superscript"/>
              </w:rPr>
              <w:t>a</w:t>
            </w:r>
          </w:p>
        </w:tc>
        <w:tc>
          <w:tcPr>
            <w:tcW w:w="1701" w:type="dxa"/>
            <w:vAlign w:val="center"/>
          </w:tcPr>
          <w:p w:rsidR="00F21D71" w:rsidRPr="00AB2265" w:rsidRDefault="00F21D71" w:rsidP="001C6279">
            <w:pPr>
              <w:pStyle w:val="TableText"/>
              <w:keepLines/>
              <w:jc w:val="center"/>
              <w:rPr>
                <w:i/>
              </w:rPr>
            </w:pPr>
            <w:r w:rsidRPr="00AB2265">
              <w:rPr>
                <w:i/>
              </w:rPr>
              <w:t>$</w:t>
            </w:r>
            <w:r w:rsidR="003F618D">
              <w:rPr>
                <w:i/>
                <w:noProof/>
                <w:color w:val="000000"/>
                <w:highlight w:val="black"/>
              </w:rPr>
              <w:t>''''''''''''''''''</w:t>
            </w:r>
          </w:p>
        </w:tc>
        <w:tc>
          <w:tcPr>
            <w:tcW w:w="1701" w:type="dxa"/>
            <w:vAlign w:val="center"/>
          </w:tcPr>
          <w:p w:rsidR="00F21D71" w:rsidRPr="00AB2265" w:rsidRDefault="00F21D71" w:rsidP="001C6279">
            <w:pPr>
              <w:pStyle w:val="TableText"/>
              <w:keepLines/>
              <w:jc w:val="center"/>
              <w:rPr>
                <w:i/>
              </w:rPr>
            </w:pPr>
            <w:r w:rsidRPr="00AB2265">
              <w:rPr>
                <w:i/>
              </w:rPr>
              <w:t>1.41</w:t>
            </w:r>
          </w:p>
        </w:tc>
        <w:tc>
          <w:tcPr>
            <w:tcW w:w="1360" w:type="dxa"/>
            <w:vAlign w:val="center"/>
          </w:tcPr>
          <w:p w:rsidR="00F21D71" w:rsidRPr="00AB2265" w:rsidRDefault="00F21D71" w:rsidP="001C6279">
            <w:pPr>
              <w:pStyle w:val="TableText"/>
              <w:keepLines/>
              <w:jc w:val="center"/>
              <w:rPr>
                <w:i/>
              </w:rPr>
            </w:pPr>
            <w:r w:rsidRPr="00AB2265">
              <w:rPr>
                <w:i/>
              </w:rPr>
              <w:t>$</w:t>
            </w:r>
            <w:r w:rsidR="003F618D">
              <w:rPr>
                <w:i/>
                <w:noProof/>
                <w:color w:val="000000"/>
                <w:highlight w:val="black"/>
              </w:rPr>
              <w:t>''''''''''''''''</w:t>
            </w:r>
          </w:p>
        </w:tc>
      </w:tr>
      <w:tr w:rsidR="00F21D71" w:rsidRPr="00AB2265" w:rsidTr="001E19E0">
        <w:tc>
          <w:tcPr>
            <w:tcW w:w="4248" w:type="dxa"/>
            <w:vAlign w:val="center"/>
          </w:tcPr>
          <w:p w:rsidR="00F21D71" w:rsidRPr="00AB2265" w:rsidRDefault="00F21D71" w:rsidP="001C6279">
            <w:pPr>
              <w:pStyle w:val="TableText"/>
              <w:keepLines/>
              <w:rPr>
                <w:i/>
              </w:rPr>
            </w:pPr>
            <w:r w:rsidRPr="00AB2265">
              <w:rPr>
                <w:i/>
              </w:rPr>
              <w:t>Based on the double-blind period of the HERCULES trial assuming ICU stay is part of total hospitalisation duration (caplacizumab 5.5 days plasma exchange, 4.3 days hospitalisation, 1.2 days ICU; SOC 6.5 days plasma exchange, 4.4 days hospitalisation, 2.4 days ICU stay)</w:t>
            </w:r>
            <w:r w:rsidRPr="00AB2265">
              <w:rPr>
                <w:i/>
                <w:vertAlign w:val="superscript"/>
              </w:rPr>
              <w:t>a</w:t>
            </w:r>
          </w:p>
        </w:tc>
        <w:tc>
          <w:tcPr>
            <w:tcW w:w="1701" w:type="dxa"/>
            <w:vAlign w:val="center"/>
          </w:tcPr>
          <w:p w:rsidR="00F21D71" w:rsidRPr="00AB2265" w:rsidRDefault="00F21D71" w:rsidP="001C6279">
            <w:pPr>
              <w:pStyle w:val="TableText"/>
              <w:keepLines/>
              <w:jc w:val="center"/>
              <w:rPr>
                <w:i/>
              </w:rPr>
            </w:pPr>
            <w:r w:rsidRPr="00AB2265">
              <w:rPr>
                <w:i/>
              </w:rPr>
              <w:t>$</w:t>
            </w:r>
            <w:r w:rsidR="003F618D">
              <w:rPr>
                <w:i/>
                <w:noProof/>
                <w:color w:val="000000"/>
                <w:highlight w:val="black"/>
              </w:rPr>
              <w:t>''''''''''''''''''''</w:t>
            </w:r>
          </w:p>
        </w:tc>
        <w:tc>
          <w:tcPr>
            <w:tcW w:w="1701" w:type="dxa"/>
            <w:vAlign w:val="center"/>
          </w:tcPr>
          <w:p w:rsidR="00F21D71" w:rsidRPr="00AB2265" w:rsidRDefault="00F21D71" w:rsidP="001C6279">
            <w:pPr>
              <w:pStyle w:val="TableText"/>
              <w:keepLines/>
              <w:jc w:val="center"/>
              <w:rPr>
                <w:i/>
              </w:rPr>
            </w:pPr>
            <w:r w:rsidRPr="00AB2265">
              <w:rPr>
                <w:i/>
              </w:rPr>
              <w:t>1.41</w:t>
            </w:r>
          </w:p>
        </w:tc>
        <w:tc>
          <w:tcPr>
            <w:tcW w:w="1360" w:type="dxa"/>
            <w:vAlign w:val="center"/>
          </w:tcPr>
          <w:p w:rsidR="00F21D71" w:rsidRPr="00AB2265" w:rsidRDefault="00F21D71" w:rsidP="001C6279">
            <w:pPr>
              <w:pStyle w:val="TableText"/>
              <w:keepLines/>
              <w:jc w:val="center"/>
              <w:rPr>
                <w:i/>
              </w:rPr>
            </w:pPr>
            <w:r w:rsidRPr="00AB2265">
              <w:rPr>
                <w:i/>
              </w:rPr>
              <w:t>$</w:t>
            </w:r>
            <w:r w:rsidR="003F618D">
              <w:rPr>
                <w:i/>
                <w:noProof/>
                <w:color w:val="000000"/>
                <w:highlight w:val="black"/>
              </w:rPr>
              <w:t>'''''''''''''''</w:t>
            </w:r>
          </w:p>
        </w:tc>
      </w:tr>
      <w:tr w:rsidR="00F21D71" w:rsidRPr="00AB2265" w:rsidTr="00F21D71">
        <w:tc>
          <w:tcPr>
            <w:tcW w:w="9010" w:type="dxa"/>
            <w:gridSpan w:val="4"/>
            <w:vAlign w:val="center"/>
          </w:tcPr>
          <w:p w:rsidR="00F21D71" w:rsidRPr="00AB2265" w:rsidRDefault="00F21D71" w:rsidP="001C6279">
            <w:pPr>
              <w:pStyle w:val="TableText"/>
              <w:keepLines/>
              <w:rPr>
                <w:b/>
                <w:i/>
              </w:rPr>
            </w:pPr>
            <w:r w:rsidRPr="00AB2265">
              <w:rPr>
                <w:b/>
                <w:i/>
              </w:rPr>
              <w:t>No prior MI/stroke utility values (base case: 0.879 decreasing to 0.829 based on age and gender-adjusted general population utility)</w:t>
            </w:r>
          </w:p>
        </w:tc>
      </w:tr>
      <w:tr w:rsidR="00F21D71" w:rsidRPr="00AB2265" w:rsidTr="001E19E0">
        <w:tc>
          <w:tcPr>
            <w:tcW w:w="4248" w:type="dxa"/>
            <w:vAlign w:val="center"/>
          </w:tcPr>
          <w:p w:rsidR="00F21D71" w:rsidRPr="00AB2265" w:rsidRDefault="00F21D71" w:rsidP="001C6279">
            <w:pPr>
              <w:pStyle w:val="TableText"/>
              <w:keepLines/>
              <w:rPr>
                <w:i/>
              </w:rPr>
            </w:pPr>
            <w:r w:rsidRPr="00AB2265">
              <w:rPr>
                <w:i/>
              </w:rPr>
              <w:t>Decrease by 10% (0.791 decreasing to 0.746)</w:t>
            </w:r>
          </w:p>
        </w:tc>
        <w:tc>
          <w:tcPr>
            <w:tcW w:w="1701" w:type="dxa"/>
            <w:vAlign w:val="center"/>
          </w:tcPr>
          <w:p w:rsidR="00F21D71" w:rsidRPr="00AB2265" w:rsidRDefault="00F21D71" w:rsidP="001C6279">
            <w:pPr>
              <w:pStyle w:val="TableText"/>
              <w:keepLines/>
              <w:jc w:val="center"/>
              <w:rPr>
                <w:i/>
              </w:rPr>
            </w:pPr>
            <w:r w:rsidRPr="00AB2265">
              <w:rPr>
                <w:i/>
              </w:rPr>
              <w:t>$</w:t>
            </w:r>
            <w:r w:rsidR="003F618D">
              <w:rPr>
                <w:i/>
                <w:noProof/>
                <w:color w:val="000000"/>
                <w:highlight w:val="black"/>
              </w:rPr>
              <w:t>'''''''''''''''''''</w:t>
            </w:r>
          </w:p>
        </w:tc>
        <w:tc>
          <w:tcPr>
            <w:tcW w:w="1701" w:type="dxa"/>
            <w:vAlign w:val="center"/>
          </w:tcPr>
          <w:p w:rsidR="00F21D71" w:rsidRPr="00AB2265" w:rsidRDefault="00F21D71" w:rsidP="001C6279">
            <w:pPr>
              <w:pStyle w:val="TableText"/>
              <w:keepLines/>
              <w:jc w:val="center"/>
              <w:rPr>
                <w:i/>
              </w:rPr>
            </w:pPr>
            <w:r w:rsidRPr="00AB2265">
              <w:rPr>
                <w:i/>
              </w:rPr>
              <w:t>1.27</w:t>
            </w:r>
          </w:p>
        </w:tc>
        <w:tc>
          <w:tcPr>
            <w:tcW w:w="1360" w:type="dxa"/>
            <w:vAlign w:val="center"/>
          </w:tcPr>
          <w:p w:rsidR="00F21D71" w:rsidRPr="00AB2265" w:rsidRDefault="00F21D71" w:rsidP="001C6279">
            <w:pPr>
              <w:pStyle w:val="TableText"/>
              <w:keepLines/>
              <w:jc w:val="center"/>
              <w:rPr>
                <w:i/>
              </w:rPr>
            </w:pPr>
            <w:r w:rsidRPr="00AB2265">
              <w:rPr>
                <w:i/>
              </w:rPr>
              <w:t>$</w:t>
            </w:r>
            <w:r w:rsidR="003F618D">
              <w:rPr>
                <w:i/>
                <w:noProof/>
                <w:color w:val="000000"/>
                <w:highlight w:val="black"/>
              </w:rPr>
              <w:t>'''''''''''''''</w:t>
            </w:r>
          </w:p>
        </w:tc>
      </w:tr>
      <w:tr w:rsidR="00F21D71" w:rsidRPr="00AB2265" w:rsidTr="001E19E0">
        <w:tc>
          <w:tcPr>
            <w:tcW w:w="4248" w:type="dxa"/>
            <w:vAlign w:val="center"/>
          </w:tcPr>
          <w:p w:rsidR="00F21D71" w:rsidRPr="00AB2265" w:rsidRDefault="00F21D71" w:rsidP="001C6279">
            <w:pPr>
              <w:pStyle w:val="TableText"/>
              <w:keepLines/>
              <w:rPr>
                <w:i/>
              </w:rPr>
            </w:pPr>
            <w:r w:rsidRPr="00AB2265">
              <w:rPr>
                <w:i/>
              </w:rPr>
              <w:t>Decrease by 20% (0.703 decreasing to 0.663)</w:t>
            </w:r>
          </w:p>
        </w:tc>
        <w:tc>
          <w:tcPr>
            <w:tcW w:w="1701" w:type="dxa"/>
            <w:vAlign w:val="center"/>
          </w:tcPr>
          <w:p w:rsidR="00F21D71" w:rsidRPr="00AB2265" w:rsidRDefault="00F21D71" w:rsidP="001C6279">
            <w:pPr>
              <w:pStyle w:val="TableText"/>
              <w:keepLines/>
              <w:jc w:val="center"/>
              <w:rPr>
                <w:i/>
              </w:rPr>
            </w:pPr>
            <w:r w:rsidRPr="00AB2265">
              <w:rPr>
                <w:i/>
              </w:rPr>
              <w:t>$</w:t>
            </w:r>
            <w:r w:rsidR="003F618D">
              <w:rPr>
                <w:i/>
                <w:noProof/>
                <w:color w:val="000000"/>
                <w:highlight w:val="black"/>
              </w:rPr>
              <w:t>'''''''''''''''''''''</w:t>
            </w:r>
          </w:p>
        </w:tc>
        <w:tc>
          <w:tcPr>
            <w:tcW w:w="1701" w:type="dxa"/>
            <w:vAlign w:val="center"/>
          </w:tcPr>
          <w:p w:rsidR="00F21D71" w:rsidRPr="00AB2265" w:rsidRDefault="00F21D71" w:rsidP="001C6279">
            <w:pPr>
              <w:pStyle w:val="TableText"/>
              <w:keepLines/>
              <w:jc w:val="center"/>
              <w:rPr>
                <w:i/>
              </w:rPr>
            </w:pPr>
            <w:r w:rsidRPr="00AB2265">
              <w:rPr>
                <w:i/>
              </w:rPr>
              <w:t>1.12</w:t>
            </w:r>
          </w:p>
        </w:tc>
        <w:tc>
          <w:tcPr>
            <w:tcW w:w="1360" w:type="dxa"/>
            <w:vAlign w:val="center"/>
          </w:tcPr>
          <w:p w:rsidR="00F21D71" w:rsidRPr="00AB2265" w:rsidRDefault="00F21D71" w:rsidP="001C6279">
            <w:pPr>
              <w:pStyle w:val="TableText"/>
              <w:keepLines/>
              <w:jc w:val="center"/>
              <w:rPr>
                <w:i/>
              </w:rPr>
            </w:pPr>
            <w:r w:rsidRPr="00AB2265">
              <w:rPr>
                <w:i/>
              </w:rPr>
              <w:t>$</w:t>
            </w:r>
            <w:r w:rsidR="003F618D">
              <w:rPr>
                <w:i/>
                <w:noProof/>
                <w:color w:val="000000"/>
                <w:highlight w:val="black"/>
              </w:rPr>
              <w:t>''''''''''''''''''</w:t>
            </w:r>
          </w:p>
        </w:tc>
      </w:tr>
    </w:tbl>
    <w:p w:rsidR="00F21D71" w:rsidRPr="00AB2265" w:rsidRDefault="00F21D71" w:rsidP="001C6279">
      <w:pPr>
        <w:pStyle w:val="TableFigureFooter"/>
        <w:keepNext/>
        <w:keepLines/>
      </w:pPr>
      <w:r w:rsidRPr="00AB2265">
        <w:t>Source: Table 3.9.1, p161 and ‘Cablivi+PBAC+Section+3+CEA_March+2020’ Excel workbook, Attachment 7 of the submission</w:t>
      </w:r>
    </w:p>
    <w:p w:rsidR="00F21D71" w:rsidRPr="00AB2265" w:rsidRDefault="00F21D71" w:rsidP="001C6279">
      <w:pPr>
        <w:pStyle w:val="TableFigureFooter"/>
        <w:keepNext/>
        <w:keepLines/>
      </w:pPr>
      <w:proofErr w:type="gramStart"/>
      <w:r w:rsidRPr="00AB2265">
        <w:rPr>
          <w:vertAlign w:val="superscript"/>
        </w:rPr>
        <w:t>a</w:t>
      </w:r>
      <w:proofErr w:type="gramEnd"/>
      <w:r w:rsidRPr="00AB2265">
        <w:t xml:space="preserve"> ICU stay estimates were based on initial plasma exchange period only due to relatively small patient numbers in the post-daily plasma exchange period. The duration was weighted using the proportions with ICU stay in the submission (39% in caplacizumab arm and 37% in placebo arm)</w:t>
      </w:r>
    </w:p>
    <w:p w:rsidR="00F21D71" w:rsidRDefault="00F21D71" w:rsidP="001C6279">
      <w:pPr>
        <w:pStyle w:val="TableFigureFooter"/>
        <w:keepNext/>
        <w:keepLines/>
        <w:rPr>
          <w:i/>
        </w:rPr>
      </w:pPr>
      <w:r w:rsidRPr="00AB2265">
        <w:rPr>
          <w:i/>
        </w:rPr>
        <w:t>Italicised analyses were conducted during the evaluation</w:t>
      </w:r>
    </w:p>
    <w:p w:rsidR="00AC0B9A" w:rsidRPr="00E73D7E" w:rsidRDefault="00AC0B9A" w:rsidP="00F21D71">
      <w:pPr>
        <w:pStyle w:val="TableFigureFooter"/>
      </w:pPr>
    </w:p>
    <w:p w:rsidR="00AC0B9A" w:rsidRPr="00E73D7E" w:rsidRDefault="00AC0B9A" w:rsidP="00F21D71">
      <w:pPr>
        <w:pStyle w:val="TableFigureFooter"/>
        <w:rPr>
          <w:rFonts w:asciiTheme="minorHAnsi" w:hAnsiTheme="minorHAnsi" w:cstheme="minorHAnsi"/>
          <w:sz w:val="24"/>
          <w:szCs w:val="24"/>
        </w:rPr>
      </w:pPr>
      <w:r w:rsidRPr="00E73D7E">
        <w:rPr>
          <w:rFonts w:asciiTheme="minorHAnsi" w:hAnsiTheme="minorHAnsi" w:cstheme="minorHAnsi"/>
          <w:sz w:val="24"/>
          <w:szCs w:val="24"/>
        </w:rPr>
        <w:t>The redacted table shows ICERs in the range of $75,000 to &lt; $95,000 to</w:t>
      </w:r>
      <w:r w:rsidR="00E90AB7">
        <w:rPr>
          <w:rFonts w:asciiTheme="minorHAnsi" w:hAnsiTheme="minorHAnsi" w:cstheme="minorHAnsi"/>
          <w:sz w:val="24"/>
          <w:szCs w:val="24"/>
        </w:rPr>
        <w:t xml:space="preserve"> </w:t>
      </w:r>
      <w:r w:rsidRPr="00E73D7E">
        <w:rPr>
          <w:rFonts w:asciiTheme="minorHAnsi" w:hAnsiTheme="minorHAnsi" w:cstheme="minorHAnsi"/>
          <w:sz w:val="24"/>
          <w:szCs w:val="24"/>
        </w:rPr>
        <w:t>&gt; $1,055,000.</w:t>
      </w:r>
    </w:p>
    <w:p w:rsidR="00F21D71" w:rsidRPr="00AB2265" w:rsidRDefault="00F21D71" w:rsidP="00F21D71">
      <w:pPr>
        <w:pStyle w:val="ExecSumBodyText"/>
        <w:numPr>
          <w:ilvl w:val="1"/>
          <w:numId w:val="1"/>
        </w:numPr>
      </w:pPr>
      <w:r w:rsidRPr="00AB2265">
        <w:t>The results were most sensitive to time horizon, probability of death due to the acute aTTP episode and discounting. Results were moderately sensitive to the effective price of caplacizumab, estimated caplacizumab vial use, health resource utilisation during the acute aTTP episode and the no prior MI/stroke health state utility value</w:t>
      </w:r>
      <w:r w:rsidRPr="00AB2265">
        <w:rPr>
          <w:color w:val="3366FF"/>
        </w:rPr>
        <w:t>.</w:t>
      </w:r>
    </w:p>
    <w:p w:rsidR="00F21D71" w:rsidRPr="00AB2265" w:rsidRDefault="00F21D71" w:rsidP="003F1A8B">
      <w:pPr>
        <w:pStyle w:val="ExecSumBodyText"/>
        <w:numPr>
          <w:ilvl w:val="1"/>
          <w:numId w:val="1"/>
        </w:numPr>
      </w:pPr>
      <w:r w:rsidRPr="00AB2265">
        <w:t>The submission noted that costs and consequences associated with MI and stroke events had a minimal impact on the results. This was expected given the relatively small number of events occurring in the model.</w:t>
      </w:r>
    </w:p>
    <w:p w:rsidR="00F21D71" w:rsidRPr="00AB2265" w:rsidRDefault="00F21D71" w:rsidP="00F21D71">
      <w:pPr>
        <w:pStyle w:val="3-SubsectionHeading"/>
      </w:pPr>
      <w:bookmarkStart w:id="35" w:name="_Toc40711458"/>
      <w:bookmarkStart w:id="36" w:name="_Toc40711517"/>
      <w:r w:rsidRPr="00AB2265">
        <w:t>Drug cost/patient</w:t>
      </w:r>
      <w:bookmarkEnd w:id="35"/>
      <w:bookmarkEnd w:id="36"/>
    </w:p>
    <w:p w:rsidR="00F21D71" w:rsidRPr="00AB2265" w:rsidRDefault="00F21D71" w:rsidP="00F21D71">
      <w:pPr>
        <w:pStyle w:val="ExecSumBodyText"/>
        <w:numPr>
          <w:ilvl w:val="1"/>
          <w:numId w:val="1"/>
        </w:numPr>
        <w:rPr>
          <w:snapToGrid/>
        </w:rPr>
      </w:pPr>
      <w:r w:rsidRPr="00AB2265">
        <w:t>The estimated drug cost for caplacizumab per patient for an acute aTTP episode was $</w:t>
      </w:r>
      <w:r w:rsidR="003F618D">
        <w:rPr>
          <w:noProof/>
          <w:color w:val="000000"/>
          <w:highlight w:val="black"/>
        </w:rPr>
        <w:t>''''''''''''''''</w:t>
      </w:r>
      <w:r w:rsidRPr="00AB2265">
        <w:t xml:space="preserve"> based on 35.6 vials (based on HERCULES trial data including the proposed 3-vial cost offset) using the effective AEMP $</w:t>
      </w:r>
      <w:r w:rsidR="003F618D">
        <w:rPr>
          <w:noProof/>
          <w:color w:val="000000"/>
          <w:highlight w:val="black"/>
        </w:rPr>
        <w:t>'''''''''''</w:t>
      </w:r>
      <w:r w:rsidRPr="00AB2265">
        <w:t xml:space="preserve"> per vial.</w:t>
      </w:r>
    </w:p>
    <w:p w:rsidR="00F21D71" w:rsidRPr="00AB2265" w:rsidRDefault="00F21D71" w:rsidP="00F21D71">
      <w:pPr>
        <w:pStyle w:val="ExecSumBodyText"/>
        <w:numPr>
          <w:ilvl w:val="1"/>
          <w:numId w:val="1"/>
        </w:numPr>
        <w:rPr>
          <w:snapToGrid/>
        </w:rPr>
      </w:pPr>
      <w:r w:rsidRPr="00AB2265">
        <w:t>The drug cost per patient for caplacizumab is summarised in the table below.</w:t>
      </w:r>
    </w:p>
    <w:p w:rsidR="00F21D71" w:rsidRPr="00AB2265" w:rsidRDefault="00C979CC" w:rsidP="00F21D71">
      <w:pPr>
        <w:pStyle w:val="Tableheadingrow"/>
        <w:rPr>
          <w:lang w:val="en-AU"/>
        </w:rPr>
      </w:pPr>
      <w:r w:rsidRPr="00AB2265">
        <w:rPr>
          <w:lang w:val="en-AU"/>
        </w:rPr>
        <w:t>Table 21</w:t>
      </w:r>
      <w:r w:rsidR="00F21D71" w:rsidRPr="00AB2265">
        <w:rPr>
          <w:lang w:val="en-AU"/>
        </w:rPr>
        <w:t>: Drug cost per patient for caplacizumab</w:t>
      </w:r>
    </w:p>
    <w:tbl>
      <w:tblPr>
        <w:tblStyle w:val="TableGrid"/>
        <w:tblW w:w="0" w:type="auto"/>
        <w:tblLayout w:type="fixed"/>
        <w:tblLook w:val="04A0" w:firstRow="1" w:lastRow="0" w:firstColumn="1" w:lastColumn="0" w:noHBand="0" w:noVBand="1"/>
        <w:tblCaption w:val="Table 21: Drug cost per patient for caplacizumab"/>
      </w:tblPr>
      <w:tblGrid>
        <w:gridCol w:w="1838"/>
        <w:gridCol w:w="2977"/>
        <w:gridCol w:w="4202"/>
      </w:tblGrid>
      <w:tr w:rsidR="00F21D71" w:rsidRPr="00AB2265" w:rsidTr="00187C4E">
        <w:trPr>
          <w:trHeight w:val="77"/>
          <w:tblHeader/>
        </w:trPr>
        <w:tc>
          <w:tcPr>
            <w:tcW w:w="1838" w:type="dxa"/>
            <w:vAlign w:val="center"/>
          </w:tcPr>
          <w:p w:rsidR="00F21D71" w:rsidRPr="00AB2265" w:rsidRDefault="00F21D71" w:rsidP="00F21D71">
            <w:pPr>
              <w:jc w:val="left"/>
              <w:rPr>
                <w:rFonts w:ascii="Arial Narrow" w:hAnsi="Arial Narrow"/>
                <w:b/>
                <w:sz w:val="20"/>
              </w:rPr>
            </w:pPr>
          </w:p>
        </w:tc>
        <w:tc>
          <w:tcPr>
            <w:tcW w:w="2977" w:type="dxa"/>
            <w:vAlign w:val="center"/>
          </w:tcPr>
          <w:p w:rsidR="00F21D71" w:rsidRPr="00AB2265" w:rsidRDefault="00F21D71" w:rsidP="00F21D71">
            <w:pPr>
              <w:jc w:val="left"/>
              <w:rPr>
                <w:rFonts w:ascii="Arial Narrow" w:hAnsi="Arial Narrow"/>
                <w:b/>
                <w:sz w:val="20"/>
              </w:rPr>
            </w:pPr>
            <w:r w:rsidRPr="00AB2265">
              <w:rPr>
                <w:rFonts w:ascii="Arial Narrow" w:hAnsi="Arial Narrow"/>
                <w:b/>
                <w:sz w:val="20"/>
              </w:rPr>
              <w:t>Economic analysis</w:t>
            </w:r>
          </w:p>
        </w:tc>
        <w:tc>
          <w:tcPr>
            <w:tcW w:w="4202" w:type="dxa"/>
            <w:vAlign w:val="center"/>
          </w:tcPr>
          <w:p w:rsidR="00F21D71" w:rsidRPr="00AB2265" w:rsidRDefault="00F21D71" w:rsidP="00F21D71">
            <w:pPr>
              <w:jc w:val="left"/>
              <w:rPr>
                <w:rFonts w:ascii="Arial Narrow" w:hAnsi="Arial Narrow"/>
                <w:b/>
                <w:sz w:val="20"/>
              </w:rPr>
            </w:pPr>
            <w:r w:rsidRPr="00AB2265">
              <w:rPr>
                <w:rFonts w:ascii="Arial Narrow" w:hAnsi="Arial Narrow"/>
                <w:b/>
                <w:sz w:val="20"/>
              </w:rPr>
              <w:t>Financial estimates</w:t>
            </w:r>
          </w:p>
        </w:tc>
      </w:tr>
      <w:tr w:rsidR="00F21D71" w:rsidRPr="00AB2265" w:rsidTr="001E19E0">
        <w:tc>
          <w:tcPr>
            <w:tcW w:w="1838" w:type="dxa"/>
            <w:vAlign w:val="center"/>
          </w:tcPr>
          <w:p w:rsidR="00F21D71" w:rsidRPr="00AB2265" w:rsidRDefault="00F21D71" w:rsidP="00F21D71">
            <w:pPr>
              <w:jc w:val="left"/>
              <w:rPr>
                <w:rFonts w:ascii="Arial Narrow" w:hAnsi="Arial Narrow"/>
                <w:sz w:val="20"/>
              </w:rPr>
            </w:pPr>
            <w:r w:rsidRPr="00AB2265">
              <w:rPr>
                <w:rFonts w:ascii="Arial Narrow" w:hAnsi="Arial Narrow"/>
                <w:sz w:val="20"/>
              </w:rPr>
              <w:t>Circumstances of use</w:t>
            </w:r>
          </w:p>
        </w:tc>
        <w:tc>
          <w:tcPr>
            <w:tcW w:w="2977" w:type="dxa"/>
            <w:vAlign w:val="center"/>
          </w:tcPr>
          <w:p w:rsidR="00F21D71" w:rsidRPr="00AB2265" w:rsidRDefault="00F21D71" w:rsidP="00F21D71">
            <w:pPr>
              <w:jc w:val="left"/>
              <w:rPr>
                <w:rFonts w:ascii="Arial Narrow" w:hAnsi="Arial Narrow"/>
                <w:sz w:val="20"/>
              </w:rPr>
            </w:pPr>
            <w:r w:rsidRPr="00AB2265">
              <w:rPr>
                <w:rFonts w:ascii="Arial Narrow" w:hAnsi="Arial Narrow"/>
                <w:sz w:val="20"/>
              </w:rPr>
              <w:t>Total vial use estimated based on the overall treatment period of the HERCULES trial. Number of vials estimated using mean treatment duration, additional loading dose on Day 1 and proposed 3-vial cost offset.</w:t>
            </w:r>
          </w:p>
        </w:tc>
        <w:tc>
          <w:tcPr>
            <w:tcW w:w="4202" w:type="dxa"/>
            <w:vAlign w:val="center"/>
          </w:tcPr>
          <w:p w:rsidR="00F21D71" w:rsidRPr="00AB2265" w:rsidRDefault="00F21D71" w:rsidP="00F21D71">
            <w:pPr>
              <w:jc w:val="left"/>
              <w:rPr>
                <w:rFonts w:ascii="Arial Narrow" w:hAnsi="Arial Narrow"/>
                <w:sz w:val="20"/>
              </w:rPr>
            </w:pPr>
            <w:r w:rsidRPr="00AB2265">
              <w:rPr>
                <w:rFonts w:ascii="Arial Narrow" w:hAnsi="Arial Narrow"/>
                <w:sz w:val="20"/>
              </w:rPr>
              <w:t xml:space="preserve">Total script use estimated based on mean duration of plasma exchange for initial plasma exchange period, post-daily plasma exchange (30 days) and 7-day extended use estimated from HERCULES trial data. </w:t>
            </w:r>
          </w:p>
        </w:tc>
      </w:tr>
      <w:tr w:rsidR="00F21D71" w:rsidRPr="00AB2265" w:rsidTr="001E19E0">
        <w:tc>
          <w:tcPr>
            <w:tcW w:w="1838" w:type="dxa"/>
            <w:vAlign w:val="center"/>
          </w:tcPr>
          <w:p w:rsidR="00F21D71" w:rsidRPr="00AB2265" w:rsidRDefault="00F21D71" w:rsidP="00F21D71">
            <w:pPr>
              <w:jc w:val="left"/>
              <w:rPr>
                <w:rFonts w:ascii="Arial Narrow" w:hAnsi="Arial Narrow"/>
                <w:sz w:val="20"/>
              </w:rPr>
            </w:pPr>
            <w:r w:rsidRPr="00AB2265">
              <w:rPr>
                <w:rFonts w:ascii="Arial Narrow" w:hAnsi="Arial Narrow"/>
                <w:sz w:val="20"/>
              </w:rPr>
              <w:t>Estimated number of vials</w:t>
            </w:r>
          </w:p>
        </w:tc>
        <w:tc>
          <w:tcPr>
            <w:tcW w:w="2977" w:type="dxa"/>
            <w:vAlign w:val="center"/>
          </w:tcPr>
          <w:p w:rsidR="00F21D71" w:rsidRPr="00AB2265" w:rsidRDefault="00F21D71" w:rsidP="00F21D71">
            <w:pPr>
              <w:jc w:val="left"/>
              <w:rPr>
                <w:rFonts w:ascii="Arial Narrow" w:hAnsi="Arial Narrow"/>
                <w:sz w:val="20"/>
              </w:rPr>
            </w:pPr>
            <w:r w:rsidRPr="00AB2265">
              <w:rPr>
                <w:rFonts w:ascii="Arial Narrow" w:hAnsi="Arial Narrow"/>
                <w:sz w:val="20"/>
              </w:rPr>
              <w:t>35.6 vials</w:t>
            </w:r>
          </w:p>
        </w:tc>
        <w:tc>
          <w:tcPr>
            <w:tcW w:w="4202" w:type="dxa"/>
            <w:vAlign w:val="center"/>
          </w:tcPr>
          <w:p w:rsidR="00F21D71" w:rsidRPr="00AB2265" w:rsidRDefault="00F21D71" w:rsidP="00F21D71">
            <w:pPr>
              <w:jc w:val="left"/>
              <w:rPr>
                <w:rFonts w:ascii="Arial Narrow" w:hAnsi="Arial Narrow"/>
                <w:sz w:val="20"/>
              </w:rPr>
            </w:pPr>
            <w:r w:rsidRPr="00AB2265">
              <w:rPr>
                <w:rFonts w:ascii="Arial Narrow" w:hAnsi="Arial Narrow"/>
                <w:sz w:val="20"/>
              </w:rPr>
              <w:t>40.935 vials</w:t>
            </w:r>
          </w:p>
        </w:tc>
      </w:tr>
      <w:tr w:rsidR="00F21D71" w:rsidRPr="00AB2265" w:rsidTr="001E19E0">
        <w:tc>
          <w:tcPr>
            <w:tcW w:w="1838" w:type="dxa"/>
            <w:vAlign w:val="center"/>
          </w:tcPr>
          <w:p w:rsidR="00F21D71" w:rsidRPr="00AB2265" w:rsidRDefault="00F21D71" w:rsidP="00F21D71">
            <w:pPr>
              <w:jc w:val="left"/>
              <w:rPr>
                <w:rFonts w:ascii="Arial Narrow" w:hAnsi="Arial Narrow"/>
                <w:sz w:val="20"/>
              </w:rPr>
            </w:pPr>
            <w:r w:rsidRPr="00AB2265">
              <w:rPr>
                <w:rFonts w:ascii="Arial Narrow" w:hAnsi="Arial Narrow"/>
                <w:sz w:val="20"/>
              </w:rPr>
              <w:t>Cost per vial (effective)</w:t>
            </w:r>
          </w:p>
        </w:tc>
        <w:tc>
          <w:tcPr>
            <w:tcW w:w="2977" w:type="dxa"/>
            <w:vAlign w:val="center"/>
          </w:tcPr>
          <w:p w:rsidR="00F21D71" w:rsidRPr="00AB2265" w:rsidRDefault="00F21D71" w:rsidP="00F21D71">
            <w:pPr>
              <w:jc w:val="left"/>
              <w:rPr>
                <w:rFonts w:ascii="Arial Narrow" w:hAnsi="Arial Narrow"/>
                <w:sz w:val="20"/>
              </w:rPr>
            </w:pPr>
            <w:r w:rsidRPr="00AB2265">
              <w:rPr>
                <w:rFonts w:ascii="Arial Narrow" w:hAnsi="Arial Narrow"/>
                <w:sz w:val="20"/>
              </w:rPr>
              <w:t>AEMP $</w:t>
            </w:r>
            <w:r w:rsidR="003F618D">
              <w:rPr>
                <w:rFonts w:ascii="Arial Narrow" w:hAnsi="Arial Narrow"/>
                <w:noProof/>
                <w:color w:val="000000"/>
                <w:sz w:val="20"/>
                <w:highlight w:val="black"/>
              </w:rPr>
              <w:t>'''''''''''''</w:t>
            </w:r>
          </w:p>
        </w:tc>
        <w:tc>
          <w:tcPr>
            <w:tcW w:w="4202" w:type="dxa"/>
            <w:vAlign w:val="center"/>
          </w:tcPr>
          <w:p w:rsidR="00F21D71" w:rsidRPr="00AB2265" w:rsidRDefault="00F21D71" w:rsidP="00F21D71">
            <w:pPr>
              <w:jc w:val="left"/>
              <w:rPr>
                <w:rFonts w:ascii="Arial Narrow" w:hAnsi="Arial Narrow"/>
                <w:sz w:val="20"/>
              </w:rPr>
            </w:pPr>
            <w:r w:rsidRPr="00AB2265">
              <w:rPr>
                <w:rFonts w:ascii="Arial Narrow" w:hAnsi="Arial Narrow"/>
                <w:sz w:val="20"/>
              </w:rPr>
              <w:t>AEMP $</w:t>
            </w:r>
            <w:r w:rsidR="003F618D">
              <w:rPr>
                <w:rFonts w:ascii="Arial Narrow" w:hAnsi="Arial Narrow"/>
                <w:noProof/>
                <w:color w:val="000000"/>
                <w:sz w:val="20"/>
                <w:highlight w:val="black"/>
              </w:rPr>
              <w:t>'''''''''''''</w:t>
            </w:r>
          </w:p>
        </w:tc>
      </w:tr>
      <w:tr w:rsidR="00F21D71" w:rsidRPr="00AB2265" w:rsidTr="001E19E0">
        <w:tc>
          <w:tcPr>
            <w:tcW w:w="1838" w:type="dxa"/>
            <w:vAlign w:val="center"/>
          </w:tcPr>
          <w:p w:rsidR="00F21D71" w:rsidRPr="00AB2265" w:rsidRDefault="00F21D71" w:rsidP="00F21D71">
            <w:pPr>
              <w:jc w:val="left"/>
              <w:rPr>
                <w:rFonts w:ascii="Arial Narrow" w:hAnsi="Arial Narrow"/>
                <w:sz w:val="20"/>
              </w:rPr>
            </w:pPr>
            <w:r w:rsidRPr="00AB2265">
              <w:rPr>
                <w:rFonts w:ascii="Arial Narrow" w:hAnsi="Arial Narrow"/>
                <w:sz w:val="20"/>
              </w:rPr>
              <w:t>Distribution of use across scripts</w:t>
            </w:r>
          </w:p>
        </w:tc>
        <w:tc>
          <w:tcPr>
            <w:tcW w:w="2977" w:type="dxa"/>
            <w:vAlign w:val="center"/>
          </w:tcPr>
          <w:p w:rsidR="00F21D71" w:rsidRPr="00AB2265" w:rsidRDefault="00F21D71" w:rsidP="00F21D71">
            <w:pPr>
              <w:jc w:val="left"/>
              <w:rPr>
                <w:rFonts w:ascii="Arial Narrow" w:hAnsi="Arial Narrow"/>
                <w:sz w:val="20"/>
              </w:rPr>
            </w:pPr>
            <w:r w:rsidRPr="00AB2265">
              <w:rPr>
                <w:rFonts w:ascii="Arial Narrow" w:hAnsi="Arial Narrow"/>
                <w:sz w:val="20"/>
              </w:rPr>
              <w:t>-</w:t>
            </w:r>
          </w:p>
        </w:tc>
        <w:tc>
          <w:tcPr>
            <w:tcW w:w="4202" w:type="dxa"/>
            <w:vAlign w:val="center"/>
          </w:tcPr>
          <w:p w:rsidR="00F21D71" w:rsidRPr="00AB2265" w:rsidRDefault="00F21D71" w:rsidP="00F21D71">
            <w:pPr>
              <w:jc w:val="left"/>
              <w:rPr>
                <w:rFonts w:ascii="Arial Narrow" w:hAnsi="Arial Narrow"/>
                <w:sz w:val="20"/>
                <w:vertAlign w:val="superscript"/>
              </w:rPr>
            </w:pPr>
            <w:r w:rsidRPr="00AB2265">
              <w:rPr>
                <w:rFonts w:ascii="Arial Narrow" w:hAnsi="Arial Narrow"/>
                <w:sz w:val="20"/>
              </w:rPr>
              <w:t>Initial: 100% of patients, 1 script x 4 vials</w:t>
            </w:r>
            <w:r w:rsidRPr="00AB2265">
              <w:rPr>
                <w:rFonts w:ascii="Arial Narrow" w:hAnsi="Arial Narrow"/>
                <w:sz w:val="20"/>
                <w:vertAlign w:val="superscript"/>
              </w:rPr>
              <w:t>a</w:t>
            </w:r>
          </w:p>
          <w:p w:rsidR="00F21D71" w:rsidRPr="00AB2265" w:rsidRDefault="00F21D71" w:rsidP="00F21D71">
            <w:pPr>
              <w:jc w:val="left"/>
              <w:rPr>
                <w:rFonts w:ascii="Arial Narrow" w:hAnsi="Arial Narrow"/>
                <w:sz w:val="20"/>
              </w:rPr>
            </w:pPr>
            <w:r w:rsidRPr="00AB2265">
              <w:rPr>
                <w:rFonts w:ascii="Arial Narrow" w:hAnsi="Arial Narrow"/>
                <w:sz w:val="20"/>
              </w:rPr>
              <w:t>Extended initial: 20% of patients; 5 scripts x 1 vial</w:t>
            </w:r>
          </w:p>
          <w:p w:rsidR="00F21D71" w:rsidRPr="00AB2265" w:rsidRDefault="00F21D71" w:rsidP="00F21D71">
            <w:pPr>
              <w:jc w:val="left"/>
              <w:rPr>
                <w:rFonts w:ascii="Arial Narrow" w:hAnsi="Arial Narrow"/>
                <w:sz w:val="20"/>
              </w:rPr>
            </w:pPr>
            <w:r w:rsidRPr="00AB2265">
              <w:rPr>
                <w:rFonts w:ascii="Arial Narrow" w:hAnsi="Arial Narrow"/>
                <w:sz w:val="20"/>
              </w:rPr>
              <w:t>Post-plasma exchange continuing: 100% of patients, 1 script x 30 vials</w:t>
            </w:r>
          </w:p>
          <w:p w:rsidR="00F21D71" w:rsidRPr="00AB2265" w:rsidRDefault="00F21D71" w:rsidP="00F21D71">
            <w:pPr>
              <w:jc w:val="left"/>
              <w:rPr>
                <w:rFonts w:ascii="Arial Narrow" w:hAnsi="Arial Narrow"/>
                <w:sz w:val="20"/>
              </w:rPr>
            </w:pPr>
            <w:r w:rsidRPr="00AB2265">
              <w:rPr>
                <w:rFonts w:ascii="Arial Narrow" w:hAnsi="Arial Narrow"/>
                <w:sz w:val="20"/>
              </w:rPr>
              <w:t>Extended continuing: 27.8% of patients, 3.05 scripts x 7 vials</w:t>
            </w:r>
          </w:p>
        </w:tc>
      </w:tr>
      <w:tr w:rsidR="00F21D71" w:rsidRPr="00AB2265" w:rsidTr="001E19E0">
        <w:tc>
          <w:tcPr>
            <w:tcW w:w="1838" w:type="dxa"/>
            <w:vAlign w:val="center"/>
          </w:tcPr>
          <w:p w:rsidR="00F21D71" w:rsidRPr="00AB2265" w:rsidRDefault="00F21D71" w:rsidP="00F21D71">
            <w:pPr>
              <w:jc w:val="left"/>
              <w:rPr>
                <w:rFonts w:ascii="Arial Narrow" w:hAnsi="Arial Narrow"/>
                <w:sz w:val="20"/>
              </w:rPr>
            </w:pPr>
            <w:r w:rsidRPr="00AB2265">
              <w:rPr>
                <w:rFonts w:ascii="Arial Narrow" w:hAnsi="Arial Narrow"/>
                <w:sz w:val="20"/>
              </w:rPr>
              <w:t>Average number of scripts</w:t>
            </w:r>
          </w:p>
        </w:tc>
        <w:tc>
          <w:tcPr>
            <w:tcW w:w="2977" w:type="dxa"/>
            <w:vAlign w:val="center"/>
          </w:tcPr>
          <w:p w:rsidR="00F21D71" w:rsidRPr="00AB2265" w:rsidRDefault="00F21D71" w:rsidP="00F21D71">
            <w:pPr>
              <w:jc w:val="left"/>
              <w:rPr>
                <w:rFonts w:ascii="Arial Narrow" w:hAnsi="Arial Narrow"/>
                <w:sz w:val="20"/>
              </w:rPr>
            </w:pPr>
            <w:r w:rsidRPr="00AB2265">
              <w:rPr>
                <w:rFonts w:ascii="Arial Narrow" w:hAnsi="Arial Narrow"/>
                <w:sz w:val="20"/>
              </w:rPr>
              <w:t>-</w:t>
            </w:r>
          </w:p>
        </w:tc>
        <w:tc>
          <w:tcPr>
            <w:tcW w:w="4202" w:type="dxa"/>
            <w:vAlign w:val="center"/>
          </w:tcPr>
          <w:p w:rsidR="00F21D71" w:rsidRPr="00AB2265" w:rsidRDefault="00F21D71" w:rsidP="00F21D71">
            <w:pPr>
              <w:jc w:val="left"/>
              <w:rPr>
                <w:rFonts w:ascii="Arial Narrow" w:hAnsi="Arial Narrow"/>
                <w:sz w:val="20"/>
              </w:rPr>
            </w:pPr>
            <w:r w:rsidRPr="00AB2265">
              <w:rPr>
                <w:rFonts w:ascii="Arial Narrow" w:hAnsi="Arial Narrow"/>
                <w:sz w:val="20"/>
              </w:rPr>
              <w:t>Initial: 1</w:t>
            </w:r>
          </w:p>
          <w:p w:rsidR="00F21D71" w:rsidRPr="00AB2265" w:rsidRDefault="00F21D71" w:rsidP="00F21D71">
            <w:pPr>
              <w:jc w:val="left"/>
              <w:rPr>
                <w:rFonts w:ascii="Arial Narrow" w:hAnsi="Arial Narrow"/>
                <w:sz w:val="20"/>
              </w:rPr>
            </w:pPr>
            <w:r w:rsidRPr="00AB2265">
              <w:rPr>
                <w:rFonts w:ascii="Arial Narrow" w:hAnsi="Arial Narrow"/>
                <w:sz w:val="20"/>
              </w:rPr>
              <w:t>Extended initial: 1</w:t>
            </w:r>
          </w:p>
          <w:p w:rsidR="00F21D71" w:rsidRPr="00AB2265" w:rsidRDefault="00F21D71" w:rsidP="00F21D71">
            <w:pPr>
              <w:jc w:val="left"/>
              <w:rPr>
                <w:rFonts w:ascii="Arial Narrow" w:hAnsi="Arial Narrow"/>
                <w:sz w:val="20"/>
              </w:rPr>
            </w:pPr>
            <w:r w:rsidRPr="00AB2265">
              <w:rPr>
                <w:rFonts w:ascii="Arial Narrow" w:hAnsi="Arial Narrow"/>
                <w:sz w:val="20"/>
              </w:rPr>
              <w:t>Post-plasma exchange continuing: 1</w:t>
            </w:r>
          </w:p>
          <w:p w:rsidR="00F21D71" w:rsidRPr="00AB2265" w:rsidRDefault="00F21D71" w:rsidP="00F21D71">
            <w:pPr>
              <w:jc w:val="left"/>
              <w:rPr>
                <w:rFonts w:ascii="Arial Narrow" w:hAnsi="Arial Narrow"/>
                <w:sz w:val="20"/>
              </w:rPr>
            </w:pPr>
            <w:r w:rsidRPr="00AB2265">
              <w:rPr>
                <w:rFonts w:ascii="Arial Narrow" w:hAnsi="Arial Narrow"/>
                <w:sz w:val="20"/>
              </w:rPr>
              <w:t>Extended continuing: 0.8479</w:t>
            </w:r>
          </w:p>
        </w:tc>
      </w:tr>
      <w:tr w:rsidR="00F21D71" w:rsidRPr="00AB2265" w:rsidTr="001E19E0">
        <w:tc>
          <w:tcPr>
            <w:tcW w:w="1838" w:type="dxa"/>
            <w:vAlign w:val="center"/>
          </w:tcPr>
          <w:p w:rsidR="00F21D71" w:rsidRPr="00AB2265" w:rsidRDefault="00F21D71" w:rsidP="00F21D71">
            <w:pPr>
              <w:jc w:val="left"/>
              <w:rPr>
                <w:rFonts w:ascii="Arial Narrow" w:hAnsi="Arial Narrow"/>
                <w:sz w:val="20"/>
              </w:rPr>
            </w:pPr>
            <w:r w:rsidRPr="00AB2265">
              <w:rPr>
                <w:rFonts w:ascii="Arial Narrow" w:hAnsi="Arial Narrow"/>
                <w:sz w:val="20"/>
              </w:rPr>
              <w:t>Cost per script (weighted DPMQ)</w:t>
            </w:r>
          </w:p>
        </w:tc>
        <w:tc>
          <w:tcPr>
            <w:tcW w:w="2977" w:type="dxa"/>
            <w:vAlign w:val="center"/>
          </w:tcPr>
          <w:p w:rsidR="00F21D71" w:rsidRPr="00AB2265" w:rsidRDefault="00F21D71" w:rsidP="00F21D71">
            <w:pPr>
              <w:jc w:val="left"/>
              <w:rPr>
                <w:rFonts w:ascii="Arial Narrow" w:hAnsi="Arial Narrow"/>
                <w:sz w:val="20"/>
              </w:rPr>
            </w:pPr>
            <w:r w:rsidRPr="00AB2265">
              <w:rPr>
                <w:rFonts w:ascii="Arial Narrow" w:hAnsi="Arial Narrow"/>
                <w:sz w:val="20"/>
              </w:rPr>
              <w:t>-</w:t>
            </w:r>
          </w:p>
        </w:tc>
        <w:tc>
          <w:tcPr>
            <w:tcW w:w="4202" w:type="dxa"/>
            <w:vAlign w:val="center"/>
          </w:tcPr>
          <w:p w:rsidR="00F21D71" w:rsidRPr="00AB2265" w:rsidRDefault="00F21D71" w:rsidP="00F21D71">
            <w:pPr>
              <w:jc w:val="left"/>
              <w:rPr>
                <w:rFonts w:ascii="Arial Narrow" w:hAnsi="Arial Narrow"/>
                <w:sz w:val="20"/>
              </w:rPr>
            </w:pPr>
            <w:r w:rsidRPr="00AB2265">
              <w:rPr>
                <w:rFonts w:ascii="Arial Narrow" w:hAnsi="Arial Narrow"/>
                <w:sz w:val="20"/>
              </w:rPr>
              <w:t>Initial: $</w:t>
            </w:r>
            <w:r w:rsidR="003F618D">
              <w:rPr>
                <w:rFonts w:ascii="Arial Narrow" w:hAnsi="Arial Narrow"/>
                <w:noProof/>
                <w:color w:val="000000"/>
                <w:sz w:val="20"/>
                <w:highlight w:val="black"/>
              </w:rPr>
              <w:t>''''''''''''''''</w:t>
            </w:r>
          </w:p>
          <w:p w:rsidR="00F21D71" w:rsidRPr="00AB2265" w:rsidRDefault="00F21D71" w:rsidP="00F21D71">
            <w:pPr>
              <w:jc w:val="left"/>
              <w:rPr>
                <w:rFonts w:ascii="Arial Narrow" w:hAnsi="Arial Narrow"/>
                <w:sz w:val="20"/>
              </w:rPr>
            </w:pPr>
            <w:r w:rsidRPr="00AB2265">
              <w:rPr>
                <w:rFonts w:ascii="Arial Narrow" w:hAnsi="Arial Narrow"/>
                <w:sz w:val="20"/>
              </w:rPr>
              <w:t>Extended initial: $</w:t>
            </w:r>
            <w:r w:rsidR="003F618D">
              <w:rPr>
                <w:rFonts w:ascii="Arial Narrow" w:hAnsi="Arial Narrow"/>
                <w:noProof/>
                <w:color w:val="000000"/>
                <w:sz w:val="20"/>
                <w:highlight w:val="black"/>
              </w:rPr>
              <w:t>''''''''''''''</w:t>
            </w:r>
          </w:p>
          <w:p w:rsidR="00F21D71" w:rsidRPr="00AB2265" w:rsidRDefault="00F21D71" w:rsidP="00F21D71">
            <w:pPr>
              <w:jc w:val="left"/>
              <w:rPr>
                <w:rFonts w:ascii="Arial Narrow" w:hAnsi="Arial Narrow"/>
                <w:sz w:val="20"/>
              </w:rPr>
            </w:pPr>
            <w:r w:rsidRPr="00AB2265">
              <w:rPr>
                <w:rFonts w:ascii="Arial Narrow" w:hAnsi="Arial Narrow"/>
                <w:sz w:val="20"/>
              </w:rPr>
              <w:t>Post-plasma exchange continuing: $</w:t>
            </w:r>
            <w:r w:rsidR="003F618D">
              <w:rPr>
                <w:rFonts w:ascii="Arial Narrow" w:hAnsi="Arial Narrow"/>
                <w:noProof/>
                <w:color w:val="000000"/>
                <w:sz w:val="20"/>
                <w:highlight w:val="black"/>
              </w:rPr>
              <w:t>'''''''''''''''''''</w:t>
            </w:r>
          </w:p>
          <w:p w:rsidR="00F21D71" w:rsidRPr="00AB2265" w:rsidRDefault="00F21D71" w:rsidP="00F21D71">
            <w:pPr>
              <w:jc w:val="left"/>
              <w:rPr>
                <w:rFonts w:ascii="Arial Narrow" w:hAnsi="Arial Narrow"/>
                <w:sz w:val="20"/>
              </w:rPr>
            </w:pPr>
            <w:r w:rsidRPr="00AB2265">
              <w:rPr>
                <w:rFonts w:ascii="Arial Narrow" w:hAnsi="Arial Narrow"/>
                <w:sz w:val="20"/>
              </w:rPr>
              <w:t>Extended continuing: $</w:t>
            </w:r>
            <w:r w:rsidR="003F618D">
              <w:rPr>
                <w:rFonts w:ascii="Arial Narrow" w:hAnsi="Arial Narrow"/>
                <w:noProof/>
                <w:color w:val="000000"/>
                <w:sz w:val="20"/>
                <w:highlight w:val="black"/>
              </w:rPr>
              <w:t>''''''''''''''''</w:t>
            </w:r>
          </w:p>
        </w:tc>
      </w:tr>
      <w:tr w:rsidR="00F21D71" w:rsidRPr="00AB2265" w:rsidTr="001E19E0">
        <w:tc>
          <w:tcPr>
            <w:tcW w:w="1838" w:type="dxa"/>
            <w:vAlign w:val="center"/>
          </w:tcPr>
          <w:p w:rsidR="00F21D71" w:rsidRPr="00AB2265" w:rsidRDefault="00F21D71" w:rsidP="00F21D71">
            <w:pPr>
              <w:jc w:val="left"/>
              <w:rPr>
                <w:rFonts w:ascii="Arial Narrow" w:hAnsi="Arial Narrow"/>
                <w:b/>
                <w:sz w:val="20"/>
              </w:rPr>
            </w:pPr>
            <w:r w:rsidRPr="00AB2265">
              <w:rPr>
                <w:rFonts w:ascii="Arial Narrow" w:hAnsi="Arial Narrow"/>
                <w:b/>
                <w:sz w:val="20"/>
              </w:rPr>
              <w:t>Cost/patient/episode</w:t>
            </w:r>
          </w:p>
        </w:tc>
        <w:tc>
          <w:tcPr>
            <w:tcW w:w="2977" w:type="dxa"/>
            <w:vAlign w:val="center"/>
          </w:tcPr>
          <w:p w:rsidR="00F21D71" w:rsidRPr="00AB2265" w:rsidRDefault="00F21D71" w:rsidP="00F21D71">
            <w:pPr>
              <w:jc w:val="left"/>
              <w:rPr>
                <w:rFonts w:ascii="Arial Narrow" w:hAnsi="Arial Narrow"/>
                <w:b/>
                <w:sz w:val="20"/>
                <w:vertAlign w:val="superscript"/>
              </w:rPr>
            </w:pPr>
            <w:r w:rsidRPr="00AB2265">
              <w:rPr>
                <w:rFonts w:ascii="Arial Narrow" w:hAnsi="Arial Narrow"/>
                <w:b/>
                <w:sz w:val="20"/>
              </w:rPr>
              <w:t>$</w:t>
            </w:r>
            <w:r w:rsidR="003F618D">
              <w:rPr>
                <w:rFonts w:ascii="Arial Narrow" w:hAnsi="Arial Narrow"/>
                <w:b/>
                <w:noProof/>
                <w:color w:val="000000"/>
                <w:sz w:val="20"/>
                <w:highlight w:val="black"/>
              </w:rPr>
              <w:t>''''''''''''''</w:t>
            </w:r>
            <w:r w:rsidRPr="00AB2265">
              <w:rPr>
                <w:rFonts w:ascii="Arial Narrow" w:hAnsi="Arial Narrow"/>
                <w:sz w:val="20"/>
                <w:vertAlign w:val="superscript"/>
              </w:rPr>
              <w:t>b</w:t>
            </w:r>
          </w:p>
        </w:tc>
        <w:tc>
          <w:tcPr>
            <w:tcW w:w="4202" w:type="dxa"/>
            <w:vAlign w:val="center"/>
          </w:tcPr>
          <w:p w:rsidR="00F21D71" w:rsidRPr="00AB2265" w:rsidRDefault="00F21D71" w:rsidP="00F21D71">
            <w:pPr>
              <w:jc w:val="left"/>
              <w:rPr>
                <w:rFonts w:ascii="Arial Narrow" w:hAnsi="Arial Narrow"/>
                <w:b/>
                <w:sz w:val="20"/>
                <w:vertAlign w:val="superscript"/>
              </w:rPr>
            </w:pPr>
            <w:r w:rsidRPr="00AB2265">
              <w:rPr>
                <w:rFonts w:ascii="Arial Narrow" w:hAnsi="Arial Narrow"/>
                <w:b/>
                <w:sz w:val="20"/>
              </w:rPr>
              <w:t>$</w:t>
            </w:r>
            <w:r w:rsidR="003F618D">
              <w:rPr>
                <w:rFonts w:ascii="Arial Narrow" w:hAnsi="Arial Narrow"/>
                <w:b/>
                <w:noProof/>
                <w:color w:val="000000"/>
                <w:sz w:val="20"/>
                <w:highlight w:val="black"/>
              </w:rPr>
              <w:t>''''''''''''''''</w:t>
            </w:r>
            <w:r w:rsidR="003F618D">
              <w:rPr>
                <w:rFonts w:ascii="Arial Narrow" w:hAnsi="Arial Narrow"/>
                <w:noProof/>
                <w:color w:val="000000"/>
                <w:sz w:val="20"/>
                <w:highlight w:val="black"/>
                <w:vertAlign w:val="superscript"/>
              </w:rPr>
              <w:t>'''</w:t>
            </w:r>
          </w:p>
        </w:tc>
      </w:tr>
    </w:tbl>
    <w:p w:rsidR="00F21D71" w:rsidRPr="00AB2265" w:rsidRDefault="00F21D71" w:rsidP="00F21D71">
      <w:pPr>
        <w:pStyle w:val="TableFigureFooter"/>
        <w:rPr>
          <w:snapToGrid/>
        </w:rPr>
      </w:pPr>
      <w:r w:rsidRPr="00AB2265">
        <w:rPr>
          <w:snapToGrid/>
          <w:vertAlign w:val="superscript"/>
        </w:rPr>
        <w:t xml:space="preserve">a </w:t>
      </w:r>
      <w:r w:rsidRPr="00AB2265">
        <w:rPr>
          <w:snapToGrid/>
        </w:rPr>
        <w:t>The number of vials (4) was calculated assuming 6 days of plasma exchange, of which the first 2 days are covered vials provided by the sponsor (3-vial offset)</w:t>
      </w:r>
    </w:p>
    <w:p w:rsidR="00F21D71" w:rsidRPr="00AB2265" w:rsidRDefault="00F21D71" w:rsidP="00F21D71">
      <w:pPr>
        <w:pStyle w:val="TableFigureFooter"/>
        <w:rPr>
          <w:snapToGrid/>
        </w:rPr>
      </w:pPr>
      <w:proofErr w:type="gramStart"/>
      <w:r w:rsidRPr="00AB2265">
        <w:rPr>
          <w:snapToGrid/>
          <w:vertAlign w:val="superscript"/>
        </w:rPr>
        <w:t>b</w:t>
      </w:r>
      <w:proofErr w:type="gramEnd"/>
      <w:r w:rsidRPr="00AB2265">
        <w:rPr>
          <w:snapToGrid/>
          <w:vertAlign w:val="superscript"/>
        </w:rPr>
        <w:t xml:space="preserve"> </w:t>
      </w:r>
      <w:r w:rsidRPr="00AB2265">
        <w:rPr>
          <w:snapToGrid/>
        </w:rPr>
        <w:t>Calculated as cost per vial (AEMP $</w:t>
      </w:r>
      <w:r w:rsidR="003F618D">
        <w:rPr>
          <w:noProof/>
          <w:snapToGrid/>
          <w:color w:val="000000"/>
          <w:highlight w:val="black"/>
        </w:rPr>
        <w:t>''''''''''''''</w:t>
      </w:r>
      <w:r w:rsidRPr="00AB2265">
        <w:rPr>
          <w:snapToGrid/>
        </w:rPr>
        <w:t>) x number of vials (35.6)</w:t>
      </w:r>
    </w:p>
    <w:p w:rsidR="00F21D71" w:rsidRPr="00AB2265" w:rsidRDefault="00F21D71" w:rsidP="00F21D71">
      <w:pPr>
        <w:pStyle w:val="TableFigureFooter"/>
        <w:rPr>
          <w:snapToGrid/>
        </w:rPr>
      </w:pPr>
      <w:proofErr w:type="gramStart"/>
      <w:r w:rsidRPr="00AB2265">
        <w:rPr>
          <w:snapToGrid/>
          <w:vertAlign w:val="superscript"/>
        </w:rPr>
        <w:t>c</w:t>
      </w:r>
      <w:proofErr w:type="gramEnd"/>
      <w:r w:rsidRPr="00AB2265">
        <w:rPr>
          <w:snapToGrid/>
          <w:vertAlign w:val="superscript"/>
        </w:rPr>
        <w:t xml:space="preserve"> </w:t>
      </w:r>
      <w:r w:rsidRPr="00AB2265">
        <w:rPr>
          <w:snapToGrid/>
        </w:rPr>
        <w:t>Calculated as average number of scripts x weighted cost per script (DPMQ)</w:t>
      </w:r>
    </w:p>
    <w:p w:rsidR="0032686E" w:rsidRPr="00AB2265" w:rsidRDefault="0032686E" w:rsidP="00F21D71">
      <w:pPr>
        <w:pStyle w:val="TableFigureFooter"/>
        <w:rPr>
          <w:snapToGrid/>
        </w:rPr>
      </w:pPr>
    </w:p>
    <w:p w:rsidR="00F21D71" w:rsidRPr="00AB2265" w:rsidRDefault="00F21D71" w:rsidP="00F21D71">
      <w:pPr>
        <w:pStyle w:val="3-SubsectionHeading"/>
      </w:pPr>
      <w:bookmarkStart w:id="37" w:name="_Toc40711459"/>
      <w:bookmarkStart w:id="38" w:name="_Toc40711518"/>
      <w:r w:rsidRPr="00AB2265">
        <w:lastRenderedPageBreak/>
        <w:t>Estimated PBS usage &amp; financial implications</w:t>
      </w:r>
      <w:bookmarkEnd w:id="37"/>
      <w:bookmarkEnd w:id="38"/>
    </w:p>
    <w:p w:rsidR="008C55E6" w:rsidRPr="00AB2265" w:rsidRDefault="0032235A" w:rsidP="008C55E6">
      <w:pPr>
        <w:pStyle w:val="ExecSumBodyText"/>
        <w:numPr>
          <w:ilvl w:val="1"/>
          <w:numId w:val="1"/>
        </w:numPr>
        <w:rPr>
          <w:color w:val="0066FF"/>
        </w:rPr>
      </w:pPr>
      <w:r w:rsidRPr="00AB2265">
        <w:t>This submission was</w:t>
      </w:r>
      <w:r w:rsidR="008C55E6" w:rsidRPr="00AB2265">
        <w:t xml:space="preserve"> considered by DUSC. The submission used an epidemiological approach to estimate the utilisation and financial impact for caplacizumab. Key inputs are summarised in the table below.</w:t>
      </w:r>
      <w:r w:rsidR="008C55E6" w:rsidRPr="00AB2265">
        <w:rPr>
          <w:color w:val="0070C0"/>
        </w:rPr>
        <w:t xml:space="preserve"> </w:t>
      </w:r>
    </w:p>
    <w:p w:rsidR="008C55E6" w:rsidRPr="00AB2265" w:rsidRDefault="008C55E6" w:rsidP="008C55E6">
      <w:pPr>
        <w:pStyle w:val="TableFigureCaption"/>
      </w:pPr>
      <w:r w:rsidRPr="00AB2265">
        <w:t xml:space="preserve">Table </w:t>
      </w:r>
      <w:r w:rsidR="0069242F" w:rsidRPr="00AB2265">
        <w:t>22</w:t>
      </w:r>
      <w:r w:rsidRPr="00AB2265">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4"/>
        <w:gridCol w:w="3827"/>
        <w:gridCol w:w="3776"/>
      </w:tblGrid>
      <w:tr w:rsidR="008C55E6" w:rsidRPr="00AB2265" w:rsidTr="00291EAB">
        <w:trPr>
          <w:tblHeader/>
        </w:trPr>
        <w:tc>
          <w:tcPr>
            <w:tcW w:w="784" w:type="pct"/>
            <w:shd w:val="clear" w:color="auto" w:fill="auto"/>
            <w:vAlign w:val="center"/>
          </w:tcPr>
          <w:p w:rsidR="008C55E6" w:rsidRPr="00AB2265" w:rsidRDefault="008C55E6" w:rsidP="00291EAB">
            <w:pPr>
              <w:pStyle w:val="Tableheadingrow"/>
              <w:keepNext w:val="0"/>
              <w:rPr>
                <w:lang w:val="en-AU"/>
              </w:rPr>
            </w:pPr>
            <w:r w:rsidRPr="00AB2265">
              <w:rPr>
                <w:lang w:val="en-AU"/>
              </w:rPr>
              <w:t>Parameter</w:t>
            </w:r>
          </w:p>
        </w:tc>
        <w:tc>
          <w:tcPr>
            <w:tcW w:w="2122" w:type="pct"/>
            <w:shd w:val="clear" w:color="auto" w:fill="auto"/>
            <w:vAlign w:val="center"/>
          </w:tcPr>
          <w:p w:rsidR="008C55E6" w:rsidRPr="00AB2265" w:rsidRDefault="008C55E6" w:rsidP="00291EAB">
            <w:pPr>
              <w:pStyle w:val="Tableheadingrow"/>
              <w:keepNext w:val="0"/>
              <w:rPr>
                <w:lang w:val="en-AU"/>
              </w:rPr>
            </w:pPr>
            <w:r w:rsidRPr="00AB2265">
              <w:rPr>
                <w:lang w:val="en-AU"/>
              </w:rPr>
              <w:t>Value applied and source</w:t>
            </w:r>
          </w:p>
        </w:tc>
        <w:tc>
          <w:tcPr>
            <w:tcW w:w="2094" w:type="pct"/>
            <w:shd w:val="clear" w:color="auto" w:fill="auto"/>
            <w:vAlign w:val="center"/>
          </w:tcPr>
          <w:p w:rsidR="008C55E6" w:rsidRPr="00AB2265" w:rsidRDefault="008C55E6" w:rsidP="00291EAB">
            <w:pPr>
              <w:pStyle w:val="Tableheadingrow"/>
              <w:keepNext w:val="0"/>
              <w:rPr>
                <w:lang w:val="en-AU"/>
              </w:rPr>
            </w:pPr>
            <w:r w:rsidRPr="00AB2265">
              <w:rPr>
                <w:lang w:val="en-AU"/>
              </w:rPr>
              <w:t>Comment</w:t>
            </w:r>
          </w:p>
        </w:tc>
      </w:tr>
      <w:tr w:rsidR="008C55E6" w:rsidRPr="00AB2265" w:rsidTr="00291EAB">
        <w:tc>
          <w:tcPr>
            <w:tcW w:w="784" w:type="pct"/>
            <w:shd w:val="clear" w:color="auto" w:fill="auto"/>
            <w:vAlign w:val="center"/>
          </w:tcPr>
          <w:p w:rsidR="008C55E6" w:rsidRPr="00971282" w:rsidRDefault="008C55E6" w:rsidP="00291EAB">
            <w:pPr>
              <w:pStyle w:val="TableText"/>
              <w:keepNext w:val="0"/>
            </w:pPr>
            <w:r w:rsidRPr="00971282">
              <w:t>Australian population</w:t>
            </w:r>
          </w:p>
        </w:tc>
        <w:tc>
          <w:tcPr>
            <w:tcW w:w="2122" w:type="pct"/>
            <w:shd w:val="clear" w:color="auto" w:fill="auto"/>
            <w:vAlign w:val="center"/>
          </w:tcPr>
          <w:p w:rsidR="008C55E6" w:rsidRPr="00971282" w:rsidRDefault="008C55E6" w:rsidP="00291EAB">
            <w:pPr>
              <w:pStyle w:val="TableText"/>
              <w:keepNext w:val="0"/>
            </w:pPr>
            <w:r w:rsidRPr="00971282">
              <w:t>26,301,274 in Year 1 increasing to 28,372,315 in Year 6. Australian Bureau of Statistics population projections for 2021-2026 (3222.0 Series B).</w:t>
            </w:r>
          </w:p>
        </w:tc>
        <w:tc>
          <w:tcPr>
            <w:tcW w:w="2094" w:type="pct"/>
            <w:shd w:val="clear" w:color="auto" w:fill="auto"/>
            <w:vAlign w:val="center"/>
          </w:tcPr>
          <w:p w:rsidR="008C55E6" w:rsidRPr="00AB2265" w:rsidRDefault="008C55E6" w:rsidP="00291EAB">
            <w:pPr>
              <w:pStyle w:val="TableText"/>
              <w:keepNext w:val="0"/>
            </w:pPr>
            <w:r w:rsidRPr="00AB2265">
              <w:t>This was appropriate.</w:t>
            </w:r>
          </w:p>
        </w:tc>
      </w:tr>
      <w:tr w:rsidR="00A26384" w:rsidRPr="00AB2265" w:rsidTr="00291EAB">
        <w:tc>
          <w:tcPr>
            <w:tcW w:w="784" w:type="pct"/>
            <w:shd w:val="clear" w:color="auto" w:fill="auto"/>
            <w:vAlign w:val="center"/>
          </w:tcPr>
          <w:p w:rsidR="00A26384" w:rsidRPr="00971282" w:rsidRDefault="00A26384" w:rsidP="00A26384">
            <w:pPr>
              <w:pStyle w:val="TableText"/>
              <w:keepNext w:val="0"/>
            </w:pPr>
            <w:r w:rsidRPr="00971282">
              <w:t>Incidence of aTTP</w:t>
            </w:r>
          </w:p>
        </w:tc>
        <w:tc>
          <w:tcPr>
            <w:tcW w:w="2122" w:type="pct"/>
            <w:shd w:val="clear" w:color="auto" w:fill="auto"/>
            <w:vAlign w:val="center"/>
          </w:tcPr>
          <w:p w:rsidR="00A26384" w:rsidRPr="00A26384" w:rsidRDefault="00A26384" w:rsidP="00A26384">
            <w:pPr>
              <w:pStyle w:val="TableText"/>
              <w:keepNext w:val="0"/>
            </w:pPr>
            <w:r w:rsidRPr="00A26384">
              <w:t xml:space="preserve">2.72 incident cases per million per year. Estimated from the number of tests with ADAMTS13 &lt;10% from a sponsor-commissioned survey of three laboratories that perform testing for 75% of the Australian population. The size of the denominator (population size) served by each lab was assumed. </w:t>
            </w:r>
          </w:p>
        </w:tc>
        <w:tc>
          <w:tcPr>
            <w:tcW w:w="2094" w:type="pct"/>
            <w:shd w:val="clear" w:color="auto" w:fill="auto"/>
            <w:vAlign w:val="center"/>
          </w:tcPr>
          <w:p w:rsidR="00A26384" w:rsidRPr="00A26384" w:rsidRDefault="00A26384" w:rsidP="00A26384">
            <w:pPr>
              <w:pStyle w:val="TableText"/>
              <w:keepNext w:val="0"/>
            </w:pPr>
            <w:r w:rsidRPr="00A26384">
              <w:t xml:space="preserve">The incidence rates were uncertain and relatively low compared with published estimates. There was large variability in incidence reported by each lab surveyed (ranging from 2.07 to 3.83 per million). The true denominator of the serviced population may be overestimated. </w:t>
            </w:r>
          </w:p>
        </w:tc>
      </w:tr>
      <w:tr w:rsidR="008C55E6" w:rsidRPr="00AB2265" w:rsidTr="00291EAB">
        <w:tc>
          <w:tcPr>
            <w:tcW w:w="784" w:type="pct"/>
            <w:shd w:val="clear" w:color="auto" w:fill="auto"/>
            <w:vAlign w:val="center"/>
          </w:tcPr>
          <w:p w:rsidR="008C55E6" w:rsidRPr="00AB2265" w:rsidRDefault="008C55E6" w:rsidP="00291EAB">
            <w:pPr>
              <w:pStyle w:val="TableText"/>
              <w:keepNext w:val="0"/>
            </w:pPr>
            <w:r w:rsidRPr="00AB2265">
              <w:t>Uptake rates</w:t>
            </w:r>
          </w:p>
        </w:tc>
        <w:tc>
          <w:tcPr>
            <w:tcW w:w="2122" w:type="pct"/>
            <w:shd w:val="clear" w:color="auto" w:fill="auto"/>
            <w:vAlign w:val="center"/>
          </w:tcPr>
          <w:p w:rsidR="008C55E6" w:rsidRPr="00971282" w:rsidRDefault="008C55E6" w:rsidP="00291EAB">
            <w:pPr>
              <w:pStyle w:val="TableText"/>
              <w:keepNext w:val="0"/>
            </w:pPr>
            <w:r w:rsidRPr="00971282">
              <w:t xml:space="preserve">57% in Year 1 increasing to 75% in Year 6. Based on a sponsor-commissioned survey of 8 specialists (16% response rate) expected to treat aTTP episodes. Seven clinicians who had treated 14 patients with aTTP in the past year were surveyed; responses to the question indicated that had caplacizumab been available, they would have used it in the treatment of 8/14 patients (57%). </w:t>
            </w:r>
          </w:p>
        </w:tc>
        <w:tc>
          <w:tcPr>
            <w:tcW w:w="2094" w:type="pct"/>
            <w:shd w:val="clear" w:color="auto" w:fill="auto"/>
            <w:vAlign w:val="center"/>
          </w:tcPr>
          <w:p w:rsidR="008C55E6" w:rsidRPr="00AB2265" w:rsidRDefault="008C55E6" w:rsidP="00291EAB">
            <w:pPr>
              <w:pStyle w:val="TableText"/>
              <w:keepNext w:val="0"/>
            </w:pPr>
            <w:r w:rsidRPr="00AB2265">
              <w:t>The generalisability of the uptake rate was uncertain, primarily because it was based on small numbers of clinician responses and treated episodes. The question did not indicate disease severity. Published guidelines and literature suggest that some clinicians may reserve caplacizumab for refractory patients. The survey indicated that some clinicians wouldn’t have used caplacizumab at all, and two suggested that they would be selective with caplacizumab</w:t>
            </w:r>
          </w:p>
        </w:tc>
      </w:tr>
      <w:tr w:rsidR="008C55E6" w:rsidRPr="00AB2265" w:rsidTr="00291EAB">
        <w:tc>
          <w:tcPr>
            <w:tcW w:w="784" w:type="pct"/>
            <w:shd w:val="clear" w:color="auto" w:fill="auto"/>
            <w:vAlign w:val="center"/>
          </w:tcPr>
          <w:p w:rsidR="008C55E6" w:rsidRPr="00AB2265" w:rsidRDefault="008C55E6" w:rsidP="00291EAB">
            <w:pPr>
              <w:pStyle w:val="TableText"/>
              <w:keepNext w:val="0"/>
            </w:pPr>
            <w:r w:rsidRPr="00AB2265">
              <w:t>Initial scripts</w:t>
            </w:r>
          </w:p>
        </w:tc>
        <w:tc>
          <w:tcPr>
            <w:tcW w:w="2122" w:type="pct"/>
            <w:shd w:val="clear" w:color="auto" w:fill="auto"/>
            <w:vAlign w:val="center"/>
          </w:tcPr>
          <w:p w:rsidR="008C55E6" w:rsidRPr="00971282" w:rsidRDefault="00E90AB7" w:rsidP="00291EAB">
            <w:pPr>
              <w:pStyle w:val="TableText"/>
              <w:keepNext w:val="0"/>
            </w:pPr>
            <w:r w:rsidRPr="00971282">
              <w:t>&lt;500</w:t>
            </w:r>
            <w:r w:rsidR="008C55E6" w:rsidRPr="00971282">
              <w:t xml:space="preserve"> in Year 1 increasing to </w:t>
            </w:r>
            <w:r w:rsidRPr="00971282">
              <w:t>&lt;500</w:t>
            </w:r>
            <w:r w:rsidR="008C55E6" w:rsidRPr="00971282">
              <w:t xml:space="preserve"> in Year 6. All patients assumed to receive one initial script (covering 4 days) to cover the plasma exchange period, post-diagnosis, based on the mean number of days of initial plasma exchange from the HERCULES trial (5.5). The sponsor indicated that they will provide three vials free of charge per patient prior to confirmation of diagnosis via ADAMTS13 testing, allowing for the loading dose and post-plasma exchange dose on day 1, and a subsequent post-plasma exchange dose on day 2. The number of vials (4) was calculated assuming 6 days of plasma exchange, of which the first 2 days are covered vials provided by the sponsor. </w:t>
            </w:r>
          </w:p>
        </w:tc>
        <w:tc>
          <w:tcPr>
            <w:tcW w:w="2094" w:type="pct"/>
            <w:vMerge w:val="restart"/>
            <w:shd w:val="clear" w:color="auto" w:fill="auto"/>
            <w:vAlign w:val="center"/>
          </w:tcPr>
          <w:p w:rsidR="008C55E6" w:rsidRPr="00AB2265" w:rsidRDefault="008C55E6" w:rsidP="00291EAB">
            <w:pPr>
              <w:pStyle w:val="TableText"/>
              <w:keepNext w:val="0"/>
            </w:pPr>
            <w:r w:rsidRPr="00AB2265">
              <w:t>The estimated use were based on mean duration of plasma exchange and 100% compliance. This approach is highly dependent upon the results of the HERCULES trial. The duration of plasma exchange within the trial was highly variable (median 5.0 days, range 1-35 days).</w:t>
            </w:r>
          </w:p>
          <w:p w:rsidR="008C55E6" w:rsidRPr="00AB2265" w:rsidRDefault="008C55E6" w:rsidP="00291EAB">
            <w:pPr>
              <w:pStyle w:val="TableText"/>
              <w:keepNext w:val="0"/>
            </w:pPr>
          </w:p>
          <w:p w:rsidR="008C55E6" w:rsidRPr="00AB2265" w:rsidRDefault="008C55E6" w:rsidP="00291EAB">
            <w:pPr>
              <w:pStyle w:val="TableText"/>
              <w:keepNext w:val="0"/>
            </w:pPr>
            <w:r w:rsidRPr="00AB2265">
              <w:t xml:space="preserve">There is a risk that use of caplacizumab in the HERCULES trial may not reflect use in practice, particularly if there were protocol-driven impacts on the duration of plasma exchange observed in the trial. Further, patients were recruited to the trial one day after plasma exchange was initiated, which was not taken into account in the calculations of mean durations of plasma exchange. </w:t>
            </w:r>
          </w:p>
          <w:p w:rsidR="008C55E6" w:rsidRPr="00AB2265" w:rsidRDefault="008C55E6" w:rsidP="00291EAB">
            <w:pPr>
              <w:pStyle w:val="TableText"/>
              <w:keepNext w:val="0"/>
            </w:pPr>
          </w:p>
          <w:p w:rsidR="008C55E6" w:rsidRPr="00AB2265" w:rsidRDefault="008C55E6" w:rsidP="00291EAB">
            <w:pPr>
              <w:pStyle w:val="TableText"/>
              <w:keepNext w:val="0"/>
            </w:pPr>
            <w:r w:rsidRPr="00AB2265">
              <w:t xml:space="preserve">The sponsor proposed to supply caplacizumab at no charge until diagnosis of aTTP is confirmed. No reimbursement mechanisms was proposed for this, and this period of time could also be variable depending upon the availability of testing facilities. </w:t>
            </w:r>
          </w:p>
        </w:tc>
      </w:tr>
      <w:tr w:rsidR="008C55E6" w:rsidRPr="00AB2265" w:rsidTr="00291EAB">
        <w:tc>
          <w:tcPr>
            <w:tcW w:w="784" w:type="pct"/>
            <w:shd w:val="clear" w:color="auto" w:fill="auto"/>
            <w:vAlign w:val="center"/>
          </w:tcPr>
          <w:p w:rsidR="008C55E6" w:rsidRPr="00AB2265" w:rsidRDefault="008C55E6" w:rsidP="00291EAB">
            <w:pPr>
              <w:pStyle w:val="TableText"/>
              <w:keepNext w:val="0"/>
            </w:pPr>
            <w:r w:rsidRPr="00AB2265">
              <w:t>Extended initial scripts</w:t>
            </w:r>
          </w:p>
        </w:tc>
        <w:tc>
          <w:tcPr>
            <w:tcW w:w="2122" w:type="pct"/>
            <w:shd w:val="clear" w:color="auto" w:fill="auto"/>
            <w:vAlign w:val="center"/>
          </w:tcPr>
          <w:p w:rsidR="008C55E6" w:rsidRPr="00971282" w:rsidRDefault="00E90AB7" w:rsidP="00291EAB">
            <w:pPr>
              <w:pStyle w:val="TableText"/>
              <w:keepNext w:val="0"/>
            </w:pPr>
            <w:r w:rsidRPr="00971282">
              <w:t>&lt;500</w:t>
            </w:r>
            <w:r w:rsidR="008C55E6" w:rsidRPr="00971282">
              <w:t xml:space="preserve"> in Year 1 increasing to </w:t>
            </w:r>
            <w:r w:rsidRPr="00971282">
              <w:t>&lt;500</w:t>
            </w:r>
            <w:r w:rsidR="008C55E6" w:rsidRPr="00971282">
              <w:t xml:space="preserve"> in Year 6. In HERCULES, patients required up to 35 days of plasma exchange. It was estimated that 20% of patients would require extended initial treatment, receiving 5 one-vial scripts (an average of one per patient), based on the assumption that the duration of plasma exchange should be within the standard deviation of 0.94 days of the mean of 5.5 days for 95% of the population.</w:t>
            </w:r>
          </w:p>
        </w:tc>
        <w:tc>
          <w:tcPr>
            <w:tcW w:w="2094" w:type="pct"/>
            <w:vMerge/>
            <w:shd w:val="clear" w:color="auto" w:fill="auto"/>
            <w:vAlign w:val="center"/>
          </w:tcPr>
          <w:p w:rsidR="008C55E6" w:rsidRPr="00AB2265" w:rsidRDefault="008C55E6" w:rsidP="00291EAB">
            <w:pPr>
              <w:pStyle w:val="TableText"/>
              <w:keepNext w:val="0"/>
            </w:pPr>
          </w:p>
        </w:tc>
      </w:tr>
      <w:tr w:rsidR="008C55E6" w:rsidRPr="00AB2265" w:rsidTr="00291EAB">
        <w:tc>
          <w:tcPr>
            <w:tcW w:w="784" w:type="pct"/>
            <w:shd w:val="clear" w:color="auto" w:fill="auto"/>
            <w:vAlign w:val="center"/>
          </w:tcPr>
          <w:p w:rsidR="008C55E6" w:rsidRPr="00AB2265" w:rsidRDefault="008C55E6" w:rsidP="00291EAB">
            <w:pPr>
              <w:pStyle w:val="TableText"/>
              <w:keepNext w:val="0"/>
            </w:pPr>
            <w:r w:rsidRPr="00AB2265">
              <w:t>Continuing scripts</w:t>
            </w:r>
          </w:p>
        </w:tc>
        <w:tc>
          <w:tcPr>
            <w:tcW w:w="2122" w:type="pct"/>
            <w:shd w:val="clear" w:color="auto" w:fill="auto"/>
            <w:vAlign w:val="center"/>
          </w:tcPr>
          <w:p w:rsidR="008C55E6" w:rsidRPr="00971282" w:rsidRDefault="00E90AB7" w:rsidP="00291EAB">
            <w:pPr>
              <w:pStyle w:val="TableText"/>
              <w:keepNext w:val="0"/>
            </w:pPr>
            <w:r w:rsidRPr="00971282">
              <w:t>&lt;500</w:t>
            </w:r>
            <w:r w:rsidR="008C55E6" w:rsidRPr="00971282">
              <w:t xml:space="preserve"> in Year 1 increasing to </w:t>
            </w:r>
            <w:r w:rsidRPr="00971282">
              <w:t>&lt;500</w:t>
            </w:r>
            <w:r w:rsidR="008C55E6" w:rsidRPr="00971282">
              <w:t xml:space="preserve"> in Year 6. Based on the proposed amount (30 vials) for the requested restriction. The submission assumed </w:t>
            </w:r>
            <w:r w:rsidR="008C55E6" w:rsidRPr="00971282">
              <w:lastRenderedPageBreak/>
              <w:t>100% of patients receive a script for continuing treatment, covering 30 days of treatment following cessation of plasma exchange.</w:t>
            </w:r>
          </w:p>
        </w:tc>
        <w:tc>
          <w:tcPr>
            <w:tcW w:w="2094" w:type="pct"/>
            <w:shd w:val="clear" w:color="auto" w:fill="auto"/>
            <w:vAlign w:val="center"/>
          </w:tcPr>
          <w:p w:rsidR="008C55E6" w:rsidRPr="00AB2265" w:rsidRDefault="008C55E6" w:rsidP="00291EAB">
            <w:pPr>
              <w:pStyle w:val="TableText"/>
              <w:keepNext w:val="0"/>
            </w:pPr>
            <w:r w:rsidRPr="00AB2265">
              <w:lastRenderedPageBreak/>
              <w:t xml:space="preserve">While consistent with both the HERCULES trial protocol and the proposed restriction, the vial quantity per script may not be appropriate given </w:t>
            </w:r>
            <w:r w:rsidRPr="00AB2265">
              <w:lastRenderedPageBreak/>
              <w:t xml:space="preserve">the high cost of caplacizumab. Persistence rates in </w:t>
            </w:r>
            <w:r w:rsidR="003F618D">
              <w:rPr>
                <w:noProof/>
                <w:color w:val="000000"/>
                <w:highlight w:val="black"/>
              </w:rPr>
              <w:t xml:space="preserve">'''''''''''''''''' </w:t>
            </w:r>
            <w:r w:rsidRPr="00AB2265">
              <w:t>are unclear</w:t>
            </w:r>
            <w:r w:rsidR="00AB2265">
              <w:t xml:space="preserve">. </w:t>
            </w:r>
            <w:r w:rsidRPr="00AB2265">
              <w:t xml:space="preserve"> </w:t>
            </w:r>
          </w:p>
        </w:tc>
      </w:tr>
      <w:tr w:rsidR="008C55E6" w:rsidRPr="00AB2265" w:rsidTr="00291EAB">
        <w:tc>
          <w:tcPr>
            <w:tcW w:w="784" w:type="pct"/>
            <w:shd w:val="clear" w:color="auto" w:fill="auto"/>
            <w:vAlign w:val="center"/>
          </w:tcPr>
          <w:p w:rsidR="008C55E6" w:rsidRPr="00AB2265" w:rsidRDefault="008C55E6" w:rsidP="00291EAB">
            <w:pPr>
              <w:pStyle w:val="TableText"/>
              <w:keepNext w:val="0"/>
            </w:pPr>
            <w:r w:rsidRPr="00AB2265">
              <w:lastRenderedPageBreak/>
              <w:t>Extended continuing scripts</w:t>
            </w:r>
          </w:p>
        </w:tc>
        <w:tc>
          <w:tcPr>
            <w:tcW w:w="2122" w:type="pct"/>
            <w:shd w:val="clear" w:color="auto" w:fill="auto"/>
            <w:vAlign w:val="center"/>
          </w:tcPr>
          <w:p w:rsidR="008C55E6" w:rsidRPr="00971282" w:rsidRDefault="00E90AB7" w:rsidP="00291EAB">
            <w:pPr>
              <w:pStyle w:val="TableText"/>
              <w:keepNext w:val="0"/>
            </w:pPr>
            <w:r w:rsidRPr="00971282">
              <w:t>&lt;500</w:t>
            </w:r>
            <w:r w:rsidR="008C55E6" w:rsidRPr="00971282">
              <w:t xml:space="preserve"> in Year 1 increasing to </w:t>
            </w:r>
            <w:r w:rsidRPr="00971282">
              <w:t>&lt;500</w:t>
            </w:r>
            <w:r w:rsidR="008C55E6" w:rsidRPr="00971282">
              <w:t xml:space="preserve"> in Year 6. The usage for this script (covering 7 days) was based on the proportions of patients needing 1, 2, 3, or 4 additional weeks of treatment in HERCULES; 27.8% patients required an average of 3.05 weeks of additional treatment.</w:t>
            </w:r>
          </w:p>
        </w:tc>
        <w:tc>
          <w:tcPr>
            <w:tcW w:w="2094" w:type="pct"/>
            <w:shd w:val="clear" w:color="auto" w:fill="auto"/>
            <w:vAlign w:val="center"/>
          </w:tcPr>
          <w:p w:rsidR="008C55E6" w:rsidRPr="00AB2265" w:rsidRDefault="008C55E6" w:rsidP="00291EAB">
            <w:pPr>
              <w:pStyle w:val="TableText"/>
            </w:pPr>
            <w:r w:rsidRPr="00AB2265">
              <w:t xml:space="preserve">This approach is heavily reliant on the assumption that use in the HERCULES trial will be replicated in clinical practice, and was informed by relatively small patient numbers. The distribution of patients requiring treatment extensions is highly uncertain. </w:t>
            </w:r>
          </w:p>
        </w:tc>
      </w:tr>
    </w:tbl>
    <w:p w:rsidR="008C55E6" w:rsidRPr="00AB2265" w:rsidRDefault="008C55E6" w:rsidP="008C55E6">
      <w:pPr>
        <w:pStyle w:val="TableFigureFooter"/>
      </w:pPr>
      <w:r w:rsidRPr="00AB2265">
        <w:t>Source: Cablivi+BIM+PBAC+Section+4_March2020 spreadsheet, Attachment 9 of the submission</w:t>
      </w:r>
    </w:p>
    <w:p w:rsidR="008C55E6" w:rsidRPr="00AB2265" w:rsidRDefault="008C55E6" w:rsidP="008C55E6">
      <w:pPr>
        <w:pStyle w:val="ExecSumBodyText"/>
        <w:numPr>
          <w:ilvl w:val="1"/>
          <w:numId w:val="1"/>
        </w:numPr>
        <w:rPr>
          <w:color w:val="0066FF"/>
        </w:rPr>
      </w:pPr>
      <w:r w:rsidRPr="00AB2265">
        <w:rPr>
          <w:color w:val="0066FF"/>
        </w:rPr>
        <w:t xml:space="preserve"> </w:t>
      </w:r>
      <w:r w:rsidRPr="00AB2265">
        <w:t>The table below presents the estimated use and financial impact of listing caplacizumab on the PBS</w:t>
      </w:r>
      <w:r w:rsidR="001546DD" w:rsidRPr="00AB2265">
        <w:t xml:space="preserve"> prepared by DUSC</w:t>
      </w:r>
      <w:r w:rsidRPr="00AB2265">
        <w:t>.</w:t>
      </w:r>
    </w:p>
    <w:p w:rsidR="00D72873" w:rsidRPr="00AB2265" w:rsidRDefault="00D72873" w:rsidP="00D72873">
      <w:pPr>
        <w:pStyle w:val="Tableheadingrow"/>
        <w:rPr>
          <w:lang w:val="en-AU"/>
        </w:rPr>
      </w:pPr>
      <w:r w:rsidRPr="00AB2265">
        <w:rPr>
          <w:lang w:val="en-AU"/>
        </w:rPr>
        <w:t>Table 23: Revised financial estimates including relapsing patients</w:t>
      </w:r>
    </w:p>
    <w:tbl>
      <w:tblPr>
        <w:tblStyle w:val="TableGrid"/>
        <w:tblpPr w:leftFromText="180" w:rightFromText="180" w:vertAnchor="text" w:tblpY="1"/>
        <w:tblOverlap w:val="never"/>
        <w:tblW w:w="0" w:type="auto"/>
        <w:tblLook w:val="04A0" w:firstRow="1" w:lastRow="0" w:firstColumn="1" w:lastColumn="0" w:noHBand="0" w:noVBand="1"/>
        <w:tblCaption w:val="Table 23: Revised financial estimates including relapsing patients"/>
      </w:tblPr>
      <w:tblGrid>
        <w:gridCol w:w="2261"/>
        <w:gridCol w:w="1087"/>
        <w:gridCol w:w="1087"/>
        <w:gridCol w:w="1204"/>
        <w:gridCol w:w="1087"/>
        <w:gridCol w:w="1165"/>
        <w:gridCol w:w="1126"/>
      </w:tblGrid>
      <w:tr w:rsidR="00D72873" w:rsidRPr="00AB2265" w:rsidTr="00AB2265">
        <w:trPr>
          <w:cantSplit/>
          <w:tblHeader/>
        </w:trPr>
        <w:tc>
          <w:tcPr>
            <w:tcW w:w="0" w:type="auto"/>
            <w:vAlign w:val="center"/>
          </w:tcPr>
          <w:p w:rsidR="00D72873" w:rsidRPr="00AB2265" w:rsidRDefault="00D72873" w:rsidP="00AB2265">
            <w:pPr>
              <w:widowControl w:val="0"/>
              <w:spacing w:before="100" w:beforeAutospacing="1" w:after="100" w:afterAutospacing="1"/>
              <w:rPr>
                <w:rFonts w:ascii="Arial Narrow" w:hAnsi="Arial Narrow"/>
                <w:color w:val="3366FF"/>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D72873" w:rsidRPr="00AB2265" w:rsidRDefault="00D72873" w:rsidP="00AB2265">
            <w:pPr>
              <w:widowControl w:val="0"/>
              <w:spacing w:before="100" w:beforeAutospacing="1" w:after="100" w:afterAutospacing="1"/>
              <w:jc w:val="center"/>
              <w:rPr>
                <w:rFonts w:ascii="Arial Narrow" w:hAnsi="Arial Narrow"/>
                <w:b/>
                <w:bCs/>
                <w:sz w:val="20"/>
                <w:szCs w:val="20"/>
              </w:rPr>
            </w:pPr>
            <w:r w:rsidRPr="00AB2265">
              <w:rPr>
                <w:rFonts w:ascii="Arial Narrow" w:hAnsi="Arial Narrow"/>
                <w:b/>
                <w:bCs/>
                <w:sz w:val="20"/>
                <w:szCs w:val="20"/>
              </w:rPr>
              <w:t>Year 1</w:t>
            </w:r>
          </w:p>
          <w:p w:rsidR="00D72873" w:rsidRPr="00AB2265" w:rsidRDefault="00D72873" w:rsidP="00AB2265">
            <w:pPr>
              <w:widowControl w:val="0"/>
              <w:spacing w:before="100" w:beforeAutospacing="1" w:after="100" w:afterAutospacing="1"/>
              <w:jc w:val="center"/>
              <w:rPr>
                <w:rFonts w:ascii="Arial Narrow" w:hAnsi="Arial Narrow"/>
                <w:b/>
                <w:color w:val="3366FF"/>
                <w:sz w:val="20"/>
                <w:szCs w:val="20"/>
              </w:rPr>
            </w:pPr>
            <w:r w:rsidRPr="00AB2265">
              <w:rPr>
                <w:rFonts w:ascii="Arial Narrow" w:hAnsi="Arial Narrow"/>
                <w:b/>
                <w:bCs/>
                <w:sz w:val="20"/>
                <w:szCs w:val="20"/>
              </w:rPr>
              <w:t>(2021)</w:t>
            </w:r>
          </w:p>
        </w:tc>
        <w:tc>
          <w:tcPr>
            <w:tcW w:w="0" w:type="auto"/>
            <w:tcBorders>
              <w:top w:val="single" w:sz="4" w:space="0" w:color="auto"/>
              <w:left w:val="nil"/>
              <w:bottom w:val="single" w:sz="4" w:space="0" w:color="auto"/>
              <w:right w:val="single" w:sz="4" w:space="0" w:color="auto"/>
            </w:tcBorders>
            <w:shd w:val="clear" w:color="auto" w:fill="auto"/>
            <w:vAlign w:val="center"/>
          </w:tcPr>
          <w:p w:rsidR="00D72873" w:rsidRPr="00AB2265" w:rsidRDefault="00D72873" w:rsidP="00AB2265">
            <w:pPr>
              <w:pStyle w:val="TableFigureCaption"/>
              <w:keepNext w:val="0"/>
              <w:widowControl w:val="0"/>
              <w:spacing w:before="100" w:beforeAutospacing="1" w:after="100" w:afterAutospacing="1"/>
              <w:jc w:val="center"/>
              <w:rPr>
                <w:szCs w:val="20"/>
              </w:rPr>
            </w:pPr>
            <w:r w:rsidRPr="00AB2265">
              <w:rPr>
                <w:szCs w:val="20"/>
              </w:rPr>
              <w:t>Year 2</w:t>
            </w:r>
          </w:p>
          <w:p w:rsidR="00D72873" w:rsidRPr="00AB2265" w:rsidRDefault="00D72873" w:rsidP="00AB2265">
            <w:pPr>
              <w:pStyle w:val="TableFigureCaption"/>
              <w:keepNext w:val="0"/>
              <w:widowControl w:val="0"/>
              <w:spacing w:before="100" w:beforeAutospacing="1" w:after="100" w:afterAutospacing="1"/>
              <w:jc w:val="center"/>
              <w:rPr>
                <w:szCs w:val="20"/>
              </w:rPr>
            </w:pPr>
            <w:r w:rsidRPr="00AB2265">
              <w:rPr>
                <w:szCs w:val="20"/>
              </w:rPr>
              <w:t>(2022)</w:t>
            </w:r>
          </w:p>
        </w:tc>
        <w:tc>
          <w:tcPr>
            <w:tcW w:w="0" w:type="auto"/>
            <w:tcBorders>
              <w:top w:val="single" w:sz="4" w:space="0" w:color="auto"/>
              <w:left w:val="nil"/>
              <w:bottom w:val="single" w:sz="4" w:space="0" w:color="auto"/>
              <w:right w:val="single" w:sz="4" w:space="0" w:color="auto"/>
            </w:tcBorders>
            <w:shd w:val="clear" w:color="auto" w:fill="auto"/>
            <w:vAlign w:val="center"/>
          </w:tcPr>
          <w:p w:rsidR="00D72873" w:rsidRPr="00AB2265" w:rsidRDefault="00D72873" w:rsidP="00AB2265">
            <w:pPr>
              <w:pStyle w:val="TableFigureCaption"/>
              <w:keepNext w:val="0"/>
              <w:widowControl w:val="0"/>
              <w:spacing w:before="100" w:beforeAutospacing="1" w:after="100" w:afterAutospacing="1"/>
              <w:jc w:val="center"/>
              <w:rPr>
                <w:szCs w:val="20"/>
              </w:rPr>
            </w:pPr>
            <w:r w:rsidRPr="00AB2265">
              <w:rPr>
                <w:szCs w:val="20"/>
              </w:rPr>
              <w:t>Year 3</w:t>
            </w:r>
          </w:p>
          <w:p w:rsidR="00D72873" w:rsidRPr="00AB2265" w:rsidRDefault="00D72873" w:rsidP="00AB2265">
            <w:pPr>
              <w:pStyle w:val="TableFigureCaption"/>
              <w:keepNext w:val="0"/>
              <w:widowControl w:val="0"/>
              <w:spacing w:before="100" w:beforeAutospacing="1" w:after="100" w:afterAutospacing="1"/>
              <w:jc w:val="center"/>
              <w:rPr>
                <w:szCs w:val="20"/>
              </w:rPr>
            </w:pPr>
            <w:r w:rsidRPr="00AB2265">
              <w:rPr>
                <w:szCs w:val="20"/>
              </w:rPr>
              <w:t>(2023)</w:t>
            </w:r>
          </w:p>
        </w:tc>
        <w:tc>
          <w:tcPr>
            <w:tcW w:w="0" w:type="auto"/>
            <w:tcBorders>
              <w:top w:val="single" w:sz="4" w:space="0" w:color="auto"/>
              <w:left w:val="nil"/>
              <w:bottom w:val="single" w:sz="4" w:space="0" w:color="auto"/>
              <w:right w:val="single" w:sz="4" w:space="0" w:color="auto"/>
            </w:tcBorders>
            <w:shd w:val="clear" w:color="auto" w:fill="auto"/>
            <w:vAlign w:val="center"/>
          </w:tcPr>
          <w:p w:rsidR="00D72873" w:rsidRPr="00AB2265" w:rsidRDefault="00D72873" w:rsidP="00AB2265">
            <w:pPr>
              <w:pStyle w:val="TableFigureCaption"/>
              <w:keepNext w:val="0"/>
              <w:widowControl w:val="0"/>
              <w:spacing w:before="100" w:beforeAutospacing="1" w:after="100" w:afterAutospacing="1"/>
              <w:jc w:val="center"/>
              <w:rPr>
                <w:szCs w:val="20"/>
              </w:rPr>
            </w:pPr>
            <w:r w:rsidRPr="00AB2265">
              <w:rPr>
                <w:szCs w:val="20"/>
              </w:rPr>
              <w:t>Year 4</w:t>
            </w:r>
          </w:p>
          <w:p w:rsidR="00D72873" w:rsidRPr="00AB2265" w:rsidRDefault="00D72873" w:rsidP="00AB2265">
            <w:pPr>
              <w:pStyle w:val="TableFigureCaption"/>
              <w:keepNext w:val="0"/>
              <w:widowControl w:val="0"/>
              <w:spacing w:before="100" w:beforeAutospacing="1" w:after="100" w:afterAutospacing="1"/>
              <w:jc w:val="center"/>
              <w:rPr>
                <w:szCs w:val="20"/>
              </w:rPr>
            </w:pPr>
            <w:r w:rsidRPr="00AB2265">
              <w:rPr>
                <w:szCs w:val="20"/>
              </w:rPr>
              <w:t>(2024)</w:t>
            </w:r>
          </w:p>
        </w:tc>
        <w:tc>
          <w:tcPr>
            <w:tcW w:w="0" w:type="auto"/>
            <w:tcBorders>
              <w:top w:val="single" w:sz="4" w:space="0" w:color="auto"/>
              <w:left w:val="nil"/>
              <w:bottom w:val="single" w:sz="4" w:space="0" w:color="auto"/>
              <w:right w:val="single" w:sz="4" w:space="0" w:color="auto"/>
            </w:tcBorders>
            <w:shd w:val="clear" w:color="auto" w:fill="auto"/>
            <w:vAlign w:val="center"/>
          </w:tcPr>
          <w:p w:rsidR="00D72873" w:rsidRPr="00AB2265" w:rsidRDefault="00D72873" w:rsidP="00AB2265">
            <w:pPr>
              <w:pStyle w:val="TableFigureCaption"/>
              <w:keepNext w:val="0"/>
              <w:widowControl w:val="0"/>
              <w:spacing w:before="100" w:beforeAutospacing="1" w:after="100" w:afterAutospacing="1"/>
              <w:jc w:val="center"/>
              <w:rPr>
                <w:szCs w:val="20"/>
              </w:rPr>
            </w:pPr>
            <w:r w:rsidRPr="00AB2265">
              <w:rPr>
                <w:szCs w:val="20"/>
              </w:rPr>
              <w:t>Year 5</w:t>
            </w:r>
          </w:p>
          <w:p w:rsidR="00D72873" w:rsidRPr="00AB2265" w:rsidRDefault="00D72873" w:rsidP="00AB2265">
            <w:pPr>
              <w:pStyle w:val="TableFigureCaption"/>
              <w:keepNext w:val="0"/>
              <w:widowControl w:val="0"/>
              <w:spacing w:before="100" w:beforeAutospacing="1" w:after="100" w:afterAutospacing="1"/>
              <w:jc w:val="center"/>
              <w:rPr>
                <w:szCs w:val="20"/>
              </w:rPr>
            </w:pPr>
            <w:r w:rsidRPr="00AB2265">
              <w:rPr>
                <w:szCs w:val="20"/>
              </w:rPr>
              <w:t>(2025)</w:t>
            </w:r>
          </w:p>
        </w:tc>
        <w:tc>
          <w:tcPr>
            <w:tcW w:w="0" w:type="auto"/>
            <w:tcBorders>
              <w:top w:val="single" w:sz="4" w:space="0" w:color="auto"/>
              <w:left w:val="nil"/>
              <w:bottom w:val="single" w:sz="4" w:space="0" w:color="auto"/>
              <w:right w:val="single" w:sz="4" w:space="0" w:color="auto"/>
            </w:tcBorders>
            <w:shd w:val="clear" w:color="auto" w:fill="auto"/>
            <w:vAlign w:val="center"/>
          </w:tcPr>
          <w:p w:rsidR="00D72873" w:rsidRPr="00AB2265" w:rsidRDefault="00D72873" w:rsidP="00AB2265">
            <w:pPr>
              <w:pStyle w:val="TableFigureCaption"/>
              <w:keepNext w:val="0"/>
              <w:widowControl w:val="0"/>
              <w:spacing w:before="100" w:beforeAutospacing="1" w:after="100" w:afterAutospacing="1"/>
              <w:jc w:val="center"/>
              <w:rPr>
                <w:szCs w:val="20"/>
              </w:rPr>
            </w:pPr>
            <w:r w:rsidRPr="00AB2265">
              <w:rPr>
                <w:szCs w:val="20"/>
              </w:rPr>
              <w:t>Year 6</w:t>
            </w:r>
          </w:p>
          <w:p w:rsidR="00D72873" w:rsidRPr="00AB2265" w:rsidRDefault="00D72873" w:rsidP="00AB2265">
            <w:pPr>
              <w:pStyle w:val="TableFigureCaption"/>
              <w:keepNext w:val="0"/>
              <w:widowControl w:val="0"/>
              <w:spacing w:before="100" w:beforeAutospacing="1" w:after="100" w:afterAutospacing="1"/>
              <w:jc w:val="center"/>
              <w:rPr>
                <w:szCs w:val="20"/>
              </w:rPr>
            </w:pPr>
            <w:r w:rsidRPr="00AB2265">
              <w:rPr>
                <w:szCs w:val="20"/>
              </w:rPr>
              <w:t>(2026)</w:t>
            </w:r>
          </w:p>
        </w:tc>
      </w:tr>
      <w:tr w:rsidR="00D72873" w:rsidRPr="00AB2265" w:rsidTr="00AB2265">
        <w:trPr>
          <w:cantSplit/>
        </w:trPr>
        <w:tc>
          <w:tcPr>
            <w:tcW w:w="0" w:type="auto"/>
            <w:gridSpan w:val="7"/>
            <w:tcBorders>
              <w:right w:val="single" w:sz="4" w:space="0" w:color="auto"/>
            </w:tcBorders>
            <w:vAlign w:val="center"/>
          </w:tcPr>
          <w:p w:rsidR="00D72873" w:rsidRPr="00AB2265" w:rsidRDefault="00D72873" w:rsidP="00AB2265">
            <w:pPr>
              <w:pStyle w:val="TableText"/>
              <w:widowControl w:val="0"/>
              <w:spacing w:before="100" w:beforeAutospacing="1" w:after="100" w:afterAutospacing="1"/>
              <w:rPr>
                <w:b/>
                <w:szCs w:val="20"/>
              </w:rPr>
            </w:pPr>
            <w:r w:rsidRPr="00AB2265">
              <w:rPr>
                <w:b/>
                <w:szCs w:val="20"/>
              </w:rPr>
              <w:t>Patient estimates</w:t>
            </w:r>
          </w:p>
        </w:tc>
      </w:tr>
      <w:tr w:rsidR="00D72873" w:rsidRPr="00AB2265" w:rsidTr="00AB2265">
        <w:trPr>
          <w:cantSplit/>
        </w:trPr>
        <w:tc>
          <w:tcPr>
            <w:tcW w:w="0" w:type="auto"/>
            <w:vAlign w:val="center"/>
          </w:tcPr>
          <w:p w:rsidR="00D72873" w:rsidRPr="00971282" w:rsidRDefault="00D72873" w:rsidP="00AB2265">
            <w:pPr>
              <w:pStyle w:val="TableText"/>
              <w:widowControl w:val="0"/>
              <w:spacing w:before="100" w:beforeAutospacing="1" w:after="100" w:afterAutospacing="1"/>
              <w:rPr>
                <w:szCs w:val="20"/>
              </w:rPr>
            </w:pPr>
            <w:r w:rsidRPr="00971282">
              <w:rPr>
                <w:szCs w:val="20"/>
              </w:rPr>
              <w:t>Australian population</w:t>
            </w:r>
          </w:p>
        </w:tc>
        <w:tc>
          <w:tcPr>
            <w:tcW w:w="0" w:type="auto"/>
            <w:tcBorders>
              <w:top w:val="nil"/>
              <w:left w:val="nil"/>
              <w:bottom w:val="single" w:sz="4" w:space="0" w:color="auto"/>
              <w:right w:val="single" w:sz="4" w:space="0" w:color="auto"/>
            </w:tcBorders>
            <w:shd w:val="clear" w:color="auto" w:fill="auto"/>
            <w:vAlign w:val="center"/>
          </w:tcPr>
          <w:p w:rsidR="00D72873" w:rsidRPr="00971282" w:rsidRDefault="00D72873" w:rsidP="00AB2265">
            <w:pPr>
              <w:pStyle w:val="TableText"/>
              <w:widowControl w:val="0"/>
              <w:spacing w:before="100" w:beforeAutospacing="1" w:after="100" w:afterAutospacing="1"/>
              <w:jc w:val="center"/>
              <w:rPr>
                <w:szCs w:val="20"/>
              </w:rPr>
            </w:pPr>
            <w:r w:rsidRPr="00971282">
              <w:rPr>
                <w:szCs w:val="20"/>
              </w:rPr>
              <w:t>26,301,274</w:t>
            </w:r>
          </w:p>
        </w:tc>
        <w:tc>
          <w:tcPr>
            <w:tcW w:w="0" w:type="auto"/>
            <w:tcBorders>
              <w:top w:val="nil"/>
              <w:left w:val="nil"/>
              <w:bottom w:val="single" w:sz="4" w:space="0" w:color="auto"/>
              <w:right w:val="single" w:sz="4" w:space="0" w:color="auto"/>
            </w:tcBorders>
            <w:shd w:val="clear" w:color="auto" w:fill="auto"/>
            <w:vAlign w:val="center"/>
          </w:tcPr>
          <w:p w:rsidR="00D72873" w:rsidRPr="00971282" w:rsidRDefault="00D72873" w:rsidP="00AB2265">
            <w:pPr>
              <w:pStyle w:val="TableText"/>
              <w:widowControl w:val="0"/>
              <w:spacing w:before="100" w:beforeAutospacing="1" w:after="100" w:afterAutospacing="1"/>
              <w:jc w:val="center"/>
              <w:rPr>
                <w:szCs w:val="20"/>
              </w:rPr>
            </w:pPr>
            <w:r w:rsidRPr="00971282">
              <w:rPr>
                <w:szCs w:val="20"/>
              </w:rPr>
              <w:t>26,727,025</w:t>
            </w:r>
          </w:p>
        </w:tc>
        <w:tc>
          <w:tcPr>
            <w:tcW w:w="0" w:type="auto"/>
            <w:tcBorders>
              <w:top w:val="nil"/>
              <w:left w:val="nil"/>
              <w:bottom w:val="single" w:sz="4" w:space="0" w:color="auto"/>
              <w:right w:val="single" w:sz="4" w:space="0" w:color="auto"/>
            </w:tcBorders>
            <w:shd w:val="clear" w:color="auto" w:fill="auto"/>
            <w:vAlign w:val="center"/>
          </w:tcPr>
          <w:p w:rsidR="00D72873" w:rsidRPr="00971282" w:rsidRDefault="00D72873" w:rsidP="00AB2265">
            <w:pPr>
              <w:pStyle w:val="TableText"/>
              <w:widowControl w:val="0"/>
              <w:spacing w:before="100" w:beforeAutospacing="1" w:after="100" w:afterAutospacing="1"/>
              <w:jc w:val="center"/>
              <w:rPr>
                <w:szCs w:val="20"/>
              </w:rPr>
            </w:pPr>
            <w:r w:rsidRPr="00971282">
              <w:rPr>
                <w:szCs w:val="20"/>
              </w:rPr>
              <w:t>27,147,199</w:t>
            </w:r>
          </w:p>
        </w:tc>
        <w:tc>
          <w:tcPr>
            <w:tcW w:w="0" w:type="auto"/>
            <w:tcBorders>
              <w:top w:val="nil"/>
              <w:left w:val="nil"/>
              <w:bottom w:val="single" w:sz="4" w:space="0" w:color="auto"/>
              <w:right w:val="single" w:sz="4" w:space="0" w:color="auto"/>
            </w:tcBorders>
            <w:shd w:val="clear" w:color="auto" w:fill="auto"/>
            <w:vAlign w:val="center"/>
          </w:tcPr>
          <w:p w:rsidR="00D72873" w:rsidRPr="00971282" w:rsidRDefault="00D72873" w:rsidP="00AB2265">
            <w:pPr>
              <w:pStyle w:val="TableText"/>
              <w:widowControl w:val="0"/>
              <w:spacing w:before="100" w:beforeAutospacing="1" w:after="100" w:afterAutospacing="1"/>
              <w:jc w:val="center"/>
              <w:rPr>
                <w:szCs w:val="20"/>
              </w:rPr>
            </w:pPr>
            <w:r w:rsidRPr="00971282">
              <w:rPr>
                <w:szCs w:val="20"/>
              </w:rPr>
              <w:t>27,562,195</w:t>
            </w:r>
          </w:p>
        </w:tc>
        <w:tc>
          <w:tcPr>
            <w:tcW w:w="0" w:type="auto"/>
            <w:tcBorders>
              <w:top w:val="nil"/>
              <w:left w:val="nil"/>
              <w:bottom w:val="single" w:sz="4" w:space="0" w:color="auto"/>
              <w:right w:val="single" w:sz="4" w:space="0" w:color="auto"/>
            </w:tcBorders>
            <w:shd w:val="clear" w:color="auto" w:fill="auto"/>
            <w:vAlign w:val="center"/>
          </w:tcPr>
          <w:p w:rsidR="00D72873" w:rsidRPr="00971282" w:rsidRDefault="00D72873" w:rsidP="00AB2265">
            <w:pPr>
              <w:pStyle w:val="TableText"/>
              <w:widowControl w:val="0"/>
              <w:spacing w:before="100" w:beforeAutospacing="1" w:after="100" w:afterAutospacing="1"/>
              <w:jc w:val="center"/>
              <w:rPr>
                <w:szCs w:val="20"/>
              </w:rPr>
            </w:pPr>
            <w:r w:rsidRPr="00971282">
              <w:rPr>
                <w:szCs w:val="20"/>
              </w:rPr>
              <w:t>27,970,435</w:t>
            </w:r>
          </w:p>
        </w:tc>
        <w:tc>
          <w:tcPr>
            <w:tcW w:w="0" w:type="auto"/>
            <w:tcBorders>
              <w:top w:val="nil"/>
              <w:left w:val="nil"/>
              <w:bottom w:val="single" w:sz="4" w:space="0" w:color="auto"/>
              <w:right w:val="single" w:sz="4" w:space="0" w:color="auto"/>
            </w:tcBorders>
            <w:shd w:val="clear" w:color="auto" w:fill="auto"/>
            <w:vAlign w:val="center"/>
          </w:tcPr>
          <w:p w:rsidR="00D72873" w:rsidRPr="00971282" w:rsidRDefault="00D72873" w:rsidP="00AB2265">
            <w:pPr>
              <w:pStyle w:val="TableText"/>
              <w:widowControl w:val="0"/>
              <w:spacing w:before="100" w:beforeAutospacing="1" w:after="100" w:afterAutospacing="1"/>
              <w:jc w:val="center"/>
              <w:rPr>
                <w:szCs w:val="20"/>
              </w:rPr>
            </w:pPr>
            <w:r w:rsidRPr="00971282">
              <w:rPr>
                <w:szCs w:val="20"/>
              </w:rPr>
              <w:t>28,372,315</w:t>
            </w:r>
          </w:p>
        </w:tc>
      </w:tr>
      <w:tr w:rsidR="00D72873" w:rsidRPr="00AB2265" w:rsidTr="00AB2265">
        <w:trPr>
          <w:cantSplit/>
        </w:trPr>
        <w:tc>
          <w:tcPr>
            <w:tcW w:w="0" w:type="auto"/>
            <w:vAlign w:val="center"/>
          </w:tcPr>
          <w:p w:rsidR="00D72873" w:rsidRPr="00971282" w:rsidRDefault="00D72873" w:rsidP="00A26384">
            <w:pPr>
              <w:pStyle w:val="TableText"/>
              <w:widowControl w:val="0"/>
              <w:spacing w:before="100" w:beforeAutospacing="1" w:after="100" w:afterAutospacing="1"/>
              <w:rPr>
                <w:szCs w:val="20"/>
              </w:rPr>
            </w:pPr>
            <w:r w:rsidRPr="00971282">
              <w:rPr>
                <w:szCs w:val="20"/>
              </w:rPr>
              <w:t>Number of incident cases per year (</w:t>
            </w:r>
            <w:r w:rsidR="00A26384" w:rsidRPr="00A63CB9">
              <w:rPr>
                <w:szCs w:val="20"/>
              </w:rPr>
              <w:t>2.72 per million</w:t>
            </w:r>
            <w:r w:rsidRPr="00971282">
              <w:rPr>
                <w:szCs w:val="20"/>
              </w:rPr>
              <w:t>)</w:t>
            </w:r>
          </w:p>
        </w:tc>
        <w:tc>
          <w:tcPr>
            <w:tcW w:w="0" w:type="auto"/>
            <w:tcBorders>
              <w:top w:val="nil"/>
              <w:left w:val="nil"/>
              <w:bottom w:val="single" w:sz="4" w:space="0" w:color="auto"/>
              <w:right w:val="single" w:sz="4" w:space="0" w:color="auto"/>
            </w:tcBorders>
            <w:shd w:val="clear" w:color="auto" w:fill="auto"/>
            <w:vAlign w:val="center"/>
          </w:tcPr>
          <w:p w:rsidR="00D72873" w:rsidRPr="003F618D" w:rsidRDefault="003F618D" w:rsidP="00AB2265">
            <w:pPr>
              <w:pStyle w:val="TableText"/>
              <w:widowControl w:val="0"/>
              <w:spacing w:before="100" w:beforeAutospacing="1" w:after="100" w:afterAutospacing="1"/>
              <w:jc w:val="center"/>
              <w:rPr>
                <w:szCs w:val="20"/>
                <w:highlight w:val="black"/>
              </w:rPr>
            </w:pPr>
            <w:r>
              <w:rPr>
                <w:noProof/>
                <w:color w:val="000000"/>
                <w:szCs w:val="20"/>
                <w:highlight w:val="black"/>
              </w:rPr>
              <w:t>'''''''</w:t>
            </w:r>
          </w:p>
        </w:tc>
        <w:tc>
          <w:tcPr>
            <w:tcW w:w="0" w:type="auto"/>
            <w:tcBorders>
              <w:top w:val="nil"/>
              <w:left w:val="nil"/>
              <w:bottom w:val="single" w:sz="4" w:space="0" w:color="auto"/>
              <w:right w:val="single" w:sz="4" w:space="0" w:color="auto"/>
            </w:tcBorders>
            <w:shd w:val="clear" w:color="auto" w:fill="auto"/>
            <w:vAlign w:val="center"/>
          </w:tcPr>
          <w:p w:rsidR="00D72873" w:rsidRPr="003F618D" w:rsidRDefault="003F618D" w:rsidP="00AB2265">
            <w:pPr>
              <w:pStyle w:val="TableText"/>
              <w:widowControl w:val="0"/>
              <w:spacing w:before="100" w:beforeAutospacing="1" w:after="100" w:afterAutospacing="1"/>
              <w:jc w:val="center"/>
              <w:rPr>
                <w:szCs w:val="20"/>
                <w:highlight w:val="black"/>
              </w:rPr>
            </w:pPr>
            <w:r>
              <w:rPr>
                <w:noProof/>
                <w:color w:val="000000"/>
                <w:szCs w:val="20"/>
                <w:highlight w:val="black"/>
              </w:rPr>
              <w:t>''''''</w:t>
            </w:r>
          </w:p>
        </w:tc>
        <w:tc>
          <w:tcPr>
            <w:tcW w:w="0" w:type="auto"/>
            <w:tcBorders>
              <w:top w:val="nil"/>
              <w:left w:val="nil"/>
              <w:bottom w:val="single" w:sz="4" w:space="0" w:color="auto"/>
              <w:right w:val="single" w:sz="4" w:space="0" w:color="auto"/>
            </w:tcBorders>
            <w:shd w:val="clear" w:color="auto" w:fill="auto"/>
            <w:vAlign w:val="center"/>
          </w:tcPr>
          <w:p w:rsidR="00D72873" w:rsidRPr="003F618D" w:rsidRDefault="003F618D" w:rsidP="00AB2265">
            <w:pPr>
              <w:pStyle w:val="TableText"/>
              <w:widowControl w:val="0"/>
              <w:spacing w:before="100" w:beforeAutospacing="1" w:after="100" w:afterAutospacing="1"/>
              <w:jc w:val="center"/>
              <w:rPr>
                <w:szCs w:val="20"/>
                <w:highlight w:val="black"/>
              </w:rPr>
            </w:pPr>
            <w:r>
              <w:rPr>
                <w:noProof/>
                <w:color w:val="000000"/>
                <w:szCs w:val="20"/>
                <w:highlight w:val="black"/>
              </w:rPr>
              <w:t>''''''</w:t>
            </w:r>
          </w:p>
        </w:tc>
        <w:tc>
          <w:tcPr>
            <w:tcW w:w="0" w:type="auto"/>
            <w:tcBorders>
              <w:top w:val="nil"/>
              <w:left w:val="nil"/>
              <w:bottom w:val="single" w:sz="4" w:space="0" w:color="auto"/>
              <w:right w:val="single" w:sz="4" w:space="0" w:color="auto"/>
            </w:tcBorders>
            <w:shd w:val="clear" w:color="auto" w:fill="auto"/>
            <w:vAlign w:val="center"/>
          </w:tcPr>
          <w:p w:rsidR="00D72873" w:rsidRPr="003F618D" w:rsidRDefault="003F618D" w:rsidP="00AB2265">
            <w:pPr>
              <w:pStyle w:val="TableText"/>
              <w:widowControl w:val="0"/>
              <w:spacing w:before="100" w:beforeAutospacing="1" w:after="100" w:afterAutospacing="1"/>
              <w:jc w:val="center"/>
              <w:rPr>
                <w:szCs w:val="20"/>
                <w:highlight w:val="black"/>
              </w:rPr>
            </w:pPr>
            <w:r>
              <w:rPr>
                <w:noProof/>
                <w:color w:val="000000"/>
                <w:szCs w:val="20"/>
                <w:highlight w:val="black"/>
              </w:rPr>
              <w:t>'''''''</w:t>
            </w:r>
          </w:p>
        </w:tc>
        <w:tc>
          <w:tcPr>
            <w:tcW w:w="0" w:type="auto"/>
            <w:tcBorders>
              <w:top w:val="nil"/>
              <w:left w:val="nil"/>
              <w:bottom w:val="single" w:sz="4" w:space="0" w:color="auto"/>
              <w:right w:val="single" w:sz="4" w:space="0" w:color="auto"/>
            </w:tcBorders>
            <w:shd w:val="clear" w:color="auto" w:fill="auto"/>
            <w:vAlign w:val="center"/>
          </w:tcPr>
          <w:p w:rsidR="00D72873" w:rsidRPr="003F618D" w:rsidRDefault="003F618D" w:rsidP="00AB2265">
            <w:pPr>
              <w:pStyle w:val="TableText"/>
              <w:widowControl w:val="0"/>
              <w:spacing w:before="100" w:beforeAutospacing="1" w:after="100" w:afterAutospacing="1"/>
              <w:jc w:val="center"/>
              <w:rPr>
                <w:szCs w:val="20"/>
                <w:highlight w:val="black"/>
              </w:rPr>
            </w:pPr>
            <w:r>
              <w:rPr>
                <w:noProof/>
                <w:color w:val="000000"/>
                <w:szCs w:val="20"/>
                <w:highlight w:val="black"/>
              </w:rPr>
              <w:t>''''''</w:t>
            </w:r>
          </w:p>
        </w:tc>
        <w:tc>
          <w:tcPr>
            <w:tcW w:w="0" w:type="auto"/>
            <w:tcBorders>
              <w:top w:val="nil"/>
              <w:left w:val="nil"/>
              <w:bottom w:val="single" w:sz="4" w:space="0" w:color="auto"/>
              <w:right w:val="single" w:sz="4" w:space="0" w:color="auto"/>
            </w:tcBorders>
            <w:shd w:val="clear" w:color="auto" w:fill="auto"/>
            <w:vAlign w:val="center"/>
          </w:tcPr>
          <w:p w:rsidR="00D72873" w:rsidRPr="003F618D" w:rsidRDefault="003F618D" w:rsidP="00AB2265">
            <w:pPr>
              <w:pStyle w:val="TableText"/>
              <w:widowControl w:val="0"/>
              <w:spacing w:before="100" w:beforeAutospacing="1" w:after="100" w:afterAutospacing="1"/>
              <w:jc w:val="center"/>
              <w:rPr>
                <w:szCs w:val="20"/>
                <w:highlight w:val="black"/>
              </w:rPr>
            </w:pPr>
            <w:r>
              <w:rPr>
                <w:noProof/>
                <w:color w:val="000000"/>
                <w:szCs w:val="20"/>
                <w:highlight w:val="black"/>
              </w:rPr>
              <w:t>'''''''</w:t>
            </w:r>
          </w:p>
        </w:tc>
      </w:tr>
      <w:tr w:rsidR="00D72873" w:rsidRPr="00AB2265" w:rsidTr="00AB2265">
        <w:trPr>
          <w:cantSplit/>
        </w:trPr>
        <w:tc>
          <w:tcPr>
            <w:tcW w:w="0" w:type="auto"/>
            <w:vAlign w:val="center"/>
          </w:tcPr>
          <w:p w:rsidR="00D72873" w:rsidRPr="00971282" w:rsidRDefault="00D72873" w:rsidP="00AB2265">
            <w:pPr>
              <w:pStyle w:val="TableText"/>
              <w:widowControl w:val="0"/>
              <w:spacing w:before="100" w:beforeAutospacing="1" w:after="100" w:afterAutospacing="1"/>
              <w:rPr>
                <w:i/>
                <w:szCs w:val="20"/>
              </w:rPr>
            </w:pPr>
            <w:r w:rsidRPr="00971282">
              <w:rPr>
                <w:i/>
                <w:szCs w:val="20"/>
              </w:rPr>
              <w:t>Number of incident cases including 10% potential for relapse</w:t>
            </w:r>
          </w:p>
        </w:tc>
        <w:tc>
          <w:tcPr>
            <w:tcW w:w="0" w:type="auto"/>
            <w:tcBorders>
              <w:top w:val="nil"/>
              <w:left w:val="nil"/>
              <w:bottom w:val="single" w:sz="4" w:space="0" w:color="auto"/>
              <w:right w:val="single" w:sz="4" w:space="0" w:color="auto"/>
            </w:tcBorders>
            <w:shd w:val="clear" w:color="auto" w:fill="auto"/>
            <w:vAlign w:val="center"/>
          </w:tcPr>
          <w:p w:rsidR="00D72873" w:rsidRPr="003F618D" w:rsidRDefault="003F618D" w:rsidP="00AB2265">
            <w:pPr>
              <w:pStyle w:val="TableText"/>
              <w:widowControl w:val="0"/>
              <w:spacing w:before="100" w:beforeAutospacing="1" w:after="100" w:afterAutospacing="1"/>
              <w:jc w:val="center"/>
              <w:rPr>
                <w:i/>
                <w:szCs w:val="20"/>
                <w:highlight w:val="black"/>
              </w:rPr>
            </w:pPr>
            <w:r>
              <w:rPr>
                <w:i/>
                <w:noProof/>
                <w:color w:val="000000"/>
                <w:szCs w:val="20"/>
                <w:highlight w:val="black"/>
              </w:rPr>
              <w:t>'''''''''</w:t>
            </w:r>
          </w:p>
        </w:tc>
        <w:tc>
          <w:tcPr>
            <w:tcW w:w="0" w:type="auto"/>
            <w:tcBorders>
              <w:top w:val="nil"/>
              <w:left w:val="nil"/>
              <w:bottom w:val="single" w:sz="4" w:space="0" w:color="auto"/>
              <w:right w:val="single" w:sz="4" w:space="0" w:color="auto"/>
            </w:tcBorders>
            <w:shd w:val="clear" w:color="auto" w:fill="auto"/>
            <w:vAlign w:val="center"/>
          </w:tcPr>
          <w:p w:rsidR="00D72873" w:rsidRPr="003F618D" w:rsidRDefault="003F618D" w:rsidP="00AB2265">
            <w:pPr>
              <w:pStyle w:val="TableText"/>
              <w:widowControl w:val="0"/>
              <w:spacing w:before="100" w:beforeAutospacing="1" w:after="100" w:afterAutospacing="1"/>
              <w:jc w:val="center"/>
              <w:rPr>
                <w:i/>
                <w:szCs w:val="20"/>
                <w:highlight w:val="black"/>
              </w:rPr>
            </w:pPr>
            <w:r>
              <w:rPr>
                <w:i/>
                <w:noProof/>
                <w:color w:val="000000"/>
                <w:szCs w:val="20"/>
                <w:highlight w:val="black"/>
              </w:rPr>
              <w:t>''''''''''</w:t>
            </w:r>
          </w:p>
        </w:tc>
        <w:tc>
          <w:tcPr>
            <w:tcW w:w="0" w:type="auto"/>
            <w:tcBorders>
              <w:top w:val="nil"/>
              <w:left w:val="nil"/>
              <w:bottom w:val="single" w:sz="4" w:space="0" w:color="auto"/>
              <w:right w:val="single" w:sz="4" w:space="0" w:color="auto"/>
            </w:tcBorders>
            <w:shd w:val="clear" w:color="auto" w:fill="auto"/>
            <w:vAlign w:val="center"/>
          </w:tcPr>
          <w:p w:rsidR="00D72873" w:rsidRPr="003F618D" w:rsidRDefault="003F618D" w:rsidP="00AB2265">
            <w:pPr>
              <w:pStyle w:val="TableText"/>
              <w:widowControl w:val="0"/>
              <w:spacing w:before="100" w:beforeAutospacing="1" w:after="100" w:afterAutospacing="1"/>
              <w:jc w:val="center"/>
              <w:rPr>
                <w:i/>
                <w:szCs w:val="20"/>
                <w:highlight w:val="black"/>
              </w:rPr>
            </w:pPr>
            <w:r>
              <w:rPr>
                <w:i/>
                <w:noProof/>
                <w:color w:val="000000"/>
                <w:szCs w:val="20"/>
                <w:highlight w:val="black"/>
              </w:rPr>
              <w:t>''''''''</w:t>
            </w:r>
          </w:p>
        </w:tc>
        <w:tc>
          <w:tcPr>
            <w:tcW w:w="0" w:type="auto"/>
            <w:tcBorders>
              <w:top w:val="nil"/>
              <w:left w:val="nil"/>
              <w:bottom w:val="single" w:sz="4" w:space="0" w:color="auto"/>
              <w:right w:val="single" w:sz="4" w:space="0" w:color="auto"/>
            </w:tcBorders>
            <w:shd w:val="clear" w:color="auto" w:fill="auto"/>
            <w:vAlign w:val="center"/>
          </w:tcPr>
          <w:p w:rsidR="00D72873" w:rsidRPr="003F618D" w:rsidRDefault="003F618D" w:rsidP="00AB2265">
            <w:pPr>
              <w:pStyle w:val="TableText"/>
              <w:widowControl w:val="0"/>
              <w:spacing w:before="100" w:beforeAutospacing="1" w:after="100" w:afterAutospacing="1"/>
              <w:jc w:val="center"/>
              <w:rPr>
                <w:i/>
                <w:szCs w:val="20"/>
                <w:highlight w:val="black"/>
              </w:rPr>
            </w:pPr>
            <w:r>
              <w:rPr>
                <w:i/>
                <w:noProof/>
                <w:color w:val="000000"/>
                <w:szCs w:val="20"/>
                <w:highlight w:val="black"/>
              </w:rPr>
              <w:t>''''''''</w:t>
            </w:r>
          </w:p>
        </w:tc>
        <w:tc>
          <w:tcPr>
            <w:tcW w:w="0" w:type="auto"/>
            <w:tcBorders>
              <w:top w:val="nil"/>
              <w:left w:val="nil"/>
              <w:bottom w:val="single" w:sz="4" w:space="0" w:color="auto"/>
              <w:right w:val="single" w:sz="4" w:space="0" w:color="auto"/>
            </w:tcBorders>
            <w:shd w:val="clear" w:color="auto" w:fill="auto"/>
            <w:vAlign w:val="center"/>
          </w:tcPr>
          <w:p w:rsidR="00D72873" w:rsidRPr="003F618D" w:rsidRDefault="003F618D" w:rsidP="00AB2265">
            <w:pPr>
              <w:pStyle w:val="TableText"/>
              <w:widowControl w:val="0"/>
              <w:spacing w:before="100" w:beforeAutospacing="1" w:after="100" w:afterAutospacing="1"/>
              <w:jc w:val="center"/>
              <w:rPr>
                <w:i/>
                <w:szCs w:val="20"/>
                <w:highlight w:val="black"/>
              </w:rPr>
            </w:pPr>
            <w:r>
              <w:rPr>
                <w:i/>
                <w:noProof/>
                <w:color w:val="000000"/>
                <w:szCs w:val="20"/>
                <w:highlight w:val="black"/>
              </w:rPr>
              <w:t>''''''''</w:t>
            </w:r>
          </w:p>
        </w:tc>
        <w:tc>
          <w:tcPr>
            <w:tcW w:w="0" w:type="auto"/>
            <w:tcBorders>
              <w:top w:val="nil"/>
              <w:left w:val="nil"/>
              <w:bottom w:val="single" w:sz="4" w:space="0" w:color="auto"/>
              <w:right w:val="single" w:sz="4" w:space="0" w:color="auto"/>
            </w:tcBorders>
            <w:shd w:val="clear" w:color="auto" w:fill="auto"/>
            <w:vAlign w:val="center"/>
          </w:tcPr>
          <w:p w:rsidR="00D72873" w:rsidRPr="003F618D" w:rsidRDefault="003F618D" w:rsidP="00AB2265">
            <w:pPr>
              <w:pStyle w:val="TableText"/>
              <w:widowControl w:val="0"/>
              <w:spacing w:before="100" w:beforeAutospacing="1" w:after="100" w:afterAutospacing="1"/>
              <w:jc w:val="center"/>
              <w:rPr>
                <w:i/>
                <w:szCs w:val="20"/>
                <w:highlight w:val="black"/>
              </w:rPr>
            </w:pPr>
            <w:r>
              <w:rPr>
                <w:i/>
                <w:noProof/>
                <w:color w:val="000000"/>
                <w:szCs w:val="20"/>
                <w:highlight w:val="black"/>
              </w:rPr>
              <w:t>'''''''''</w:t>
            </w:r>
          </w:p>
        </w:tc>
      </w:tr>
      <w:tr w:rsidR="00D72873" w:rsidRPr="00AB2265" w:rsidTr="00AB2265">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2873" w:rsidRPr="00AB2265" w:rsidRDefault="00D72873" w:rsidP="00AB2265">
            <w:pPr>
              <w:pStyle w:val="TableText"/>
              <w:widowControl w:val="0"/>
              <w:spacing w:before="100" w:beforeAutospacing="1" w:after="100" w:afterAutospacing="1"/>
              <w:rPr>
                <w:szCs w:val="20"/>
              </w:rPr>
            </w:pPr>
            <w:r w:rsidRPr="00AB2265">
              <w:rPr>
                <w:szCs w:val="20"/>
              </w:rPr>
              <w:t>Patients electing treatment (%; from clinician survey)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2873" w:rsidRPr="00AB2265" w:rsidRDefault="00D72873" w:rsidP="00AB2265">
            <w:pPr>
              <w:pStyle w:val="TableText"/>
              <w:widowControl w:val="0"/>
              <w:spacing w:before="100" w:beforeAutospacing="1" w:after="100" w:afterAutospacing="1"/>
              <w:jc w:val="center"/>
              <w:rPr>
                <w:szCs w:val="20"/>
              </w:rPr>
            </w:pPr>
            <w:r w:rsidRPr="00A201CF">
              <w:rPr>
                <w:szCs w:val="20"/>
              </w:rPr>
              <w:t>57</w:t>
            </w:r>
            <w:r w:rsidRPr="00AB2265">
              <w:rPr>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2873" w:rsidRPr="00AB2265" w:rsidRDefault="00D72873" w:rsidP="00AB2265">
            <w:pPr>
              <w:pStyle w:val="TableText"/>
              <w:widowControl w:val="0"/>
              <w:spacing w:before="100" w:beforeAutospacing="1" w:after="100" w:afterAutospacing="1"/>
              <w:jc w:val="center"/>
              <w:rPr>
                <w:szCs w:val="20"/>
              </w:rPr>
            </w:pPr>
            <w:r w:rsidRPr="00A201CF">
              <w:rPr>
                <w:szCs w:val="20"/>
              </w:rPr>
              <w:t>62</w:t>
            </w:r>
            <w:r w:rsidRPr="00AB2265">
              <w:rPr>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2873" w:rsidRPr="00AB2265" w:rsidRDefault="00D72873" w:rsidP="00AB2265">
            <w:pPr>
              <w:pStyle w:val="TableText"/>
              <w:widowControl w:val="0"/>
              <w:spacing w:before="100" w:beforeAutospacing="1" w:after="100" w:afterAutospacing="1"/>
              <w:jc w:val="center"/>
              <w:rPr>
                <w:szCs w:val="20"/>
              </w:rPr>
            </w:pPr>
            <w:r w:rsidRPr="00A201CF">
              <w:rPr>
                <w:szCs w:val="20"/>
              </w:rPr>
              <w:t>66</w:t>
            </w:r>
            <w:r w:rsidRPr="00AB2265">
              <w:rPr>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2873" w:rsidRPr="00AB2265" w:rsidRDefault="00D72873" w:rsidP="00AB2265">
            <w:pPr>
              <w:pStyle w:val="TableText"/>
              <w:widowControl w:val="0"/>
              <w:spacing w:before="100" w:beforeAutospacing="1" w:after="100" w:afterAutospacing="1"/>
              <w:jc w:val="center"/>
              <w:rPr>
                <w:szCs w:val="20"/>
              </w:rPr>
            </w:pPr>
            <w:r w:rsidRPr="00A201CF">
              <w:rPr>
                <w:szCs w:val="20"/>
              </w:rPr>
              <w:t>70</w:t>
            </w:r>
            <w:r w:rsidRPr="00AB2265">
              <w:rPr>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2873" w:rsidRPr="00AB2265" w:rsidRDefault="00D72873" w:rsidP="00AB2265">
            <w:pPr>
              <w:pStyle w:val="TableText"/>
              <w:widowControl w:val="0"/>
              <w:spacing w:before="100" w:beforeAutospacing="1" w:after="100" w:afterAutospacing="1"/>
              <w:jc w:val="center"/>
              <w:rPr>
                <w:szCs w:val="20"/>
              </w:rPr>
            </w:pPr>
            <w:r w:rsidRPr="00A201CF">
              <w:rPr>
                <w:szCs w:val="20"/>
              </w:rPr>
              <w:t>73</w:t>
            </w:r>
            <w:r w:rsidRPr="00AB2265">
              <w:rPr>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2873" w:rsidRPr="00AB2265" w:rsidRDefault="00D72873" w:rsidP="00AB2265">
            <w:pPr>
              <w:pStyle w:val="TableText"/>
              <w:widowControl w:val="0"/>
              <w:spacing w:before="100" w:beforeAutospacing="1" w:after="100" w:afterAutospacing="1"/>
              <w:jc w:val="center"/>
              <w:rPr>
                <w:szCs w:val="20"/>
              </w:rPr>
            </w:pPr>
            <w:r w:rsidRPr="00A201CF">
              <w:rPr>
                <w:szCs w:val="20"/>
              </w:rPr>
              <w:t>75</w:t>
            </w:r>
            <w:r w:rsidRPr="00AB2265">
              <w:rPr>
                <w:szCs w:val="20"/>
              </w:rPr>
              <w:t>%</w:t>
            </w:r>
          </w:p>
        </w:tc>
      </w:tr>
      <w:tr w:rsidR="00D72873" w:rsidRPr="00AB2265" w:rsidTr="00AB2265">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2873" w:rsidRPr="00AB2265" w:rsidRDefault="00D72873" w:rsidP="00AB2265">
            <w:pPr>
              <w:pStyle w:val="TableText"/>
              <w:widowControl w:val="0"/>
              <w:spacing w:before="100" w:beforeAutospacing="1" w:after="100" w:afterAutospacing="1"/>
              <w:rPr>
                <w:i/>
                <w:szCs w:val="20"/>
              </w:rPr>
            </w:pPr>
            <w:r w:rsidRPr="00AB2265">
              <w:rPr>
                <w:szCs w:val="20"/>
              </w:rPr>
              <w:t xml:space="preserve">Total number of patients </w:t>
            </w:r>
            <w:r w:rsidRPr="00AB2265">
              <w:rPr>
                <w:i/>
                <w:szCs w:val="20"/>
              </w:rPr>
              <w:t>(including relapsed)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2873" w:rsidRPr="003F618D" w:rsidRDefault="003F618D" w:rsidP="00AB2265">
            <w:pPr>
              <w:pStyle w:val="TableText"/>
              <w:widowControl w:val="0"/>
              <w:spacing w:before="100" w:beforeAutospacing="1" w:after="100" w:afterAutospacing="1"/>
              <w:jc w:val="center"/>
              <w:rPr>
                <w:i/>
                <w:szCs w:val="20"/>
                <w:highlight w:val="black"/>
              </w:rPr>
            </w:pPr>
            <w:r>
              <w:rPr>
                <w:i/>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2873" w:rsidRPr="003F618D" w:rsidRDefault="003F618D" w:rsidP="00AB2265">
            <w:pPr>
              <w:pStyle w:val="TableText"/>
              <w:widowControl w:val="0"/>
              <w:spacing w:before="100" w:beforeAutospacing="1" w:after="100" w:afterAutospacing="1"/>
              <w:jc w:val="center"/>
              <w:rPr>
                <w:szCs w:val="20"/>
                <w:highlight w:val="black"/>
              </w:rPr>
            </w:pPr>
            <w:r>
              <w:rPr>
                <w:i/>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2873" w:rsidRPr="003F618D" w:rsidRDefault="003F618D" w:rsidP="00AB2265">
            <w:pPr>
              <w:pStyle w:val="TableText"/>
              <w:widowControl w:val="0"/>
              <w:spacing w:before="100" w:beforeAutospacing="1" w:after="100" w:afterAutospacing="1"/>
              <w:jc w:val="center"/>
              <w:rPr>
                <w:szCs w:val="20"/>
                <w:highlight w:val="black"/>
              </w:rPr>
            </w:pPr>
            <w:r>
              <w:rPr>
                <w:i/>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2873" w:rsidRPr="003F618D" w:rsidRDefault="003F618D" w:rsidP="00AB2265">
            <w:pPr>
              <w:pStyle w:val="TableText"/>
              <w:widowControl w:val="0"/>
              <w:spacing w:before="100" w:beforeAutospacing="1" w:after="100" w:afterAutospacing="1"/>
              <w:jc w:val="center"/>
              <w:rPr>
                <w:szCs w:val="20"/>
                <w:highlight w:val="black"/>
              </w:rPr>
            </w:pPr>
            <w:r>
              <w:rPr>
                <w:i/>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2873" w:rsidRPr="003F618D" w:rsidRDefault="003F618D" w:rsidP="00AB2265">
            <w:pPr>
              <w:pStyle w:val="TableText"/>
              <w:widowControl w:val="0"/>
              <w:spacing w:before="100" w:beforeAutospacing="1" w:after="100" w:afterAutospacing="1"/>
              <w:jc w:val="center"/>
              <w:rPr>
                <w:szCs w:val="20"/>
                <w:highlight w:val="black"/>
              </w:rPr>
            </w:pPr>
            <w:r>
              <w:rPr>
                <w:i/>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2873" w:rsidRPr="003F618D" w:rsidRDefault="003F618D" w:rsidP="00AB2265">
            <w:pPr>
              <w:pStyle w:val="TableText"/>
              <w:widowControl w:val="0"/>
              <w:spacing w:before="100" w:beforeAutospacing="1" w:after="100" w:afterAutospacing="1"/>
              <w:jc w:val="center"/>
              <w:rPr>
                <w:szCs w:val="20"/>
                <w:highlight w:val="black"/>
              </w:rPr>
            </w:pPr>
            <w:r>
              <w:rPr>
                <w:i/>
                <w:noProof/>
                <w:color w:val="000000"/>
                <w:szCs w:val="20"/>
                <w:highlight w:val="black"/>
              </w:rPr>
              <w:t>''''''</w:t>
            </w:r>
          </w:p>
        </w:tc>
      </w:tr>
      <w:tr w:rsidR="00D72873" w:rsidRPr="00AB2265" w:rsidTr="00AB2265">
        <w:trPr>
          <w:cantSplit/>
        </w:trPr>
        <w:tc>
          <w:tcPr>
            <w:tcW w:w="0" w:type="auto"/>
            <w:gridSpan w:val="7"/>
            <w:vAlign w:val="center"/>
          </w:tcPr>
          <w:p w:rsidR="00D72873" w:rsidRPr="00AB2265" w:rsidRDefault="00D72873" w:rsidP="00AB2265">
            <w:pPr>
              <w:pStyle w:val="TableText"/>
              <w:widowControl w:val="0"/>
              <w:spacing w:before="100" w:beforeAutospacing="1" w:after="100" w:afterAutospacing="1"/>
              <w:rPr>
                <w:b/>
                <w:i/>
                <w:szCs w:val="20"/>
              </w:rPr>
            </w:pPr>
            <w:r w:rsidRPr="00AB2265">
              <w:rPr>
                <w:b/>
                <w:szCs w:val="20"/>
              </w:rPr>
              <w:t xml:space="preserve">Script volumes </w:t>
            </w:r>
            <w:r w:rsidRPr="00AB2265">
              <w:rPr>
                <w:b/>
                <w:i/>
                <w:szCs w:val="20"/>
              </w:rPr>
              <w:t>(including relapsed)</w:t>
            </w:r>
          </w:p>
        </w:tc>
      </w:tr>
      <w:tr w:rsidR="00D72873" w:rsidRPr="00AB2265" w:rsidTr="00AB2265">
        <w:trPr>
          <w:cantSplit/>
        </w:trPr>
        <w:tc>
          <w:tcPr>
            <w:tcW w:w="0" w:type="auto"/>
            <w:shd w:val="clear" w:color="auto" w:fill="auto"/>
            <w:vAlign w:val="center"/>
          </w:tcPr>
          <w:p w:rsidR="00D72873" w:rsidRPr="00AB2265" w:rsidRDefault="00D72873" w:rsidP="00AB2265">
            <w:pPr>
              <w:pStyle w:val="TableText"/>
              <w:widowControl w:val="0"/>
              <w:spacing w:before="100" w:beforeAutospacing="1" w:after="100" w:afterAutospacing="1"/>
              <w:rPr>
                <w:i/>
                <w:szCs w:val="20"/>
                <w:vertAlign w:val="superscript"/>
              </w:rPr>
            </w:pPr>
            <w:r w:rsidRPr="00AB2265">
              <w:rPr>
                <w:szCs w:val="20"/>
              </w:rPr>
              <w:t xml:space="preserve">Caplacizumab Initial </w:t>
            </w:r>
          </w:p>
        </w:tc>
        <w:tc>
          <w:tcPr>
            <w:tcW w:w="0" w:type="auto"/>
            <w:shd w:val="clear" w:color="auto" w:fill="auto"/>
            <w:vAlign w:val="center"/>
          </w:tcPr>
          <w:p w:rsidR="00D72873" w:rsidRPr="003F618D" w:rsidRDefault="003F618D" w:rsidP="00AB2265">
            <w:pPr>
              <w:pStyle w:val="TableText"/>
              <w:widowControl w:val="0"/>
              <w:spacing w:before="100" w:beforeAutospacing="1" w:after="100" w:afterAutospacing="1"/>
              <w:jc w:val="center"/>
              <w:rPr>
                <w:szCs w:val="20"/>
                <w:highlight w:val="black"/>
              </w:rPr>
            </w:pPr>
            <w:r>
              <w:rPr>
                <w:i/>
                <w:noProof/>
                <w:color w:val="000000"/>
                <w:szCs w:val="20"/>
                <w:highlight w:val="black"/>
              </w:rPr>
              <w:t>''''''</w:t>
            </w:r>
          </w:p>
        </w:tc>
        <w:tc>
          <w:tcPr>
            <w:tcW w:w="0" w:type="auto"/>
            <w:shd w:val="clear" w:color="auto" w:fill="auto"/>
            <w:vAlign w:val="center"/>
          </w:tcPr>
          <w:p w:rsidR="00D72873" w:rsidRPr="003F618D" w:rsidRDefault="003F618D" w:rsidP="00AB2265">
            <w:pPr>
              <w:pStyle w:val="TableText"/>
              <w:widowControl w:val="0"/>
              <w:spacing w:before="100" w:beforeAutospacing="1" w:after="100" w:afterAutospacing="1"/>
              <w:jc w:val="center"/>
              <w:rPr>
                <w:szCs w:val="20"/>
                <w:highlight w:val="black"/>
              </w:rPr>
            </w:pPr>
            <w:r>
              <w:rPr>
                <w:i/>
                <w:noProof/>
                <w:color w:val="000000"/>
                <w:szCs w:val="20"/>
                <w:highlight w:val="black"/>
              </w:rPr>
              <w:t>'''''''</w:t>
            </w:r>
          </w:p>
        </w:tc>
        <w:tc>
          <w:tcPr>
            <w:tcW w:w="0" w:type="auto"/>
            <w:shd w:val="clear" w:color="auto" w:fill="auto"/>
            <w:vAlign w:val="center"/>
          </w:tcPr>
          <w:p w:rsidR="00D72873" w:rsidRPr="003F618D" w:rsidRDefault="003F618D" w:rsidP="00AB2265">
            <w:pPr>
              <w:pStyle w:val="TableText"/>
              <w:widowControl w:val="0"/>
              <w:spacing w:before="100" w:beforeAutospacing="1" w:after="100" w:afterAutospacing="1"/>
              <w:jc w:val="center"/>
              <w:rPr>
                <w:szCs w:val="20"/>
                <w:highlight w:val="black"/>
              </w:rPr>
            </w:pPr>
            <w:r>
              <w:rPr>
                <w:i/>
                <w:noProof/>
                <w:color w:val="000000"/>
                <w:szCs w:val="20"/>
                <w:highlight w:val="black"/>
              </w:rPr>
              <w:t>''''''</w:t>
            </w:r>
          </w:p>
        </w:tc>
        <w:tc>
          <w:tcPr>
            <w:tcW w:w="0" w:type="auto"/>
            <w:shd w:val="clear" w:color="auto" w:fill="auto"/>
            <w:vAlign w:val="center"/>
          </w:tcPr>
          <w:p w:rsidR="00D72873" w:rsidRPr="003F618D" w:rsidRDefault="003F618D" w:rsidP="00AB2265">
            <w:pPr>
              <w:pStyle w:val="TableText"/>
              <w:widowControl w:val="0"/>
              <w:spacing w:before="100" w:beforeAutospacing="1" w:after="100" w:afterAutospacing="1"/>
              <w:jc w:val="center"/>
              <w:rPr>
                <w:szCs w:val="20"/>
                <w:highlight w:val="black"/>
              </w:rPr>
            </w:pPr>
            <w:r>
              <w:rPr>
                <w:i/>
                <w:noProof/>
                <w:color w:val="000000"/>
                <w:szCs w:val="20"/>
                <w:highlight w:val="black"/>
              </w:rPr>
              <w:t>'''''''</w:t>
            </w:r>
          </w:p>
        </w:tc>
        <w:tc>
          <w:tcPr>
            <w:tcW w:w="0" w:type="auto"/>
            <w:shd w:val="clear" w:color="auto" w:fill="auto"/>
            <w:vAlign w:val="center"/>
          </w:tcPr>
          <w:p w:rsidR="00D72873" w:rsidRPr="003F618D" w:rsidRDefault="003F618D" w:rsidP="00AB2265">
            <w:pPr>
              <w:pStyle w:val="TableText"/>
              <w:widowControl w:val="0"/>
              <w:spacing w:before="100" w:beforeAutospacing="1" w:after="100" w:afterAutospacing="1"/>
              <w:jc w:val="center"/>
              <w:rPr>
                <w:szCs w:val="20"/>
                <w:highlight w:val="black"/>
              </w:rPr>
            </w:pPr>
            <w:r>
              <w:rPr>
                <w:i/>
                <w:noProof/>
                <w:color w:val="000000"/>
                <w:szCs w:val="20"/>
                <w:highlight w:val="black"/>
              </w:rPr>
              <w:t>''''''</w:t>
            </w:r>
          </w:p>
        </w:tc>
        <w:tc>
          <w:tcPr>
            <w:tcW w:w="0" w:type="auto"/>
            <w:shd w:val="clear" w:color="auto" w:fill="auto"/>
            <w:vAlign w:val="center"/>
          </w:tcPr>
          <w:p w:rsidR="00D72873" w:rsidRPr="003F618D" w:rsidRDefault="003F618D" w:rsidP="00AB2265">
            <w:pPr>
              <w:pStyle w:val="TableText"/>
              <w:widowControl w:val="0"/>
              <w:spacing w:before="100" w:beforeAutospacing="1" w:after="100" w:afterAutospacing="1"/>
              <w:jc w:val="center"/>
              <w:rPr>
                <w:szCs w:val="20"/>
                <w:highlight w:val="black"/>
              </w:rPr>
            </w:pPr>
            <w:r>
              <w:rPr>
                <w:i/>
                <w:noProof/>
                <w:color w:val="000000"/>
                <w:szCs w:val="20"/>
                <w:highlight w:val="black"/>
              </w:rPr>
              <w:t>'''''''</w:t>
            </w:r>
          </w:p>
        </w:tc>
      </w:tr>
      <w:tr w:rsidR="00D72873" w:rsidRPr="00AB2265" w:rsidTr="00AB2265">
        <w:trPr>
          <w:cantSplit/>
        </w:trPr>
        <w:tc>
          <w:tcPr>
            <w:tcW w:w="0" w:type="auto"/>
            <w:shd w:val="clear" w:color="auto" w:fill="auto"/>
            <w:vAlign w:val="center"/>
          </w:tcPr>
          <w:p w:rsidR="00D72873" w:rsidRPr="00AB2265" w:rsidRDefault="00D72873" w:rsidP="00AB2265">
            <w:pPr>
              <w:pStyle w:val="TableText"/>
              <w:widowControl w:val="0"/>
              <w:spacing w:before="100" w:beforeAutospacing="1" w:after="100" w:afterAutospacing="1"/>
              <w:rPr>
                <w:szCs w:val="20"/>
              </w:rPr>
            </w:pPr>
            <w:r w:rsidRPr="00AB2265">
              <w:rPr>
                <w:szCs w:val="20"/>
              </w:rPr>
              <w:t xml:space="preserve">Caplacizumab Extended initial treatment </w:t>
            </w:r>
          </w:p>
        </w:tc>
        <w:tc>
          <w:tcPr>
            <w:tcW w:w="0" w:type="auto"/>
            <w:shd w:val="clear" w:color="auto" w:fill="auto"/>
            <w:vAlign w:val="center"/>
          </w:tcPr>
          <w:p w:rsidR="00D72873" w:rsidRPr="003F618D" w:rsidRDefault="003F618D" w:rsidP="00AB2265">
            <w:pPr>
              <w:pStyle w:val="TableText"/>
              <w:widowControl w:val="0"/>
              <w:spacing w:before="100" w:beforeAutospacing="1" w:after="100" w:afterAutospacing="1"/>
              <w:jc w:val="center"/>
              <w:rPr>
                <w:szCs w:val="20"/>
                <w:highlight w:val="black"/>
              </w:rPr>
            </w:pPr>
            <w:r>
              <w:rPr>
                <w:i/>
                <w:noProof/>
                <w:color w:val="000000"/>
                <w:szCs w:val="20"/>
                <w:highlight w:val="black"/>
              </w:rPr>
              <w:t>''''''</w:t>
            </w:r>
          </w:p>
        </w:tc>
        <w:tc>
          <w:tcPr>
            <w:tcW w:w="0" w:type="auto"/>
            <w:shd w:val="clear" w:color="auto" w:fill="auto"/>
            <w:vAlign w:val="center"/>
          </w:tcPr>
          <w:p w:rsidR="00D72873" w:rsidRPr="003F618D" w:rsidRDefault="003F618D" w:rsidP="00AB2265">
            <w:pPr>
              <w:pStyle w:val="TableText"/>
              <w:widowControl w:val="0"/>
              <w:spacing w:before="100" w:beforeAutospacing="1" w:after="100" w:afterAutospacing="1"/>
              <w:jc w:val="center"/>
              <w:rPr>
                <w:szCs w:val="20"/>
                <w:highlight w:val="black"/>
              </w:rPr>
            </w:pPr>
            <w:r>
              <w:rPr>
                <w:i/>
                <w:noProof/>
                <w:color w:val="000000"/>
                <w:szCs w:val="20"/>
                <w:highlight w:val="black"/>
              </w:rPr>
              <w:t>''''''</w:t>
            </w:r>
          </w:p>
        </w:tc>
        <w:tc>
          <w:tcPr>
            <w:tcW w:w="0" w:type="auto"/>
            <w:shd w:val="clear" w:color="auto" w:fill="auto"/>
            <w:vAlign w:val="center"/>
          </w:tcPr>
          <w:p w:rsidR="00D72873" w:rsidRPr="003F618D" w:rsidRDefault="003F618D" w:rsidP="00AB2265">
            <w:pPr>
              <w:pStyle w:val="TableText"/>
              <w:widowControl w:val="0"/>
              <w:spacing w:before="100" w:beforeAutospacing="1" w:after="100" w:afterAutospacing="1"/>
              <w:jc w:val="center"/>
              <w:rPr>
                <w:szCs w:val="20"/>
                <w:highlight w:val="black"/>
              </w:rPr>
            </w:pPr>
            <w:r>
              <w:rPr>
                <w:i/>
                <w:noProof/>
                <w:color w:val="000000"/>
                <w:szCs w:val="20"/>
                <w:highlight w:val="black"/>
              </w:rPr>
              <w:t>''''''</w:t>
            </w:r>
          </w:p>
        </w:tc>
        <w:tc>
          <w:tcPr>
            <w:tcW w:w="0" w:type="auto"/>
            <w:shd w:val="clear" w:color="auto" w:fill="auto"/>
            <w:vAlign w:val="center"/>
          </w:tcPr>
          <w:p w:rsidR="00D72873" w:rsidRPr="003F618D" w:rsidRDefault="003F618D" w:rsidP="00AB2265">
            <w:pPr>
              <w:pStyle w:val="TableText"/>
              <w:widowControl w:val="0"/>
              <w:spacing w:before="100" w:beforeAutospacing="1" w:after="100" w:afterAutospacing="1"/>
              <w:jc w:val="center"/>
              <w:rPr>
                <w:szCs w:val="20"/>
                <w:highlight w:val="black"/>
              </w:rPr>
            </w:pPr>
            <w:r>
              <w:rPr>
                <w:i/>
                <w:noProof/>
                <w:color w:val="000000"/>
                <w:szCs w:val="20"/>
                <w:highlight w:val="black"/>
              </w:rPr>
              <w:t>'''''''</w:t>
            </w:r>
          </w:p>
        </w:tc>
        <w:tc>
          <w:tcPr>
            <w:tcW w:w="0" w:type="auto"/>
            <w:shd w:val="clear" w:color="auto" w:fill="auto"/>
            <w:vAlign w:val="center"/>
          </w:tcPr>
          <w:p w:rsidR="00D72873" w:rsidRPr="003F618D" w:rsidRDefault="003F618D" w:rsidP="00AB2265">
            <w:pPr>
              <w:pStyle w:val="TableText"/>
              <w:widowControl w:val="0"/>
              <w:spacing w:before="100" w:beforeAutospacing="1" w:after="100" w:afterAutospacing="1"/>
              <w:jc w:val="center"/>
              <w:rPr>
                <w:szCs w:val="20"/>
                <w:highlight w:val="black"/>
              </w:rPr>
            </w:pPr>
            <w:r>
              <w:rPr>
                <w:i/>
                <w:noProof/>
                <w:color w:val="000000"/>
                <w:szCs w:val="20"/>
                <w:highlight w:val="black"/>
              </w:rPr>
              <w:t>''''''</w:t>
            </w:r>
          </w:p>
        </w:tc>
        <w:tc>
          <w:tcPr>
            <w:tcW w:w="0" w:type="auto"/>
            <w:shd w:val="clear" w:color="auto" w:fill="auto"/>
            <w:vAlign w:val="center"/>
          </w:tcPr>
          <w:p w:rsidR="00D72873" w:rsidRPr="003F618D" w:rsidRDefault="003F618D" w:rsidP="00AB2265">
            <w:pPr>
              <w:pStyle w:val="TableText"/>
              <w:widowControl w:val="0"/>
              <w:spacing w:before="100" w:beforeAutospacing="1" w:after="100" w:afterAutospacing="1"/>
              <w:jc w:val="center"/>
              <w:rPr>
                <w:szCs w:val="20"/>
                <w:highlight w:val="black"/>
              </w:rPr>
            </w:pPr>
            <w:r>
              <w:rPr>
                <w:i/>
                <w:noProof/>
                <w:color w:val="000000"/>
                <w:szCs w:val="20"/>
                <w:highlight w:val="black"/>
              </w:rPr>
              <w:t>''''''</w:t>
            </w:r>
          </w:p>
        </w:tc>
      </w:tr>
      <w:tr w:rsidR="00D72873" w:rsidRPr="00AB2265" w:rsidTr="00AB2265">
        <w:trPr>
          <w:cantSplit/>
        </w:trPr>
        <w:tc>
          <w:tcPr>
            <w:tcW w:w="0" w:type="auto"/>
            <w:shd w:val="clear" w:color="auto" w:fill="auto"/>
            <w:vAlign w:val="center"/>
          </w:tcPr>
          <w:p w:rsidR="00D72873" w:rsidRPr="00AB2265" w:rsidRDefault="00D72873" w:rsidP="00AB2265">
            <w:pPr>
              <w:pStyle w:val="TableText"/>
              <w:widowControl w:val="0"/>
              <w:spacing w:before="100" w:beforeAutospacing="1" w:after="100" w:afterAutospacing="1"/>
              <w:rPr>
                <w:szCs w:val="20"/>
              </w:rPr>
            </w:pPr>
            <w:r w:rsidRPr="00AB2265">
              <w:rPr>
                <w:szCs w:val="20"/>
              </w:rPr>
              <w:t xml:space="preserve">Caplacizumab Post-plasma exchange continuing </w:t>
            </w:r>
          </w:p>
        </w:tc>
        <w:tc>
          <w:tcPr>
            <w:tcW w:w="0" w:type="auto"/>
            <w:shd w:val="clear" w:color="auto" w:fill="auto"/>
            <w:vAlign w:val="center"/>
          </w:tcPr>
          <w:p w:rsidR="00D72873" w:rsidRPr="003F618D" w:rsidRDefault="003F618D" w:rsidP="00AB2265">
            <w:pPr>
              <w:pStyle w:val="TableText"/>
              <w:widowControl w:val="0"/>
              <w:spacing w:before="100" w:beforeAutospacing="1" w:after="100" w:afterAutospacing="1"/>
              <w:jc w:val="center"/>
              <w:rPr>
                <w:szCs w:val="20"/>
                <w:highlight w:val="black"/>
              </w:rPr>
            </w:pPr>
            <w:r>
              <w:rPr>
                <w:i/>
                <w:noProof/>
                <w:color w:val="000000"/>
                <w:szCs w:val="20"/>
                <w:highlight w:val="black"/>
              </w:rPr>
              <w:t>'''''''</w:t>
            </w:r>
          </w:p>
        </w:tc>
        <w:tc>
          <w:tcPr>
            <w:tcW w:w="0" w:type="auto"/>
            <w:shd w:val="clear" w:color="auto" w:fill="auto"/>
            <w:vAlign w:val="center"/>
          </w:tcPr>
          <w:p w:rsidR="00D72873" w:rsidRPr="003F618D" w:rsidRDefault="003F618D" w:rsidP="00AB2265">
            <w:pPr>
              <w:pStyle w:val="TableText"/>
              <w:widowControl w:val="0"/>
              <w:spacing w:before="100" w:beforeAutospacing="1" w:after="100" w:afterAutospacing="1"/>
              <w:jc w:val="center"/>
              <w:rPr>
                <w:szCs w:val="20"/>
                <w:highlight w:val="black"/>
              </w:rPr>
            </w:pPr>
            <w:r>
              <w:rPr>
                <w:i/>
                <w:noProof/>
                <w:color w:val="000000"/>
                <w:szCs w:val="20"/>
                <w:highlight w:val="black"/>
              </w:rPr>
              <w:t>''''''</w:t>
            </w:r>
          </w:p>
        </w:tc>
        <w:tc>
          <w:tcPr>
            <w:tcW w:w="0" w:type="auto"/>
            <w:shd w:val="clear" w:color="auto" w:fill="auto"/>
            <w:vAlign w:val="center"/>
          </w:tcPr>
          <w:p w:rsidR="00D72873" w:rsidRPr="003F618D" w:rsidRDefault="003F618D" w:rsidP="00AB2265">
            <w:pPr>
              <w:pStyle w:val="TableText"/>
              <w:widowControl w:val="0"/>
              <w:spacing w:before="100" w:beforeAutospacing="1" w:after="100" w:afterAutospacing="1"/>
              <w:jc w:val="center"/>
              <w:rPr>
                <w:szCs w:val="20"/>
                <w:highlight w:val="black"/>
              </w:rPr>
            </w:pPr>
            <w:r>
              <w:rPr>
                <w:i/>
                <w:noProof/>
                <w:color w:val="000000"/>
                <w:szCs w:val="20"/>
                <w:highlight w:val="black"/>
              </w:rPr>
              <w:t>'''''''</w:t>
            </w:r>
          </w:p>
        </w:tc>
        <w:tc>
          <w:tcPr>
            <w:tcW w:w="0" w:type="auto"/>
            <w:shd w:val="clear" w:color="auto" w:fill="auto"/>
            <w:vAlign w:val="center"/>
          </w:tcPr>
          <w:p w:rsidR="00D72873" w:rsidRPr="003F618D" w:rsidRDefault="003F618D" w:rsidP="00AB2265">
            <w:pPr>
              <w:pStyle w:val="TableText"/>
              <w:widowControl w:val="0"/>
              <w:spacing w:before="100" w:beforeAutospacing="1" w:after="100" w:afterAutospacing="1"/>
              <w:jc w:val="center"/>
              <w:rPr>
                <w:szCs w:val="20"/>
                <w:highlight w:val="black"/>
              </w:rPr>
            </w:pPr>
            <w:r>
              <w:rPr>
                <w:i/>
                <w:noProof/>
                <w:color w:val="000000"/>
                <w:szCs w:val="20"/>
                <w:highlight w:val="black"/>
              </w:rPr>
              <w:t>''''''</w:t>
            </w:r>
          </w:p>
        </w:tc>
        <w:tc>
          <w:tcPr>
            <w:tcW w:w="0" w:type="auto"/>
            <w:shd w:val="clear" w:color="auto" w:fill="auto"/>
            <w:vAlign w:val="center"/>
          </w:tcPr>
          <w:p w:rsidR="00D72873" w:rsidRPr="003F618D" w:rsidRDefault="003F618D" w:rsidP="00AB2265">
            <w:pPr>
              <w:pStyle w:val="TableText"/>
              <w:widowControl w:val="0"/>
              <w:spacing w:before="100" w:beforeAutospacing="1" w:after="100" w:afterAutospacing="1"/>
              <w:jc w:val="center"/>
              <w:rPr>
                <w:szCs w:val="20"/>
                <w:highlight w:val="black"/>
              </w:rPr>
            </w:pPr>
            <w:r>
              <w:rPr>
                <w:i/>
                <w:noProof/>
                <w:color w:val="000000"/>
                <w:szCs w:val="20"/>
                <w:highlight w:val="black"/>
              </w:rPr>
              <w:t>''''''</w:t>
            </w:r>
          </w:p>
        </w:tc>
        <w:tc>
          <w:tcPr>
            <w:tcW w:w="0" w:type="auto"/>
            <w:shd w:val="clear" w:color="auto" w:fill="auto"/>
            <w:vAlign w:val="center"/>
          </w:tcPr>
          <w:p w:rsidR="00D72873" w:rsidRPr="003F618D" w:rsidRDefault="003F618D" w:rsidP="00AB2265">
            <w:pPr>
              <w:pStyle w:val="TableText"/>
              <w:widowControl w:val="0"/>
              <w:spacing w:before="100" w:beforeAutospacing="1" w:after="100" w:afterAutospacing="1"/>
              <w:jc w:val="center"/>
              <w:rPr>
                <w:szCs w:val="20"/>
                <w:highlight w:val="black"/>
              </w:rPr>
            </w:pPr>
            <w:r>
              <w:rPr>
                <w:i/>
                <w:noProof/>
                <w:color w:val="000000"/>
                <w:szCs w:val="20"/>
                <w:highlight w:val="black"/>
              </w:rPr>
              <w:t>''''''</w:t>
            </w:r>
          </w:p>
        </w:tc>
      </w:tr>
      <w:tr w:rsidR="00D72873" w:rsidRPr="00AB2265" w:rsidTr="00AB2265">
        <w:trPr>
          <w:cantSplit/>
        </w:trPr>
        <w:tc>
          <w:tcPr>
            <w:tcW w:w="0" w:type="auto"/>
            <w:shd w:val="clear" w:color="auto" w:fill="auto"/>
            <w:vAlign w:val="center"/>
          </w:tcPr>
          <w:p w:rsidR="00D72873" w:rsidRPr="00AB2265" w:rsidRDefault="00D72873" w:rsidP="00AB2265">
            <w:pPr>
              <w:pStyle w:val="TableText"/>
              <w:widowControl w:val="0"/>
              <w:spacing w:before="100" w:beforeAutospacing="1" w:after="100" w:afterAutospacing="1"/>
              <w:rPr>
                <w:szCs w:val="20"/>
              </w:rPr>
            </w:pPr>
            <w:r w:rsidRPr="00AB2265">
              <w:rPr>
                <w:szCs w:val="20"/>
              </w:rPr>
              <w:t xml:space="preserve">Caplacizumab Extended continuing </w:t>
            </w:r>
          </w:p>
        </w:tc>
        <w:tc>
          <w:tcPr>
            <w:tcW w:w="0" w:type="auto"/>
            <w:shd w:val="clear" w:color="auto" w:fill="auto"/>
            <w:vAlign w:val="center"/>
          </w:tcPr>
          <w:p w:rsidR="00D72873" w:rsidRPr="003F618D" w:rsidRDefault="003F618D" w:rsidP="00AB2265">
            <w:pPr>
              <w:pStyle w:val="TableText"/>
              <w:widowControl w:val="0"/>
              <w:spacing w:before="100" w:beforeAutospacing="1" w:after="100" w:afterAutospacing="1"/>
              <w:jc w:val="center"/>
              <w:rPr>
                <w:szCs w:val="20"/>
                <w:highlight w:val="black"/>
              </w:rPr>
            </w:pPr>
            <w:r>
              <w:rPr>
                <w:i/>
                <w:noProof/>
                <w:color w:val="000000"/>
                <w:szCs w:val="20"/>
                <w:highlight w:val="black"/>
              </w:rPr>
              <w:t>'''''''</w:t>
            </w:r>
          </w:p>
        </w:tc>
        <w:tc>
          <w:tcPr>
            <w:tcW w:w="0" w:type="auto"/>
            <w:shd w:val="clear" w:color="auto" w:fill="auto"/>
            <w:vAlign w:val="center"/>
          </w:tcPr>
          <w:p w:rsidR="00D72873" w:rsidRPr="003F618D" w:rsidRDefault="003F618D" w:rsidP="00AB2265">
            <w:pPr>
              <w:pStyle w:val="TableText"/>
              <w:widowControl w:val="0"/>
              <w:spacing w:before="100" w:beforeAutospacing="1" w:after="100" w:afterAutospacing="1"/>
              <w:jc w:val="center"/>
              <w:rPr>
                <w:szCs w:val="20"/>
                <w:highlight w:val="black"/>
              </w:rPr>
            </w:pPr>
            <w:r>
              <w:rPr>
                <w:i/>
                <w:noProof/>
                <w:color w:val="000000"/>
                <w:szCs w:val="20"/>
                <w:highlight w:val="black"/>
              </w:rPr>
              <w:t>''''''</w:t>
            </w:r>
          </w:p>
        </w:tc>
        <w:tc>
          <w:tcPr>
            <w:tcW w:w="0" w:type="auto"/>
            <w:shd w:val="clear" w:color="auto" w:fill="auto"/>
            <w:vAlign w:val="center"/>
          </w:tcPr>
          <w:p w:rsidR="00D72873" w:rsidRPr="003F618D" w:rsidRDefault="003F618D" w:rsidP="00AB2265">
            <w:pPr>
              <w:pStyle w:val="TableText"/>
              <w:widowControl w:val="0"/>
              <w:spacing w:before="100" w:beforeAutospacing="1" w:after="100" w:afterAutospacing="1"/>
              <w:jc w:val="center"/>
              <w:rPr>
                <w:szCs w:val="20"/>
                <w:highlight w:val="black"/>
              </w:rPr>
            </w:pPr>
            <w:r>
              <w:rPr>
                <w:i/>
                <w:noProof/>
                <w:color w:val="000000"/>
                <w:szCs w:val="20"/>
                <w:highlight w:val="black"/>
              </w:rPr>
              <w:t>'''''''</w:t>
            </w:r>
          </w:p>
        </w:tc>
        <w:tc>
          <w:tcPr>
            <w:tcW w:w="0" w:type="auto"/>
            <w:shd w:val="clear" w:color="auto" w:fill="auto"/>
            <w:vAlign w:val="center"/>
          </w:tcPr>
          <w:p w:rsidR="00D72873" w:rsidRPr="003F618D" w:rsidRDefault="003F618D" w:rsidP="00AB2265">
            <w:pPr>
              <w:pStyle w:val="TableText"/>
              <w:widowControl w:val="0"/>
              <w:spacing w:before="100" w:beforeAutospacing="1" w:after="100" w:afterAutospacing="1"/>
              <w:jc w:val="center"/>
              <w:rPr>
                <w:szCs w:val="20"/>
                <w:highlight w:val="black"/>
              </w:rPr>
            </w:pPr>
            <w:r>
              <w:rPr>
                <w:i/>
                <w:noProof/>
                <w:color w:val="000000"/>
                <w:szCs w:val="20"/>
                <w:highlight w:val="black"/>
              </w:rPr>
              <w:t>''''''</w:t>
            </w:r>
          </w:p>
        </w:tc>
        <w:tc>
          <w:tcPr>
            <w:tcW w:w="0" w:type="auto"/>
            <w:shd w:val="clear" w:color="auto" w:fill="auto"/>
            <w:vAlign w:val="center"/>
          </w:tcPr>
          <w:p w:rsidR="00D72873" w:rsidRPr="003F618D" w:rsidRDefault="003F618D" w:rsidP="00AB2265">
            <w:pPr>
              <w:pStyle w:val="TableText"/>
              <w:widowControl w:val="0"/>
              <w:spacing w:before="100" w:beforeAutospacing="1" w:after="100" w:afterAutospacing="1"/>
              <w:jc w:val="center"/>
              <w:rPr>
                <w:szCs w:val="20"/>
                <w:highlight w:val="black"/>
              </w:rPr>
            </w:pPr>
            <w:r>
              <w:rPr>
                <w:i/>
                <w:noProof/>
                <w:color w:val="000000"/>
                <w:szCs w:val="20"/>
                <w:highlight w:val="black"/>
              </w:rPr>
              <w:t>'''''''</w:t>
            </w:r>
          </w:p>
        </w:tc>
        <w:tc>
          <w:tcPr>
            <w:tcW w:w="0" w:type="auto"/>
            <w:shd w:val="clear" w:color="auto" w:fill="auto"/>
            <w:vAlign w:val="center"/>
          </w:tcPr>
          <w:p w:rsidR="00D72873" w:rsidRPr="003F618D" w:rsidRDefault="003F618D" w:rsidP="00AB2265">
            <w:pPr>
              <w:pStyle w:val="TableText"/>
              <w:widowControl w:val="0"/>
              <w:spacing w:before="100" w:beforeAutospacing="1" w:after="100" w:afterAutospacing="1"/>
              <w:jc w:val="center"/>
              <w:rPr>
                <w:szCs w:val="20"/>
                <w:highlight w:val="black"/>
              </w:rPr>
            </w:pPr>
            <w:r>
              <w:rPr>
                <w:i/>
                <w:noProof/>
                <w:color w:val="000000"/>
                <w:szCs w:val="20"/>
                <w:highlight w:val="black"/>
              </w:rPr>
              <w:t>''''''</w:t>
            </w:r>
          </w:p>
        </w:tc>
      </w:tr>
      <w:tr w:rsidR="00D72873" w:rsidRPr="00AB2265" w:rsidTr="00AB2265">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2873" w:rsidRPr="00AB2265" w:rsidRDefault="00D72873" w:rsidP="00AB2265">
            <w:pPr>
              <w:pStyle w:val="TableText"/>
              <w:widowControl w:val="0"/>
              <w:spacing w:before="100" w:beforeAutospacing="1" w:after="100" w:afterAutospacing="1"/>
              <w:rPr>
                <w:b/>
                <w:szCs w:val="20"/>
              </w:rPr>
            </w:pPr>
            <w:r w:rsidRPr="00AB2265">
              <w:rPr>
                <w:b/>
                <w:szCs w:val="20"/>
              </w:rPr>
              <w:t xml:space="preserve">Total scripts </w:t>
            </w:r>
          </w:p>
        </w:tc>
        <w:tc>
          <w:tcPr>
            <w:tcW w:w="0" w:type="auto"/>
            <w:shd w:val="clear" w:color="auto" w:fill="auto"/>
            <w:vAlign w:val="center"/>
          </w:tcPr>
          <w:p w:rsidR="00D72873" w:rsidRPr="003F618D" w:rsidRDefault="003F618D" w:rsidP="00AB2265">
            <w:pPr>
              <w:pStyle w:val="TableText"/>
              <w:widowControl w:val="0"/>
              <w:spacing w:before="100" w:beforeAutospacing="1" w:after="100" w:afterAutospacing="1"/>
              <w:jc w:val="center"/>
              <w:rPr>
                <w:szCs w:val="20"/>
                <w:highlight w:val="black"/>
              </w:rPr>
            </w:pPr>
            <w:r>
              <w:rPr>
                <w:b/>
                <w:i/>
                <w:noProof/>
                <w:color w:val="000000"/>
                <w:szCs w:val="20"/>
                <w:highlight w:val="black"/>
              </w:rPr>
              <w:t>'''''''</w:t>
            </w:r>
          </w:p>
        </w:tc>
        <w:tc>
          <w:tcPr>
            <w:tcW w:w="0" w:type="auto"/>
            <w:shd w:val="clear" w:color="auto" w:fill="auto"/>
            <w:vAlign w:val="center"/>
          </w:tcPr>
          <w:p w:rsidR="00D72873" w:rsidRPr="003F618D" w:rsidRDefault="003F618D" w:rsidP="00AB2265">
            <w:pPr>
              <w:pStyle w:val="TableText"/>
              <w:widowControl w:val="0"/>
              <w:spacing w:before="100" w:beforeAutospacing="1" w:after="100" w:afterAutospacing="1"/>
              <w:jc w:val="center"/>
              <w:rPr>
                <w:szCs w:val="20"/>
                <w:highlight w:val="black"/>
              </w:rPr>
            </w:pPr>
            <w:r>
              <w:rPr>
                <w:b/>
                <w:i/>
                <w:noProof/>
                <w:color w:val="000000"/>
                <w:szCs w:val="20"/>
                <w:highlight w:val="black"/>
              </w:rPr>
              <w:t>'''''''</w:t>
            </w:r>
          </w:p>
        </w:tc>
        <w:tc>
          <w:tcPr>
            <w:tcW w:w="0" w:type="auto"/>
            <w:shd w:val="clear" w:color="auto" w:fill="auto"/>
            <w:vAlign w:val="center"/>
          </w:tcPr>
          <w:p w:rsidR="00D72873" w:rsidRPr="003F618D" w:rsidRDefault="003F618D" w:rsidP="00AB2265">
            <w:pPr>
              <w:pStyle w:val="TableText"/>
              <w:widowControl w:val="0"/>
              <w:spacing w:before="100" w:beforeAutospacing="1" w:after="100" w:afterAutospacing="1"/>
              <w:jc w:val="center"/>
              <w:rPr>
                <w:szCs w:val="20"/>
                <w:highlight w:val="black"/>
              </w:rPr>
            </w:pPr>
            <w:r>
              <w:rPr>
                <w:b/>
                <w:i/>
                <w:noProof/>
                <w:color w:val="000000"/>
                <w:szCs w:val="20"/>
                <w:highlight w:val="black"/>
              </w:rPr>
              <w:t>''''''''</w:t>
            </w:r>
          </w:p>
        </w:tc>
        <w:tc>
          <w:tcPr>
            <w:tcW w:w="0" w:type="auto"/>
            <w:shd w:val="clear" w:color="auto" w:fill="auto"/>
            <w:vAlign w:val="center"/>
          </w:tcPr>
          <w:p w:rsidR="00D72873" w:rsidRPr="003F618D" w:rsidRDefault="003F618D" w:rsidP="00AB2265">
            <w:pPr>
              <w:pStyle w:val="TableText"/>
              <w:widowControl w:val="0"/>
              <w:spacing w:before="100" w:beforeAutospacing="1" w:after="100" w:afterAutospacing="1"/>
              <w:jc w:val="center"/>
              <w:rPr>
                <w:szCs w:val="20"/>
                <w:highlight w:val="black"/>
              </w:rPr>
            </w:pPr>
            <w:r>
              <w:rPr>
                <w:b/>
                <w:i/>
                <w:noProof/>
                <w:color w:val="000000"/>
                <w:szCs w:val="20"/>
                <w:highlight w:val="black"/>
              </w:rPr>
              <w:t>'''''''</w:t>
            </w:r>
          </w:p>
        </w:tc>
        <w:tc>
          <w:tcPr>
            <w:tcW w:w="0" w:type="auto"/>
            <w:shd w:val="clear" w:color="auto" w:fill="auto"/>
            <w:vAlign w:val="center"/>
          </w:tcPr>
          <w:p w:rsidR="00D72873" w:rsidRPr="003F618D" w:rsidRDefault="003F618D" w:rsidP="00AB2265">
            <w:pPr>
              <w:pStyle w:val="TableText"/>
              <w:widowControl w:val="0"/>
              <w:spacing w:before="100" w:beforeAutospacing="1" w:after="100" w:afterAutospacing="1"/>
              <w:jc w:val="center"/>
              <w:rPr>
                <w:szCs w:val="20"/>
                <w:highlight w:val="black"/>
              </w:rPr>
            </w:pPr>
            <w:r>
              <w:rPr>
                <w:b/>
                <w:i/>
                <w:noProof/>
                <w:color w:val="000000"/>
                <w:szCs w:val="20"/>
                <w:highlight w:val="black"/>
              </w:rPr>
              <w:t>'''''''</w:t>
            </w:r>
          </w:p>
        </w:tc>
        <w:tc>
          <w:tcPr>
            <w:tcW w:w="0" w:type="auto"/>
            <w:shd w:val="clear" w:color="auto" w:fill="auto"/>
            <w:vAlign w:val="center"/>
          </w:tcPr>
          <w:p w:rsidR="00D72873" w:rsidRPr="003F618D" w:rsidRDefault="003F618D" w:rsidP="00AB2265">
            <w:pPr>
              <w:pStyle w:val="TableText"/>
              <w:widowControl w:val="0"/>
              <w:spacing w:before="100" w:beforeAutospacing="1" w:after="100" w:afterAutospacing="1"/>
              <w:jc w:val="center"/>
              <w:rPr>
                <w:szCs w:val="20"/>
                <w:highlight w:val="black"/>
              </w:rPr>
            </w:pPr>
            <w:r>
              <w:rPr>
                <w:b/>
                <w:i/>
                <w:noProof/>
                <w:color w:val="000000"/>
                <w:szCs w:val="20"/>
                <w:highlight w:val="black"/>
              </w:rPr>
              <w:t>'''''''</w:t>
            </w:r>
          </w:p>
        </w:tc>
      </w:tr>
      <w:tr w:rsidR="00D72873" w:rsidRPr="00AB2265" w:rsidTr="00AB2265">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2873" w:rsidRPr="00AB2265" w:rsidRDefault="00D72873" w:rsidP="00AB2265">
            <w:pPr>
              <w:pStyle w:val="TableText"/>
              <w:widowControl w:val="0"/>
              <w:spacing w:before="100" w:beforeAutospacing="1" w:after="100" w:afterAutospacing="1"/>
              <w:rPr>
                <w:b/>
                <w:szCs w:val="20"/>
              </w:rPr>
            </w:pPr>
            <w:r w:rsidRPr="00AB2265">
              <w:rPr>
                <w:rFonts w:cstheme="minorHAnsi"/>
                <w:b/>
                <w:i/>
                <w:color w:val="000000"/>
                <w:szCs w:val="20"/>
              </w:rPr>
              <w:t>Net cost to PBS (effective) including relapsed patients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2873" w:rsidRPr="00AB2265" w:rsidRDefault="00D72873" w:rsidP="00AB2265">
            <w:pPr>
              <w:pStyle w:val="TableText"/>
              <w:widowControl w:val="0"/>
              <w:spacing w:before="100" w:beforeAutospacing="1" w:after="100" w:afterAutospacing="1"/>
              <w:jc w:val="center"/>
              <w:rPr>
                <w:szCs w:val="20"/>
              </w:rPr>
            </w:pPr>
            <w:r w:rsidRPr="00AB2265">
              <w:rPr>
                <w:rFonts w:cstheme="minorHAnsi"/>
                <w:b/>
                <w:i/>
                <w:color w:val="000000"/>
                <w:szCs w:val="20"/>
              </w:rPr>
              <w:t>$</w:t>
            </w:r>
            <w:r w:rsidR="003F618D">
              <w:rPr>
                <w:rFonts w:cstheme="minorHAnsi"/>
                <w:b/>
                <w:i/>
                <w:noProof/>
                <w:color w:val="000000"/>
                <w:szCs w:val="20"/>
                <w:highlight w:val="black"/>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D72873" w:rsidRPr="00AB2265" w:rsidRDefault="00D72873" w:rsidP="00AB2265">
            <w:pPr>
              <w:pStyle w:val="TableText"/>
              <w:widowControl w:val="0"/>
              <w:spacing w:before="100" w:beforeAutospacing="1" w:after="100" w:afterAutospacing="1"/>
              <w:jc w:val="center"/>
              <w:rPr>
                <w:szCs w:val="20"/>
              </w:rPr>
            </w:pPr>
            <w:r w:rsidRPr="00AB2265">
              <w:rPr>
                <w:rFonts w:cstheme="minorHAnsi"/>
                <w:b/>
                <w:i/>
                <w:color w:val="000000"/>
                <w:szCs w:val="20"/>
              </w:rPr>
              <w:t>$</w:t>
            </w:r>
            <w:r w:rsidR="003F618D">
              <w:rPr>
                <w:rFonts w:cstheme="minorHAnsi"/>
                <w:b/>
                <w:i/>
                <w:noProof/>
                <w:color w:val="000000"/>
                <w:szCs w:val="20"/>
                <w:highlight w:val="black"/>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D72873" w:rsidRPr="00AB2265" w:rsidRDefault="00D72873" w:rsidP="00AB2265">
            <w:pPr>
              <w:pStyle w:val="TableText"/>
              <w:widowControl w:val="0"/>
              <w:spacing w:before="100" w:beforeAutospacing="1" w:after="100" w:afterAutospacing="1"/>
              <w:jc w:val="center"/>
              <w:rPr>
                <w:szCs w:val="20"/>
              </w:rPr>
            </w:pPr>
            <w:r w:rsidRPr="00AB2265">
              <w:rPr>
                <w:rFonts w:cstheme="minorHAnsi"/>
                <w:b/>
                <w:i/>
                <w:color w:val="000000"/>
                <w:szCs w:val="20"/>
              </w:rPr>
              <w:t>$</w:t>
            </w:r>
            <w:r w:rsidR="003F618D">
              <w:rPr>
                <w:rFonts w:cstheme="minorHAnsi"/>
                <w:b/>
                <w:i/>
                <w:noProof/>
                <w:color w:val="000000"/>
                <w:szCs w:val="20"/>
                <w:highlight w:val="black"/>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D72873" w:rsidRPr="00AB2265" w:rsidRDefault="00D72873" w:rsidP="00AB2265">
            <w:pPr>
              <w:pStyle w:val="TableText"/>
              <w:widowControl w:val="0"/>
              <w:spacing w:before="100" w:beforeAutospacing="1" w:after="100" w:afterAutospacing="1"/>
              <w:jc w:val="center"/>
              <w:rPr>
                <w:szCs w:val="20"/>
              </w:rPr>
            </w:pPr>
            <w:r w:rsidRPr="00AB2265">
              <w:rPr>
                <w:rFonts w:cstheme="minorHAnsi"/>
                <w:b/>
                <w:i/>
                <w:color w:val="000000"/>
                <w:szCs w:val="20"/>
              </w:rPr>
              <w:t>$</w:t>
            </w:r>
            <w:r w:rsidR="003F618D">
              <w:rPr>
                <w:rFonts w:cstheme="minorHAnsi"/>
                <w:b/>
                <w:i/>
                <w:noProof/>
                <w:color w:val="000000"/>
                <w:szCs w:val="20"/>
                <w:highlight w:val="black"/>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D72873" w:rsidRPr="00AB2265" w:rsidRDefault="00D72873" w:rsidP="00AB2265">
            <w:pPr>
              <w:pStyle w:val="TableText"/>
              <w:widowControl w:val="0"/>
              <w:spacing w:before="100" w:beforeAutospacing="1" w:after="100" w:afterAutospacing="1"/>
              <w:jc w:val="center"/>
              <w:rPr>
                <w:szCs w:val="20"/>
              </w:rPr>
            </w:pPr>
            <w:r w:rsidRPr="00AB2265">
              <w:rPr>
                <w:rFonts w:cstheme="minorHAnsi"/>
                <w:b/>
                <w:i/>
                <w:color w:val="000000"/>
                <w:szCs w:val="20"/>
              </w:rPr>
              <w:t>$</w:t>
            </w:r>
            <w:r w:rsidR="003F618D">
              <w:rPr>
                <w:rFonts w:cstheme="minorHAnsi"/>
                <w:b/>
                <w:i/>
                <w:noProof/>
                <w:color w:val="000000"/>
                <w:szCs w:val="20"/>
                <w:highlight w:val="black"/>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D72873" w:rsidRPr="00AB2265" w:rsidRDefault="00D72873" w:rsidP="00AB2265">
            <w:pPr>
              <w:pStyle w:val="TableText"/>
              <w:widowControl w:val="0"/>
              <w:spacing w:before="100" w:beforeAutospacing="1" w:after="100" w:afterAutospacing="1"/>
              <w:jc w:val="center"/>
              <w:rPr>
                <w:szCs w:val="20"/>
              </w:rPr>
            </w:pPr>
            <w:r w:rsidRPr="00AB2265">
              <w:rPr>
                <w:rFonts w:cstheme="minorHAnsi"/>
                <w:b/>
                <w:i/>
                <w:color w:val="000000"/>
                <w:szCs w:val="20"/>
              </w:rPr>
              <w:t>$</w:t>
            </w:r>
            <w:r w:rsidR="003F618D">
              <w:rPr>
                <w:rFonts w:cstheme="minorHAnsi"/>
                <w:b/>
                <w:i/>
                <w:noProof/>
                <w:color w:val="000000"/>
                <w:szCs w:val="20"/>
                <w:highlight w:val="black"/>
              </w:rPr>
              <w:t>'''''''''''''''''''''</w:t>
            </w:r>
          </w:p>
        </w:tc>
      </w:tr>
      <w:tr w:rsidR="00D72873" w:rsidRPr="00AB2265" w:rsidTr="00AB2265">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2873" w:rsidRPr="00AB2265" w:rsidRDefault="00D72873" w:rsidP="00AB2265">
            <w:pPr>
              <w:pStyle w:val="TableText"/>
              <w:widowControl w:val="0"/>
              <w:spacing w:before="100" w:beforeAutospacing="1" w:after="100" w:afterAutospacing="1"/>
              <w:rPr>
                <w:b/>
                <w:szCs w:val="20"/>
              </w:rPr>
            </w:pPr>
            <w:r w:rsidRPr="00AB2265">
              <w:rPr>
                <w:b/>
                <w:szCs w:val="20"/>
              </w:rPr>
              <w:t>Net cost to PBS (effective) excluding relapsed patients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72873" w:rsidRPr="00AB2265" w:rsidRDefault="00D72873" w:rsidP="00AB2265">
            <w:pPr>
              <w:pStyle w:val="TableText"/>
              <w:widowControl w:val="0"/>
              <w:spacing w:before="100" w:beforeAutospacing="1" w:after="100" w:afterAutospacing="1"/>
              <w:jc w:val="center"/>
              <w:rPr>
                <w:b/>
                <w:color w:val="000000"/>
                <w:szCs w:val="20"/>
              </w:rPr>
            </w:pPr>
            <w:r w:rsidRPr="00AB2265">
              <w:rPr>
                <w:b/>
                <w:color w:val="000000"/>
                <w:szCs w:val="20"/>
              </w:rPr>
              <w:t>$</w:t>
            </w:r>
            <w:r w:rsidR="003F618D">
              <w:rPr>
                <w:b/>
                <w:noProof/>
                <w:color w:val="000000"/>
                <w:szCs w:val="20"/>
                <w:highlight w:val="black"/>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D72873" w:rsidRPr="00AB2265" w:rsidRDefault="00D72873" w:rsidP="00AB2265">
            <w:pPr>
              <w:pStyle w:val="TableText"/>
              <w:widowControl w:val="0"/>
              <w:spacing w:before="100" w:beforeAutospacing="1" w:after="100" w:afterAutospacing="1"/>
              <w:jc w:val="center"/>
              <w:rPr>
                <w:b/>
                <w:color w:val="000000"/>
                <w:szCs w:val="20"/>
              </w:rPr>
            </w:pPr>
            <w:r w:rsidRPr="00AB2265">
              <w:rPr>
                <w:b/>
                <w:color w:val="000000"/>
                <w:szCs w:val="20"/>
              </w:rPr>
              <w:t>$</w:t>
            </w:r>
            <w:r w:rsidR="003F618D">
              <w:rPr>
                <w:b/>
                <w:noProof/>
                <w:color w:val="000000"/>
                <w:szCs w:val="20"/>
                <w:highlight w:val="black"/>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D72873" w:rsidRPr="00AB2265" w:rsidRDefault="00D72873" w:rsidP="00AB2265">
            <w:pPr>
              <w:pStyle w:val="TableText"/>
              <w:widowControl w:val="0"/>
              <w:spacing w:before="100" w:beforeAutospacing="1" w:after="100" w:afterAutospacing="1"/>
              <w:jc w:val="center"/>
              <w:rPr>
                <w:b/>
                <w:color w:val="000000"/>
                <w:szCs w:val="20"/>
              </w:rPr>
            </w:pPr>
            <w:r w:rsidRPr="00AB2265">
              <w:rPr>
                <w:b/>
                <w:color w:val="000000"/>
                <w:szCs w:val="20"/>
              </w:rPr>
              <w:t>$</w:t>
            </w:r>
            <w:r w:rsidR="003F618D">
              <w:rPr>
                <w:b/>
                <w:noProof/>
                <w:color w:val="000000"/>
                <w:szCs w:val="20"/>
                <w:highlight w:val="black"/>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D72873" w:rsidRPr="00AB2265" w:rsidRDefault="00D72873" w:rsidP="00AB2265">
            <w:pPr>
              <w:pStyle w:val="TableText"/>
              <w:widowControl w:val="0"/>
              <w:spacing w:before="100" w:beforeAutospacing="1" w:after="100" w:afterAutospacing="1"/>
              <w:jc w:val="center"/>
              <w:rPr>
                <w:b/>
                <w:color w:val="000000"/>
                <w:szCs w:val="20"/>
              </w:rPr>
            </w:pPr>
            <w:r w:rsidRPr="00AB2265">
              <w:rPr>
                <w:b/>
                <w:color w:val="000000"/>
                <w:szCs w:val="20"/>
              </w:rPr>
              <w:t>$</w:t>
            </w:r>
            <w:r w:rsidR="003F618D">
              <w:rPr>
                <w:b/>
                <w:noProof/>
                <w:color w:val="000000"/>
                <w:szCs w:val="20"/>
                <w:highlight w:val="black"/>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D72873" w:rsidRPr="00AB2265" w:rsidRDefault="00D72873" w:rsidP="00AB2265">
            <w:pPr>
              <w:pStyle w:val="TableText"/>
              <w:widowControl w:val="0"/>
              <w:spacing w:before="100" w:beforeAutospacing="1" w:after="100" w:afterAutospacing="1"/>
              <w:jc w:val="center"/>
              <w:rPr>
                <w:b/>
                <w:color w:val="000000"/>
                <w:szCs w:val="20"/>
              </w:rPr>
            </w:pPr>
            <w:r w:rsidRPr="00AB2265">
              <w:rPr>
                <w:b/>
                <w:color w:val="000000"/>
                <w:szCs w:val="20"/>
              </w:rPr>
              <w:t>$</w:t>
            </w:r>
            <w:r w:rsidR="003F618D">
              <w:rPr>
                <w:b/>
                <w:noProof/>
                <w:color w:val="000000"/>
                <w:szCs w:val="20"/>
                <w:highlight w:val="black"/>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D72873" w:rsidRPr="00AB2265" w:rsidRDefault="00D72873" w:rsidP="00AB2265">
            <w:pPr>
              <w:pStyle w:val="TableText"/>
              <w:widowControl w:val="0"/>
              <w:spacing w:before="100" w:beforeAutospacing="1" w:after="100" w:afterAutospacing="1"/>
              <w:jc w:val="center"/>
              <w:rPr>
                <w:b/>
                <w:color w:val="000000"/>
                <w:szCs w:val="20"/>
              </w:rPr>
            </w:pPr>
            <w:r w:rsidRPr="00AB2265">
              <w:rPr>
                <w:b/>
                <w:color w:val="000000"/>
                <w:szCs w:val="20"/>
              </w:rPr>
              <w:t>$</w:t>
            </w:r>
            <w:r w:rsidR="003F618D">
              <w:rPr>
                <w:b/>
                <w:noProof/>
                <w:color w:val="000000"/>
                <w:szCs w:val="20"/>
                <w:highlight w:val="black"/>
              </w:rPr>
              <w:t>''''''''''''''''''</w:t>
            </w:r>
          </w:p>
        </w:tc>
      </w:tr>
    </w:tbl>
    <w:p w:rsidR="00D72873" w:rsidRPr="00AB2265" w:rsidRDefault="00D72873" w:rsidP="00D23588">
      <w:pPr>
        <w:pStyle w:val="Tableheadingrow"/>
        <w:rPr>
          <w:b w:val="0"/>
          <w:sz w:val="18"/>
          <w:szCs w:val="18"/>
          <w:lang w:val="en-AU"/>
        </w:rPr>
      </w:pPr>
      <w:r w:rsidRPr="00AB2265">
        <w:rPr>
          <w:b w:val="0"/>
          <w:sz w:val="18"/>
          <w:szCs w:val="18"/>
          <w:lang w:val="en-AU"/>
        </w:rPr>
        <w:t>Source: Cablivi+BIM+PBAC+Section+4_March2020 spreadsheet</w:t>
      </w:r>
      <w:r w:rsidRPr="00AB2265">
        <w:rPr>
          <w:b w:val="0"/>
          <w:sz w:val="18"/>
          <w:szCs w:val="18"/>
          <w:lang w:val="en-AU"/>
        </w:rPr>
        <w:br/>
      </w:r>
      <w:r w:rsidRPr="00AB2265">
        <w:rPr>
          <w:b w:val="0"/>
          <w:i/>
          <w:sz w:val="18"/>
          <w:szCs w:val="18"/>
          <w:lang w:val="en-AU"/>
        </w:rPr>
        <w:t>Italicised estimates calculated by DUSC Secretariat with the conservative estimate of 10% of TTP/TMA registry patients relapsing</w:t>
      </w:r>
    </w:p>
    <w:p w:rsidR="00294BE8" w:rsidRPr="00AB2265" w:rsidRDefault="00294BE8" w:rsidP="00FB2E86">
      <w:pPr>
        <w:pStyle w:val="Tableheadingrow"/>
        <w:rPr>
          <w:b w:val="0"/>
          <w:sz w:val="18"/>
          <w:szCs w:val="18"/>
          <w:lang w:val="en-AU"/>
        </w:rPr>
      </w:pPr>
      <w:r w:rsidRPr="00AB2265">
        <w:rPr>
          <w:b w:val="0"/>
          <w:sz w:val="18"/>
          <w:szCs w:val="18"/>
          <w:lang w:val="en-AU"/>
        </w:rPr>
        <w:t>The sponsor’s original estimates included offsets for a proposal to provide three vials free of charge per patient prior to confirmation of diagnosis via ADAMTS13 testing. The offsets are not included in the revised estimates presented here.</w:t>
      </w:r>
    </w:p>
    <w:p w:rsidR="0075386B" w:rsidRDefault="0075386B" w:rsidP="008C55E6">
      <w:pPr>
        <w:pStyle w:val="TableFigureFooter"/>
        <w:rPr>
          <w:i/>
        </w:rPr>
      </w:pPr>
    </w:p>
    <w:p w:rsidR="00824B2F" w:rsidRPr="007807F6" w:rsidRDefault="00824B2F" w:rsidP="008C55E6">
      <w:pPr>
        <w:pStyle w:val="TableFigureFooter"/>
        <w:rPr>
          <w:rFonts w:asciiTheme="minorHAnsi" w:hAnsiTheme="minorHAnsi" w:cstheme="minorHAnsi"/>
          <w:sz w:val="24"/>
          <w:szCs w:val="24"/>
        </w:rPr>
      </w:pPr>
      <w:r w:rsidRPr="007807F6">
        <w:rPr>
          <w:rFonts w:asciiTheme="minorHAnsi" w:hAnsiTheme="minorHAnsi" w:cstheme="minorHAnsi"/>
          <w:sz w:val="24"/>
          <w:szCs w:val="24"/>
        </w:rPr>
        <w:t>The redacted table shows that at Year 6, the estimated number of patients was less than 500 and the net cost to the PBS would be between $10 million to &lt; $20 million including relapsed patients and less than $10 million excluding relapsed patients.</w:t>
      </w:r>
    </w:p>
    <w:p w:rsidR="006A71A5" w:rsidRPr="00AB2265" w:rsidRDefault="006A71A5" w:rsidP="008C55E6">
      <w:pPr>
        <w:pStyle w:val="TableFigureFooter"/>
        <w:rPr>
          <w:i/>
        </w:rPr>
      </w:pPr>
    </w:p>
    <w:p w:rsidR="008C55E6" w:rsidRPr="00AB2265" w:rsidRDefault="008C55E6" w:rsidP="008C55E6">
      <w:pPr>
        <w:pStyle w:val="ExecSumBodyText"/>
        <w:numPr>
          <w:ilvl w:val="1"/>
          <w:numId w:val="1"/>
        </w:numPr>
        <w:rPr>
          <w:color w:val="0066FF"/>
        </w:rPr>
      </w:pPr>
      <w:r w:rsidRPr="00AB2265">
        <w:t>Based on the proposed effective AEMP of $</w:t>
      </w:r>
      <w:r w:rsidR="003F618D">
        <w:rPr>
          <w:noProof/>
          <w:color w:val="000000"/>
          <w:highlight w:val="black"/>
        </w:rPr>
        <w:t>''''''''''</w:t>
      </w:r>
      <w:r w:rsidRPr="00AB2265">
        <w:t xml:space="preserve"> per vial, the net cost of listing caplacizumab on the PBS as proposed in the submission is </w:t>
      </w:r>
      <w:r w:rsidR="00824B2F">
        <w:rPr>
          <w:rFonts w:cs="Times New Roman"/>
        </w:rPr>
        <w:t>$0 to &lt; $10</w:t>
      </w:r>
      <w:r w:rsidRPr="00AB2265">
        <w:t xml:space="preserve"> million in Year 1 (including cost offset proposed by sponsor of $0.5 million), increasing to </w:t>
      </w:r>
      <w:r w:rsidR="00824B2F">
        <w:rPr>
          <w:rFonts w:cs="Times New Roman"/>
        </w:rPr>
        <w:t>$0 to &lt; $10</w:t>
      </w:r>
      <w:r w:rsidRPr="00AB2265">
        <w:t xml:space="preserve"> million in Year 6 (including offset of $0.7 million). The total cost of listing caplacizumab over 6 years is </w:t>
      </w:r>
      <w:r w:rsidR="00824B2F">
        <w:t>$40 million to &lt; $50</w:t>
      </w:r>
      <w:r w:rsidRPr="00AB2265">
        <w:t xml:space="preserve"> million (including cost offset of $3.4 million). Estimates using published prices are summarised in Attachment 4 of the commentary. The approach used in the submission assumes PBS reimbursement for all caplacizumab scripts dispensed over the course of treating aTTP. Inpatient treatment is not typically subsidised by the PBS, therefore if approved for listing the cost to the PBS may only apply for caplacizumab dispensed during outpatient treatment.</w:t>
      </w:r>
      <w:r w:rsidRPr="00AB2265">
        <w:rPr>
          <w:color w:val="0066FF"/>
        </w:rPr>
        <w:t xml:space="preserve"> </w:t>
      </w:r>
    </w:p>
    <w:p w:rsidR="008C55E6" w:rsidRPr="00AB2265" w:rsidRDefault="008C55E6" w:rsidP="008C55E6">
      <w:pPr>
        <w:pStyle w:val="ExecSumBodyText"/>
        <w:numPr>
          <w:ilvl w:val="1"/>
          <w:numId w:val="1"/>
        </w:numPr>
        <w:rPr>
          <w:color w:val="0066FF"/>
        </w:rPr>
      </w:pPr>
      <w:r w:rsidRPr="00AB2265">
        <w:t xml:space="preserve">The utilisation/financial estimates were highly uncertain due to the following </w:t>
      </w:r>
      <w:r w:rsidRPr="001E19E0">
        <w:t>issues</w:t>
      </w:r>
      <w:r w:rsidRPr="00AB2265">
        <w:t>:</w:t>
      </w:r>
    </w:p>
    <w:p w:rsidR="008C55E6" w:rsidRPr="00AB2265" w:rsidRDefault="008C55E6" w:rsidP="001E19E0">
      <w:pPr>
        <w:pStyle w:val="Bulletpoints"/>
        <w:numPr>
          <w:ilvl w:val="1"/>
          <w:numId w:val="2"/>
        </w:numPr>
        <w:ind w:left="1077" w:hanging="357"/>
      </w:pPr>
      <w:r w:rsidRPr="00AB2265">
        <w:t>The size of the eligible population was based on a calculated incidence using testing data from a small number of Australian laboratories and an assumed denominator (population size) serviced by each laboratory. There was large variability in the calculated incidence between labs (2.07 to 3.83 per million per year) and reported in other jurisdictions (between 2-6 million cases per million per year);</w:t>
      </w:r>
    </w:p>
    <w:p w:rsidR="008C55E6" w:rsidRPr="00AB2265" w:rsidRDefault="008C55E6" w:rsidP="001E19E0">
      <w:pPr>
        <w:pStyle w:val="Bulletpoints"/>
        <w:numPr>
          <w:ilvl w:val="1"/>
          <w:numId w:val="2"/>
        </w:numPr>
        <w:ind w:left="1077" w:hanging="357"/>
      </w:pPr>
      <w:r w:rsidRPr="00AB2265">
        <w:t>Uptake rates were based on a sponsor-commissioned survey of a small number of clinicians and treated aTTP episodes. The growth of uptake rates over time was assumed. The place in therapy for caplacizumab was unclear as published guidelines and the survey itself suggest that some clinicians may reserve caplacizumab for higher risk patients, such as those refractory to treatment; and</w:t>
      </w:r>
    </w:p>
    <w:p w:rsidR="008C55E6" w:rsidRPr="00AB2265" w:rsidRDefault="008C55E6" w:rsidP="001E19E0">
      <w:pPr>
        <w:pStyle w:val="Bulletpoints"/>
        <w:numPr>
          <w:ilvl w:val="1"/>
          <w:numId w:val="2"/>
        </w:numPr>
        <w:ind w:left="1077" w:hanging="357"/>
      </w:pPr>
      <w:r w:rsidRPr="00AB2265">
        <w:t>Estimates of use (script numbers) based on the HERCULES trial are uncertain. There are potential issues with the representativeness of the trial compared with clinical practice, which are likely to impact on treatment durations (e.g. relatively short duration of plasma exchange compared with published estimates). The duration of treatment with caplacizumab in clinical practice is unclear.</w:t>
      </w:r>
    </w:p>
    <w:p w:rsidR="003839C3" w:rsidRPr="00AB2265" w:rsidRDefault="003839C3" w:rsidP="003839C3">
      <w:pPr>
        <w:pStyle w:val="ExecSumBodyText"/>
        <w:numPr>
          <w:ilvl w:val="1"/>
          <w:numId w:val="1"/>
        </w:numPr>
      </w:pPr>
      <w:r w:rsidRPr="00AB2265">
        <w:t>The DUSC considered the estimates presented in the submission were underestimated, mainly due to:</w:t>
      </w:r>
    </w:p>
    <w:p w:rsidR="003839C3" w:rsidRPr="00AB2265" w:rsidRDefault="003839C3" w:rsidP="001E19E0">
      <w:pPr>
        <w:pStyle w:val="Bulletpoints"/>
        <w:numPr>
          <w:ilvl w:val="1"/>
          <w:numId w:val="2"/>
        </w:numPr>
        <w:ind w:left="1077" w:hanging="357"/>
        <w:rPr>
          <w:rFonts w:eastAsia="SimSun"/>
          <w:b/>
        </w:rPr>
      </w:pPr>
      <w:r w:rsidRPr="00AB2265">
        <w:rPr>
          <w:rFonts w:eastAsia="SimSun"/>
        </w:rPr>
        <w:t>Utilisation estimate of n=</w:t>
      </w:r>
      <w:r w:rsidR="009A445C">
        <w:rPr>
          <w:rFonts w:eastAsia="SimSun"/>
        </w:rPr>
        <w:t xml:space="preserve">&lt;500 </w:t>
      </w:r>
      <w:r w:rsidRPr="00AB2265">
        <w:rPr>
          <w:rFonts w:eastAsia="SimSun"/>
        </w:rPr>
        <w:t>in the first year is based on incident cases with no account for relapsed patients. The Thrombotic Thrombocytopenia Purpura / Thrombotic Microangiopathies Registry managed by Monash University estimates 312 people in Australia currently living with the disease and there is no mention of the potential for these patients to relapse.</w:t>
      </w:r>
    </w:p>
    <w:p w:rsidR="003839C3" w:rsidRPr="00AB2265" w:rsidRDefault="00A73DC2" w:rsidP="001E19E0">
      <w:pPr>
        <w:pStyle w:val="Bulletpoints"/>
        <w:numPr>
          <w:ilvl w:val="1"/>
          <w:numId w:val="2"/>
        </w:numPr>
        <w:ind w:left="1077" w:hanging="357"/>
      </w:pPr>
      <w:r w:rsidRPr="00AB2265">
        <w:t>T</w:t>
      </w:r>
      <w:r w:rsidR="003839C3" w:rsidRPr="00AB2265">
        <w:t xml:space="preserve">he potential for long term use may not be factored into the </w:t>
      </w:r>
      <w:r w:rsidR="003839C3" w:rsidRPr="00AB2265">
        <w:rPr>
          <w:rFonts w:eastAsia="SimSun"/>
        </w:rPr>
        <w:t>financial</w:t>
      </w:r>
      <w:r w:rsidR="003839C3" w:rsidRPr="00AB2265">
        <w:t xml:space="preserve"> implications of the submission and may result in a higher percentage of patients utilising the ‘extended continuing’ restriction than presented in the estimates of the submission. </w:t>
      </w:r>
    </w:p>
    <w:p w:rsidR="00576972" w:rsidRPr="00AB2265" w:rsidRDefault="00576972" w:rsidP="00606FBA">
      <w:pPr>
        <w:pStyle w:val="3-SubsectionHeading"/>
      </w:pPr>
      <w:bookmarkStart w:id="39" w:name="_Toc22897648"/>
      <w:bookmarkStart w:id="40" w:name="_Toc40711460"/>
      <w:bookmarkStart w:id="41" w:name="_Toc40711519"/>
      <w:r w:rsidRPr="00AB2265">
        <w:lastRenderedPageBreak/>
        <w:t>Quality Use of Medicines</w:t>
      </w:r>
      <w:bookmarkEnd w:id="39"/>
      <w:bookmarkEnd w:id="40"/>
      <w:bookmarkEnd w:id="41"/>
    </w:p>
    <w:p w:rsidR="003839C3" w:rsidRPr="00AB2265" w:rsidRDefault="003839C3" w:rsidP="003839C3">
      <w:pPr>
        <w:pStyle w:val="ExecSumBodyText"/>
        <w:numPr>
          <w:ilvl w:val="1"/>
          <w:numId w:val="1"/>
        </w:numPr>
      </w:pPr>
      <w:r w:rsidRPr="00AB2265">
        <w:t>DUSC commented that the Sponsor’s offer of free vials at the beginning of treatment may create a quality use of medicines issue. DUSC commented that free samples offered or supplied to patients/clinicians at the beginning of treatment may be problematic as it can increase prescribing where it may not be clinically appropriate</w:t>
      </w:r>
      <w:r w:rsidR="00AB2265">
        <w:t xml:space="preserve">. </w:t>
      </w:r>
      <w:r w:rsidRPr="00AB2265">
        <w:t>DUSC considered that the Sponsor should suggest another method to offset the cost of caplacizumab.</w:t>
      </w:r>
    </w:p>
    <w:p w:rsidR="0032686E" w:rsidRPr="002A78F0" w:rsidRDefault="0032686E" w:rsidP="002A78F0">
      <w:pPr>
        <w:ind w:firstLine="720"/>
        <w:rPr>
          <w:i/>
        </w:rPr>
      </w:pPr>
      <w:r w:rsidRPr="00AB2265">
        <w:rPr>
          <w:i/>
        </w:rPr>
        <w:t>For more detail on PBAC’s view, see section 7 PBAC outcome.</w:t>
      </w:r>
    </w:p>
    <w:p w:rsidR="008C55E6" w:rsidRPr="00AB2265" w:rsidRDefault="008C55E6" w:rsidP="008C55E6">
      <w:pPr>
        <w:pStyle w:val="2-SectionHeading"/>
        <w:numPr>
          <w:ilvl w:val="0"/>
          <w:numId w:val="1"/>
        </w:numPr>
        <w:rPr>
          <w:rFonts w:ascii="Times New Roman" w:hAnsi="Times New Roman" w:cs="Times New Roman"/>
          <w:b w:val="0"/>
          <w:bCs/>
        </w:rPr>
      </w:pPr>
      <w:r w:rsidRPr="00AB2265">
        <w:t>PBAC</w:t>
      </w:r>
      <w:r w:rsidRPr="00AB2265">
        <w:rPr>
          <w:rFonts w:ascii="Times New Roman" w:hAnsi="Times New Roman" w:cs="Times New Roman"/>
          <w:b w:val="0"/>
          <w:bCs/>
        </w:rPr>
        <w:t xml:space="preserve"> </w:t>
      </w:r>
      <w:r w:rsidRPr="00AB2265">
        <w:t>Outcome</w:t>
      </w:r>
    </w:p>
    <w:p w:rsidR="00F06124" w:rsidRPr="00AB2265" w:rsidRDefault="00F06124" w:rsidP="00F06124">
      <w:pPr>
        <w:pStyle w:val="ExecSumBodyText"/>
        <w:numPr>
          <w:ilvl w:val="1"/>
          <w:numId w:val="1"/>
        </w:numPr>
      </w:pPr>
      <w:r w:rsidRPr="00AB2265">
        <w:t xml:space="preserve">The PBAC did not recommend the listing of caplacizumab on the PBS for the treatment of </w:t>
      </w:r>
      <w:r w:rsidR="001D0733" w:rsidRPr="00AB2265">
        <w:t>acquired thrombotic thrombocytopenic purpura (</w:t>
      </w:r>
      <w:r w:rsidRPr="00AB2265">
        <w:t>aTTP</w:t>
      </w:r>
      <w:r w:rsidR="001D0733" w:rsidRPr="00AB2265">
        <w:t>)</w:t>
      </w:r>
      <w:r w:rsidRPr="00AB2265">
        <w:t>. The PBAC</w:t>
      </w:r>
      <w:r w:rsidR="00CD22B9" w:rsidRPr="00AB2265">
        <w:t xml:space="preserve"> </w:t>
      </w:r>
      <w:r w:rsidRPr="00AB2265">
        <w:t xml:space="preserve">considered the clinical place of therapy </w:t>
      </w:r>
      <w:r w:rsidR="00CD22B9" w:rsidRPr="00AB2265">
        <w:t xml:space="preserve">was </w:t>
      </w:r>
      <w:r w:rsidRPr="00AB2265">
        <w:t>uncertain</w:t>
      </w:r>
      <w:r w:rsidR="00CD22B9" w:rsidRPr="00AB2265">
        <w:t xml:space="preserve">. The PBAC had low confidence in the trial data given trial design, size, and conduct issues. The clinical benefit </w:t>
      </w:r>
      <w:r w:rsidR="001D0733" w:rsidRPr="00AB2265">
        <w:t>in the acute setting was considered modest at best</w:t>
      </w:r>
      <w:r w:rsidR="00CD22B9" w:rsidRPr="00AB2265">
        <w:t xml:space="preserve"> </w:t>
      </w:r>
      <w:r w:rsidR="001D0733" w:rsidRPr="00AB2265">
        <w:t>and</w:t>
      </w:r>
      <w:r w:rsidR="006B6BE3" w:rsidRPr="00AB2265">
        <w:t xml:space="preserve"> the long-term clinical benefits of treatment remained unclear, given the clinical trial results did not demonstrate a significant improvement in end organ damage and mortality</w:t>
      </w:r>
      <w:r w:rsidRPr="00AB2265">
        <w:t>. The PBAC also considered the cost-effectiveness</w:t>
      </w:r>
      <w:r w:rsidR="00CB430D" w:rsidRPr="00AB2265">
        <w:t xml:space="preserve"> of caplacizumab</w:t>
      </w:r>
      <w:r w:rsidRPr="00AB2265">
        <w:t xml:space="preserve"> to be high and uncertain </w:t>
      </w:r>
      <w:r w:rsidR="006B6BE3" w:rsidRPr="00AB2265">
        <w:t>due to</w:t>
      </w:r>
      <w:r w:rsidR="00AE4975" w:rsidRPr="00AB2265">
        <w:t xml:space="preserve"> the</w:t>
      </w:r>
      <w:r w:rsidR="006B6BE3" w:rsidRPr="00AB2265">
        <w:t xml:space="preserve"> significant</w:t>
      </w:r>
      <w:r w:rsidRPr="00AB2265">
        <w:t xml:space="preserve"> structural issues in the economic model</w:t>
      </w:r>
      <w:r w:rsidR="001D0733" w:rsidRPr="00AB2265">
        <w:t>, which favoured caplacizumab</w:t>
      </w:r>
      <w:r w:rsidR="006B6BE3" w:rsidRPr="00AB2265">
        <w:t>.</w:t>
      </w:r>
      <w:r w:rsidRPr="00AB2265">
        <w:t xml:space="preserve"> </w:t>
      </w:r>
    </w:p>
    <w:p w:rsidR="00D20631" w:rsidRPr="00AB2265" w:rsidRDefault="00D20631" w:rsidP="00D20631">
      <w:pPr>
        <w:pStyle w:val="ExecSumBodyText"/>
        <w:numPr>
          <w:ilvl w:val="1"/>
          <w:numId w:val="1"/>
        </w:numPr>
      </w:pPr>
      <w:r w:rsidRPr="00AB2265">
        <w:t xml:space="preserve">The PBAC </w:t>
      </w:r>
      <w:r w:rsidR="00571DDC" w:rsidRPr="00AB2265">
        <w:t xml:space="preserve">noted </w:t>
      </w:r>
      <w:r w:rsidRPr="00AB2265">
        <w:t>that the inpatient component of funding in public hospitals would require joint funding between the Commonwealth, states and territories under the usual National Health Reform Agreement (NHRA) arrangements, with only outpatient treatment eligible for subsidy under the PBS.</w:t>
      </w:r>
    </w:p>
    <w:p w:rsidR="0003359F" w:rsidRPr="00AB2265" w:rsidRDefault="00947E17" w:rsidP="005271D9">
      <w:pPr>
        <w:pStyle w:val="ExecSumBodyText"/>
        <w:numPr>
          <w:ilvl w:val="1"/>
          <w:numId w:val="1"/>
        </w:numPr>
      </w:pPr>
      <w:r w:rsidRPr="00AB2265">
        <w:t>The PBAC noted the</w:t>
      </w:r>
      <w:r w:rsidR="007A3B30" w:rsidRPr="00AB2265">
        <w:t xml:space="preserve"> eligibility criteria included in the proposed restriction were</w:t>
      </w:r>
      <w:r w:rsidRPr="00AB2265">
        <w:t xml:space="preserve"> based on </w:t>
      </w:r>
      <w:r w:rsidR="007A3B30" w:rsidRPr="00AB2265">
        <w:t xml:space="preserve">the assessment of haematological markers (e.g. </w:t>
      </w:r>
      <w:r w:rsidR="00AB2265" w:rsidRPr="00AB2265">
        <w:t>ADAMTS13</w:t>
      </w:r>
      <w:r w:rsidR="007A3B30" w:rsidRPr="00AB2265">
        <w:t xml:space="preserve"> activity &lt;10%). The PBAC noted that </w:t>
      </w:r>
      <w:r w:rsidR="0003359F" w:rsidRPr="00AB2265">
        <w:t xml:space="preserve">unlike </w:t>
      </w:r>
      <w:r w:rsidR="007A3B30" w:rsidRPr="00AB2265">
        <w:t>eculizumab</w:t>
      </w:r>
      <w:r w:rsidR="0003359F" w:rsidRPr="00AB2265">
        <w:t xml:space="preserve">’s listing </w:t>
      </w:r>
      <w:r w:rsidR="007A3B30" w:rsidRPr="00AB2265">
        <w:t xml:space="preserve">on the PBS for the treatment of patients with a similar condition to aTTP, </w:t>
      </w:r>
      <w:r w:rsidR="005271D9" w:rsidRPr="00AB2265">
        <w:t>atypical haemolytic uraemic syndrome (</w:t>
      </w:r>
      <w:r w:rsidR="0003359F" w:rsidRPr="00AB2265">
        <w:t>aHUS</w:t>
      </w:r>
      <w:r w:rsidR="005271D9" w:rsidRPr="00AB2265">
        <w:t>)</w:t>
      </w:r>
      <w:r w:rsidR="007A3B30" w:rsidRPr="00AB2265">
        <w:t xml:space="preserve">, </w:t>
      </w:r>
      <w:r w:rsidR="0003359F" w:rsidRPr="00AB2265">
        <w:t xml:space="preserve">the clinical criteria for treatment with </w:t>
      </w:r>
      <w:r w:rsidR="007A3B30" w:rsidRPr="00AB2265">
        <w:t xml:space="preserve">caplacizumab did not require the patient demonstrate clinical features of active organ damage or impairment. </w:t>
      </w:r>
      <w:r w:rsidR="0003359F" w:rsidRPr="00AB2265">
        <w:t>The PBAC considered this</w:t>
      </w:r>
      <w:r w:rsidR="00AE4975" w:rsidRPr="00AB2265">
        <w:t xml:space="preserve"> would introduce inconsistencies amongst</w:t>
      </w:r>
      <w:r w:rsidR="0003359F" w:rsidRPr="00AB2265">
        <w:t xml:space="preserve"> the PBS eligibility criteria for treatment of thrombotic microangiopathies.</w:t>
      </w:r>
    </w:p>
    <w:p w:rsidR="00FA4FE5" w:rsidRPr="00AB2265" w:rsidRDefault="00B9461E" w:rsidP="009C2E0D">
      <w:pPr>
        <w:pStyle w:val="ExecSumBodyText"/>
        <w:numPr>
          <w:ilvl w:val="1"/>
          <w:numId w:val="1"/>
        </w:numPr>
      </w:pPr>
      <w:r w:rsidRPr="00AB2265">
        <w:t>The PBAC noted the</w:t>
      </w:r>
      <w:r w:rsidR="009C2E0D" w:rsidRPr="00AB2265">
        <w:t xml:space="preserve"> published final draft</w:t>
      </w:r>
      <w:r w:rsidR="0003359F" w:rsidRPr="00AB2265">
        <w:t xml:space="preserve"> </w:t>
      </w:r>
      <w:r w:rsidR="009C2E0D" w:rsidRPr="00AB2265">
        <w:t>ISTH Clinical Guidelines placed caplacizumab treatment in the early phase of an acute event of aTTP. While the PBAC acknowledged the clinical need for more targeted therapies to be made available for the treatment aTTP, it considered caplacizumab’s place in therapy for use in the acute setting,</w:t>
      </w:r>
      <w:r w:rsidR="006E243A" w:rsidRPr="00AB2265">
        <w:t xml:space="preserve"> preventing haematological relapse,</w:t>
      </w:r>
      <w:r w:rsidR="009C2E0D" w:rsidRPr="00AB2265">
        <w:t xml:space="preserve"> </w:t>
      </w:r>
      <w:r w:rsidR="005271D9" w:rsidRPr="00AB2265">
        <w:t xml:space="preserve">or both, </w:t>
      </w:r>
      <w:r w:rsidR="009C2E0D" w:rsidRPr="00AB2265">
        <w:t>remained uncertain.</w:t>
      </w:r>
      <w:r w:rsidR="008A6B4A" w:rsidRPr="00AB2265">
        <w:t xml:space="preserve"> </w:t>
      </w:r>
    </w:p>
    <w:p w:rsidR="00051F1E" w:rsidRPr="00AB2265" w:rsidRDefault="00FA4FE5" w:rsidP="00051F1E">
      <w:pPr>
        <w:pStyle w:val="ExecSumBodyText"/>
        <w:numPr>
          <w:ilvl w:val="1"/>
          <w:numId w:val="1"/>
        </w:numPr>
      </w:pPr>
      <w:r w:rsidRPr="00AB2265">
        <w:rPr>
          <w:snapToGrid/>
        </w:rPr>
        <w:t xml:space="preserve">The PBAC noted the submission was based on two head-to-head trials (TITAN and HERCULES), </w:t>
      </w:r>
      <w:r w:rsidR="003062A5" w:rsidRPr="00AB2265">
        <w:rPr>
          <w:snapToGrid/>
        </w:rPr>
        <w:t>comparing</w:t>
      </w:r>
      <w:r w:rsidRPr="00AB2265">
        <w:rPr>
          <w:snapToGrid/>
        </w:rPr>
        <w:t xml:space="preserve"> caplacizumab in combination with SoC (PEX + immunosuppression), with SoC alone, in patients with symptoms of aTTP who </w:t>
      </w:r>
      <w:r w:rsidRPr="00AB2265">
        <w:rPr>
          <w:snapToGrid/>
        </w:rPr>
        <w:lastRenderedPageBreak/>
        <w:t>required treatment with PEX</w:t>
      </w:r>
      <w:r w:rsidR="00AE4975" w:rsidRPr="00AB2265">
        <w:rPr>
          <w:snapToGrid/>
        </w:rPr>
        <w:t>. T</w:t>
      </w:r>
      <w:r w:rsidR="00051F1E" w:rsidRPr="00AB2265">
        <w:rPr>
          <w:snapToGrid/>
        </w:rPr>
        <w:t>h</w:t>
      </w:r>
      <w:r w:rsidR="00AE4975" w:rsidRPr="00AB2265">
        <w:rPr>
          <w:snapToGrid/>
        </w:rPr>
        <w:t>e prim</w:t>
      </w:r>
      <w:r w:rsidR="003062A5" w:rsidRPr="00AB2265">
        <w:rPr>
          <w:snapToGrid/>
        </w:rPr>
        <w:t>ary outcome measured in the tria</w:t>
      </w:r>
      <w:r w:rsidR="00AE4975" w:rsidRPr="00AB2265">
        <w:rPr>
          <w:snapToGrid/>
        </w:rPr>
        <w:t>ls was</w:t>
      </w:r>
      <w:r w:rsidR="00051F1E" w:rsidRPr="00AB2265">
        <w:rPr>
          <w:snapToGrid/>
        </w:rPr>
        <w:t xml:space="preserve"> time to confirmed platelet count response</w:t>
      </w:r>
      <w:r w:rsidR="00051F1E" w:rsidRPr="00AB2265">
        <w:t xml:space="preserve">. </w:t>
      </w:r>
    </w:p>
    <w:p w:rsidR="00F610E5" w:rsidRPr="00AB2265" w:rsidRDefault="00051F1E" w:rsidP="00FA4FE5">
      <w:pPr>
        <w:pStyle w:val="ExecSumBodyText"/>
        <w:numPr>
          <w:ilvl w:val="1"/>
          <w:numId w:val="1"/>
        </w:numPr>
      </w:pPr>
      <w:r w:rsidRPr="00AB2265">
        <w:rPr>
          <w:snapToGrid/>
        </w:rPr>
        <w:t xml:space="preserve">The PBAC noted several </w:t>
      </w:r>
      <w:r w:rsidR="00FA4FE5" w:rsidRPr="00AB2265">
        <w:rPr>
          <w:snapToGrid/>
        </w:rPr>
        <w:t>issues with the TITAN study</w:t>
      </w:r>
      <w:r w:rsidRPr="00AB2265">
        <w:rPr>
          <w:snapToGrid/>
        </w:rPr>
        <w:t xml:space="preserve"> as discussed by the ESC</w:t>
      </w:r>
      <w:r w:rsidR="00FA4FE5" w:rsidRPr="00AB2265">
        <w:rPr>
          <w:snapToGrid/>
        </w:rPr>
        <w:t xml:space="preserve">, </w:t>
      </w:r>
      <w:r w:rsidR="003062A5" w:rsidRPr="00AB2265">
        <w:rPr>
          <w:snapToGrid/>
        </w:rPr>
        <w:t>including:</w:t>
      </w:r>
      <w:r w:rsidR="00F610E5" w:rsidRPr="00AB2265">
        <w:rPr>
          <w:snapToGrid/>
        </w:rPr>
        <w:t xml:space="preserve"> the s</w:t>
      </w:r>
      <w:r w:rsidR="003062A5" w:rsidRPr="00AB2265">
        <w:rPr>
          <w:snapToGrid/>
        </w:rPr>
        <w:t>tudy was terminated prematurely;</w:t>
      </w:r>
      <w:r w:rsidR="00F610E5" w:rsidRPr="00AB2265">
        <w:rPr>
          <w:snapToGrid/>
        </w:rPr>
        <w:t xml:space="preserve"> 45% of patients discontinued treatment earl</w:t>
      </w:r>
      <w:r w:rsidR="003062A5" w:rsidRPr="00AB2265">
        <w:rPr>
          <w:snapToGrid/>
        </w:rPr>
        <w:t>y;</w:t>
      </w:r>
      <w:r w:rsidR="00F610E5" w:rsidRPr="00AB2265">
        <w:rPr>
          <w:snapToGrid/>
        </w:rPr>
        <w:t xml:space="preserve"> a substantial number of </w:t>
      </w:r>
      <w:r w:rsidR="00AB2265" w:rsidRPr="00AB2265">
        <w:t>ADAMTS13</w:t>
      </w:r>
      <w:r w:rsidR="00FA4FE5" w:rsidRPr="00AB2265">
        <w:rPr>
          <w:snapToGrid/>
        </w:rPr>
        <w:t xml:space="preserve"> data</w:t>
      </w:r>
      <w:r w:rsidR="003062A5" w:rsidRPr="00AB2265">
        <w:rPr>
          <w:snapToGrid/>
        </w:rPr>
        <w:t xml:space="preserve"> was missing;</w:t>
      </w:r>
      <w:r w:rsidR="00F610E5" w:rsidRPr="00AB2265">
        <w:rPr>
          <w:snapToGrid/>
        </w:rPr>
        <w:t xml:space="preserve"> 39% of patients had received prior treatment with PEX (median 18 days)</w:t>
      </w:r>
      <w:r w:rsidR="003062A5" w:rsidRPr="00AB2265">
        <w:rPr>
          <w:snapToGrid/>
        </w:rPr>
        <w:t>;</w:t>
      </w:r>
      <w:r w:rsidR="00F610E5" w:rsidRPr="00AB2265">
        <w:rPr>
          <w:snapToGrid/>
        </w:rPr>
        <w:t xml:space="preserve"> and </w:t>
      </w:r>
      <w:r w:rsidR="00FA4FE5" w:rsidRPr="00AB2265">
        <w:t>a number of important analyses</w:t>
      </w:r>
      <w:r w:rsidR="006F3353" w:rsidRPr="00AB2265">
        <w:t xml:space="preserve"> were</w:t>
      </w:r>
      <w:r w:rsidR="00FA4FE5" w:rsidRPr="00AB2265">
        <w:t xml:space="preserve"> conducted post-</w:t>
      </w:r>
      <w:r w:rsidR="00FA4FE5" w:rsidRPr="00A558D7">
        <w:t>hoc (paragraph</w:t>
      </w:r>
      <w:r w:rsidR="009C6703" w:rsidRPr="00A558D7">
        <w:t xml:space="preserve"> 6.6</w:t>
      </w:r>
      <w:r w:rsidR="00FA4FE5" w:rsidRPr="00A558D7">
        <w:t>)</w:t>
      </w:r>
      <w:r w:rsidR="00F610E5" w:rsidRPr="00A558D7">
        <w:t>. Therefore</w:t>
      </w:r>
      <w:r w:rsidR="006F3353" w:rsidRPr="00AB2265">
        <w:t>,</w:t>
      </w:r>
      <w:r w:rsidR="00F610E5" w:rsidRPr="00AB2265">
        <w:t xml:space="preserve"> the PBAC considered the TITAN trial results were unreliable a</w:t>
      </w:r>
      <w:r w:rsidR="006F3353" w:rsidRPr="00AB2265">
        <w:t>nd could not be used to establish the</w:t>
      </w:r>
      <w:r w:rsidR="00F610E5" w:rsidRPr="00AB2265">
        <w:t xml:space="preserve"> clinical effectiveness of caplacizumab in the Australian setting</w:t>
      </w:r>
      <w:r w:rsidR="00FA4FE5" w:rsidRPr="00AB2265">
        <w:t>.</w:t>
      </w:r>
    </w:p>
    <w:p w:rsidR="00F06124" w:rsidRPr="00AB2265" w:rsidRDefault="006F3353" w:rsidP="00AE4975">
      <w:pPr>
        <w:pStyle w:val="ExecSumBodyText"/>
        <w:numPr>
          <w:ilvl w:val="1"/>
          <w:numId w:val="1"/>
        </w:numPr>
      </w:pPr>
      <w:r w:rsidRPr="00AB2265">
        <w:t xml:space="preserve">The PBAC </w:t>
      </w:r>
      <w:r w:rsidR="007D6E6D" w:rsidRPr="00AB2265">
        <w:t xml:space="preserve">considered the HERCULES trial should be the primary study used to inform the clinical effectiveness of caplacizumab. However, given there were a number of differences in disease characteristics at baseline </w:t>
      </w:r>
      <w:r w:rsidR="00A01057" w:rsidRPr="00AB2265">
        <w:t xml:space="preserve">between </w:t>
      </w:r>
      <w:r w:rsidR="00114D8F" w:rsidRPr="00AB2265">
        <w:t>caplacizumab vs placebo</w:t>
      </w:r>
      <w:r w:rsidR="00A01057" w:rsidRPr="00AB2265">
        <w:t xml:space="preserve"> </w:t>
      </w:r>
      <w:r w:rsidR="00696FF6" w:rsidRPr="00AB2265">
        <w:t xml:space="preserve">(33% vs 53% for recurrent disease, </w:t>
      </w:r>
      <w:r w:rsidR="00114D8F" w:rsidRPr="00AB2265">
        <w:t xml:space="preserve">82% vs 90% for </w:t>
      </w:r>
      <w:r w:rsidR="00696FF6" w:rsidRPr="00AB2265">
        <w:t>ADAMTS13 &lt;10%</w:t>
      </w:r>
      <w:r w:rsidR="00114D8F" w:rsidRPr="00AB2265">
        <w:t>) and</w:t>
      </w:r>
      <w:r w:rsidR="00696FF6" w:rsidRPr="00AB2265">
        <w:t xml:space="preserve"> </w:t>
      </w:r>
      <w:r w:rsidR="00114D8F" w:rsidRPr="00AB2265">
        <w:t xml:space="preserve">differences in </w:t>
      </w:r>
      <w:r w:rsidR="00696FF6" w:rsidRPr="00AB2265">
        <w:t>immunosuppressive</w:t>
      </w:r>
      <w:r w:rsidR="00114D8F" w:rsidRPr="00AB2265">
        <w:t xml:space="preserve"> medications taken during study period (</w:t>
      </w:r>
      <w:r w:rsidR="00511403" w:rsidRPr="00AB2265">
        <w:t xml:space="preserve">40% vs 49% on rituximab, </w:t>
      </w:r>
      <w:r w:rsidR="00696FF6" w:rsidRPr="00AB2265">
        <w:t>19% vs 6%</w:t>
      </w:r>
      <w:r w:rsidR="00511403" w:rsidRPr="00AB2265">
        <w:t xml:space="preserve"> other</w:t>
      </w:r>
      <w:r w:rsidR="00696FF6" w:rsidRPr="00AB2265">
        <w:t>)</w:t>
      </w:r>
      <w:r w:rsidR="00F8197B" w:rsidRPr="00AB2265">
        <w:t>,</w:t>
      </w:r>
      <w:r w:rsidR="007D6E6D" w:rsidRPr="00AB2265">
        <w:t xml:space="preserve"> the PBAC considered the overall risk of bias in the HERCULES trial was </w:t>
      </w:r>
      <w:r w:rsidR="00B30883" w:rsidRPr="00AB2265">
        <w:t>uncertain but trended towards favouring caplacizumab</w:t>
      </w:r>
      <w:r w:rsidR="007D6E6D" w:rsidRPr="00AB2265">
        <w:t>.</w:t>
      </w:r>
    </w:p>
    <w:p w:rsidR="00B30883" w:rsidRPr="00AB2265" w:rsidRDefault="00B30883" w:rsidP="00B30883">
      <w:pPr>
        <w:pStyle w:val="ExecSumBodyText"/>
        <w:numPr>
          <w:ilvl w:val="1"/>
          <w:numId w:val="1"/>
        </w:numPr>
      </w:pPr>
      <w:r w:rsidRPr="00AB2265">
        <w:t>The PBAC noted c</w:t>
      </w:r>
      <w:r w:rsidR="003062A5" w:rsidRPr="00AB2265">
        <w:t>aplacizumab resulted in a statistically significant</w:t>
      </w:r>
      <w:r w:rsidRPr="00AB2265">
        <w:t xml:space="preserve"> </w:t>
      </w:r>
      <w:r w:rsidR="003062A5" w:rsidRPr="00AB2265">
        <w:t>reduction in</w:t>
      </w:r>
      <w:r w:rsidRPr="00AB2265">
        <w:t xml:space="preserve"> the time to confirmed platelet count response compared with placebo in HERCULES (HR of 1.55; 95% CI: 1.095, 2.195). The</w:t>
      </w:r>
      <w:r w:rsidRPr="00AB2265">
        <w:rPr>
          <w:i/>
        </w:rPr>
        <w:t xml:space="preserve"> </w:t>
      </w:r>
      <w:r w:rsidRPr="00AB2265">
        <w:t>difference in</w:t>
      </w:r>
      <w:r w:rsidRPr="00AB2265">
        <w:rPr>
          <w:i/>
        </w:rPr>
        <w:t xml:space="preserve"> </w:t>
      </w:r>
      <w:r w:rsidRPr="00AB2265">
        <w:t>median time to achieve response between treatment arms was not large, being 0.19 days (2.69 vs 2.88)</w:t>
      </w:r>
      <w:r w:rsidR="00DF3C30" w:rsidRPr="00AB2265">
        <w:t>, or 1.55 days in the 75</w:t>
      </w:r>
      <w:r w:rsidR="00DF3C30" w:rsidRPr="00AB2265">
        <w:rPr>
          <w:vertAlign w:val="superscript"/>
        </w:rPr>
        <w:t>th</w:t>
      </w:r>
      <w:r w:rsidR="00DF3C30" w:rsidRPr="00AB2265">
        <w:t xml:space="preserve"> percentile (2.95 vs 4.50)</w:t>
      </w:r>
      <w:r w:rsidRPr="00AB2265">
        <w:t xml:space="preserve">. </w:t>
      </w:r>
    </w:p>
    <w:p w:rsidR="008A6B4A" w:rsidRPr="00AB2265" w:rsidRDefault="00591A90" w:rsidP="00FA4FE5">
      <w:pPr>
        <w:pStyle w:val="ExecSumBodyText"/>
        <w:numPr>
          <w:ilvl w:val="1"/>
          <w:numId w:val="1"/>
        </w:numPr>
      </w:pPr>
      <w:r w:rsidRPr="00AB2265">
        <w:t xml:space="preserve">The PBAC further noted </w:t>
      </w:r>
      <w:r w:rsidR="008A6B4A" w:rsidRPr="00AB2265">
        <w:t>that during the double-blinded treatment period, treatment</w:t>
      </w:r>
      <w:r w:rsidRPr="00AB2265">
        <w:t xml:space="preserve"> with caplacizumab was associated wi</w:t>
      </w:r>
      <w:r w:rsidR="003062A5" w:rsidRPr="00AB2265">
        <w:t>th a statistically significant</w:t>
      </w:r>
      <w:r w:rsidRPr="00AB2265">
        <w:t xml:space="preserve"> improvement in the composite endpoint of TTP-related mortality, recurrence, or major thromboembolic event compared with placebo. </w:t>
      </w:r>
      <w:r w:rsidR="008A6B4A" w:rsidRPr="00AB2265">
        <w:t>However it noted that t</w:t>
      </w:r>
      <w:r w:rsidRPr="00AB2265">
        <w:t xml:space="preserve">his difference was primarily driven by disease </w:t>
      </w:r>
      <w:r w:rsidR="00A004DB" w:rsidRPr="00AB2265">
        <w:t xml:space="preserve">haematological </w:t>
      </w:r>
      <w:r w:rsidRPr="00AB2265">
        <w:t xml:space="preserve">recurrence. Given the higher proportion of patients in the placebo arm with recurrent disease at baseline, the </w:t>
      </w:r>
      <w:r w:rsidR="008A6B4A" w:rsidRPr="00AB2265">
        <w:t>PBAC considered the significance of this result was</w:t>
      </w:r>
      <w:r w:rsidRPr="00AB2265">
        <w:t xml:space="preserve"> unclear.</w:t>
      </w:r>
      <w:r w:rsidR="008A6B4A" w:rsidRPr="00AB2265">
        <w:t xml:space="preserve"> </w:t>
      </w:r>
    </w:p>
    <w:p w:rsidR="00051F1E" w:rsidRPr="00AB2265" w:rsidRDefault="008A6B4A" w:rsidP="000D7E16">
      <w:pPr>
        <w:pStyle w:val="ExecSumBodyText"/>
        <w:numPr>
          <w:ilvl w:val="1"/>
          <w:numId w:val="1"/>
        </w:numPr>
      </w:pPr>
      <w:r w:rsidRPr="00AB2265">
        <w:t xml:space="preserve">The PBAC noted there were no appreciable differences between treatment arms in the overall numbers of events in the HERCULES trial. Although there was a numerical trend towards a reduction in some individual events associated with treatment with caplacizumab in the overall study period (stroke), </w:t>
      </w:r>
      <w:r w:rsidR="00A004DB" w:rsidRPr="00AB2265">
        <w:t>results were</w:t>
      </w:r>
      <w:r w:rsidRPr="00AB2265">
        <w:t xml:space="preserve"> based on very small numbers of events and </w:t>
      </w:r>
      <w:r w:rsidR="007A505B" w:rsidRPr="00AB2265">
        <w:t>were considered</w:t>
      </w:r>
      <w:r w:rsidRPr="00AB2265">
        <w:t xml:space="preserve"> unlikely to be clinically meaningful.</w:t>
      </w:r>
      <w:r w:rsidR="000D7E16" w:rsidRPr="00AB2265">
        <w:t xml:space="preserve"> The PBAC further considered that a reduction in end-organ damage and/or mortality was a more clinically relevant outcome than haematologically-assessed recurrence. </w:t>
      </w:r>
    </w:p>
    <w:p w:rsidR="00E11EC4" w:rsidRPr="00AB2265" w:rsidRDefault="005F7486" w:rsidP="00E11EC4">
      <w:pPr>
        <w:pStyle w:val="ExecSumBodyText"/>
        <w:numPr>
          <w:ilvl w:val="1"/>
          <w:numId w:val="1"/>
        </w:numPr>
      </w:pPr>
      <w:r w:rsidRPr="00AB2265">
        <w:t>Based on the results o</w:t>
      </w:r>
      <w:r w:rsidR="001C4B8E" w:rsidRPr="00AB2265">
        <w:t>f</w:t>
      </w:r>
      <w:r w:rsidRPr="00AB2265">
        <w:t xml:space="preserve"> the </w:t>
      </w:r>
      <w:r w:rsidR="001C4B8E" w:rsidRPr="00AB2265">
        <w:t>HERCULES trial</w:t>
      </w:r>
      <w:r w:rsidR="000D7E16" w:rsidRPr="00AB2265">
        <w:t>,</w:t>
      </w:r>
      <w:r w:rsidR="00E11EC4" w:rsidRPr="00AB2265">
        <w:t xml:space="preserve"> the PBAC considered the submission’s claim of superior effectiveness of caplacizumab in combination with SoC compared with SoC alone for the treatment of aTTP was </w:t>
      </w:r>
      <w:r w:rsidR="001C4B8E" w:rsidRPr="00AB2265">
        <w:t xml:space="preserve">supported </w:t>
      </w:r>
      <w:r w:rsidR="00E11EC4" w:rsidRPr="00AB2265">
        <w:t xml:space="preserve">in relation to </w:t>
      </w:r>
      <w:r w:rsidR="00670F9B" w:rsidRPr="00AB2265">
        <w:t xml:space="preserve">slightly faster </w:t>
      </w:r>
      <w:r w:rsidR="00E11EC4" w:rsidRPr="00AB2265">
        <w:t>time to platelet normalisation and reduction in haematological aTTP recurrence</w:t>
      </w:r>
      <w:r w:rsidR="001C4B8E" w:rsidRPr="00AB2265">
        <w:t xml:space="preserve">, </w:t>
      </w:r>
      <w:r w:rsidR="00583C13" w:rsidRPr="00AB2265">
        <w:t xml:space="preserve">although the PBAC had low confidence in these trial results given </w:t>
      </w:r>
      <w:r w:rsidR="001C4B8E" w:rsidRPr="00AB2265">
        <w:t>the high risk of bias</w:t>
      </w:r>
      <w:r w:rsidR="00583C13" w:rsidRPr="00AB2265">
        <w:t xml:space="preserve">, </w:t>
      </w:r>
      <w:r w:rsidR="00583C13" w:rsidRPr="00AB2265">
        <w:lastRenderedPageBreak/>
        <w:t>the</w:t>
      </w:r>
      <w:r w:rsidR="001C4B8E" w:rsidRPr="00AB2265">
        <w:t xml:space="preserve"> </w:t>
      </w:r>
      <w:r w:rsidR="00583C13" w:rsidRPr="00AB2265">
        <w:t xml:space="preserve">trial </w:t>
      </w:r>
      <w:r w:rsidR="001C4B8E" w:rsidRPr="00AB2265">
        <w:t>design, small size, and conduct issues</w:t>
      </w:r>
      <w:r w:rsidR="00E11EC4" w:rsidRPr="00AB2265">
        <w:t xml:space="preserve">. </w:t>
      </w:r>
      <w:r w:rsidR="00583C13" w:rsidRPr="00AB2265">
        <w:t>T</w:t>
      </w:r>
      <w:r w:rsidR="00E11EC4" w:rsidRPr="00AB2265">
        <w:t xml:space="preserve">he PBAC considered there was little to no evidence suggesting caplacizumab reduced the </w:t>
      </w:r>
      <w:r w:rsidR="009E312C" w:rsidRPr="00AB2265">
        <w:t>risk of the major thromboembolic events (</w:t>
      </w:r>
      <w:r w:rsidR="00E11EC4" w:rsidRPr="00AB2265">
        <w:t>end-organ damage</w:t>
      </w:r>
      <w:r w:rsidR="009E312C" w:rsidRPr="00AB2265">
        <w:t>)</w:t>
      </w:r>
      <w:r w:rsidR="00A01057" w:rsidRPr="00AB2265">
        <w:t>, mortality</w:t>
      </w:r>
      <w:r w:rsidR="00E11EC4" w:rsidRPr="00AB2265">
        <w:t xml:space="preserve"> or duration of PEX</w:t>
      </w:r>
      <w:r w:rsidR="009E312C" w:rsidRPr="00AB2265">
        <w:t xml:space="preserve"> treatment</w:t>
      </w:r>
      <w:r w:rsidR="00E11EC4" w:rsidRPr="00AB2265">
        <w:t xml:space="preserve">. </w:t>
      </w:r>
    </w:p>
    <w:p w:rsidR="003F029B" w:rsidRPr="00AB2265" w:rsidRDefault="008C0871" w:rsidP="003F029B">
      <w:pPr>
        <w:pStyle w:val="ExecSumBodyText"/>
        <w:numPr>
          <w:ilvl w:val="1"/>
          <w:numId w:val="1"/>
        </w:numPr>
      </w:pPr>
      <w:r w:rsidRPr="00AB2265">
        <w:t xml:space="preserve">The PBAC considered the submission’s claim of inferior safety of caplacizumab versus SoC was appropriate. </w:t>
      </w:r>
      <w:r w:rsidR="008A3486" w:rsidRPr="00AB2265">
        <w:t xml:space="preserve">The PBAC noted caplacizumab was associated with a number of adverse events, </w:t>
      </w:r>
      <w:r w:rsidR="009E312C" w:rsidRPr="00AB2265">
        <w:t xml:space="preserve">including </w:t>
      </w:r>
      <w:r w:rsidR="008A3486" w:rsidRPr="00AB2265">
        <w:t>bleeding</w:t>
      </w:r>
      <w:r w:rsidR="009A54B7" w:rsidRPr="00AB2265">
        <w:t xml:space="preserve">-related </w:t>
      </w:r>
      <w:r w:rsidR="008A3486" w:rsidRPr="00AB2265">
        <w:t>adverse events</w:t>
      </w:r>
      <w:r w:rsidR="009E312C" w:rsidRPr="00AB2265">
        <w:t>,</w:t>
      </w:r>
      <w:r w:rsidR="008A3486" w:rsidRPr="00AB2265">
        <w:t xml:space="preserve"> </w:t>
      </w:r>
      <w:r w:rsidR="009E312C" w:rsidRPr="00AB2265">
        <w:t xml:space="preserve">which </w:t>
      </w:r>
      <w:r w:rsidR="008A3486" w:rsidRPr="00AB2265">
        <w:t>were reported for 47 patients (66.2%) in the do</w:t>
      </w:r>
      <w:r w:rsidR="005F7486" w:rsidRPr="00AB2265">
        <w:t>uble blind caplacizumab group compared to</w:t>
      </w:r>
      <w:r w:rsidR="008A3486" w:rsidRPr="00AB2265">
        <w:t xml:space="preserve"> 36 patients (49.3%) in the double blind placebo group. </w:t>
      </w:r>
      <w:r w:rsidR="003F029B" w:rsidRPr="00AB2265">
        <w:t>The PBAC noted two patients in the HERCULES trial experienced serious bleeding related treatment emergent adverse events which were considered at least potentially related to caplacizumab: one case each of subarachnoid haemorrhage and uterine bleeding.</w:t>
      </w:r>
    </w:p>
    <w:p w:rsidR="008A3486" w:rsidRPr="00AB2265" w:rsidRDefault="00E91BD6" w:rsidP="00FA4FE5">
      <w:pPr>
        <w:pStyle w:val="ExecSumBodyText"/>
        <w:numPr>
          <w:ilvl w:val="1"/>
          <w:numId w:val="1"/>
        </w:numPr>
      </w:pPr>
      <w:r w:rsidRPr="00AB2265">
        <w:t>The PBAC consi</w:t>
      </w:r>
      <w:r w:rsidR="00A048C0" w:rsidRPr="00AB2265">
        <w:t xml:space="preserve">dered the economic evaluation </w:t>
      </w:r>
      <w:r w:rsidRPr="00AB2265">
        <w:t xml:space="preserve">presented was highly uncertain and favoured caplacizumab. </w:t>
      </w:r>
      <w:r w:rsidR="00557709" w:rsidRPr="00AB2265">
        <w:t xml:space="preserve">The model structure did not adequately capture the long term consequences of events occurring in the acute phase, with </w:t>
      </w:r>
      <w:r w:rsidR="00A048C0" w:rsidRPr="00AB2265">
        <w:t xml:space="preserve">cost-effectiveness, with favourable assumptions built into the model, </w:t>
      </w:r>
      <w:r w:rsidR="00310BFD" w:rsidRPr="00AB2265">
        <w:t>only approached</w:t>
      </w:r>
      <w:r w:rsidR="00A048C0" w:rsidRPr="00AB2265">
        <w:t xml:space="preserve"> at approximately 50 years </w:t>
      </w:r>
      <w:r w:rsidR="00557709" w:rsidRPr="00AB2265">
        <w:t>following an acute episode</w:t>
      </w:r>
      <w:r w:rsidR="00A048C0" w:rsidRPr="00AB2265">
        <w:t xml:space="preserve">. </w:t>
      </w:r>
      <w:r w:rsidRPr="00AB2265">
        <w:t>The PBAC agreed with the ESC and considered the economic model structure and inputs required extensive revision.</w:t>
      </w:r>
      <w:r w:rsidR="00A048C0" w:rsidRPr="00AB2265">
        <w:t xml:space="preserve"> The PBAC noted this would be difficult with the trial data available given the small patient numbers and lack of long-term follow up data. </w:t>
      </w:r>
    </w:p>
    <w:p w:rsidR="00AD0EC5" w:rsidRPr="00AB2265" w:rsidRDefault="00373147" w:rsidP="00AD0EC5">
      <w:pPr>
        <w:pStyle w:val="ExecSumBodyText"/>
        <w:numPr>
          <w:ilvl w:val="1"/>
          <w:numId w:val="1"/>
        </w:numPr>
      </w:pPr>
      <w:r w:rsidRPr="00AB2265">
        <w:t xml:space="preserve">The PBAC noted that treatment with caplacizumab was associated with a </w:t>
      </w:r>
      <w:r w:rsidR="00A048C0" w:rsidRPr="00AB2265">
        <w:t xml:space="preserve">high </w:t>
      </w:r>
      <w:r w:rsidRPr="00AB2265">
        <w:t xml:space="preserve">cost per QALY gained of </w:t>
      </w:r>
      <w:r w:rsidR="00947393">
        <w:rPr>
          <w:rFonts w:cstheme="minorHAnsi"/>
        </w:rPr>
        <w:t>$75,000 to &lt; $8</w:t>
      </w:r>
      <w:r w:rsidR="00947393" w:rsidRPr="00B1026A">
        <w:rPr>
          <w:rFonts w:cstheme="minorHAnsi"/>
        </w:rPr>
        <w:t>5,000</w:t>
      </w:r>
      <w:r w:rsidR="00947393">
        <w:rPr>
          <w:rFonts w:cstheme="minorHAnsi"/>
        </w:rPr>
        <w:t xml:space="preserve"> </w:t>
      </w:r>
      <w:r w:rsidRPr="00AB2265">
        <w:t xml:space="preserve">compared with SoC. </w:t>
      </w:r>
      <w:r w:rsidR="00AD0EC5" w:rsidRPr="00AB2265">
        <w:t xml:space="preserve">The PBAC further noted </w:t>
      </w:r>
      <w:r w:rsidRPr="00AB2265">
        <w:t xml:space="preserve">the modelled survival benefit with caplacizumab </w:t>
      </w:r>
      <w:r w:rsidR="005F7486" w:rsidRPr="00AB2265">
        <w:t xml:space="preserve">treatment during the acute </w:t>
      </w:r>
      <w:r w:rsidRPr="00AB2265">
        <w:t>episode</w:t>
      </w:r>
      <w:r w:rsidR="005F7486" w:rsidRPr="00AB2265">
        <w:t xml:space="preserve"> of aTTP</w:t>
      </w:r>
      <w:r w:rsidRPr="00AB2265">
        <w:t xml:space="preserve"> and extrapolation to 60 years</w:t>
      </w:r>
      <w:r w:rsidR="00B9507C" w:rsidRPr="00AB2265">
        <w:t xml:space="preserve"> (significantly beyond the trial duration)</w:t>
      </w:r>
      <w:r w:rsidRPr="00AB2265">
        <w:t xml:space="preserve"> had the largest impacts on the stepped economic evaluation</w:t>
      </w:r>
      <w:r w:rsidR="00165AE8" w:rsidRPr="00AB2265">
        <w:t xml:space="preserve"> (Table 19</w:t>
      </w:r>
      <w:r w:rsidRPr="00AB2265">
        <w:t xml:space="preserve">). </w:t>
      </w:r>
      <w:r w:rsidR="00AD0EC5" w:rsidRPr="00AB2265">
        <w:t>Given</w:t>
      </w:r>
      <w:r w:rsidR="00B9507C" w:rsidRPr="00AB2265">
        <w:t xml:space="preserve"> the extrapolated</w:t>
      </w:r>
      <w:r w:rsidR="00AD0EC5" w:rsidRPr="00AB2265">
        <w:t xml:space="preserve"> benefits to 60 years </w:t>
      </w:r>
      <w:r w:rsidR="00B9507C" w:rsidRPr="00AB2265">
        <w:t>were</w:t>
      </w:r>
      <w:r w:rsidR="00AD0EC5" w:rsidRPr="00AB2265">
        <w:t xml:space="preserve"> based on limited mortality data from the trials combined with mortality rates from the Alwan 2017 study, an assumed survival benefit with caplacizumab and inadequately supported assumptions regarding long-term consequences, the PBAC agreed with the ESC and considered the cost-effectiveness estimate should not be considered reliable. </w:t>
      </w:r>
    </w:p>
    <w:p w:rsidR="002214B2" w:rsidRPr="00AB2265" w:rsidRDefault="001123AF" w:rsidP="002214B2">
      <w:pPr>
        <w:pStyle w:val="ExecSumBodyText"/>
        <w:numPr>
          <w:ilvl w:val="1"/>
          <w:numId w:val="1"/>
        </w:numPr>
      </w:pPr>
      <w:r w:rsidRPr="00AB2265">
        <w:t>The P</w:t>
      </w:r>
      <w:r w:rsidR="005F7486" w:rsidRPr="00AB2265">
        <w:t xml:space="preserve">BAC noted the Markov trace </w:t>
      </w:r>
      <w:r w:rsidR="0060439C" w:rsidRPr="00AB2265">
        <w:t>(</w:t>
      </w:r>
      <w:r w:rsidR="00647D30" w:rsidRPr="00AB2265">
        <w:t>Figure 4</w:t>
      </w:r>
      <w:r w:rsidR="0060439C" w:rsidRPr="00AB2265">
        <w:t xml:space="preserve">) </w:t>
      </w:r>
      <w:r w:rsidR="005F7486" w:rsidRPr="00AB2265">
        <w:t>showed</w:t>
      </w:r>
      <w:r w:rsidRPr="00AB2265">
        <w:t xml:space="preserve"> </w:t>
      </w:r>
      <w:r w:rsidR="002214B2" w:rsidRPr="00AB2265">
        <w:t>t</w:t>
      </w:r>
      <w:r w:rsidRPr="00AB2265">
        <w:t>he ongoing benefit</w:t>
      </w:r>
      <w:r w:rsidR="002214B2" w:rsidRPr="00AB2265">
        <w:t xml:space="preserve"> of remaining in the no prior MI/stroke health state from Cycle 2 (6 months)</w:t>
      </w:r>
      <w:r w:rsidRPr="00AB2265">
        <w:t xml:space="preserve"> was driven by deaths occurring due to the acute aTTP episode, with events due to MI and stroke having a minimal impact.</w:t>
      </w:r>
      <w:r w:rsidR="002214B2" w:rsidRPr="00AB2265">
        <w:t xml:space="preserve"> The PBAC noted the mortality rates in the model assumed a 91% reduction in mortality due to the addition of caplacizumab to standard of care, which was not supported by the HERCULES trial data. </w:t>
      </w:r>
      <w:r w:rsidR="005F7486" w:rsidRPr="00AB2265">
        <w:t>Further</w:t>
      </w:r>
      <w:r w:rsidR="002214B2" w:rsidRPr="00AB2265">
        <w:t>, the model did not allow deaths in the acute phase which was inconsistent with underlying data.</w:t>
      </w:r>
    </w:p>
    <w:p w:rsidR="00EE3BD8" w:rsidRPr="00AB2265" w:rsidRDefault="00EE3BD8" w:rsidP="002214B2">
      <w:pPr>
        <w:pStyle w:val="ExecSumBodyText"/>
        <w:numPr>
          <w:ilvl w:val="1"/>
          <w:numId w:val="1"/>
        </w:numPr>
      </w:pPr>
      <w:r w:rsidRPr="00AB2265">
        <w:t>The PBAC also noted the following additional issues related to the economic model:</w:t>
      </w:r>
    </w:p>
    <w:p w:rsidR="00AA3593" w:rsidRPr="00AB2265" w:rsidRDefault="003A39E4" w:rsidP="00AA3593">
      <w:pPr>
        <w:pStyle w:val="ExecSumBodyText"/>
        <w:numPr>
          <w:ilvl w:val="0"/>
          <w:numId w:val="33"/>
        </w:numPr>
      </w:pPr>
      <w:r w:rsidRPr="00AB2265">
        <w:t>The i</w:t>
      </w:r>
      <w:r w:rsidR="00AA3593" w:rsidRPr="00AB2265">
        <w:t>ncrease in</w:t>
      </w:r>
      <w:r w:rsidRPr="00AB2265">
        <w:t xml:space="preserve"> significant bleeding events in</w:t>
      </w:r>
      <w:r w:rsidR="00AA3593" w:rsidRPr="00AB2265">
        <w:t xml:space="preserve"> patients treated with caplacizumab was not captured in the model</w:t>
      </w:r>
      <w:r w:rsidR="00647D30" w:rsidRPr="00AB2265">
        <w:t>;</w:t>
      </w:r>
    </w:p>
    <w:p w:rsidR="00AA3593" w:rsidRPr="00AB2265" w:rsidRDefault="003A39E4" w:rsidP="00AA3593">
      <w:pPr>
        <w:pStyle w:val="ExecSumBodyText"/>
        <w:numPr>
          <w:ilvl w:val="0"/>
          <w:numId w:val="33"/>
        </w:numPr>
      </w:pPr>
      <w:r w:rsidRPr="00AB2265">
        <w:lastRenderedPageBreak/>
        <w:t>T</w:t>
      </w:r>
      <w:r w:rsidR="00AA3593" w:rsidRPr="00AB2265">
        <w:t xml:space="preserve">he </w:t>
      </w:r>
      <w:r w:rsidRPr="00AB2265">
        <w:t xml:space="preserve">model </w:t>
      </w:r>
      <w:r w:rsidR="00AA3593" w:rsidRPr="00AB2265">
        <w:t>structure did not allow for subsequent events or relapses, which was inconsistent with the evidence presented, which suggested recurrence occurred in close to 40% of patients following their initial presentation of aTTP in the placebo arm</w:t>
      </w:r>
      <w:r w:rsidR="00647D30" w:rsidRPr="00AB2265">
        <w:t>;</w:t>
      </w:r>
    </w:p>
    <w:p w:rsidR="00647D30" w:rsidRPr="00AB2265" w:rsidRDefault="003A39E4" w:rsidP="00AA3593">
      <w:pPr>
        <w:pStyle w:val="ExecSumBodyText"/>
        <w:numPr>
          <w:ilvl w:val="0"/>
          <w:numId w:val="33"/>
        </w:numPr>
      </w:pPr>
      <w:r w:rsidRPr="00AB2265">
        <w:t>T</w:t>
      </w:r>
      <w:r w:rsidR="00647D30" w:rsidRPr="00AB2265">
        <w:t xml:space="preserve">he utility value for an acute MI lacks face validity as it appears significantly worse than the utility value for an acute stroke; and </w:t>
      </w:r>
    </w:p>
    <w:p w:rsidR="00647D30" w:rsidRPr="00AB2265" w:rsidRDefault="003A39E4" w:rsidP="00647D30">
      <w:pPr>
        <w:pStyle w:val="ExecSumBodyText"/>
        <w:numPr>
          <w:ilvl w:val="0"/>
          <w:numId w:val="33"/>
        </w:numPr>
        <w:rPr>
          <w:rFonts w:eastAsia="SimSun"/>
          <w:b/>
        </w:rPr>
      </w:pPr>
      <w:r w:rsidRPr="00AB2265">
        <w:t xml:space="preserve">The </w:t>
      </w:r>
      <w:r w:rsidR="00647D30" w:rsidRPr="00AB2265">
        <w:t>modelled extrapolation resulted in substantial prolonged benefits in the caplacizumab arm, driven by a greater number of patients remaining in the no prior MI/stroke health state compared to standard of care, with no ongoing costs or consequences</w:t>
      </w:r>
      <w:r w:rsidR="00AB2265">
        <w:t xml:space="preserve">. </w:t>
      </w:r>
    </w:p>
    <w:p w:rsidR="0032235A" w:rsidRPr="00AB2265" w:rsidRDefault="00191C0B" w:rsidP="00191C0B">
      <w:pPr>
        <w:pStyle w:val="ExecSumBodyText"/>
        <w:numPr>
          <w:ilvl w:val="1"/>
          <w:numId w:val="1"/>
        </w:numPr>
        <w:rPr>
          <w:rFonts w:eastAsia="SimSun"/>
          <w:b/>
        </w:rPr>
      </w:pPr>
      <w:r w:rsidRPr="00AB2265">
        <w:t>The PBAC noted the utilisation estimates only accounted for incident patients</w:t>
      </w:r>
      <w:r w:rsidR="0060439C" w:rsidRPr="00AB2265">
        <w:t>, while also noting</w:t>
      </w:r>
      <w:r w:rsidRPr="00AB2265">
        <w:rPr>
          <w:rFonts w:eastAsia="SimSun"/>
        </w:rPr>
        <w:t xml:space="preserve"> </w:t>
      </w:r>
      <w:r w:rsidR="00440535" w:rsidRPr="00AB2265">
        <w:rPr>
          <w:rFonts w:eastAsia="SimSun"/>
        </w:rPr>
        <w:t xml:space="preserve">that </w:t>
      </w:r>
      <w:r w:rsidRPr="00AB2265">
        <w:rPr>
          <w:rFonts w:eastAsia="SimSun"/>
        </w:rPr>
        <w:t>the Thrombotic Thrombocytopenia Purpura / Thrombotic Microangiopathies Registry managed by Monash University</w:t>
      </w:r>
      <w:r w:rsidR="003A39E4" w:rsidRPr="00AB2265">
        <w:rPr>
          <w:rFonts w:eastAsia="SimSun"/>
        </w:rPr>
        <w:t>,</w:t>
      </w:r>
      <w:r w:rsidRPr="00AB2265">
        <w:rPr>
          <w:rFonts w:eastAsia="SimSun"/>
        </w:rPr>
        <w:t xml:space="preserve"> estimated 312 people in Australia</w:t>
      </w:r>
      <w:r w:rsidR="00440535" w:rsidRPr="00AB2265">
        <w:rPr>
          <w:rFonts w:eastAsia="SimSun"/>
        </w:rPr>
        <w:t xml:space="preserve"> are</w:t>
      </w:r>
      <w:r w:rsidRPr="00AB2265">
        <w:rPr>
          <w:rFonts w:eastAsia="SimSun"/>
        </w:rPr>
        <w:t xml:space="preserve"> currently liv</w:t>
      </w:r>
      <w:r w:rsidR="00440535" w:rsidRPr="00AB2265">
        <w:rPr>
          <w:rFonts w:eastAsia="SimSun"/>
        </w:rPr>
        <w:t>ing with the disease</w:t>
      </w:r>
      <w:r w:rsidR="0060439C" w:rsidRPr="00AB2265">
        <w:rPr>
          <w:rFonts w:eastAsia="SimSun"/>
        </w:rPr>
        <w:t xml:space="preserve"> and</w:t>
      </w:r>
      <w:r w:rsidR="00440535" w:rsidRPr="00AB2265">
        <w:rPr>
          <w:rFonts w:eastAsia="SimSun"/>
        </w:rPr>
        <w:t xml:space="preserve"> were</w:t>
      </w:r>
      <w:r w:rsidRPr="00AB2265">
        <w:rPr>
          <w:rFonts w:eastAsia="SimSun"/>
        </w:rPr>
        <w:t xml:space="preserve"> not accounted for</w:t>
      </w:r>
      <w:r w:rsidR="00440535" w:rsidRPr="00AB2265">
        <w:rPr>
          <w:rFonts w:eastAsia="SimSun"/>
        </w:rPr>
        <w:t xml:space="preserve"> in the utilisation estimates</w:t>
      </w:r>
      <w:r w:rsidRPr="00AB2265">
        <w:rPr>
          <w:rFonts w:eastAsia="SimSun"/>
        </w:rPr>
        <w:t xml:space="preserve">. </w:t>
      </w:r>
      <w:r w:rsidR="0032235A" w:rsidRPr="00AB2265">
        <w:t>The PBAC considered the utilisation estimates</w:t>
      </w:r>
      <w:r w:rsidR="0060439C" w:rsidRPr="00AB2265">
        <w:t xml:space="preserve"> presented in the submission</w:t>
      </w:r>
      <w:r w:rsidR="0032235A" w:rsidRPr="00AB2265">
        <w:t xml:space="preserve"> were </w:t>
      </w:r>
      <w:r w:rsidR="00440535" w:rsidRPr="00AB2265">
        <w:t>very uncertain</w:t>
      </w:r>
      <w:r w:rsidR="0032235A" w:rsidRPr="00AB2265">
        <w:t xml:space="preserve"> and most likely underestimated. </w:t>
      </w:r>
    </w:p>
    <w:p w:rsidR="00E91BD6" w:rsidRPr="00AB2265" w:rsidRDefault="003A39E4" w:rsidP="00AE4975">
      <w:pPr>
        <w:pStyle w:val="ExecSumBodyText"/>
        <w:numPr>
          <w:ilvl w:val="1"/>
          <w:numId w:val="1"/>
        </w:numPr>
      </w:pPr>
      <w:r w:rsidRPr="00AB2265">
        <w:t xml:space="preserve">The PBAC </w:t>
      </w:r>
      <w:r w:rsidR="00A433E3" w:rsidRPr="00AB2265">
        <w:t>agreed with the DUSC that free samples offered or supplied to patients/clinicians at the beginning of treatment may be problematic from a QUM perspective as it may increase prescribing where it may not be clinically appropriate and that the Sponsor should suggest another method to offset the cost.</w:t>
      </w:r>
    </w:p>
    <w:p w:rsidR="004D6AEB" w:rsidRPr="00AB2265" w:rsidRDefault="004D6AEB" w:rsidP="004D6AEB">
      <w:pPr>
        <w:pStyle w:val="ExecSumBodyText"/>
        <w:numPr>
          <w:ilvl w:val="1"/>
          <w:numId w:val="1"/>
        </w:numPr>
      </w:pPr>
      <w:r w:rsidRPr="00AB2265">
        <w:t>The PBAC considered any r</w:t>
      </w:r>
      <w:r w:rsidR="000F3BD3" w:rsidRPr="00AB2265">
        <w:t xml:space="preserve">esubmission should be a major </w:t>
      </w:r>
      <w:r w:rsidRPr="00AB2265">
        <w:t>submission and require</w:t>
      </w:r>
      <w:r w:rsidR="00EC63EC" w:rsidRPr="00AB2265">
        <w:t>s</w:t>
      </w:r>
      <w:r w:rsidRPr="00AB2265">
        <w:t>:</w:t>
      </w:r>
    </w:p>
    <w:p w:rsidR="004D6AEB" w:rsidRPr="00AB2265" w:rsidRDefault="004D6AEB" w:rsidP="004D6AEB">
      <w:pPr>
        <w:pStyle w:val="ExecSumBodyText"/>
        <w:numPr>
          <w:ilvl w:val="0"/>
          <w:numId w:val="32"/>
        </w:numPr>
      </w:pPr>
      <w:r w:rsidRPr="00AB2265">
        <w:t>New clinical trial data, demonstrating that over time, caplacizumab resulted in an improvement in end organ damage and reduction in mortality;</w:t>
      </w:r>
    </w:p>
    <w:p w:rsidR="00EC63EC" w:rsidRPr="00AB2265" w:rsidRDefault="00EC63EC" w:rsidP="004D6AEB">
      <w:pPr>
        <w:pStyle w:val="ExecSumBodyText"/>
        <w:numPr>
          <w:ilvl w:val="0"/>
          <w:numId w:val="32"/>
        </w:numPr>
      </w:pPr>
      <w:r w:rsidRPr="00AB2265">
        <w:t>More clarity around the appropriate clinical place in therapy for use in the acute setting, preventing haematological relapse, or both;</w:t>
      </w:r>
    </w:p>
    <w:p w:rsidR="004D6AEB" w:rsidRPr="00AB2265" w:rsidRDefault="004D6AEB" w:rsidP="004D6AEB">
      <w:pPr>
        <w:pStyle w:val="ExecSumBodyText"/>
        <w:numPr>
          <w:ilvl w:val="0"/>
          <w:numId w:val="32"/>
        </w:numPr>
      </w:pPr>
      <w:r w:rsidRPr="00AB2265">
        <w:t>A revised economic model, addressing the significant structural issues present in the current model;</w:t>
      </w:r>
    </w:p>
    <w:p w:rsidR="004D6AEB" w:rsidRPr="00AB2265" w:rsidRDefault="004D6AEB" w:rsidP="004D6AEB">
      <w:pPr>
        <w:pStyle w:val="ExecSumBodyText"/>
        <w:numPr>
          <w:ilvl w:val="0"/>
          <w:numId w:val="32"/>
        </w:numPr>
      </w:pPr>
      <w:r w:rsidRPr="00AB2265">
        <w:t xml:space="preserve">A price reduction to be factored into any revised model; </w:t>
      </w:r>
      <w:r w:rsidR="000F3BD3" w:rsidRPr="00AB2265">
        <w:t>and</w:t>
      </w:r>
    </w:p>
    <w:p w:rsidR="000F3BD3" w:rsidRPr="00AB2265" w:rsidRDefault="000F3BD3" w:rsidP="004D6AEB">
      <w:pPr>
        <w:pStyle w:val="ExecSumBodyText"/>
        <w:numPr>
          <w:ilvl w:val="0"/>
          <w:numId w:val="32"/>
        </w:numPr>
      </w:pPr>
      <w:r w:rsidRPr="00AB2265">
        <w:t>The submission to focus on the PBS-eligible component of treatment, delivered in the outpatient setting</w:t>
      </w:r>
    </w:p>
    <w:p w:rsidR="004D6AEB" w:rsidRPr="00AB2265" w:rsidRDefault="004D6AEB" w:rsidP="004D6AEB">
      <w:pPr>
        <w:pStyle w:val="ExecSumBodyText"/>
        <w:numPr>
          <w:ilvl w:val="1"/>
          <w:numId w:val="1"/>
        </w:numPr>
      </w:pPr>
      <w:r w:rsidRPr="00AB2265">
        <w:t xml:space="preserve">The PBAC noted that this submission is eligible for an Independent Review. </w:t>
      </w:r>
    </w:p>
    <w:p w:rsidR="004D6AEB" w:rsidRPr="00AB2265" w:rsidRDefault="004D6AEB" w:rsidP="004D6AEB">
      <w:pPr>
        <w:pStyle w:val="ExecSumBodyText"/>
        <w:numPr>
          <w:ilvl w:val="0"/>
          <w:numId w:val="0"/>
        </w:numPr>
        <w:ind w:left="720"/>
      </w:pPr>
    </w:p>
    <w:p w:rsidR="008C55E6" w:rsidRPr="002A78F0" w:rsidRDefault="00C979CC" w:rsidP="008C55E6">
      <w:pPr>
        <w:pStyle w:val="ExecSumBodyText"/>
        <w:numPr>
          <w:ilvl w:val="0"/>
          <w:numId w:val="0"/>
        </w:numPr>
        <w:ind w:left="720" w:hanging="720"/>
        <w:rPr>
          <w:b/>
        </w:rPr>
      </w:pPr>
      <w:r w:rsidRPr="002A78F0">
        <w:rPr>
          <w:b/>
        </w:rPr>
        <w:t>O</w:t>
      </w:r>
      <w:r w:rsidR="008C55E6" w:rsidRPr="002A78F0">
        <w:rPr>
          <w:b/>
        </w:rPr>
        <w:t>utcome:</w:t>
      </w:r>
    </w:p>
    <w:p w:rsidR="00E54BC8" w:rsidRDefault="008C55E6" w:rsidP="008C55E6">
      <w:pPr>
        <w:pStyle w:val="ExecSumBodyText"/>
        <w:numPr>
          <w:ilvl w:val="0"/>
          <w:numId w:val="0"/>
        </w:numPr>
        <w:ind w:left="720" w:hanging="720"/>
      </w:pPr>
      <w:r w:rsidRPr="00AB2265">
        <w:t>Rejected</w:t>
      </w:r>
    </w:p>
    <w:p w:rsidR="00E54BC8" w:rsidRDefault="00E54BC8" w:rsidP="00E54BC8">
      <w:pPr>
        <w:pStyle w:val="2-SectionHeading"/>
        <w:numPr>
          <w:ilvl w:val="0"/>
          <w:numId w:val="1"/>
        </w:numPr>
        <w:rPr>
          <w:color w:val="1F497D"/>
        </w:rPr>
      </w:pPr>
      <w:r>
        <w:lastRenderedPageBreak/>
        <w:t>Context for Decision</w:t>
      </w:r>
    </w:p>
    <w:p w:rsidR="00E54BC8" w:rsidRDefault="00E54BC8" w:rsidP="00E54BC8">
      <w:pPr>
        <w:rPr>
          <w:rFonts w:asciiTheme="minorHAnsi" w:hAnsiTheme="minorHAnsi"/>
          <w:bCs/>
          <w:lang w:val="en-GB"/>
        </w:rPr>
      </w:pPr>
      <w:r>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E54BC8" w:rsidRDefault="00E54BC8" w:rsidP="00E54BC8">
      <w:pPr>
        <w:pStyle w:val="2-SectionHeading"/>
        <w:numPr>
          <w:ilvl w:val="0"/>
          <w:numId w:val="1"/>
        </w:numPr>
        <w:rPr>
          <w:b w:val="0"/>
        </w:rPr>
      </w:pPr>
      <w:r>
        <w:t>Sponsor’s Comment</w:t>
      </w:r>
    </w:p>
    <w:p w:rsidR="00E55915" w:rsidRPr="00F41A24" w:rsidRDefault="000D5424" w:rsidP="00F41A24">
      <w:pPr>
        <w:tabs>
          <w:tab w:val="left" w:pos="1607"/>
        </w:tabs>
      </w:pPr>
      <w:r w:rsidRPr="000D5424">
        <w:rPr>
          <w:rFonts w:asciiTheme="minorHAnsi" w:hAnsiTheme="minorHAnsi"/>
          <w:bCs/>
          <w:lang w:val="en-GB"/>
        </w:rPr>
        <w:t>While Sanofi is disappointed at the outcome of the PBAC’s consideration of caplacizumab for the treatment of aTTP, we will continue to work with the Committee and the Department to address the areas of uncertainty raised in relation to requested listing in the hope of making this treatment ava</w:t>
      </w:r>
      <w:r w:rsidR="003A39FF">
        <w:rPr>
          <w:rFonts w:asciiTheme="minorHAnsi" w:hAnsiTheme="minorHAnsi"/>
          <w:bCs/>
          <w:lang w:val="en-GB"/>
        </w:rPr>
        <w:t xml:space="preserve">ilable to Australian patients. </w:t>
      </w:r>
    </w:p>
    <w:sectPr w:rsidR="00E55915" w:rsidRPr="00F41A24" w:rsidSect="00251006">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A585A" w16cex:dateUtc="2020-06-21T12:06:00Z"/>
  <w16cex:commentExtensible w16cex:durableId="229A5876" w16cex:dateUtc="2020-06-21T12:06:00Z"/>
  <w16cex:commentExtensible w16cex:durableId="229A5B20" w16cex:dateUtc="2020-06-21T12:18:00Z"/>
  <w16cex:commentExtensible w16cex:durableId="229A5DDA" w16cex:dateUtc="2020-06-21T12:29:00Z"/>
  <w16cex:commentExtensible w16cex:durableId="229ACFBE" w16cex:dateUtc="2020-06-21T20:35:00Z"/>
  <w16cex:commentExtensible w16cex:durableId="229AD01D" w16cex:dateUtc="2020-06-21T20:37:00Z"/>
  <w16cex:commentExtensible w16cex:durableId="229AD08E" w16cex:dateUtc="2020-06-21T20:39:00Z"/>
  <w16cex:commentExtensible w16cex:durableId="229AD0F3" w16cex:dateUtc="2020-06-21T20:40:00Z"/>
  <w16cex:commentExtensible w16cex:durableId="229AD12A" w16cex:dateUtc="2020-06-21T2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6F0D57C" w16cid:durableId="229A5301"/>
  <w16cid:commentId w16cid:paraId="762C927F" w16cid:durableId="229A585A"/>
  <w16cid:commentId w16cid:paraId="4598366B" w16cid:durableId="229A5302"/>
  <w16cid:commentId w16cid:paraId="6DD79865" w16cid:durableId="229A5876"/>
  <w16cid:commentId w16cid:paraId="330984C2" w16cid:durableId="229A5303"/>
  <w16cid:commentId w16cid:paraId="239D2880" w16cid:durableId="229A5B20"/>
  <w16cid:commentId w16cid:paraId="7D5305DC" w16cid:durableId="229A5304"/>
  <w16cid:commentId w16cid:paraId="3E543292" w16cid:durableId="229A5305"/>
  <w16cid:commentId w16cid:paraId="70F9A095" w16cid:durableId="229A5DDA"/>
  <w16cid:commentId w16cid:paraId="45D674B3" w16cid:durableId="229A5306"/>
  <w16cid:commentId w16cid:paraId="3ED64086" w16cid:durableId="229A5307"/>
  <w16cid:commentId w16cid:paraId="483CEEC5" w16cid:durableId="229ACFBE"/>
  <w16cid:commentId w16cid:paraId="6C0BBD4D" w16cid:durableId="229A5308"/>
  <w16cid:commentId w16cid:paraId="3F29D9E9" w16cid:durableId="229AD01D"/>
  <w16cid:commentId w16cid:paraId="01900E77" w16cid:durableId="229A5309"/>
  <w16cid:commentId w16cid:paraId="59761CDD" w16cid:durableId="229AD08E"/>
  <w16cid:commentId w16cid:paraId="246E1831" w16cid:durableId="229A530A"/>
  <w16cid:commentId w16cid:paraId="3FC7CD25" w16cid:durableId="229AD0F3"/>
  <w16cid:commentId w16cid:paraId="1E707DD8" w16cid:durableId="229A530B"/>
  <w16cid:commentId w16cid:paraId="5642731E" w16cid:durableId="229AD12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A9D" w:rsidRDefault="00DE2A9D" w:rsidP="00124A51">
      <w:r>
        <w:separator/>
      </w:r>
    </w:p>
    <w:p w:rsidR="00DE2A9D" w:rsidRDefault="00DE2A9D"/>
  </w:endnote>
  <w:endnote w:type="continuationSeparator" w:id="0">
    <w:p w:rsidR="00DE2A9D" w:rsidRDefault="00DE2A9D" w:rsidP="00124A51">
      <w:r>
        <w:continuationSeparator/>
      </w:r>
    </w:p>
    <w:p w:rsidR="00DE2A9D" w:rsidRDefault="00DE2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A9D" w:rsidRDefault="00DE2A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D7E" w:rsidRDefault="00E73D7E">
    <w:pPr>
      <w:pStyle w:val="Footer"/>
      <w:jc w:val="center"/>
    </w:pPr>
  </w:p>
  <w:p w:rsidR="00E73D7E" w:rsidRPr="0032686E" w:rsidRDefault="00187C4E">
    <w:pPr>
      <w:pStyle w:val="Footer"/>
      <w:jc w:val="center"/>
      <w:rPr>
        <w:b/>
      </w:rPr>
    </w:pPr>
    <w:sdt>
      <w:sdtPr>
        <w:id w:val="-2019994705"/>
        <w:docPartObj>
          <w:docPartGallery w:val="Page Numbers (Bottom of Page)"/>
          <w:docPartUnique/>
        </w:docPartObj>
      </w:sdtPr>
      <w:sdtEndPr>
        <w:rPr>
          <w:b/>
          <w:noProof/>
        </w:rPr>
      </w:sdtEndPr>
      <w:sdtContent>
        <w:r w:rsidR="00E73D7E" w:rsidRPr="0032686E">
          <w:rPr>
            <w:b/>
          </w:rPr>
          <w:fldChar w:fldCharType="begin"/>
        </w:r>
        <w:r w:rsidR="00E73D7E" w:rsidRPr="0032686E">
          <w:rPr>
            <w:b/>
          </w:rPr>
          <w:instrText xml:space="preserve"> PAGE   \* MERGEFORMAT </w:instrText>
        </w:r>
        <w:r w:rsidR="00E73D7E" w:rsidRPr="0032686E">
          <w:rPr>
            <w:b/>
          </w:rPr>
          <w:fldChar w:fldCharType="separate"/>
        </w:r>
        <w:r>
          <w:rPr>
            <w:b/>
            <w:noProof/>
          </w:rPr>
          <w:t>21</w:t>
        </w:r>
        <w:r w:rsidR="00E73D7E" w:rsidRPr="0032686E">
          <w:rPr>
            <w:b/>
            <w:noProof/>
          </w:rPr>
          <w:fldChar w:fldCharType="end"/>
        </w:r>
      </w:sdtContent>
    </w:sdt>
  </w:p>
  <w:p w:rsidR="00E73D7E" w:rsidRDefault="00E73D7E" w:rsidP="0006681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A9D" w:rsidRDefault="00DE2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A9D" w:rsidRDefault="00DE2A9D" w:rsidP="00124A51">
      <w:r>
        <w:separator/>
      </w:r>
    </w:p>
    <w:p w:rsidR="00DE2A9D" w:rsidRDefault="00DE2A9D"/>
  </w:footnote>
  <w:footnote w:type="continuationSeparator" w:id="0">
    <w:p w:rsidR="00DE2A9D" w:rsidRDefault="00DE2A9D" w:rsidP="00124A51">
      <w:r>
        <w:continuationSeparator/>
      </w:r>
    </w:p>
    <w:p w:rsidR="00DE2A9D" w:rsidRDefault="00DE2A9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A9D" w:rsidRDefault="00DE2A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D7E" w:rsidRDefault="00E73D7E" w:rsidP="0032686E">
    <w:pPr>
      <w:tabs>
        <w:tab w:val="left" w:pos="142"/>
        <w:tab w:val="right" w:pos="9027"/>
      </w:tabs>
      <w:jc w:val="center"/>
      <w:rPr>
        <w:i/>
      </w:rPr>
    </w:pPr>
    <w:r>
      <w:rPr>
        <w:i/>
      </w:rPr>
      <w:t>Public Summary Document - July 2020 PBAC Meeting</w:t>
    </w:r>
  </w:p>
  <w:p w:rsidR="00E73D7E" w:rsidRPr="0032686E" w:rsidRDefault="00E73D7E" w:rsidP="0032686E">
    <w:pPr>
      <w:tabs>
        <w:tab w:val="left" w:pos="142"/>
        <w:tab w:val="right" w:pos="9027"/>
      </w:tabs>
      <w:jc w:val="center"/>
      <w:rPr>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A9D" w:rsidRDefault="00DE2A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1B3801"/>
    <w:multiLevelType w:val="hybridMultilevel"/>
    <w:tmpl w:val="2F2E45AA"/>
    <w:lvl w:ilvl="0" w:tplc="BE3A2D9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80B1C59"/>
    <w:multiLevelType w:val="hybridMultilevel"/>
    <w:tmpl w:val="66486128"/>
    <w:lvl w:ilvl="0" w:tplc="9AE00C3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D383609"/>
    <w:multiLevelType w:val="hybridMultilevel"/>
    <w:tmpl w:val="E83030C6"/>
    <w:lvl w:ilvl="0" w:tplc="A6D6EF40">
      <w:start w:val="1"/>
      <w:numFmt w:val="bullet"/>
      <w:pStyle w:val="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EF7371"/>
    <w:multiLevelType w:val="hybridMultilevel"/>
    <w:tmpl w:val="17B040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16A1FCC"/>
    <w:multiLevelType w:val="hybridMultilevel"/>
    <w:tmpl w:val="66CC23BA"/>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2C04F67"/>
    <w:multiLevelType w:val="hybridMultilevel"/>
    <w:tmpl w:val="EB2EC1D0"/>
    <w:lvl w:ilvl="0" w:tplc="CADE597E">
      <w:start w:val="1"/>
      <w:numFmt w:val="bullet"/>
      <w:lvlText w:val="•"/>
      <w:lvlJc w:val="left"/>
      <w:pPr>
        <w:tabs>
          <w:tab w:val="num" w:pos="720"/>
        </w:tabs>
        <w:ind w:left="720" w:hanging="360"/>
      </w:pPr>
      <w:rPr>
        <w:rFonts w:ascii="Arial" w:hAnsi="Arial" w:hint="default"/>
      </w:rPr>
    </w:lvl>
    <w:lvl w:ilvl="1" w:tplc="8F44CCA4">
      <w:start w:val="1"/>
      <w:numFmt w:val="bullet"/>
      <w:lvlText w:val="•"/>
      <w:lvlJc w:val="left"/>
      <w:pPr>
        <w:tabs>
          <w:tab w:val="num" w:pos="1440"/>
        </w:tabs>
        <w:ind w:left="1440" w:hanging="360"/>
      </w:pPr>
      <w:rPr>
        <w:rFonts w:ascii="Arial" w:hAnsi="Arial" w:hint="default"/>
      </w:rPr>
    </w:lvl>
    <w:lvl w:ilvl="2" w:tplc="2E6A1738" w:tentative="1">
      <w:start w:val="1"/>
      <w:numFmt w:val="bullet"/>
      <w:lvlText w:val="•"/>
      <w:lvlJc w:val="left"/>
      <w:pPr>
        <w:tabs>
          <w:tab w:val="num" w:pos="2160"/>
        </w:tabs>
        <w:ind w:left="2160" w:hanging="360"/>
      </w:pPr>
      <w:rPr>
        <w:rFonts w:ascii="Arial" w:hAnsi="Arial" w:hint="default"/>
      </w:rPr>
    </w:lvl>
    <w:lvl w:ilvl="3" w:tplc="18F8417C" w:tentative="1">
      <w:start w:val="1"/>
      <w:numFmt w:val="bullet"/>
      <w:lvlText w:val="•"/>
      <w:lvlJc w:val="left"/>
      <w:pPr>
        <w:tabs>
          <w:tab w:val="num" w:pos="2880"/>
        </w:tabs>
        <w:ind w:left="2880" w:hanging="360"/>
      </w:pPr>
      <w:rPr>
        <w:rFonts w:ascii="Arial" w:hAnsi="Arial" w:hint="default"/>
      </w:rPr>
    </w:lvl>
    <w:lvl w:ilvl="4" w:tplc="A81249FC" w:tentative="1">
      <w:start w:val="1"/>
      <w:numFmt w:val="bullet"/>
      <w:lvlText w:val="•"/>
      <w:lvlJc w:val="left"/>
      <w:pPr>
        <w:tabs>
          <w:tab w:val="num" w:pos="3600"/>
        </w:tabs>
        <w:ind w:left="3600" w:hanging="360"/>
      </w:pPr>
      <w:rPr>
        <w:rFonts w:ascii="Arial" w:hAnsi="Arial" w:hint="default"/>
      </w:rPr>
    </w:lvl>
    <w:lvl w:ilvl="5" w:tplc="A5B8FD2E" w:tentative="1">
      <w:start w:val="1"/>
      <w:numFmt w:val="bullet"/>
      <w:lvlText w:val="•"/>
      <w:lvlJc w:val="left"/>
      <w:pPr>
        <w:tabs>
          <w:tab w:val="num" w:pos="4320"/>
        </w:tabs>
        <w:ind w:left="4320" w:hanging="360"/>
      </w:pPr>
      <w:rPr>
        <w:rFonts w:ascii="Arial" w:hAnsi="Arial" w:hint="default"/>
      </w:rPr>
    </w:lvl>
    <w:lvl w:ilvl="6" w:tplc="5BDC90C0" w:tentative="1">
      <w:start w:val="1"/>
      <w:numFmt w:val="bullet"/>
      <w:lvlText w:val="•"/>
      <w:lvlJc w:val="left"/>
      <w:pPr>
        <w:tabs>
          <w:tab w:val="num" w:pos="5040"/>
        </w:tabs>
        <w:ind w:left="5040" w:hanging="360"/>
      </w:pPr>
      <w:rPr>
        <w:rFonts w:ascii="Arial" w:hAnsi="Arial" w:hint="default"/>
      </w:rPr>
    </w:lvl>
    <w:lvl w:ilvl="7" w:tplc="ACB2A710" w:tentative="1">
      <w:start w:val="1"/>
      <w:numFmt w:val="bullet"/>
      <w:lvlText w:val="•"/>
      <w:lvlJc w:val="left"/>
      <w:pPr>
        <w:tabs>
          <w:tab w:val="num" w:pos="5760"/>
        </w:tabs>
        <w:ind w:left="5760" w:hanging="360"/>
      </w:pPr>
      <w:rPr>
        <w:rFonts w:ascii="Arial" w:hAnsi="Arial" w:hint="default"/>
      </w:rPr>
    </w:lvl>
    <w:lvl w:ilvl="8" w:tplc="A0F0983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5044292"/>
    <w:multiLevelType w:val="multilevel"/>
    <w:tmpl w:val="3EBC09A4"/>
    <w:lvl w:ilvl="0">
      <w:start w:val="1"/>
      <w:numFmt w:val="decimal"/>
      <w:lvlText w:val="%1"/>
      <w:lvlJc w:val="left"/>
      <w:pPr>
        <w:ind w:left="720" w:hanging="720"/>
      </w:pPr>
      <w:rPr>
        <w:rFonts w:hint="default"/>
        <w:b/>
      </w:rPr>
    </w:lvl>
    <w:lvl w:ilvl="1">
      <w:start w:val="1"/>
      <w:numFmt w:val="bullet"/>
      <w:lvlText w:val=""/>
      <w:lvlJc w:val="left"/>
      <w:pPr>
        <w:ind w:left="1134" w:hanging="454"/>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87342D"/>
    <w:multiLevelType w:val="multilevel"/>
    <w:tmpl w:val="9EB4F77E"/>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EE07C4"/>
    <w:multiLevelType w:val="hybridMultilevel"/>
    <w:tmpl w:val="EFB6C37C"/>
    <w:lvl w:ilvl="0" w:tplc="873A262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385B446A"/>
    <w:multiLevelType w:val="hybridMultilevel"/>
    <w:tmpl w:val="CA525C12"/>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1" w15:restartNumberingAfterBreak="0">
    <w:nsid w:val="3D4C5E88"/>
    <w:multiLevelType w:val="hybridMultilevel"/>
    <w:tmpl w:val="84DEBD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FA724AB"/>
    <w:multiLevelType w:val="hybridMultilevel"/>
    <w:tmpl w:val="2F2E45AA"/>
    <w:lvl w:ilvl="0" w:tplc="BE3A2D9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1923C9D"/>
    <w:multiLevelType w:val="hybridMultilevel"/>
    <w:tmpl w:val="C7BAE092"/>
    <w:lvl w:ilvl="0" w:tplc="0C090001">
      <w:start w:val="1"/>
      <w:numFmt w:val="bullet"/>
      <w:lvlText w:val=""/>
      <w:lvlJc w:val="left"/>
      <w:pPr>
        <w:ind w:left="1080" w:hanging="720"/>
      </w:pPr>
      <w:rPr>
        <w:rFonts w:ascii="Symbol" w:hAnsi="Symbol" w:hint="default"/>
      </w:rPr>
    </w:lvl>
    <w:lvl w:ilvl="1" w:tplc="DF4CE974">
      <w:numFmt w:val="bullet"/>
      <w:lvlText w:val="·"/>
      <w:lvlJc w:val="left"/>
      <w:pPr>
        <w:ind w:left="1800" w:hanging="72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442297"/>
    <w:multiLevelType w:val="hybridMultilevel"/>
    <w:tmpl w:val="F50C55E8"/>
    <w:lvl w:ilvl="0" w:tplc="C324F4FC">
      <w:start w:val="1"/>
      <w:numFmt w:val="bullet"/>
      <w:pStyle w:val="Bulletpoints"/>
      <w:lvlText w:val=""/>
      <w:lvlJc w:val="left"/>
      <w:pPr>
        <w:ind w:left="720" w:hanging="360"/>
      </w:pPr>
      <w:rPr>
        <w:rFonts w:ascii="Symbol" w:hAnsi="Symbol" w:hint="default"/>
      </w:rPr>
    </w:lvl>
    <w:lvl w:ilvl="1" w:tplc="2C008772">
      <w:numFmt w:val="bullet"/>
      <w:lvlText w:val="•"/>
      <w:lvlJc w:val="left"/>
      <w:pPr>
        <w:ind w:left="1440" w:hanging="360"/>
      </w:pPr>
      <w:rPr>
        <w:rFonts w:ascii="Calibri" w:eastAsia="Times New Roman"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341AE5"/>
    <w:multiLevelType w:val="multilevel"/>
    <w:tmpl w:val="A70E507E"/>
    <w:lvl w:ilvl="0">
      <w:start w:val="1"/>
      <w:numFmt w:val="decimal"/>
      <w:lvlText w:val="%1"/>
      <w:lvlJc w:val="left"/>
      <w:pPr>
        <w:ind w:left="720" w:hanging="720"/>
      </w:pPr>
      <w:rPr>
        <w:rFonts w:hint="default"/>
        <w:b/>
      </w:rPr>
    </w:lvl>
    <w:lvl w:ilvl="1">
      <w:start w:val="1"/>
      <w:numFmt w:val="bullet"/>
      <w:lvlText w:val=""/>
      <w:lvlJc w:val="left"/>
      <w:pPr>
        <w:ind w:left="964" w:hanging="284"/>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2A444D"/>
    <w:multiLevelType w:val="hybridMultilevel"/>
    <w:tmpl w:val="73922E8C"/>
    <w:lvl w:ilvl="0" w:tplc="8BEA159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4BFE1360"/>
    <w:multiLevelType w:val="hybridMultilevel"/>
    <w:tmpl w:val="91A84D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C029F0"/>
    <w:multiLevelType w:val="hybridMultilevel"/>
    <w:tmpl w:val="2C785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CF5BCC"/>
    <w:multiLevelType w:val="multilevel"/>
    <w:tmpl w:val="DA8CB816"/>
    <w:lvl w:ilvl="0">
      <w:start w:val="1"/>
      <w:numFmt w:val="decimal"/>
      <w:pStyle w:val="2-SectionHeading"/>
      <w:lvlText w:val="%1"/>
      <w:lvlJc w:val="left"/>
      <w:pPr>
        <w:ind w:left="720" w:hanging="720"/>
      </w:pPr>
      <w:rPr>
        <w:rFonts w:hint="default"/>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vanish w:val="0"/>
        <w:color w:val="auto"/>
        <w:spacing w:val="0"/>
        <w:kern w:val="0"/>
        <w:position w:val="0"/>
        <w:sz w:val="24"/>
        <w:szCs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836E8B"/>
    <w:multiLevelType w:val="multilevel"/>
    <w:tmpl w:val="E9A063C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vanish w:val="0"/>
        <w:color w:val="auto"/>
        <w:spacing w:val="0"/>
        <w:kern w:val="0"/>
        <w:position w:val="0"/>
        <w:sz w:val="24"/>
        <w:szCs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FA3C06"/>
    <w:multiLevelType w:val="hybridMultilevel"/>
    <w:tmpl w:val="C478C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CF825B1"/>
    <w:multiLevelType w:val="hybridMultilevel"/>
    <w:tmpl w:val="47807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BC2170"/>
    <w:multiLevelType w:val="hybridMultilevel"/>
    <w:tmpl w:val="EAD0CD8C"/>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78B53EF"/>
    <w:multiLevelType w:val="hybridMultilevel"/>
    <w:tmpl w:val="9FD2A6D6"/>
    <w:lvl w:ilvl="0" w:tplc="0C090001">
      <w:start w:val="1"/>
      <w:numFmt w:val="bullet"/>
      <w:lvlText w:val=""/>
      <w:lvlJc w:val="left"/>
      <w:pPr>
        <w:ind w:left="1440" w:hanging="360"/>
      </w:pPr>
      <w:rPr>
        <w:rFonts w:ascii="Symbol" w:hAnsi="Symbol" w:hint="default"/>
      </w:rPr>
    </w:lvl>
    <w:lvl w:ilvl="1" w:tplc="0C090001">
      <w:start w:val="1"/>
      <w:numFmt w:val="bullet"/>
      <w:lvlText w:val=""/>
      <w:lvlJc w:val="left"/>
      <w:pPr>
        <w:ind w:left="2160" w:hanging="360"/>
      </w:pPr>
      <w:rPr>
        <w:rFonts w:ascii="Symbol" w:hAnsi="Symbo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84D033C"/>
    <w:multiLevelType w:val="multilevel"/>
    <w:tmpl w:val="19D8E520"/>
    <w:lvl w:ilvl="0">
      <w:start w:val="6"/>
      <w:numFmt w:val="decimal"/>
      <w:lvlText w:val="%1"/>
      <w:lvlJc w:val="left"/>
      <w:pPr>
        <w:ind w:left="720" w:hanging="720"/>
      </w:pPr>
      <w:rPr>
        <w:rFonts w:asciiTheme="minorHAnsi" w:hAnsiTheme="minorHAnsi" w:cstheme="minorHAnsi" w:hint="default"/>
        <w:b/>
        <w:color w:val="auto"/>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D3F2A91"/>
    <w:multiLevelType w:val="hybridMultilevel"/>
    <w:tmpl w:val="A4EA55C6"/>
    <w:lvl w:ilvl="0" w:tplc="130E6314">
      <w:start w:val="1"/>
      <w:numFmt w:val="decimal"/>
      <w:lvlText w:val="%1."/>
      <w:lvlJc w:val="left"/>
      <w:pPr>
        <w:ind w:left="720" w:hanging="360"/>
      </w:pPr>
      <w:rPr>
        <w:rFonts w:hint="default"/>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F53672A"/>
    <w:multiLevelType w:val="hybridMultilevel"/>
    <w:tmpl w:val="A4B43658"/>
    <w:lvl w:ilvl="0" w:tplc="1788446E">
      <w:start w:val="1"/>
      <w:numFmt w:val="decimal"/>
      <w:lvlText w:val="%1."/>
      <w:lvlJc w:val="left"/>
      <w:pPr>
        <w:ind w:left="1440" w:hanging="360"/>
      </w:pPr>
      <w:rPr>
        <w:i/>
        <w:color w:val="auto"/>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25"/>
  </w:num>
  <w:num w:numId="2">
    <w:abstractNumId w:val="14"/>
  </w:num>
  <w:num w:numId="3">
    <w:abstractNumId w:val="0"/>
  </w:num>
  <w:num w:numId="4">
    <w:abstractNumId w:val="25"/>
  </w:num>
  <w:num w:numId="5">
    <w:abstractNumId w:val="3"/>
  </w:num>
  <w:num w:numId="6">
    <w:abstractNumId w:val="15"/>
  </w:num>
  <w:num w:numId="7">
    <w:abstractNumId w:val="7"/>
  </w:num>
  <w:num w:numId="8">
    <w:abstractNumId w:val="19"/>
  </w:num>
  <w:num w:numId="9">
    <w:abstractNumId w:val="17"/>
  </w:num>
  <w:num w:numId="10">
    <w:abstractNumId w:val="27"/>
  </w:num>
  <w:num w:numId="11">
    <w:abstractNumId w:val="26"/>
  </w:num>
  <w:num w:numId="12">
    <w:abstractNumId w:val="9"/>
  </w:num>
  <w:num w:numId="13">
    <w:abstractNumId w:val="16"/>
  </w:num>
  <w:num w:numId="14">
    <w:abstractNumId w:val="2"/>
  </w:num>
  <w:num w:numId="15">
    <w:abstractNumId w:val="12"/>
  </w:num>
  <w:num w:numId="16">
    <w:abstractNumId w:val="1"/>
  </w:num>
  <w:num w:numId="17">
    <w:abstractNumId w:val="11"/>
  </w:num>
  <w:num w:numId="18">
    <w:abstractNumId w:val="6"/>
  </w:num>
  <w:num w:numId="19">
    <w:abstractNumId w:val="21"/>
  </w:num>
  <w:num w:numId="20">
    <w:abstractNumId w:val="18"/>
  </w:num>
  <w:num w:numId="21">
    <w:abstractNumId w:val="20"/>
  </w:num>
  <w:num w:numId="22">
    <w:abstractNumId w:val="23"/>
  </w:num>
  <w:num w:numId="23">
    <w:abstractNumId w:val="22"/>
  </w:num>
  <w:num w:numId="24">
    <w:abstractNumId w:val="13"/>
  </w:num>
  <w:num w:numId="25">
    <w:abstractNumId w:val="24"/>
  </w:num>
  <w:num w:numId="26">
    <w:abstractNumId w:val="5"/>
  </w:num>
  <w:num w:numId="27">
    <w:abstractNumId w:val="19"/>
  </w:num>
  <w:num w:numId="28">
    <w:abstractNumId w:val="19"/>
  </w:num>
  <w:num w:numId="29">
    <w:abstractNumId w:val="19"/>
  </w:num>
  <w:num w:numId="30">
    <w:abstractNumId w:val="19"/>
  </w:num>
  <w:num w:numId="31">
    <w:abstractNumId w:val="19"/>
  </w:num>
  <w:num w:numId="32">
    <w:abstractNumId w:val="10"/>
  </w:num>
  <w:num w:numId="33">
    <w:abstractNumId w:val="4"/>
  </w:num>
  <w:num w:numId="34">
    <w:abstractNumId w:val="19"/>
  </w:num>
  <w:num w:numId="35">
    <w:abstractNumId w:val="19"/>
  </w:num>
  <w:num w:numId="36">
    <w:abstractNumId w:val="19"/>
  </w:num>
  <w:num w:numId="37">
    <w:abstractNumId w:val="8"/>
  </w:num>
  <w:num w:numId="38">
    <w:abstractNumId w:val="14"/>
  </w:num>
  <w:num w:numId="39">
    <w:abstractNumId w:val="14"/>
  </w:num>
  <w:num w:numId="40">
    <w:abstractNumId w:val="14"/>
  </w:num>
  <w:num w:numId="41">
    <w:abstractNumId w:val="19"/>
  </w:num>
  <w:num w:numId="42">
    <w:abstractNumId w:val="19"/>
  </w:num>
  <w:num w:numId="43">
    <w:abstractNumId w:val="19"/>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num>
  <w:num w:numId="46">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48C"/>
    <w:rsid w:val="00000790"/>
    <w:rsid w:val="0000110B"/>
    <w:rsid w:val="00003499"/>
    <w:rsid w:val="000039B7"/>
    <w:rsid w:val="0000639A"/>
    <w:rsid w:val="00013247"/>
    <w:rsid w:val="000136D4"/>
    <w:rsid w:val="00015886"/>
    <w:rsid w:val="00015C32"/>
    <w:rsid w:val="000162EF"/>
    <w:rsid w:val="000200DA"/>
    <w:rsid w:val="000207C9"/>
    <w:rsid w:val="0002225F"/>
    <w:rsid w:val="00023763"/>
    <w:rsid w:val="00024040"/>
    <w:rsid w:val="00025D63"/>
    <w:rsid w:val="000270BA"/>
    <w:rsid w:val="000274B8"/>
    <w:rsid w:val="0003359F"/>
    <w:rsid w:val="00033863"/>
    <w:rsid w:val="00033C79"/>
    <w:rsid w:val="00034D03"/>
    <w:rsid w:val="00035DC0"/>
    <w:rsid w:val="00036134"/>
    <w:rsid w:val="00036829"/>
    <w:rsid w:val="00040895"/>
    <w:rsid w:val="00041397"/>
    <w:rsid w:val="00041F08"/>
    <w:rsid w:val="000435EE"/>
    <w:rsid w:val="00043C37"/>
    <w:rsid w:val="00045017"/>
    <w:rsid w:val="00045A2B"/>
    <w:rsid w:val="00046186"/>
    <w:rsid w:val="0004698F"/>
    <w:rsid w:val="00047C18"/>
    <w:rsid w:val="00050757"/>
    <w:rsid w:val="00051F1E"/>
    <w:rsid w:val="000539D0"/>
    <w:rsid w:val="00053AD2"/>
    <w:rsid w:val="00054621"/>
    <w:rsid w:val="000546D7"/>
    <w:rsid w:val="00056ECF"/>
    <w:rsid w:val="000604DF"/>
    <w:rsid w:val="00061631"/>
    <w:rsid w:val="00062CD3"/>
    <w:rsid w:val="000653B5"/>
    <w:rsid w:val="00066360"/>
    <w:rsid w:val="00066810"/>
    <w:rsid w:val="00066AF8"/>
    <w:rsid w:val="000674F5"/>
    <w:rsid w:val="00067A35"/>
    <w:rsid w:val="00067CA1"/>
    <w:rsid w:val="000703BF"/>
    <w:rsid w:val="00071248"/>
    <w:rsid w:val="000720B9"/>
    <w:rsid w:val="000737F7"/>
    <w:rsid w:val="00074439"/>
    <w:rsid w:val="00075519"/>
    <w:rsid w:val="00075D5C"/>
    <w:rsid w:val="0007672F"/>
    <w:rsid w:val="00076B24"/>
    <w:rsid w:val="00076B54"/>
    <w:rsid w:val="00077042"/>
    <w:rsid w:val="000774F0"/>
    <w:rsid w:val="00080909"/>
    <w:rsid w:val="000812CA"/>
    <w:rsid w:val="000818A8"/>
    <w:rsid w:val="00081E63"/>
    <w:rsid w:val="0008258D"/>
    <w:rsid w:val="00082661"/>
    <w:rsid w:val="00083E99"/>
    <w:rsid w:val="0008478E"/>
    <w:rsid w:val="00084FA8"/>
    <w:rsid w:val="000856C5"/>
    <w:rsid w:val="00085C31"/>
    <w:rsid w:val="00086077"/>
    <w:rsid w:val="000902D9"/>
    <w:rsid w:val="00090C7E"/>
    <w:rsid w:val="00092600"/>
    <w:rsid w:val="0009262B"/>
    <w:rsid w:val="00093310"/>
    <w:rsid w:val="0009445C"/>
    <w:rsid w:val="0009446A"/>
    <w:rsid w:val="0009494B"/>
    <w:rsid w:val="00095200"/>
    <w:rsid w:val="00095FE5"/>
    <w:rsid w:val="00096284"/>
    <w:rsid w:val="00097372"/>
    <w:rsid w:val="000A02F4"/>
    <w:rsid w:val="000A1BC0"/>
    <w:rsid w:val="000A5BC1"/>
    <w:rsid w:val="000A5C8D"/>
    <w:rsid w:val="000A6039"/>
    <w:rsid w:val="000A6659"/>
    <w:rsid w:val="000A7453"/>
    <w:rsid w:val="000A7D08"/>
    <w:rsid w:val="000B0121"/>
    <w:rsid w:val="000B0670"/>
    <w:rsid w:val="000B0CBD"/>
    <w:rsid w:val="000B0E75"/>
    <w:rsid w:val="000B159A"/>
    <w:rsid w:val="000B1603"/>
    <w:rsid w:val="000B1A9D"/>
    <w:rsid w:val="000B2DCB"/>
    <w:rsid w:val="000B4CF3"/>
    <w:rsid w:val="000B5586"/>
    <w:rsid w:val="000B5CE0"/>
    <w:rsid w:val="000B6CAC"/>
    <w:rsid w:val="000B7612"/>
    <w:rsid w:val="000B78AE"/>
    <w:rsid w:val="000C074A"/>
    <w:rsid w:val="000C3DF9"/>
    <w:rsid w:val="000C6713"/>
    <w:rsid w:val="000C73B0"/>
    <w:rsid w:val="000D1BFC"/>
    <w:rsid w:val="000D1D5D"/>
    <w:rsid w:val="000D281A"/>
    <w:rsid w:val="000D2848"/>
    <w:rsid w:val="000D2F72"/>
    <w:rsid w:val="000D326A"/>
    <w:rsid w:val="000D51FB"/>
    <w:rsid w:val="000D5424"/>
    <w:rsid w:val="000D5B20"/>
    <w:rsid w:val="000D7866"/>
    <w:rsid w:val="000D7E16"/>
    <w:rsid w:val="000E0640"/>
    <w:rsid w:val="000E135D"/>
    <w:rsid w:val="000E15D2"/>
    <w:rsid w:val="000E186E"/>
    <w:rsid w:val="000E2271"/>
    <w:rsid w:val="000E365F"/>
    <w:rsid w:val="000E5A37"/>
    <w:rsid w:val="000F00BA"/>
    <w:rsid w:val="000F253B"/>
    <w:rsid w:val="000F316A"/>
    <w:rsid w:val="000F3BD3"/>
    <w:rsid w:val="000F3C74"/>
    <w:rsid w:val="000F4BB8"/>
    <w:rsid w:val="000F4E26"/>
    <w:rsid w:val="000F4FA9"/>
    <w:rsid w:val="000F53FB"/>
    <w:rsid w:val="000F7127"/>
    <w:rsid w:val="000F7B54"/>
    <w:rsid w:val="00100295"/>
    <w:rsid w:val="00100F8A"/>
    <w:rsid w:val="0010152F"/>
    <w:rsid w:val="0010452E"/>
    <w:rsid w:val="001049FB"/>
    <w:rsid w:val="00104C53"/>
    <w:rsid w:val="00105AE2"/>
    <w:rsid w:val="001060C6"/>
    <w:rsid w:val="00106B80"/>
    <w:rsid w:val="0011032E"/>
    <w:rsid w:val="001123AF"/>
    <w:rsid w:val="0011348B"/>
    <w:rsid w:val="001139F8"/>
    <w:rsid w:val="00114D8F"/>
    <w:rsid w:val="001157EF"/>
    <w:rsid w:val="00115982"/>
    <w:rsid w:val="00116C53"/>
    <w:rsid w:val="00121799"/>
    <w:rsid w:val="001222FC"/>
    <w:rsid w:val="00123902"/>
    <w:rsid w:val="00124A51"/>
    <w:rsid w:val="00124F13"/>
    <w:rsid w:val="00126621"/>
    <w:rsid w:val="00126B1D"/>
    <w:rsid w:val="001301E9"/>
    <w:rsid w:val="00131D82"/>
    <w:rsid w:val="00132B22"/>
    <w:rsid w:val="00133D36"/>
    <w:rsid w:val="00137645"/>
    <w:rsid w:val="0014015A"/>
    <w:rsid w:val="00140E99"/>
    <w:rsid w:val="00143F67"/>
    <w:rsid w:val="00145540"/>
    <w:rsid w:val="001456B0"/>
    <w:rsid w:val="001464E1"/>
    <w:rsid w:val="00153311"/>
    <w:rsid w:val="001546DD"/>
    <w:rsid w:val="00155B17"/>
    <w:rsid w:val="00156F8F"/>
    <w:rsid w:val="00157130"/>
    <w:rsid w:val="001576B1"/>
    <w:rsid w:val="0016047B"/>
    <w:rsid w:val="00160A4C"/>
    <w:rsid w:val="00162913"/>
    <w:rsid w:val="00162A6F"/>
    <w:rsid w:val="00163EFF"/>
    <w:rsid w:val="00163F66"/>
    <w:rsid w:val="00165AE8"/>
    <w:rsid w:val="001661FB"/>
    <w:rsid w:val="001671A0"/>
    <w:rsid w:val="0016767F"/>
    <w:rsid w:val="00171B12"/>
    <w:rsid w:val="00172190"/>
    <w:rsid w:val="0017231D"/>
    <w:rsid w:val="00173565"/>
    <w:rsid w:val="00173B07"/>
    <w:rsid w:val="001751FA"/>
    <w:rsid w:val="00177CC7"/>
    <w:rsid w:val="00181D9C"/>
    <w:rsid w:val="0018324D"/>
    <w:rsid w:val="00184B0E"/>
    <w:rsid w:val="00185287"/>
    <w:rsid w:val="0018752F"/>
    <w:rsid w:val="00187C4E"/>
    <w:rsid w:val="00190456"/>
    <w:rsid w:val="00191C0B"/>
    <w:rsid w:val="00193838"/>
    <w:rsid w:val="00194AD8"/>
    <w:rsid w:val="00194E10"/>
    <w:rsid w:val="00195222"/>
    <w:rsid w:val="001968AA"/>
    <w:rsid w:val="0019732C"/>
    <w:rsid w:val="001975D8"/>
    <w:rsid w:val="001A04F9"/>
    <w:rsid w:val="001A178E"/>
    <w:rsid w:val="001A18BD"/>
    <w:rsid w:val="001A43FA"/>
    <w:rsid w:val="001A46CC"/>
    <w:rsid w:val="001A47C5"/>
    <w:rsid w:val="001A48EC"/>
    <w:rsid w:val="001A59FB"/>
    <w:rsid w:val="001A5E9E"/>
    <w:rsid w:val="001A6354"/>
    <w:rsid w:val="001A6366"/>
    <w:rsid w:val="001A7AE8"/>
    <w:rsid w:val="001B204E"/>
    <w:rsid w:val="001B2372"/>
    <w:rsid w:val="001B3443"/>
    <w:rsid w:val="001B3FF4"/>
    <w:rsid w:val="001B4D20"/>
    <w:rsid w:val="001B50D3"/>
    <w:rsid w:val="001C1CC9"/>
    <w:rsid w:val="001C2A9B"/>
    <w:rsid w:val="001C3547"/>
    <w:rsid w:val="001C4299"/>
    <w:rsid w:val="001C4874"/>
    <w:rsid w:val="001C4B8E"/>
    <w:rsid w:val="001C5F94"/>
    <w:rsid w:val="001C6279"/>
    <w:rsid w:val="001C6E66"/>
    <w:rsid w:val="001D0733"/>
    <w:rsid w:val="001D1100"/>
    <w:rsid w:val="001D1391"/>
    <w:rsid w:val="001D25D7"/>
    <w:rsid w:val="001D50B2"/>
    <w:rsid w:val="001D7645"/>
    <w:rsid w:val="001E19E0"/>
    <w:rsid w:val="001E1E86"/>
    <w:rsid w:val="001E238E"/>
    <w:rsid w:val="001E2483"/>
    <w:rsid w:val="001E2B1E"/>
    <w:rsid w:val="001E2CFF"/>
    <w:rsid w:val="001E2F24"/>
    <w:rsid w:val="001E30D4"/>
    <w:rsid w:val="001E34DF"/>
    <w:rsid w:val="001E52EB"/>
    <w:rsid w:val="001E52FF"/>
    <w:rsid w:val="001E61D2"/>
    <w:rsid w:val="001E740C"/>
    <w:rsid w:val="001F016A"/>
    <w:rsid w:val="001F1235"/>
    <w:rsid w:val="001F1CB3"/>
    <w:rsid w:val="001F38B5"/>
    <w:rsid w:val="001F4081"/>
    <w:rsid w:val="001F7361"/>
    <w:rsid w:val="00200EF8"/>
    <w:rsid w:val="002011B0"/>
    <w:rsid w:val="002025B5"/>
    <w:rsid w:val="00203181"/>
    <w:rsid w:val="00203783"/>
    <w:rsid w:val="0020385F"/>
    <w:rsid w:val="00204576"/>
    <w:rsid w:val="002068A0"/>
    <w:rsid w:val="00207021"/>
    <w:rsid w:val="0020732F"/>
    <w:rsid w:val="00207D00"/>
    <w:rsid w:val="002101F8"/>
    <w:rsid w:val="002105C1"/>
    <w:rsid w:val="00210BFE"/>
    <w:rsid w:val="0021343A"/>
    <w:rsid w:val="00213EF5"/>
    <w:rsid w:val="00214FCB"/>
    <w:rsid w:val="00216BF5"/>
    <w:rsid w:val="00221365"/>
    <w:rsid w:val="002214B2"/>
    <w:rsid w:val="00221BA6"/>
    <w:rsid w:val="00223B49"/>
    <w:rsid w:val="00223D5A"/>
    <w:rsid w:val="00224CD7"/>
    <w:rsid w:val="00224DD4"/>
    <w:rsid w:val="00226694"/>
    <w:rsid w:val="002268AD"/>
    <w:rsid w:val="002278A0"/>
    <w:rsid w:val="002309CC"/>
    <w:rsid w:val="00230DB1"/>
    <w:rsid w:val="00231BB3"/>
    <w:rsid w:val="0023209F"/>
    <w:rsid w:val="00232B51"/>
    <w:rsid w:val="00233C01"/>
    <w:rsid w:val="00234002"/>
    <w:rsid w:val="0023413C"/>
    <w:rsid w:val="002346F0"/>
    <w:rsid w:val="0023629D"/>
    <w:rsid w:val="0023664B"/>
    <w:rsid w:val="00236D45"/>
    <w:rsid w:val="00237255"/>
    <w:rsid w:val="0024011A"/>
    <w:rsid w:val="002424AF"/>
    <w:rsid w:val="002439DC"/>
    <w:rsid w:val="002441D2"/>
    <w:rsid w:val="00244DC8"/>
    <w:rsid w:val="00245587"/>
    <w:rsid w:val="002458BA"/>
    <w:rsid w:val="00245CE9"/>
    <w:rsid w:val="0024636C"/>
    <w:rsid w:val="00247925"/>
    <w:rsid w:val="00251006"/>
    <w:rsid w:val="00251C9C"/>
    <w:rsid w:val="002524D5"/>
    <w:rsid w:val="002527E4"/>
    <w:rsid w:val="00252DBD"/>
    <w:rsid w:val="00253B1D"/>
    <w:rsid w:val="00254DCF"/>
    <w:rsid w:val="0025534B"/>
    <w:rsid w:val="00255BB7"/>
    <w:rsid w:val="00256474"/>
    <w:rsid w:val="00257541"/>
    <w:rsid w:val="00257A39"/>
    <w:rsid w:val="00257AC4"/>
    <w:rsid w:val="00261EEF"/>
    <w:rsid w:val="00262A1A"/>
    <w:rsid w:val="00262A87"/>
    <w:rsid w:val="00262F2E"/>
    <w:rsid w:val="00264D26"/>
    <w:rsid w:val="00267642"/>
    <w:rsid w:val="00267AEA"/>
    <w:rsid w:val="002700E6"/>
    <w:rsid w:val="00271A26"/>
    <w:rsid w:val="00272254"/>
    <w:rsid w:val="0027294B"/>
    <w:rsid w:val="00273EB4"/>
    <w:rsid w:val="00274682"/>
    <w:rsid w:val="00275C5A"/>
    <w:rsid w:val="00275D62"/>
    <w:rsid w:val="00281014"/>
    <w:rsid w:val="0028153A"/>
    <w:rsid w:val="00285F7C"/>
    <w:rsid w:val="0028665D"/>
    <w:rsid w:val="00286763"/>
    <w:rsid w:val="00291EAB"/>
    <w:rsid w:val="00294BE8"/>
    <w:rsid w:val="002A01DE"/>
    <w:rsid w:val="002A14AB"/>
    <w:rsid w:val="002A2ADE"/>
    <w:rsid w:val="002A2F50"/>
    <w:rsid w:val="002A47E0"/>
    <w:rsid w:val="002A5C49"/>
    <w:rsid w:val="002A66AE"/>
    <w:rsid w:val="002A78F0"/>
    <w:rsid w:val="002B05A1"/>
    <w:rsid w:val="002B09A4"/>
    <w:rsid w:val="002B1C1F"/>
    <w:rsid w:val="002B432F"/>
    <w:rsid w:val="002B58CA"/>
    <w:rsid w:val="002B5CB3"/>
    <w:rsid w:val="002B62B3"/>
    <w:rsid w:val="002B6754"/>
    <w:rsid w:val="002B6B9C"/>
    <w:rsid w:val="002B6CCE"/>
    <w:rsid w:val="002C2510"/>
    <w:rsid w:val="002C2775"/>
    <w:rsid w:val="002C27C1"/>
    <w:rsid w:val="002C5099"/>
    <w:rsid w:val="002C5382"/>
    <w:rsid w:val="002C5889"/>
    <w:rsid w:val="002C5E38"/>
    <w:rsid w:val="002C71CE"/>
    <w:rsid w:val="002C77D5"/>
    <w:rsid w:val="002C7C5B"/>
    <w:rsid w:val="002D02E5"/>
    <w:rsid w:val="002D08F8"/>
    <w:rsid w:val="002D35EB"/>
    <w:rsid w:val="002D577C"/>
    <w:rsid w:val="002E1071"/>
    <w:rsid w:val="002E15B9"/>
    <w:rsid w:val="002E1B96"/>
    <w:rsid w:val="002E2158"/>
    <w:rsid w:val="002E4F02"/>
    <w:rsid w:val="002E7722"/>
    <w:rsid w:val="002F07BA"/>
    <w:rsid w:val="002F0DA9"/>
    <w:rsid w:val="002F1014"/>
    <w:rsid w:val="002F643C"/>
    <w:rsid w:val="002F6813"/>
    <w:rsid w:val="002F71C0"/>
    <w:rsid w:val="002F74F1"/>
    <w:rsid w:val="00301017"/>
    <w:rsid w:val="0030128A"/>
    <w:rsid w:val="0030155F"/>
    <w:rsid w:val="003024EE"/>
    <w:rsid w:val="00303FCB"/>
    <w:rsid w:val="0030587B"/>
    <w:rsid w:val="003062A5"/>
    <w:rsid w:val="00306D98"/>
    <w:rsid w:val="0030750C"/>
    <w:rsid w:val="0030772F"/>
    <w:rsid w:val="0030786C"/>
    <w:rsid w:val="0031031A"/>
    <w:rsid w:val="00310981"/>
    <w:rsid w:val="00310BFD"/>
    <w:rsid w:val="00311426"/>
    <w:rsid w:val="003124D9"/>
    <w:rsid w:val="00312594"/>
    <w:rsid w:val="00315498"/>
    <w:rsid w:val="003161CC"/>
    <w:rsid w:val="00316474"/>
    <w:rsid w:val="00317A54"/>
    <w:rsid w:val="00322107"/>
    <w:rsid w:val="00322355"/>
    <w:rsid w:val="0032235A"/>
    <w:rsid w:val="00322846"/>
    <w:rsid w:val="00322C1E"/>
    <w:rsid w:val="0032686E"/>
    <w:rsid w:val="00326DA7"/>
    <w:rsid w:val="003270E4"/>
    <w:rsid w:val="003271D2"/>
    <w:rsid w:val="00327245"/>
    <w:rsid w:val="003302CF"/>
    <w:rsid w:val="00330DAA"/>
    <w:rsid w:val="00330F5C"/>
    <w:rsid w:val="003316CA"/>
    <w:rsid w:val="00332831"/>
    <w:rsid w:val="00332896"/>
    <w:rsid w:val="003366C9"/>
    <w:rsid w:val="003371B0"/>
    <w:rsid w:val="003374A3"/>
    <w:rsid w:val="00337A3A"/>
    <w:rsid w:val="0034049C"/>
    <w:rsid w:val="00340DF1"/>
    <w:rsid w:val="0034556D"/>
    <w:rsid w:val="00345704"/>
    <w:rsid w:val="00345E96"/>
    <w:rsid w:val="00346161"/>
    <w:rsid w:val="003517F9"/>
    <w:rsid w:val="00351A71"/>
    <w:rsid w:val="00351BA9"/>
    <w:rsid w:val="00354B41"/>
    <w:rsid w:val="00354F64"/>
    <w:rsid w:val="0035620E"/>
    <w:rsid w:val="0035662D"/>
    <w:rsid w:val="00360345"/>
    <w:rsid w:val="00361A05"/>
    <w:rsid w:val="00361D01"/>
    <w:rsid w:val="003624C4"/>
    <w:rsid w:val="00363A2B"/>
    <w:rsid w:val="00363B00"/>
    <w:rsid w:val="00364DD4"/>
    <w:rsid w:val="003654AC"/>
    <w:rsid w:val="003710CF"/>
    <w:rsid w:val="00373147"/>
    <w:rsid w:val="0037358A"/>
    <w:rsid w:val="003735BD"/>
    <w:rsid w:val="003750F6"/>
    <w:rsid w:val="003760FC"/>
    <w:rsid w:val="0037630D"/>
    <w:rsid w:val="003766B2"/>
    <w:rsid w:val="003801B1"/>
    <w:rsid w:val="003801C8"/>
    <w:rsid w:val="00382077"/>
    <w:rsid w:val="0038365C"/>
    <w:rsid w:val="0038369B"/>
    <w:rsid w:val="003839C3"/>
    <w:rsid w:val="00383B78"/>
    <w:rsid w:val="0038421A"/>
    <w:rsid w:val="00385A9D"/>
    <w:rsid w:val="00386AE8"/>
    <w:rsid w:val="00387278"/>
    <w:rsid w:val="0038744C"/>
    <w:rsid w:val="003902B1"/>
    <w:rsid w:val="0039179C"/>
    <w:rsid w:val="00395EF5"/>
    <w:rsid w:val="00396896"/>
    <w:rsid w:val="00396FD0"/>
    <w:rsid w:val="003A1A7A"/>
    <w:rsid w:val="003A2216"/>
    <w:rsid w:val="003A2392"/>
    <w:rsid w:val="003A2831"/>
    <w:rsid w:val="003A2AFC"/>
    <w:rsid w:val="003A39E4"/>
    <w:rsid w:val="003A39FF"/>
    <w:rsid w:val="003A3CB6"/>
    <w:rsid w:val="003A3ED1"/>
    <w:rsid w:val="003A44DB"/>
    <w:rsid w:val="003B3971"/>
    <w:rsid w:val="003B55D1"/>
    <w:rsid w:val="003B5B61"/>
    <w:rsid w:val="003C0839"/>
    <w:rsid w:val="003C1654"/>
    <w:rsid w:val="003C28B2"/>
    <w:rsid w:val="003C449D"/>
    <w:rsid w:val="003C5542"/>
    <w:rsid w:val="003C7D19"/>
    <w:rsid w:val="003C7D2F"/>
    <w:rsid w:val="003C7E09"/>
    <w:rsid w:val="003D009E"/>
    <w:rsid w:val="003D11E3"/>
    <w:rsid w:val="003D1828"/>
    <w:rsid w:val="003D1DE4"/>
    <w:rsid w:val="003D1E9A"/>
    <w:rsid w:val="003D2422"/>
    <w:rsid w:val="003D3999"/>
    <w:rsid w:val="003D39A1"/>
    <w:rsid w:val="003D3FBF"/>
    <w:rsid w:val="003D4A30"/>
    <w:rsid w:val="003D5BA3"/>
    <w:rsid w:val="003D7452"/>
    <w:rsid w:val="003D79BB"/>
    <w:rsid w:val="003D7C98"/>
    <w:rsid w:val="003D7D9D"/>
    <w:rsid w:val="003E0543"/>
    <w:rsid w:val="003E23E3"/>
    <w:rsid w:val="003E749E"/>
    <w:rsid w:val="003E769A"/>
    <w:rsid w:val="003F029B"/>
    <w:rsid w:val="003F1A8B"/>
    <w:rsid w:val="003F4156"/>
    <w:rsid w:val="003F542D"/>
    <w:rsid w:val="003F5ADF"/>
    <w:rsid w:val="003F618D"/>
    <w:rsid w:val="00400B29"/>
    <w:rsid w:val="0040504B"/>
    <w:rsid w:val="004059F4"/>
    <w:rsid w:val="00407705"/>
    <w:rsid w:val="00407FE5"/>
    <w:rsid w:val="004101B0"/>
    <w:rsid w:val="00410326"/>
    <w:rsid w:val="00410347"/>
    <w:rsid w:val="00410425"/>
    <w:rsid w:val="00410708"/>
    <w:rsid w:val="00410EC7"/>
    <w:rsid w:val="00411B39"/>
    <w:rsid w:val="004127A7"/>
    <w:rsid w:val="00413A1E"/>
    <w:rsid w:val="00414476"/>
    <w:rsid w:val="00414C2E"/>
    <w:rsid w:val="004151CF"/>
    <w:rsid w:val="00416364"/>
    <w:rsid w:val="00416CF9"/>
    <w:rsid w:val="00417E21"/>
    <w:rsid w:val="0042047F"/>
    <w:rsid w:val="00420AA6"/>
    <w:rsid w:val="00420B9F"/>
    <w:rsid w:val="0042192C"/>
    <w:rsid w:val="00422260"/>
    <w:rsid w:val="00422942"/>
    <w:rsid w:val="00423A84"/>
    <w:rsid w:val="00423DF0"/>
    <w:rsid w:val="0042413F"/>
    <w:rsid w:val="00424EAF"/>
    <w:rsid w:val="00426457"/>
    <w:rsid w:val="00426B53"/>
    <w:rsid w:val="004319F8"/>
    <w:rsid w:val="00431E55"/>
    <w:rsid w:val="004321F6"/>
    <w:rsid w:val="00433044"/>
    <w:rsid w:val="00434088"/>
    <w:rsid w:val="004373BF"/>
    <w:rsid w:val="0043752E"/>
    <w:rsid w:val="004375B9"/>
    <w:rsid w:val="00437B8A"/>
    <w:rsid w:val="00440535"/>
    <w:rsid w:val="004428D0"/>
    <w:rsid w:val="00444185"/>
    <w:rsid w:val="004443A7"/>
    <w:rsid w:val="0044442C"/>
    <w:rsid w:val="00444644"/>
    <w:rsid w:val="004451C9"/>
    <w:rsid w:val="00445941"/>
    <w:rsid w:val="0044616A"/>
    <w:rsid w:val="004464EB"/>
    <w:rsid w:val="00447D26"/>
    <w:rsid w:val="00447DFC"/>
    <w:rsid w:val="00450FB2"/>
    <w:rsid w:val="0045449D"/>
    <w:rsid w:val="00455BC2"/>
    <w:rsid w:val="00455D45"/>
    <w:rsid w:val="00457DA6"/>
    <w:rsid w:val="00463D82"/>
    <w:rsid w:val="00464595"/>
    <w:rsid w:val="004646A0"/>
    <w:rsid w:val="004658B5"/>
    <w:rsid w:val="00471EA5"/>
    <w:rsid w:val="00472A79"/>
    <w:rsid w:val="00472CCE"/>
    <w:rsid w:val="00473F19"/>
    <w:rsid w:val="00475E22"/>
    <w:rsid w:val="00476DC7"/>
    <w:rsid w:val="0048088E"/>
    <w:rsid w:val="00480F2B"/>
    <w:rsid w:val="00482720"/>
    <w:rsid w:val="004835E7"/>
    <w:rsid w:val="00484D46"/>
    <w:rsid w:val="004867E2"/>
    <w:rsid w:val="00490B17"/>
    <w:rsid w:val="00491B3A"/>
    <w:rsid w:val="00492481"/>
    <w:rsid w:val="00492CFD"/>
    <w:rsid w:val="00494207"/>
    <w:rsid w:val="0049489A"/>
    <w:rsid w:val="00494DD5"/>
    <w:rsid w:val="00495257"/>
    <w:rsid w:val="00495BD5"/>
    <w:rsid w:val="004962D2"/>
    <w:rsid w:val="004A0DA1"/>
    <w:rsid w:val="004A13D6"/>
    <w:rsid w:val="004A2AE9"/>
    <w:rsid w:val="004A52E9"/>
    <w:rsid w:val="004A5BA0"/>
    <w:rsid w:val="004A6040"/>
    <w:rsid w:val="004A6597"/>
    <w:rsid w:val="004A7848"/>
    <w:rsid w:val="004B0AFA"/>
    <w:rsid w:val="004B1CB4"/>
    <w:rsid w:val="004B2F18"/>
    <w:rsid w:val="004B33C3"/>
    <w:rsid w:val="004B3DDB"/>
    <w:rsid w:val="004B4478"/>
    <w:rsid w:val="004B44FD"/>
    <w:rsid w:val="004B4F44"/>
    <w:rsid w:val="004B5CFC"/>
    <w:rsid w:val="004B6F79"/>
    <w:rsid w:val="004B774D"/>
    <w:rsid w:val="004C4AED"/>
    <w:rsid w:val="004C5A3A"/>
    <w:rsid w:val="004C7561"/>
    <w:rsid w:val="004D2C2D"/>
    <w:rsid w:val="004D2E34"/>
    <w:rsid w:val="004D4F9F"/>
    <w:rsid w:val="004D5D41"/>
    <w:rsid w:val="004D69B5"/>
    <w:rsid w:val="004D6AEB"/>
    <w:rsid w:val="004D7227"/>
    <w:rsid w:val="004E0E7F"/>
    <w:rsid w:val="004E0EB8"/>
    <w:rsid w:val="004E18E9"/>
    <w:rsid w:val="004E2ADC"/>
    <w:rsid w:val="004E43B2"/>
    <w:rsid w:val="004E483A"/>
    <w:rsid w:val="004E6B59"/>
    <w:rsid w:val="004E7CE9"/>
    <w:rsid w:val="004F05BD"/>
    <w:rsid w:val="004F1D02"/>
    <w:rsid w:val="004F2679"/>
    <w:rsid w:val="004F2A0B"/>
    <w:rsid w:val="004F2F21"/>
    <w:rsid w:val="004F3DE5"/>
    <w:rsid w:val="004F5606"/>
    <w:rsid w:val="004F6913"/>
    <w:rsid w:val="004F7865"/>
    <w:rsid w:val="004F7B03"/>
    <w:rsid w:val="00500214"/>
    <w:rsid w:val="0050174E"/>
    <w:rsid w:val="00501854"/>
    <w:rsid w:val="0050219B"/>
    <w:rsid w:val="00503F17"/>
    <w:rsid w:val="005045C9"/>
    <w:rsid w:val="00505A88"/>
    <w:rsid w:val="0050601E"/>
    <w:rsid w:val="00506928"/>
    <w:rsid w:val="005077EF"/>
    <w:rsid w:val="00511403"/>
    <w:rsid w:val="00511AD5"/>
    <w:rsid w:val="00511DC7"/>
    <w:rsid w:val="005142C5"/>
    <w:rsid w:val="0051501B"/>
    <w:rsid w:val="005152B5"/>
    <w:rsid w:val="00516181"/>
    <w:rsid w:val="00516A09"/>
    <w:rsid w:val="005206A0"/>
    <w:rsid w:val="0052123C"/>
    <w:rsid w:val="00521319"/>
    <w:rsid w:val="00522BC8"/>
    <w:rsid w:val="00523C28"/>
    <w:rsid w:val="00525CF5"/>
    <w:rsid w:val="00525DF5"/>
    <w:rsid w:val="00526E81"/>
    <w:rsid w:val="005271D9"/>
    <w:rsid w:val="005272DB"/>
    <w:rsid w:val="0053176B"/>
    <w:rsid w:val="005350C1"/>
    <w:rsid w:val="00536C21"/>
    <w:rsid w:val="00536F11"/>
    <w:rsid w:val="00536F42"/>
    <w:rsid w:val="00537182"/>
    <w:rsid w:val="0053770A"/>
    <w:rsid w:val="005400BD"/>
    <w:rsid w:val="00541EDD"/>
    <w:rsid w:val="00542743"/>
    <w:rsid w:val="00542C2D"/>
    <w:rsid w:val="00546991"/>
    <w:rsid w:val="005478BD"/>
    <w:rsid w:val="005479E3"/>
    <w:rsid w:val="00550F36"/>
    <w:rsid w:val="00551985"/>
    <w:rsid w:val="005525B0"/>
    <w:rsid w:val="00552BD3"/>
    <w:rsid w:val="005532A0"/>
    <w:rsid w:val="00553EBB"/>
    <w:rsid w:val="00555109"/>
    <w:rsid w:val="00556B35"/>
    <w:rsid w:val="005573F2"/>
    <w:rsid w:val="0055741A"/>
    <w:rsid w:val="00557709"/>
    <w:rsid w:val="005611B7"/>
    <w:rsid w:val="005618D4"/>
    <w:rsid w:val="00563068"/>
    <w:rsid w:val="00565DF0"/>
    <w:rsid w:val="00566516"/>
    <w:rsid w:val="0056696F"/>
    <w:rsid w:val="005672FF"/>
    <w:rsid w:val="00570CD6"/>
    <w:rsid w:val="005712C0"/>
    <w:rsid w:val="005717AB"/>
    <w:rsid w:val="00571DDC"/>
    <w:rsid w:val="00572269"/>
    <w:rsid w:val="0057244A"/>
    <w:rsid w:val="00572F26"/>
    <w:rsid w:val="00573088"/>
    <w:rsid w:val="005750C5"/>
    <w:rsid w:val="005752DE"/>
    <w:rsid w:val="00575D8D"/>
    <w:rsid w:val="00576972"/>
    <w:rsid w:val="005821C9"/>
    <w:rsid w:val="005827A8"/>
    <w:rsid w:val="005828CD"/>
    <w:rsid w:val="00583699"/>
    <w:rsid w:val="00583C13"/>
    <w:rsid w:val="00585CDD"/>
    <w:rsid w:val="00587058"/>
    <w:rsid w:val="005913D4"/>
    <w:rsid w:val="00591957"/>
    <w:rsid w:val="00591A90"/>
    <w:rsid w:val="005931E9"/>
    <w:rsid w:val="00597BF9"/>
    <w:rsid w:val="005A247E"/>
    <w:rsid w:val="005A309A"/>
    <w:rsid w:val="005A3577"/>
    <w:rsid w:val="005A373D"/>
    <w:rsid w:val="005A388A"/>
    <w:rsid w:val="005A3FD6"/>
    <w:rsid w:val="005A4E2E"/>
    <w:rsid w:val="005B0B58"/>
    <w:rsid w:val="005B12CA"/>
    <w:rsid w:val="005B1AA4"/>
    <w:rsid w:val="005B2007"/>
    <w:rsid w:val="005B3E98"/>
    <w:rsid w:val="005B4E53"/>
    <w:rsid w:val="005B5857"/>
    <w:rsid w:val="005B5A94"/>
    <w:rsid w:val="005C0F46"/>
    <w:rsid w:val="005C1B83"/>
    <w:rsid w:val="005C25FF"/>
    <w:rsid w:val="005C2940"/>
    <w:rsid w:val="005C2D55"/>
    <w:rsid w:val="005C346B"/>
    <w:rsid w:val="005C4B2F"/>
    <w:rsid w:val="005C7395"/>
    <w:rsid w:val="005D044D"/>
    <w:rsid w:val="005D0ABD"/>
    <w:rsid w:val="005D0DC6"/>
    <w:rsid w:val="005D18AD"/>
    <w:rsid w:val="005D1A48"/>
    <w:rsid w:val="005D26B4"/>
    <w:rsid w:val="005D5AD8"/>
    <w:rsid w:val="005E1EBD"/>
    <w:rsid w:val="005E6CBC"/>
    <w:rsid w:val="005E72FF"/>
    <w:rsid w:val="005E73C0"/>
    <w:rsid w:val="005E7BE0"/>
    <w:rsid w:val="005F05C0"/>
    <w:rsid w:val="005F17F9"/>
    <w:rsid w:val="005F2706"/>
    <w:rsid w:val="005F6A8F"/>
    <w:rsid w:val="005F6BB7"/>
    <w:rsid w:val="005F6BF7"/>
    <w:rsid w:val="005F7486"/>
    <w:rsid w:val="005F7588"/>
    <w:rsid w:val="005F7659"/>
    <w:rsid w:val="00601243"/>
    <w:rsid w:val="00603DB9"/>
    <w:rsid w:val="00603EE4"/>
    <w:rsid w:val="0060439C"/>
    <w:rsid w:val="006053DA"/>
    <w:rsid w:val="00606FBA"/>
    <w:rsid w:val="00607669"/>
    <w:rsid w:val="006076F4"/>
    <w:rsid w:val="00607AFD"/>
    <w:rsid w:val="00612F97"/>
    <w:rsid w:val="0061345D"/>
    <w:rsid w:val="0061549B"/>
    <w:rsid w:val="00616802"/>
    <w:rsid w:val="00616927"/>
    <w:rsid w:val="00616CA4"/>
    <w:rsid w:val="00617E12"/>
    <w:rsid w:val="00620C25"/>
    <w:rsid w:val="00621477"/>
    <w:rsid w:val="00621ADA"/>
    <w:rsid w:val="00623A25"/>
    <w:rsid w:val="00623F7B"/>
    <w:rsid w:val="0063158F"/>
    <w:rsid w:val="00631D6B"/>
    <w:rsid w:val="00632183"/>
    <w:rsid w:val="0063238C"/>
    <w:rsid w:val="006330A1"/>
    <w:rsid w:val="0063479F"/>
    <w:rsid w:val="006350EB"/>
    <w:rsid w:val="006353F0"/>
    <w:rsid w:val="006357B5"/>
    <w:rsid w:val="006364A1"/>
    <w:rsid w:val="0063678E"/>
    <w:rsid w:val="00637B26"/>
    <w:rsid w:val="00637BFD"/>
    <w:rsid w:val="006413DE"/>
    <w:rsid w:val="00641C4E"/>
    <w:rsid w:val="00641FB3"/>
    <w:rsid w:val="0064434C"/>
    <w:rsid w:val="00645C98"/>
    <w:rsid w:val="00646141"/>
    <w:rsid w:val="006471CC"/>
    <w:rsid w:val="00647A29"/>
    <w:rsid w:val="00647D30"/>
    <w:rsid w:val="00650148"/>
    <w:rsid w:val="0065079F"/>
    <w:rsid w:val="00651B23"/>
    <w:rsid w:val="00652A28"/>
    <w:rsid w:val="0065379F"/>
    <w:rsid w:val="00654D13"/>
    <w:rsid w:val="00656188"/>
    <w:rsid w:val="0065715A"/>
    <w:rsid w:val="00660EA0"/>
    <w:rsid w:val="006610F1"/>
    <w:rsid w:val="006611F6"/>
    <w:rsid w:val="006613E9"/>
    <w:rsid w:val="00661C6B"/>
    <w:rsid w:val="006632FE"/>
    <w:rsid w:val="00663CE1"/>
    <w:rsid w:val="00667984"/>
    <w:rsid w:val="006702DE"/>
    <w:rsid w:val="00670F9B"/>
    <w:rsid w:val="00671004"/>
    <w:rsid w:val="00672646"/>
    <w:rsid w:val="00674E42"/>
    <w:rsid w:val="00675D52"/>
    <w:rsid w:val="006813E5"/>
    <w:rsid w:val="006813F8"/>
    <w:rsid w:val="00681879"/>
    <w:rsid w:val="00682112"/>
    <w:rsid w:val="00682BA6"/>
    <w:rsid w:val="00685E08"/>
    <w:rsid w:val="00686957"/>
    <w:rsid w:val="006872BA"/>
    <w:rsid w:val="00687344"/>
    <w:rsid w:val="00690795"/>
    <w:rsid w:val="006914AC"/>
    <w:rsid w:val="00691648"/>
    <w:rsid w:val="006917D7"/>
    <w:rsid w:val="0069242F"/>
    <w:rsid w:val="006930F2"/>
    <w:rsid w:val="0069434C"/>
    <w:rsid w:val="00694729"/>
    <w:rsid w:val="00694F44"/>
    <w:rsid w:val="006959CC"/>
    <w:rsid w:val="00696F51"/>
    <w:rsid w:val="00696FF6"/>
    <w:rsid w:val="006979A5"/>
    <w:rsid w:val="006A0EB4"/>
    <w:rsid w:val="006A6B99"/>
    <w:rsid w:val="006A71A5"/>
    <w:rsid w:val="006A7E5F"/>
    <w:rsid w:val="006B261B"/>
    <w:rsid w:val="006B2C90"/>
    <w:rsid w:val="006B3155"/>
    <w:rsid w:val="006B35E6"/>
    <w:rsid w:val="006B446B"/>
    <w:rsid w:val="006B465A"/>
    <w:rsid w:val="006B6280"/>
    <w:rsid w:val="006B6BE3"/>
    <w:rsid w:val="006B6DD0"/>
    <w:rsid w:val="006C0399"/>
    <w:rsid w:val="006C2A8E"/>
    <w:rsid w:val="006C2AE4"/>
    <w:rsid w:val="006C3255"/>
    <w:rsid w:val="006C3F26"/>
    <w:rsid w:val="006C63AB"/>
    <w:rsid w:val="006C70FB"/>
    <w:rsid w:val="006D0D17"/>
    <w:rsid w:val="006D2BB5"/>
    <w:rsid w:val="006D3C7D"/>
    <w:rsid w:val="006D4659"/>
    <w:rsid w:val="006D5D5F"/>
    <w:rsid w:val="006D68FB"/>
    <w:rsid w:val="006E118D"/>
    <w:rsid w:val="006E243A"/>
    <w:rsid w:val="006E2868"/>
    <w:rsid w:val="006F306C"/>
    <w:rsid w:val="006F3353"/>
    <w:rsid w:val="006F5881"/>
    <w:rsid w:val="006F63A5"/>
    <w:rsid w:val="0070142B"/>
    <w:rsid w:val="0070276E"/>
    <w:rsid w:val="00702F8F"/>
    <w:rsid w:val="007031E5"/>
    <w:rsid w:val="00706005"/>
    <w:rsid w:val="007079FC"/>
    <w:rsid w:val="00711A36"/>
    <w:rsid w:val="007130A6"/>
    <w:rsid w:val="00714C26"/>
    <w:rsid w:val="0071529C"/>
    <w:rsid w:val="0071661B"/>
    <w:rsid w:val="007170DA"/>
    <w:rsid w:val="007172AD"/>
    <w:rsid w:val="0071733E"/>
    <w:rsid w:val="00720801"/>
    <w:rsid w:val="00722B1B"/>
    <w:rsid w:val="00723655"/>
    <w:rsid w:val="00723C84"/>
    <w:rsid w:val="0072416F"/>
    <w:rsid w:val="0072535B"/>
    <w:rsid w:val="00727C94"/>
    <w:rsid w:val="00731B0A"/>
    <w:rsid w:val="00731EAE"/>
    <w:rsid w:val="00733073"/>
    <w:rsid w:val="00735033"/>
    <w:rsid w:val="00735328"/>
    <w:rsid w:val="0073685B"/>
    <w:rsid w:val="00742DA9"/>
    <w:rsid w:val="007449BF"/>
    <w:rsid w:val="00746BC0"/>
    <w:rsid w:val="00747B7E"/>
    <w:rsid w:val="007505CC"/>
    <w:rsid w:val="007510B4"/>
    <w:rsid w:val="00752142"/>
    <w:rsid w:val="007523F9"/>
    <w:rsid w:val="00752BF6"/>
    <w:rsid w:val="00753085"/>
    <w:rsid w:val="0075357E"/>
    <w:rsid w:val="0075386B"/>
    <w:rsid w:val="00756812"/>
    <w:rsid w:val="007573E8"/>
    <w:rsid w:val="00760C4E"/>
    <w:rsid w:val="00760F9E"/>
    <w:rsid w:val="00760FF3"/>
    <w:rsid w:val="007616D0"/>
    <w:rsid w:val="007627BE"/>
    <w:rsid w:val="00763375"/>
    <w:rsid w:val="00763738"/>
    <w:rsid w:val="00764F03"/>
    <w:rsid w:val="0076517B"/>
    <w:rsid w:val="00765B1A"/>
    <w:rsid w:val="00766E5A"/>
    <w:rsid w:val="00770A86"/>
    <w:rsid w:val="00777335"/>
    <w:rsid w:val="007807F6"/>
    <w:rsid w:val="007810C0"/>
    <w:rsid w:val="007843F2"/>
    <w:rsid w:val="00785A9F"/>
    <w:rsid w:val="007925DF"/>
    <w:rsid w:val="007941DF"/>
    <w:rsid w:val="007A08AA"/>
    <w:rsid w:val="007A0A12"/>
    <w:rsid w:val="007A132D"/>
    <w:rsid w:val="007A1345"/>
    <w:rsid w:val="007A2590"/>
    <w:rsid w:val="007A2DDB"/>
    <w:rsid w:val="007A3B30"/>
    <w:rsid w:val="007A4BAB"/>
    <w:rsid w:val="007A505B"/>
    <w:rsid w:val="007A5940"/>
    <w:rsid w:val="007A6D37"/>
    <w:rsid w:val="007A70BA"/>
    <w:rsid w:val="007B0D68"/>
    <w:rsid w:val="007B251D"/>
    <w:rsid w:val="007B378C"/>
    <w:rsid w:val="007B4F58"/>
    <w:rsid w:val="007B528D"/>
    <w:rsid w:val="007B63CA"/>
    <w:rsid w:val="007B6DDE"/>
    <w:rsid w:val="007B6F02"/>
    <w:rsid w:val="007B739E"/>
    <w:rsid w:val="007B77D1"/>
    <w:rsid w:val="007C07AC"/>
    <w:rsid w:val="007C07C7"/>
    <w:rsid w:val="007C0D73"/>
    <w:rsid w:val="007C0E81"/>
    <w:rsid w:val="007C1CD9"/>
    <w:rsid w:val="007C32EF"/>
    <w:rsid w:val="007C361D"/>
    <w:rsid w:val="007C39F2"/>
    <w:rsid w:val="007C4B84"/>
    <w:rsid w:val="007C70FF"/>
    <w:rsid w:val="007C7C25"/>
    <w:rsid w:val="007D004F"/>
    <w:rsid w:val="007D06A6"/>
    <w:rsid w:val="007D0B38"/>
    <w:rsid w:val="007D192D"/>
    <w:rsid w:val="007D5440"/>
    <w:rsid w:val="007D69EB"/>
    <w:rsid w:val="007D6E6D"/>
    <w:rsid w:val="007E128F"/>
    <w:rsid w:val="007F1017"/>
    <w:rsid w:val="007F348A"/>
    <w:rsid w:val="007F3AF6"/>
    <w:rsid w:val="007F4A3F"/>
    <w:rsid w:val="007F4A61"/>
    <w:rsid w:val="007F5255"/>
    <w:rsid w:val="007F56CC"/>
    <w:rsid w:val="007F61C2"/>
    <w:rsid w:val="00804345"/>
    <w:rsid w:val="008045E0"/>
    <w:rsid w:val="00805142"/>
    <w:rsid w:val="00805FCE"/>
    <w:rsid w:val="00807A8B"/>
    <w:rsid w:val="00811383"/>
    <w:rsid w:val="00811FC2"/>
    <w:rsid w:val="00812149"/>
    <w:rsid w:val="00812CAC"/>
    <w:rsid w:val="0081315B"/>
    <w:rsid w:val="00814C72"/>
    <w:rsid w:val="00815384"/>
    <w:rsid w:val="00816361"/>
    <w:rsid w:val="00816428"/>
    <w:rsid w:val="008166EF"/>
    <w:rsid w:val="00816FEF"/>
    <w:rsid w:val="00820A8C"/>
    <w:rsid w:val="008215FB"/>
    <w:rsid w:val="00821E37"/>
    <w:rsid w:val="00823174"/>
    <w:rsid w:val="00823A9B"/>
    <w:rsid w:val="00824B2F"/>
    <w:rsid w:val="00825751"/>
    <w:rsid w:val="008264EB"/>
    <w:rsid w:val="00830DA8"/>
    <w:rsid w:val="00832C71"/>
    <w:rsid w:val="00833B05"/>
    <w:rsid w:val="00834C58"/>
    <w:rsid w:val="00834E00"/>
    <w:rsid w:val="008362B4"/>
    <w:rsid w:val="00840CA2"/>
    <w:rsid w:val="0084145B"/>
    <w:rsid w:val="0084374F"/>
    <w:rsid w:val="00843AB1"/>
    <w:rsid w:val="00844073"/>
    <w:rsid w:val="00844A22"/>
    <w:rsid w:val="00847703"/>
    <w:rsid w:val="00847DF5"/>
    <w:rsid w:val="0085309D"/>
    <w:rsid w:val="008545C6"/>
    <w:rsid w:val="0085687D"/>
    <w:rsid w:val="00856897"/>
    <w:rsid w:val="0085696A"/>
    <w:rsid w:val="00856E9A"/>
    <w:rsid w:val="0086075D"/>
    <w:rsid w:val="00861016"/>
    <w:rsid w:val="0086153E"/>
    <w:rsid w:val="008621F4"/>
    <w:rsid w:val="00862502"/>
    <w:rsid w:val="00862CC1"/>
    <w:rsid w:val="00863E91"/>
    <w:rsid w:val="00863F6E"/>
    <w:rsid w:val="00865A7E"/>
    <w:rsid w:val="008660D4"/>
    <w:rsid w:val="00871083"/>
    <w:rsid w:val="00871FA9"/>
    <w:rsid w:val="008728E9"/>
    <w:rsid w:val="00872FC5"/>
    <w:rsid w:val="0087384C"/>
    <w:rsid w:val="00874071"/>
    <w:rsid w:val="00882874"/>
    <w:rsid w:val="00882E3C"/>
    <w:rsid w:val="00883787"/>
    <w:rsid w:val="008855E4"/>
    <w:rsid w:val="00886A31"/>
    <w:rsid w:val="00886CD2"/>
    <w:rsid w:val="0089000F"/>
    <w:rsid w:val="008915C8"/>
    <w:rsid w:val="00891E6F"/>
    <w:rsid w:val="0089275D"/>
    <w:rsid w:val="00892A36"/>
    <w:rsid w:val="00893239"/>
    <w:rsid w:val="00894489"/>
    <w:rsid w:val="00896143"/>
    <w:rsid w:val="008963A5"/>
    <w:rsid w:val="00896D5D"/>
    <w:rsid w:val="00897023"/>
    <w:rsid w:val="008A1137"/>
    <w:rsid w:val="008A3363"/>
    <w:rsid w:val="008A3371"/>
    <w:rsid w:val="008A3486"/>
    <w:rsid w:val="008A39FF"/>
    <w:rsid w:val="008A3C3E"/>
    <w:rsid w:val="008A58C2"/>
    <w:rsid w:val="008A6B4A"/>
    <w:rsid w:val="008A79DE"/>
    <w:rsid w:val="008B12B2"/>
    <w:rsid w:val="008B1757"/>
    <w:rsid w:val="008B266E"/>
    <w:rsid w:val="008B40A0"/>
    <w:rsid w:val="008B4F0C"/>
    <w:rsid w:val="008B6CBC"/>
    <w:rsid w:val="008B7992"/>
    <w:rsid w:val="008B7D7E"/>
    <w:rsid w:val="008C0871"/>
    <w:rsid w:val="008C5427"/>
    <w:rsid w:val="008C55E6"/>
    <w:rsid w:val="008C5610"/>
    <w:rsid w:val="008C5739"/>
    <w:rsid w:val="008C6B24"/>
    <w:rsid w:val="008C7ECB"/>
    <w:rsid w:val="008D1963"/>
    <w:rsid w:val="008D2DD3"/>
    <w:rsid w:val="008D3B86"/>
    <w:rsid w:val="008D4755"/>
    <w:rsid w:val="008D4C3D"/>
    <w:rsid w:val="008D4DA6"/>
    <w:rsid w:val="008D743C"/>
    <w:rsid w:val="008E0D3C"/>
    <w:rsid w:val="008E1B9E"/>
    <w:rsid w:val="008E1D63"/>
    <w:rsid w:val="008E20A3"/>
    <w:rsid w:val="008E2C16"/>
    <w:rsid w:val="008E55AB"/>
    <w:rsid w:val="008E643E"/>
    <w:rsid w:val="008F120A"/>
    <w:rsid w:val="008F1FF6"/>
    <w:rsid w:val="008F22D5"/>
    <w:rsid w:val="008F27E0"/>
    <w:rsid w:val="008F48EB"/>
    <w:rsid w:val="008F4EE2"/>
    <w:rsid w:val="008F4F0B"/>
    <w:rsid w:val="008F7622"/>
    <w:rsid w:val="009046C4"/>
    <w:rsid w:val="00905755"/>
    <w:rsid w:val="009062A5"/>
    <w:rsid w:val="00910FA7"/>
    <w:rsid w:val="00911272"/>
    <w:rsid w:val="009135D6"/>
    <w:rsid w:val="00913B35"/>
    <w:rsid w:val="00914C77"/>
    <w:rsid w:val="00916546"/>
    <w:rsid w:val="009219D9"/>
    <w:rsid w:val="00921ACB"/>
    <w:rsid w:val="0092369B"/>
    <w:rsid w:val="009274CA"/>
    <w:rsid w:val="0093133B"/>
    <w:rsid w:val="00933557"/>
    <w:rsid w:val="009343FE"/>
    <w:rsid w:val="00934988"/>
    <w:rsid w:val="00937089"/>
    <w:rsid w:val="0093782B"/>
    <w:rsid w:val="00937DEA"/>
    <w:rsid w:val="009407A1"/>
    <w:rsid w:val="009408CC"/>
    <w:rsid w:val="00942CC4"/>
    <w:rsid w:val="00944063"/>
    <w:rsid w:val="009441C5"/>
    <w:rsid w:val="00944F8A"/>
    <w:rsid w:val="00946B58"/>
    <w:rsid w:val="00947393"/>
    <w:rsid w:val="00947577"/>
    <w:rsid w:val="00947E17"/>
    <w:rsid w:val="009510A2"/>
    <w:rsid w:val="00953257"/>
    <w:rsid w:val="0095474C"/>
    <w:rsid w:val="009563AA"/>
    <w:rsid w:val="00961A09"/>
    <w:rsid w:val="00962CB9"/>
    <w:rsid w:val="00964312"/>
    <w:rsid w:val="00964888"/>
    <w:rsid w:val="00965B8A"/>
    <w:rsid w:val="00967602"/>
    <w:rsid w:val="0097071F"/>
    <w:rsid w:val="00971282"/>
    <w:rsid w:val="00971534"/>
    <w:rsid w:val="009717AC"/>
    <w:rsid w:val="00972451"/>
    <w:rsid w:val="0097258D"/>
    <w:rsid w:val="009751C1"/>
    <w:rsid w:val="00976B1D"/>
    <w:rsid w:val="00980D40"/>
    <w:rsid w:val="009811F1"/>
    <w:rsid w:val="00983E57"/>
    <w:rsid w:val="00985DE2"/>
    <w:rsid w:val="0098675D"/>
    <w:rsid w:val="00990534"/>
    <w:rsid w:val="009926E0"/>
    <w:rsid w:val="009938AE"/>
    <w:rsid w:val="0099451E"/>
    <w:rsid w:val="0099509C"/>
    <w:rsid w:val="00996B1A"/>
    <w:rsid w:val="00997B76"/>
    <w:rsid w:val="009A0104"/>
    <w:rsid w:val="009A0FAC"/>
    <w:rsid w:val="009A1C7E"/>
    <w:rsid w:val="009A1DB5"/>
    <w:rsid w:val="009A2444"/>
    <w:rsid w:val="009A27AB"/>
    <w:rsid w:val="009A2DCC"/>
    <w:rsid w:val="009A445C"/>
    <w:rsid w:val="009A54B7"/>
    <w:rsid w:val="009A5ABC"/>
    <w:rsid w:val="009A5C05"/>
    <w:rsid w:val="009A6DC0"/>
    <w:rsid w:val="009A7F10"/>
    <w:rsid w:val="009B3E26"/>
    <w:rsid w:val="009C0ED3"/>
    <w:rsid w:val="009C0FE5"/>
    <w:rsid w:val="009C2BF1"/>
    <w:rsid w:val="009C2E0D"/>
    <w:rsid w:val="009C3706"/>
    <w:rsid w:val="009C3A3A"/>
    <w:rsid w:val="009C6703"/>
    <w:rsid w:val="009C6A85"/>
    <w:rsid w:val="009C6CEA"/>
    <w:rsid w:val="009C7B85"/>
    <w:rsid w:val="009D0254"/>
    <w:rsid w:val="009D1A64"/>
    <w:rsid w:val="009D23AE"/>
    <w:rsid w:val="009D258A"/>
    <w:rsid w:val="009D5B91"/>
    <w:rsid w:val="009D792E"/>
    <w:rsid w:val="009E0DFE"/>
    <w:rsid w:val="009E312C"/>
    <w:rsid w:val="009E31F6"/>
    <w:rsid w:val="009E4C07"/>
    <w:rsid w:val="009F1998"/>
    <w:rsid w:val="009F283E"/>
    <w:rsid w:val="009F3572"/>
    <w:rsid w:val="009F3BDE"/>
    <w:rsid w:val="009F64AE"/>
    <w:rsid w:val="009F67CD"/>
    <w:rsid w:val="009F7D84"/>
    <w:rsid w:val="00A00477"/>
    <w:rsid w:val="00A004DB"/>
    <w:rsid w:val="00A01057"/>
    <w:rsid w:val="00A01184"/>
    <w:rsid w:val="00A012D7"/>
    <w:rsid w:val="00A03477"/>
    <w:rsid w:val="00A037C2"/>
    <w:rsid w:val="00A03C59"/>
    <w:rsid w:val="00A03D43"/>
    <w:rsid w:val="00A04380"/>
    <w:rsid w:val="00A048C0"/>
    <w:rsid w:val="00A05472"/>
    <w:rsid w:val="00A05C32"/>
    <w:rsid w:val="00A0653F"/>
    <w:rsid w:val="00A07D02"/>
    <w:rsid w:val="00A11CD0"/>
    <w:rsid w:val="00A137C7"/>
    <w:rsid w:val="00A13948"/>
    <w:rsid w:val="00A1493C"/>
    <w:rsid w:val="00A14C9F"/>
    <w:rsid w:val="00A1555B"/>
    <w:rsid w:val="00A155C5"/>
    <w:rsid w:val="00A15B73"/>
    <w:rsid w:val="00A16AD8"/>
    <w:rsid w:val="00A17BEB"/>
    <w:rsid w:val="00A201CF"/>
    <w:rsid w:val="00A219D4"/>
    <w:rsid w:val="00A21C95"/>
    <w:rsid w:val="00A21CF3"/>
    <w:rsid w:val="00A23C68"/>
    <w:rsid w:val="00A24813"/>
    <w:rsid w:val="00A26384"/>
    <w:rsid w:val="00A26CC4"/>
    <w:rsid w:val="00A27AEC"/>
    <w:rsid w:val="00A320DB"/>
    <w:rsid w:val="00A33FAB"/>
    <w:rsid w:val="00A34081"/>
    <w:rsid w:val="00A342E4"/>
    <w:rsid w:val="00A35D16"/>
    <w:rsid w:val="00A3627C"/>
    <w:rsid w:val="00A37BCD"/>
    <w:rsid w:val="00A41689"/>
    <w:rsid w:val="00A42592"/>
    <w:rsid w:val="00A433E3"/>
    <w:rsid w:val="00A43C59"/>
    <w:rsid w:val="00A5034B"/>
    <w:rsid w:val="00A50ECD"/>
    <w:rsid w:val="00A518F3"/>
    <w:rsid w:val="00A5196B"/>
    <w:rsid w:val="00A52729"/>
    <w:rsid w:val="00A53675"/>
    <w:rsid w:val="00A546E8"/>
    <w:rsid w:val="00A558D7"/>
    <w:rsid w:val="00A56453"/>
    <w:rsid w:val="00A564D7"/>
    <w:rsid w:val="00A56B6A"/>
    <w:rsid w:val="00A578DC"/>
    <w:rsid w:val="00A61BBE"/>
    <w:rsid w:val="00A61F2B"/>
    <w:rsid w:val="00A640E2"/>
    <w:rsid w:val="00A64D65"/>
    <w:rsid w:val="00A64EBF"/>
    <w:rsid w:val="00A6725B"/>
    <w:rsid w:val="00A70605"/>
    <w:rsid w:val="00A707E2"/>
    <w:rsid w:val="00A72FD6"/>
    <w:rsid w:val="00A73134"/>
    <w:rsid w:val="00A73DC2"/>
    <w:rsid w:val="00A74551"/>
    <w:rsid w:val="00A76001"/>
    <w:rsid w:val="00A777B2"/>
    <w:rsid w:val="00A82521"/>
    <w:rsid w:val="00A825D4"/>
    <w:rsid w:val="00A828F6"/>
    <w:rsid w:val="00A82B73"/>
    <w:rsid w:val="00A83346"/>
    <w:rsid w:val="00A86E8B"/>
    <w:rsid w:val="00A87164"/>
    <w:rsid w:val="00A93072"/>
    <w:rsid w:val="00A938BD"/>
    <w:rsid w:val="00A93953"/>
    <w:rsid w:val="00A959D8"/>
    <w:rsid w:val="00A96888"/>
    <w:rsid w:val="00AA113D"/>
    <w:rsid w:val="00AA1A4B"/>
    <w:rsid w:val="00AA347B"/>
    <w:rsid w:val="00AA3593"/>
    <w:rsid w:val="00AA6BD5"/>
    <w:rsid w:val="00AA6BD8"/>
    <w:rsid w:val="00AA6C7D"/>
    <w:rsid w:val="00AA6E33"/>
    <w:rsid w:val="00AA754D"/>
    <w:rsid w:val="00AA7589"/>
    <w:rsid w:val="00AA7FD6"/>
    <w:rsid w:val="00AB042A"/>
    <w:rsid w:val="00AB19EF"/>
    <w:rsid w:val="00AB2265"/>
    <w:rsid w:val="00AB2D34"/>
    <w:rsid w:val="00AB3430"/>
    <w:rsid w:val="00AB37B9"/>
    <w:rsid w:val="00AB3998"/>
    <w:rsid w:val="00AB4AD1"/>
    <w:rsid w:val="00AB59D1"/>
    <w:rsid w:val="00AB5E07"/>
    <w:rsid w:val="00AB714C"/>
    <w:rsid w:val="00AB7CFA"/>
    <w:rsid w:val="00AC0B9A"/>
    <w:rsid w:val="00AC1601"/>
    <w:rsid w:val="00AC5B48"/>
    <w:rsid w:val="00AC7051"/>
    <w:rsid w:val="00AC7DBC"/>
    <w:rsid w:val="00AD0EC5"/>
    <w:rsid w:val="00AD119D"/>
    <w:rsid w:val="00AD1450"/>
    <w:rsid w:val="00AD4548"/>
    <w:rsid w:val="00AD6502"/>
    <w:rsid w:val="00AD77C1"/>
    <w:rsid w:val="00AE0695"/>
    <w:rsid w:val="00AE3E7E"/>
    <w:rsid w:val="00AE4975"/>
    <w:rsid w:val="00AF1315"/>
    <w:rsid w:val="00AF19BF"/>
    <w:rsid w:val="00AF2DC3"/>
    <w:rsid w:val="00AF5859"/>
    <w:rsid w:val="00B033E5"/>
    <w:rsid w:val="00B03A63"/>
    <w:rsid w:val="00B122E0"/>
    <w:rsid w:val="00B14584"/>
    <w:rsid w:val="00B16169"/>
    <w:rsid w:val="00B201A4"/>
    <w:rsid w:val="00B201D1"/>
    <w:rsid w:val="00B2088C"/>
    <w:rsid w:val="00B213A6"/>
    <w:rsid w:val="00B2322B"/>
    <w:rsid w:val="00B235B0"/>
    <w:rsid w:val="00B2403C"/>
    <w:rsid w:val="00B24DF6"/>
    <w:rsid w:val="00B264A2"/>
    <w:rsid w:val="00B30883"/>
    <w:rsid w:val="00B3367B"/>
    <w:rsid w:val="00B34FE2"/>
    <w:rsid w:val="00B35166"/>
    <w:rsid w:val="00B357D8"/>
    <w:rsid w:val="00B360F4"/>
    <w:rsid w:val="00B3660B"/>
    <w:rsid w:val="00B36A00"/>
    <w:rsid w:val="00B37BFC"/>
    <w:rsid w:val="00B40358"/>
    <w:rsid w:val="00B41614"/>
    <w:rsid w:val="00B425AF"/>
    <w:rsid w:val="00B42851"/>
    <w:rsid w:val="00B42F80"/>
    <w:rsid w:val="00B435CB"/>
    <w:rsid w:val="00B43BD4"/>
    <w:rsid w:val="00B45991"/>
    <w:rsid w:val="00B45C01"/>
    <w:rsid w:val="00B504B2"/>
    <w:rsid w:val="00B505C8"/>
    <w:rsid w:val="00B50DB8"/>
    <w:rsid w:val="00B52862"/>
    <w:rsid w:val="00B53654"/>
    <w:rsid w:val="00B53905"/>
    <w:rsid w:val="00B54B5B"/>
    <w:rsid w:val="00B5562E"/>
    <w:rsid w:val="00B55D65"/>
    <w:rsid w:val="00B57000"/>
    <w:rsid w:val="00B57D34"/>
    <w:rsid w:val="00B60939"/>
    <w:rsid w:val="00B60AFD"/>
    <w:rsid w:val="00B62715"/>
    <w:rsid w:val="00B65611"/>
    <w:rsid w:val="00B70E8E"/>
    <w:rsid w:val="00B70EDA"/>
    <w:rsid w:val="00B74C64"/>
    <w:rsid w:val="00B74E1F"/>
    <w:rsid w:val="00B752C9"/>
    <w:rsid w:val="00B76C92"/>
    <w:rsid w:val="00B8170C"/>
    <w:rsid w:val="00B818A4"/>
    <w:rsid w:val="00B83D5B"/>
    <w:rsid w:val="00B84117"/>
    <w:rsid w:val="00B858F0"/>
    <w:rsid w:val="00B85AA2"/>
    <w:rsid w:val="00B8649C"/>
    <w:rsid w:val="00B8695D"/>
    <w:rsid w:val="00B8720E"/>
    <w:rsid w:val="00B87292"/>
    <w:rsid w:val="00B87F0A"/>
    <w:rsid w:val="00B91586"/>
    <w:rsid w:val="00B92D0B"/>
    <w:rsid w:val="00B937FF"/>
    <w:rsid w:val="00B93934"/>
    <w:rsid w:val="00B9461E"/>
    <w:rsid w:val="00B94945"/>
    <w:rsid w:val="00B94DD6"/>
    <w:rsid w:val="00B9507C"/>
    <w:rsid w:val="00B95864"/>
    <w:rsid w:val="00B9605E"/>
    <w:rsid w:val="00BA24C7"/>
    <w:rsid w:val="00BA322D"/>
    <w:rsid w:val="00BA3695"/>
    <w:rsid w:val="00BA63FA"/>
    <w:rsid w:val="00BB00B3"/>
    <w:rsid w:val="00BB0BDD"/>
    <w:rsid w:val="00BB176C"/>
    <w:rsid w:val="00BB2A73"/>
    <w:rsid w:val="00BB3A45"/>
    <w:rsid w:val="00BB4ACC"/>
    <w:rsid w:val="00BB6944"/>
    <w:rsid w:val="00BB703E"/>
    <w:rsid w:val="00BB732D"/>
    <w:rsid w:val="00BB7405"/>
    <w:rsid w:val="00BC3341"/>
    <w:rsid w:val="00BC3631"/>
    <w:rsid w:val="00BC4E8E"/>
    <w:rsid w:val="00BC5309"/>
    <w:rsid w:val="00BC572F"/>
    <w:rsid w:val="00BC591F"/>
    <w:rsid w:val="00BC7D6D"/>
    <w:rsid w:val="00BD2108"/>
    <w:rsid w:val="00BD46CC"/>
    <w:rsid w:val="00BD68A3"/>
    <w:rsid w:val="00BD6938"/>
    <w:rsid w:val="00BD6CF3"/>
    <w:rsid w:val="00BD757F"/>
    <w:rsid w:val="00BE025D"/>
    <w:rsid w:val="00BE0ECA"/>
    <w:rsid w:val="00BE2180"/>
    <w:rsid w:val="00BE21F2"/>
    <w:rsid w:val="00BE4275"/>
    <w:rsid w:val="00BF06AE"/>
    <w:rsid w:val="00BF0F95"/>
    <w:rsid w:val="00BF1C69"/>
    <w:rsid w:val="00BF2433"/>
    <w:rsid w:val="00BF2C95"/>
    <w:rsid w:val="00BF61C9"/>
    <w:rsid w:val="00BF6C94"/>
    <w:rsid w:val="00C00424"/>
    <w:rsid w:val="00C06E2A"/>
    <w:rsid w:val="00C10865"/>
    <w:rsid w:val="00C1179F"/>
    <w:rsid w:val="00C12C14"/>
    <w:rsid w:val="00C15F04"/>
    <w:rsid w:val="00C178A4"/>
    <w:rsid w:val="00C179B3"/>
    <w:rsid w:val="00C17E3F"/>
    <w:rsid w:val="00C200AA"/>
    <w:rsid w:val="00C21CC9"/>
    <w:rsid w:val="00C237ED"/>
    <w:rsid w:val="00C24632"/>
    <w:rsid w:val="00C24C99"/>
    <w:rsid w:val="00C25418"/>
    <w:rsid w:val="00C25D9C"/>
    <w:rsid w:val="00C2775B"/>
    <w:rsid w:val="00C2778B"/>
    <w:rsid w:val="00C31649"/>
    <w:rsid w:val="00C3434C"/>
    <w:rsid w:val="00C3591E"/>
    <w:rsid w:val="00C40385"/>
    <w:rsid w:val="00C41768"/>
    <w:rsid w:val="00C428CD"/>
    <w:rsid w:val="00C42B4E"/>
    <w:rsid w:val="00C464FA"/>
    <w:rsid w:val="00C475AA"/>
    <w:rsid w:val="00C53C98"/>
    <w:rsid w:val="00C55BFC"/>
    <w:rsid w:val="00C56F7D"/>
    <w:rsid w:val="00C56FCF"/>
    <w:rsid w:val="00C57B6C"/>
    <w:rsid w:val="00C57E30"/>
    <w:rsid w:val="00C611E0"/>
    <w:rsid w:val="00C628A6"/>
    <w:rsid w:val="00C64344"/>
    <w:rsid w:val="00C65108"/>
    <w:rsid w:val="00C65576"/>
    <w:rsid w:val="00C66165"/>
    <w:rsid w:val="00C7060A"/>
    <w:rsid w:val="00C7151A"/>
    <w:rsid w:val="00C717E3"/>
    <w:rsid w:val="00C71827"/>
    <w:rsid w:val="00C71F60"/>
    <w:rsid w:val="00C72241"/>
    <w:rsid w:val="00C729FA"/>
    <w:rsid w:val="00C750C8"/>
    <w:rsid w:val="00C7560F"/>
    <w:rsid w:val="00C76C9D"/>
    <w:rsid w:val="00C80A0E"/>
    <w:rsid w:val="00C80E7A"/>
    <w:rsid w:val="00C81C0D"/>
    <w:rsid w:val="00C8213F"/>
    <w:rsid w:val="00C85154"/>
    <w:rsid w:val="00C8797A"/>
    <w:rsid w:val="00C900B8"/>
    <w:rsid w:val="00C90C71"/>
    <w:rsid w:val="00C91FD1"/>
    <w:rsid w:val="00C931CF"/>
    <w:rsid w:val="00C938CF"/>
    <w:rsid w:val="00C94053"/>
    <w:rsid w:val="00C9624D"/>
    <w:rsid w:val="00C969DA"/>
    <w:rsid w:val="00C9700D"/>
    <w:rsid w:val="00C979CC"/>
    <w:rsid w:val="00CA29FD"/>
    <w:rsid w:val="00CA2C77"/>
    <w:rsid w:val="00CA444F"/>
    <w:rsid w:val="00CA5245"/>
    <w:rsid w:val="00CA71F4"/>
    <w:rsid w:val="00CA7B09"/>
    <w:rsid w:val="00CA7E35"/>
    <w:rsid w:val="00CB08FB"/>
    <w:rsid w:val="00CB12A5"/>
    <w:rsid w:val="00CB1CAC"/>
    <w:rsid w:val="00CB2F2A"/>
    <w:rsid w:val="00CB33B2"/>
    <w:rsid w:val="00CB430D"/>
    <w:rsid w:val="00CB5B1A"/>
    <w:rsid w:val="00CB6B22"/>
    <w:rsid w:val="00CB790D"/>
    <w:rsid w:val="00CB7F5F"/>
    <w:rsid w:val="00CC1B39"/>
    <w:rsid w:val="00CC35EA"/>
    <w:rsid w:val="00CC3848"/>
    <w:rsid w:val="00CC5D8C"/>
    <w:rsid w:val="00CC6EE6"/>
    <w:rsid w:val="00CD1C6E"/>
    <w:rsid w:val="00CD22B9"/>
    <w:rsid w:val="00CD3F77"/>
    <w:rsid w:val="00CD486A"/>
    <w:rsid w:val="00CD6ADC"/>
    <w:rsid w:val="00CD7193"/>
    <w:rsid w:val="00CE1447"/>
    <w:rsid w:val="00CE38C8"/>
    <w:rsid w:val="00CE4CAE"/>
    <w:rsid w:val="00CE6274"/>
    <w:rsid w:val="00CE77B6"/>
    <w:rsid w:val="00CF0AC5"/>
    <w:rsid w:val="00CF2B8D"/>
    <w:rsid w:val="00CF456B"/>
    <w:rsid w:val="00CF5A22"/>
    <w:rsid w:val="00CF5EC6"/>
    <w:rsid w:val="00CF6CDB"/>
    <w:rsid w:val="00CF6F5C"/>
    <w:rsid w:val="00D0262E"/>
    <w:rsid w:val="00D02E1C"/>
    <w:rsid w:val="00D05E3D"/>
    <w:rsid w:val="00D06139"/>
    <w:rsid w:val="00D110BD"/>
    <w:rsid w:val="00D11E42"/>
    <w:rsid w:val="00D1334E"/>
    <w:rsid w:val="00D13675"/>
    <w:rsid w:val="00D139BB"/>
    <w:rsid w:val="00D141E1"/>
    <w:rsid w:val="00D14F7F"/>
    <w:rsid w:val="00D15314"/>
    <w:rsid w:val="00D17D6C"/>
    <w:rsid w:val="00D17FD1"/>
    <w:rsid w:val="00D20631"/>
    <w:rsid w:val="00D2155B"/>
    <w:rsid w:val="00D234A4"/>
    <w:rsid w:val="00D23588"/>
    <w:rsid w:val="00D23D11"/>
    <w:rsid w:val="00D244B6"/>
    <w:rsid w:val="00D26D8A"/>
    <w:rsid w:val="00D2754D"/>
    <w:rsid w:val="00D27B27"/>
    <w:rsid w:val="00D305B5"/>
    <w:rsid w:val="00D33BE9"/>
    <w:rsid w:val="00D33F93"/>
    <w:rsid w:val="00D341D5"/>
    <w:rsid w:val="00D34383"/>
    <w:rsid w:val="00D357FF"/>
    <w:rsid w:val="00D3653D"/>
    <w:rsid w:val="00D37DF8"/>
    <w:rsid w:val="00D40A52"/>
    <w:rsid w:val="00D40E78"/>
    <w:rsid w:val="00D424C7"/>
    <w:rsid w:val="00D438CC"/>
    <w:rsid w:val="00D43B2A"/>
    <w:rsid w:val="00D43D83"/>
    <w:rsid w:val="00D43DFE"/>
    <w:rsid w:val="00D47575"/>
    <w:rsid w:val="00D5243B"/>
    <w:rsid w:val="00D533EC"/>
    <w:rsid w:val="00D55738"/>
    <w:rsid w:val="00D56A95"/>
    <w:rsid w:val="00D612DB"/>
    <w:rsid w:val="00D64EF3"/>
    <w:rsid w:val="00D6602E"/>
    <w:rsid w:val="00D70CAB"/>
    <w:rsid w:val="00D70F16"/>
    <w:rsid w:val="00D72873"/>
    <w:rsid w:val="00D72F57"/>
    <w:rsid w:val="00D72FE6"/>
    <w:rsid w:val="00D76A44"/>
    <w:rsid w:val="00D815EF"/>
    <w:rsid w:val="00D81F26"/>
    <w:rsid w:val="00D8593B"/>
    <w:rsid w:val="00D86231"/>
    <w:rsid w:val="00D91923"/>
    <w:rsid w:val="00D93190"/>
    <w:rsid w:val="00D93753"/>
    <w:rsid w:val="00D95A1F"/>
    <w:rsid w:val="00D971C7"/>
    <w:rsid w:val="00DA0342"/>
    <w:rsid w:val="00DA0C7D"/>
    <w:rsid w:val="00DA0F2C"/>
    <w:rsid w:val="00DA15E1"/>
    <w:rsid w:val="00DA182F"/>
    <w:rsid w:val="00DA2E33"/>
    <w:rsid w:val="00DA3167"/>
    <w:rsid w:val="00DA4DC3"/>
    <w:rsid w:val="00DA77A5"/>
    <w:rsid w:val="00DA7AE5"/>
    <w:rsid w:val="00DB3326"/>
    <w:rsid w:val="00DB3DBF"/>
    <w:rsid w:val="00DB484F"/>
    <w:rsid w:val="00DB62A7"/>
    <w:rsid w:val="00DC00BA"/>
    <w:rsid w:val="00DC04F6"/>
    <w:rsid w:val="00DC0690"/>
    <w:rsid w:val="00DC1D65"/>
    <w:rsid w:val="00DC3C57"/>
    <w:rsid w:val="00DC5501"/>
    <w:rsid w:val="00DC575B"/>
    <w:rsid w:val="00DC7154"/>
    <w:rsid w:val="00DC7E8A"/>
    <w:rsid w:val="00DD0F78"/>
    <w:rsid w:val="00DD273C"/>
    <w:rsid w:val="00DD3F28"/>
    <w:rsid w:val="00DD4537"/>
    <w:rsid w:val="00DD4E15"/>
    <w:rsid w:val="00DE0CC9"/>
    <w:rsid w:val="00DE16D4"/>
    <w:rsid w:val="00DE2304"/>
    <w:rsid w:val="00DE2A9D"/>
    <w:rsid w:val="00DE2DC7"/>
    <w:rsid w:val="00DE3138"/>
    <w:rsid w:val="00DE315F"/>
    <w:rsid w:val="00DE37F8"/>
    <w:rsid w:val="00DE4FCB"/>
    <w:rsid w:val="00DE5D07"/>
    <w:rsid w:val="00DE72A7"/>
    <w:rsid w:val="00DE7832"/>
    <w:rsid w:val="00DF0925"/>
    <w:rsid w:val="00DF18FC"/>
    <w:rsid w:val="00DF3C30"/>
    <w:rsid w:val="00DF4032"/>
    <w:rsid w:val="00DF5D2B"/>
    <w:rsid w:val="00E0032B"/>
    <w:rsid w:val="00E00E8E"/>
    <w:rsid w:val="00E01C6F"/>
    <w:rsid w:val="00E05630"/>
    <w:rsid w:val="00E05D0E"/>
    <w:rsid w:val="00E06DBB"/>
    <w:rsid w:val="00E0724F"/>
    <w:rsid w:val="00E10149"/>
    <w:rsid w:val="00E11340"/>
    <w:rsid w:val="00E11EC4"/>
    <w:rsid w:val="00E122A1"/>
    <w:rsid w:val="00E130CE"/>
    <w:rsid w:val="00E13438"/>
    <w:rsid w:val="00E1536C"/>
    <w:rsid w:val="00E16372"/>
    <w:rsid w:val="00E16A00"/>
    <w:rsid w:val="00E16A6C"/>
    <w:rsid w:val="00E20779"/>
    <w:rsid w:val="00E209B1"/>
    <w:rsid w:val="00E20E4D"/>
    <w:rsid w:val="00E20ED6"/>
    <w:rsid w:val="00E21358"/>
    <w:rsid w:val="00E2249B"/>
    <w:rsid w:val="00E22A0D"/>
    <w:rsid w:val="00E233CE"/>
    <w:rsid w:val="00E242D7"/>
    <w:rsid w:val="00E244F6"/>
    <w:rsid w:val="00E255DB"/>
    <w:rsid w:val="00E2746F"/>
    <w:rsid w:val="00E2771E"/>
    <w:rsid w:val="00E30059"/>
    <w:rsid w:val="00E305DE"/>
    <w:rsid w:val="00E311EF"/>
    <w:rsid w:val="00E314DE"/>
    <w:rsid w:val="00E32180"/>
    <w:rsid w:val="00E327CA"/>
    <w:rsid w:val="00E34948"/>
    <w:rsid w:val="00E34BED"/>
    <w:rsid w:val="00E36AFC"/>
    <w:rsid w:val="00E37569"/>
    <w:rsid w:val="00E40040"/>
    <w:rsid w:val="00E401B2"/>
    <w:rsid w:val="00E40DA2"/>
    <w:rsid w:val="00E40FEC"/>
    <w:rsid w:val="00E41E30"/>
    <w:rsid w:val="00E42F73"/>
    <w:rsid w:val="00E43D70"/>
    <w:rsid w:val="00E466F3"/>
    <w:rsid w:val="00E469E1"/>
    <w:rsid w:val="00E47B2C"/>
    <w:rsid w:val="00E51560"/>
    <w:rsid w:val="00E5202A"/>
    <w:rsid w:val="00E525EE"/>
    <w:rsid w:val="00E53D67"/>
    <w:rsid w:val="00E53FC8"/>
    <w:rsid w:val="00E54347"/>
    <w:rsid w:val="00E54BC8"/>
    <w:rsid w:val="00E55424"/>
    <w:rsid w:val="00E55915"/>
    <w:rsid w:val="00E55BB5"/>
    <w:rsid w:val="00E615F9"/>
    <w:rsid w:val="00E65E79"/>
    <w:rsid w:val="00E6653C"/>
    <w:rsid w:val="00E66BA2"/>
    <w:rsid w:val="00E670B9"/>
    <w:rsid w:val="00E67416"/>
    <w:rsid w:val="00E67CDC"/>
    <w:rsid w:val="00E718B6"/>
    <w:rsid w:val="00E723BA"/>
    <w:rsid w:val="00E73581"/>
    <w:rsid w:val="00E73CE7"/>
    <w:rsid w:val="00E73D7E"/>
    <w:rsid w:val="00E76337"/>
    <w:rsid w:val="00E8087C"/>
    <w:rsid w:val="00E82B51"/>
    <w:rsid w:val="00E833F7"/>
    <w:rsid w:val="00E83BDF"/>
    <w:rsid w:val="00E83E3B"/>
    <w:rsid w:val="00E83E94"/>
    <w:rsid w:val="00E87A1D"/>
    <w:rsid w:val="00E87CC2"/>
    <w:rsid w:val="00E9094A"/>
    <w:rsid w:val="00E90AB7"/>
    <w:rsid w:val="00E90F13"/>
    <w:rsid w:val="00E91BD6"/>
    <w:rsid w:val="00E91D35"/>
    <w:rsid w:val="00E926A5"/>
    <w:rsid w:val="00E9405E"/>
    <w:rsid w:val="00E95EC3"/>
    <w:rsid w:val="00E976C9"/>
    <w:rsid w:val="00EA17C3"/>
    <w:rsid w:val="00EA2CAA"/>
    <w:rsid w:val="00EA3864"/>
    <w:rsid w:val="00EA695B"/>
    <w:rsid w:val="00EA7F00"/>
    <w:rsid w:val="00EA7F1C"/>
    <w:rsid w:val="00EB15B6"/>
    <w:rsid w:val="00EB3D06"/>
    <w:rsid w:val="00EB4916"/>
    <w:rsid w:val="00EC00C9"/>
    <w:rsid w:val="00EC0AC1"/>
    <w:rsid w:val="00EC0DD9"/>
    <w:rsid w:val="00EC1AC9"/>
    <w:rsid w:val="00EC1FB3"/>
    <w:rsid w:val="00EC2153"/>
    <w:rsid w:val="00EC2649"/>
    <w:rsid w:val="00EC31ED"/>
    <w:rsid w:val="00EC5836"/>
    <w:rsid w:val="00EC63EC"/>
    <w:rsid w:val="00EC688C"/>
    <w:rsid w:val="00EC72AC"/>
    <w:rsid w:val="00ED0E27"/>
    <w:rsid w:val="00ED57EA"/>
    <w:rsid w:val="00ED5BD4"/>
    <w:rsid w:val="00EE068B"/>
    <w:rsid w:val="00EE07D3"/>
    <w:rsid w:val="00EE1996"/>
    <w:rsid w:val="00EE1C01"/>
    <w:rsid w:val="00EE22AF"/>
    <w:rsid w:val="00EE3BD8"/>
    <w:rsid w:val="00EE4776"/>
    <w:rsid w:val="00EE5F2E"/>
    <w:rsid w:val="00EF0171"/>
    <w:rsid w:val="00EF08C9"/>
    <w:rsid w:val="00EF1518"/>
    <w:rsid w:val="00EF1B25"/>
    <w:rsid w:val="00EF1DA0"/>
    <w:rsid w:val="00EF4747"/>
    <w:rsid w:val="00EF4BF8"/>
    <w:rsid w:val="00F01E8A"/>
    <w:rsid w:val="00F02253"/>
    <w:rsid w:val="00F03C2E"/>
    <w:rsid w:val="00F04A66"/>
    <w:rsid w:val="00F04B4B"/>
    <w:rsid w:val="00F04B7B"/>
    <w:rsid w:val="00F0516C"/>
    <w:rsid w:val="00F06124"/>
    <w:rsid w:val="00F067A2"/>
    <w:rsid w:val="00F0727A"/>
    <w:rsid w:val="00F07B9E"/>
    <w:rsid w:val="00F101C8"/>
    <w:rsid w:val="00F103BD"/>
    <w:rsid w:val="00F1116F"/>
    <w:rsid w:val="00F1263A"/>
    <w:rsid w:val="00F15B77"/>
    <w:rsid w:val="00F21D71"/>
    <w:rsid w:val="00F223D0"/>
    <w:rsid w:val="00F23D29"/>
    <w:rsid w:val="00F24837"/>
    <w:rsid w:val="00F24DCF"/>
    <w:rsid w:val="00F255CA"/>
    <w:rsid w:val="00F2575F"/>
    <w:rsid w:val="00F26785"/>
    <w:rsid w:val="00F27565"/>
    <w:rsid w:val="00F310D4"/>
    <w:rsid w:val="00F312E2"/>
    <w:rsid w:val="00F31789"/>
    <w:rsid w:val="00F31D5A"/>
    <w:rsid w:val="00F33975"/>
    <w:rsid w:val="00F33DE9"/>
    <w:rsid w:val="00F33EB9"/>
    <w:rsid w:val="00F35E6D"/>
    <w:rsid w:val="00F3619A"/>
    <w:rsid w:val="00F378EF"/>
    <w:rsid w:val="00F40AAA"/>
    <w:rsid w:val="00F40BA7"/>
    <w:rsid w:val="00F40F9D"/>
    <w:rsid w:val="00F41A24"/>
    <w:rsid w:val="00F41ACD"/>
    <w:rsid w:val="00F41D3F"/>
    <w:rsid w:val="00F42FB6"/>
    <w:rsid w:val="00F46CB6"/>
    <w:rsid w:val="00F4756D"/>
    <w:rsid w:val="00F47DE8"/>
    <w:rsid w:val="00F51AAF"/>
    <w:rsid w:val="00F542C1"/>
    <w:rsid w:val="00F55E73"/>
    <w:rsid w:val="00F55EDA"/>
    <w:rsid w:val="00F5625D"/>
    <w:rsid w:val="00F56C80"/>
    <w:rsid w:val="00F60092"/>
    <w:rsid w:val="00F610E5"/>
    <w:rsid w:val="00F61C18"/>
    <w:rsid w:val="00F62BA9"/>
    <w:rsid w:val="00F647AC"/>
    <w:rsid w:val="00F65F4B"/>
    <w:rsid w:val="00F661D0"/>
    <w:rsid w:val="00F671C6"/>
    <w:rsid w:val="00F67254"/>
    <w:rsid w:val="00F67A69"/>
    <w:rsid w:val="00F70BFF"/>
    <w:rsid w:val="00F70C9D"/>
    <w:rsid w:val="00F747F5"/>
    <w:rsid w:val="00F74CD9"/>
    <w:rsid w:val="00F80A7B"/>
    <w:rsid w:val="00F80E5D"/>
    <w:rsid w:val="00F8197B"/>
    <w:rsid w:val="00F81E78"/>
    <w:rsid w:val="00F851CE"/>
    <w:rsid w:val="00F866B1"/>
    <w:rsid w:val="00F91219"/>
    <w:rsid w:val="00F92444"/>
    <w:rsid w:val="00F9393E"/>
    <w:rsid w:val="00F956A5"/>
    <w:rsid w:val="00F96FD0"/>
    <w:rsid w:val="00F97A78"/>
    <w:rsid w:val="00FA0B20"/>
    <w:rsid w:val="00FA22E8"/>
    <w:rsid w:val="00FA24E7"/>
    <w:rsid w:val="00FA4FE5"/>
    <w:rsid w:val="00FA5EE6"/>
    <w:rsid w:val="00FA7956"/>
    <w:rsid w:val="00FB2E86"/>
    <w:rsid w:val="00FB2FCB"/>
    <w:rsid w:val="00FB3A7E"/>
    <w:rsid w:val="00FB7808"/>
    <w:rsid w:val="00FB7C55"/>
    <w:rsid w:val="00FC07D7"/>
    <w:rsid w:val="00FC1074"/>
    <w:rsid w:val="00FC1884"/>
    <w:rsid w:val="00FC371D"/>
    <w:rsid w:val="00FC53F8"/>
    <w:rsid w:val="00FC5668"/>
    <w:rsid w:val="00FC5F0B"/>
    <w:rsid w:val="00FD14DD"/>
    <w:rsid w:val="00FD2100"/>
    <w:rsid w:val="00FD3FAF"/>
    <w:rsid w:val="00FD436C"/>
    <w:rsid w:val="00FD446D"/>
    <w:rsid w:val="00FD4F2C"/>
    <w:rsid w:val="00FD5B97"/>
    <w:rsid w:val="00FD6394"/>
    <w:rsid w:val="00FD792A"/>
    <w:rsid w:val="00FE0E6C"/>
    <w:rsid w:val="00FE1CDC"/>
    <w:rsid w:val="00FE2CA1"/>
    <w:rsid w:val="00FE3A6C"/>
    <w:rsid w:val="00FE48F1"/>
    <w:rsid w:val="00FE70C3"/>
    <w:rsid w:val="00FE7C62"/>
    <w:rsid w:val="00FF07AC"/>
    <w:rsid w:val="00FF0E38"/>
    <w:rsid w:val="00FF2AD9"/>
    <w:rsid w:val="00FF359F"/>
    <w:rsid w:val="00FF3DCF"/>
    <w:rsid w:val="00FF488F"/>
    <w:rsid w:val="00FF492C"/>
    <w:rsid w:val="00FF4A21"/>
    <w:rsid w:val="00FF53F4"/>
    <w:rsid w:val="00FF5AA3"/>
    <w:rsid w:val="00FF5AD8"/>
    <w:rsid w:val="00FF7BC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FCB"/>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table" w:styleId="TableGrid">
    <w:name w:val="Table Grid"/>
    <w:aliases w:val="Summary box,Table Gridbeth,CMA Table Template,ASD Table,PBAC table,new style,MSD 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8621F4"/>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200EF8"/>
    <w:pPr>
      <w:numPr>
        <w:numId w:val="2"/>
      </w:numPr>
      <w:spacing w:after="120"/>
      <w:contextualSpacing/>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qFormat/>
    <w:rsid w:val="00EE1996"/>
    <w:pPr>
      <w:keepNext/>
    </w:pPr>
    <w:rPr>
      <w:rFonts w:ascii="Arial Narrow" w:eastAsiaTheme="majorEastAsia" w:hAnsi="Arial Narrow" w:cstheme="majorBidi"/>
      <w:bCs/>
      <w:szCs w:val="24"/>
    </w:rPr>
  </w:style>
  <w:style w:type="paragraph" w:customStyle="1" w:styleId="Tableheadingrow">
    <w:name w:val="Table heading row"/>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8"/>
      </w:numPr>
      <w:spacing w:before="240" w:after="120"/>
      <w:outlineLvl w:val="0"/>
    </w:pPr>
    <w:rPr>
      <w:rFonts w:asciiTheme="minorHAnsi" w:hAnsiTheme="minorHAnsi" w:cs="Arial"/>
      <w:b/>
      <w:snapToGrid w:val="0"/>
      <w:sz w:val="32"/>
      <w:szCs w:val="32"/>
    </w:rPr>
  </w:style>
  <w:style w:type="paragraph" w:customStyle="1" w:styleId="1-MainHeading">
    <w:name w:val="1- 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Caption">
    <w:name w:val="Table/Figure Caption"/>
    <w:next w:val="Tableheadingrow"/>
    <w:link w:val="TableFigureCaptionChar"/>
    <w:qFormat/>
    <w:rsid w:val="005478BD"/>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5478BD"/>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200EF8"/>
    <w:pPr>
      <w:numPr>
        <w:ilvl w:val="1"/>
        <w:numId w:val="8"/>
      </w:numPr>
      <w:spacing w:after="120"/>
    </w:pPr>
    <w:rPr>
      <w:rFonts w:asciiTheme="minorHAnsi" w:hAnsiTheme="minorHAnsi"/>
      <w:snapToGrid w:val="0"/>
    </w:rPr>
  </w:style>
  <w:style w:type="character" w:customStyle="1" w:styleId="ExecSumBodyTextChar">
    <w:name w:val="Exec Sum Body Text Char"/>
    <w:basedOn w:val="DefaultParagraphFont"/>
    <w:link w:val="ExecSumBodyText"/>
    <w:rsid w:val="00200EF8"/>
    <w:rPr>
      <w:rFonts w:asciiTheme="minorHAnsi" w:hAnsiTheme="minorHAnsi" w:cs="Arial"/>
      <w:snapToGrid w:val="0"/>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3-SubsectionHeading">
    <w:name w:val="3-Subsection Heading"/>
    <w:basedOn w:val="Heading2"/>
    <w:next w:val="ExecSumBodyText"/>
    <w:link w:val="3-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4-SubsectSubhead">
    <w:name w:val="4-Subsect Subhead"/>
    <w:basedOn w:val="Heading3"/>
    <w:next w:val="ExecSumBodyText"/>
    <w:link w:val="4-SubsectSubheadChar"/>
    <w:qFormat/>
    <w:rsid w:val="008621F4"/>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8621F4"/>
    <w:rPr>
      <w:rFonts w:asciiTheme="minorHAnsi" w:eastAsiaTheme="majorEastAsia" w:hAnsiTheme="minorHAnsi" w:cstheme="majorBidi"/>
      <w:b/>
      <w:color w:val="000000" w:themeColor="text1"/>
      <w:sz w:val="28"/>
      <w:szCs w:val="28"/>
    </w:rPr>
  </w:style>
  <w:style w:type="paragraph" w:styleId="ListBullet">
    <w:name w:val="List Bullet"/>
    <w:basedOn w:val="Normal"/>
    <w:semiHidden/>
    <w:unhideWhenUsed/>
    <w:rsid w:val="00EE1996"/>
    <w:pPr>
      <w:numPr>
        <w:numId w:val="3"/>
      </w:numPr>
      <w:contextualSpacing/>
    </w:pPr>
  </w:style>
  <w:style w:type="character" w:customStyle="1" w:styleId="TableTextChar">
    <w:name w:val="Table Text Char"/>
    <w:basedOn w:val="DefaultParagraphFont"/>
    <w:link w:val="TableText"/>
    <w:rsid w:val="00EE1996"/>
    <w:rPr>
      <w:rFonts w:ascii="Arial Narrow" w:eastAsiaTheme="majorEastAsia" w:hAnsi="Arial Narrow" w:cstheme="majorBidi"/>
      <w:bCs/>
      <w:szCs w:val="24"/>
    </w:rPr>
  </w:style>
  <w:style w:type="character" w:styleId="CommentReference">
    <w:name w:val="annotation reference"/>
    <w:aliases w:val="Table Title"/>
    <w:basedOn w:val="DefaultParagraphFont"/>
    <w:uiPriority w:val="99"/>
    <w:unhideWhenUsed/>
    <w:qFormat/>
    <w:rsid w:val="00AA7589"/>
    <w:rPr>
      <w:sz w:val="16"/>
      <w:szCs w:val="16"/>
    </w:rPr>
  </w:style>
  <w:style w:type="paragraph" w:styleId="CommentText">
    <w:name w:val="annotation text"/>
    <w:basedOn w:val="Normal"/>
    <w:link w:val="CommentTextChar"/>
    <w:uiPriority w:val="99"/>
    <w:unhideWhenUsed/>
    <w:rsid w:val="00AA7589"/>
    <w:rPr>
      <w:sz w:val="20"/>
      <w:szCs w:val="20"/>
    </w:rPr>
  </w:style>
  <w:style w:type="character" w:customStyle="1" w:styleId="CommentTextChar">
    <w:name w:val="Comment Text Char"/>
    <w:basedOn w:val="DefaultParagraphFont"/>
    <w:link w:val="CommentText"/>
    <w:uiPriority w:val="99"/>
    <w:rsid w:val="00AA7589"/>
    <w:rPr>
      <w:rFonts w:ascii="Calibri" w:hAnsi="Calibri" w:cs="Arial"/>
    </w:rPr>
  </w:style>
  <w:style w:type="paragraph" w:styleId="CommentSubject">
    <w:name w:val="annotation subject"/>
    <w:basedOn w:val="CommentText"/>
    <w:next w:val="CommentText"/>
    <w:link w:val="CommentSubjectChar"/>
    <w:semiHidden/>
    <w:unhideWhenUsed/>
    <w:rsid w:val="00AA7589"/>
    <w:rPr>
      <w:b/>
      <w:bCs/>
    </w:rPr>
  </w:style>
  <w:style w:type="character" w:customStyle="1" w:styleId="CommentSubjectChar">
    <w:name w:val="Comment Subject Char"/>
    <w:basedOn w:val="CommentTextChar"/>
    <w:link w:val="CommentSubject"/>
    <w:semiHidden/>
    <w:rsid w:val="00AA7589"/>
    <w:rPr>
      <w:rFonts w:ascii="Calibri" w:hAnsi="Calibri" w:cs="Arial"/>
      <w:b/>
      <w:bCs/>
    </w:rPr>
  </w:style>
  <w:style w:type="character" w:styleId="Emphasis">
    <w:name w:val="Emphasis"/>
    <w:basedOn w:val="DefaultParagraphFont"/>
    <w:uiPriority w:val="20"/>
    <w:qFormat/>
    <w:rsid w:val="00262F2E"/>
    <w:rPr>
      <w:b w:val="0"/>
      <w:i/>
      <w:iCs/>
    </w:rPr>
  </w:style>
  <w:style w:type="paragraph" w:customStyle="1" w:styleId="TableFigNote">
    <w:name w:val="TableFigNote"/>
    <w:basedOn w:val="Normal"/>
    <w:qFormat/>
    <w:rsid w:val="00E34BED"/>
    <w:pPr>
      <w:jc w:val="left"/>
    </w:pPr>
    <w:rPr>
      <w:rFonts w:asciiTheme="minorHAnsi" w:eastAsiaTheme="minorHAnsi" w:hAnsiTheme="minorHAnsi" w:cstheme="minorBidi"/>
      <w:sz w:val="16"/>
      <w:szCs w:val="22"/>
      <w:lang w:eastAsia="en-US"/>
    </w:rPr>
  </w:style>
  <w:style w:type="paragraph" w:customStyle="1" w:styleId="TableHeading">
    <w:name w:val="TableHeading"/>
    <w:basedOn w:val="Normal"/>
    <w:qFormat/>
    <w:rsid w:val="00E34BED"/>
    <w:pPr>
      <w:spacing w:after="60"/>
      <w:jc w:val="left"/>
    </w:pPr>
    <w:rPr>
      <w:rFonts w:asciiTheme="minorHAnsi" w:eastAsiaTheme="minorHAnsi" w:hAnsiTheme="minorHAnsi" w:cstheme="minorHAnsi"/>
      <w:b/>
      <w:bCs/>
      <w:sz w:val="18"/>
      <w:szCs w:val="18"/>
      <w:lang w:eastAsia="en-US"/>
    </w:rPr>
  </w:style>
  <w:style w:type="paragraph" w:customStyle="1" w:styleId="TableFigNoteLast">
    <w:name w:val="TableFigNote Last"/>
    <w:basedOn w:val="TableFigNote"/>
    <w:next w:val="Normal"/>
    <w:qFormat/>
    <w:rsid w:val="00E34BED"/>
    <w:pPr>
      <w:spacing w:after="240"/>
    </w:pPr>
  </w:style>
  <w:style w:type="paragraph" w:styleId="ListParagraph">
    <w:name w:val="List Paragraph"/>
    <w:aliases w:val="BulletPoints,Numbered para,List Paragraph1,Footnote,Bullet point,List Paragraph11,Recommendation,ES Paragraph,PBAC ES Paragraph,PBAC normal points,L,Bullet Point,Bulletr List Paragraph,Content descriptions,FooterText,List Bullet 1"/>
    <w:basedOn w:val="Normal"/>
    <w:link w:val="ListParagraphChar"/>
    <w:uiPriority w:val="34"/>
    <w:qFormat/>
    <w:rsid w:val="005B3E98"/>
    <w:pPr>
      <w:ind w:left="720"/>
      <w:contextualSpacing/>
    </w:pPr>
  </w:style>
  <w:style w:type="paragraph" w:customStyle="1" w:styleId="TableBullet">
    <w:name w:val="Table Bullet"/>
    <w:basedOn w:val="TableText"/>
    <w:rsid w:val="005A3577"/>
    <w:pPr>
      <w:keepNext w:val="0"/>
      <w:numPr>
        <w:numId w:val="5"/>
      </w:numPr>
      <w:spacing w:before="40" w:after="40"/>
      <w:ind w:left="357" w:hanging="357"/>
    </w:pPr>
    <w:rPr>
      <w:rFonts w:asciiTheme="minorHAnsi" w:eastAsiaTheme="minorHAnsi" w:hAnsiTheme="minorHAnsi" w:cstheme="minorHAnsi"/>
      <w:bCs w:val="0"/>
      <w:sz w:val="18"/>
      <w:szCs w:val="18"/>
      <w:lang w:eastAsia="en-US"/>
    </w:rPr>
  </w:style>
  <w:style w:type="paragraph" w:styleId="Header">
    <w:name w:val="header"/>
    <w:basedOn w:val="Normal"/>
    <w:link w:val="HeaderChar"/>
    <w:uiPriority w:val="99"/>
    <w:unhideWhenUsed/>
    <w:qFormat/>
    <w:rsid w:val="002E1B96"/>
    <w:pPr>
      <w:tabs>
        <w:tab w:val="center" w:pos="4513"/>
        <w:tab w:val="right" w:pos="9026"/>
      </w:tabs>
    </w:pPr>
  </w:style>
  <w:style w:type="character" w:customStyle="1" w:styleId="HeaderChar">
    <w:name w:val="Header Char"/>
    <w:basedOn w:val="DefaultParagraphFont"/>
    <w:link w:val="Header"/>
    <w:uiPriority w:val="99"/>
    <w:rsid w:val="002E1B96"/>
    <w:rPr>
      <w:rFonts w:ascii="Calibri" w:hAnsi="Calibri" w:cs="Arial"/>
      <w:sz w:val="24"/>
      <w:szCs w:val="24"/>
    </w:rPr>
  </w:style>
  <w:style w:type="paragraph" w:styleId="Footer">
    <w:name w:val="footer"/>
    <w:basedOn w:val="Normal"/>
    <w:link w:val="FooterChar"/>
    <w:uiPriority w:val="99"/>
    <w:unhideWhenUsed/>
    <w:rsid w:val="002E1B96"/>
    <w:pPr>
      <w:tabs>
        <w:tab w:val="center" w:pos="4513"/>
        <w:tab w:val="right" w:pos="9026"/>
      </w:tabs>
    </w:pPr>
  </w:style>
  <w:style w:type="character" w:customStyle="1" w:styleId="FooterChar">
    <w:name w:val="Footer Char"/>
    <w:basedOn w:val="DefaultParagraphFont"/>
    <w:link w:val="Footer"/>
    <w:uiPriority w:val="99"/>
    <w:rsid w:val="002E1B96"/>
    <w:rPr>
      <w:rFonts w:ascii="Calibri" w:hAnsi="Calibri" w:cs="Arial"/>
      <w:sz w:val="24"/>
      <w:szCs w:val="24"/>
    </w:rPr>
  </w:style>
  <w:style w:type="paragraph" w:customStyle="1" w:styleId="TableFooter">
    <w:name w:val="Table Footer"/>
    <w:basedOn w:val="Normal"/>
    <w:link w:val="TableFooterChar"/>
    <w:qFormat/>
    <w:rsid w:val="00CF5EC6"/>
    <w:pPr>
      <w:widowControl w:val="0"/>
    </w:pPr>
    <w:rPr>
      <w:rFonts w:ascii="Arial Narrow" w:hAnsi="Arial Narrow"/>
      <w:snapToGrid w:val="0"/>
      <w:sz w:val="18"/>
      <w:szCs w:val="22"/>
      <w:lang w:eastAsia="en-US"/>
    </w:rPr>
  </w:style>
  <w:style w:type="character" w:customStyle="1" w:styleId="TableFooterChar">
    <w:name w:val="Table Footer Char"/>
    <w:link w:val="TableFooter"/>
    <w:rsid w:val="00CF5EC6"/>
    <w:rPr>
      <w:rFonts w:ascii="Arial Narrow" w:hAnsi="Arial Narrow" w:cs="Arial"/>
      <w:snapToGrid w:val="0"/>
      <w:sz w:val="18"/>
      <w:szCs w:val="22"/>
      <w:lang w:eastAsia="en-US"/>
    </w:rPr>
  </w:style>
  <w:style w:type="paragraph" w:customStyle="1" w:styleId="TableHeading0">
    <w:name w:val="Table Heading"/>
    <w:basedOn w:val="Normal"/>
    <w:link w:val="TableHeadingChar"/>
    <w:qFormat/>
    <w:rsid w:val="00CF5EC6"/>
    <w:pPr>
      <w:keepNext/>
      <w:spacing w:after="60"/>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0"/>
    <w:rsid w:val="00CF5EC6"/>
    <w:rPr>
      <w:rFonts w:ascii="Arial Narrow" w:eastAsiaTheme="minorHAnsi" w:hAnsi="Arial Narrow" w:cstheme="minorBidi"/>
      <w:b/>
      <w:szCs w:val="22"/>
      <w:lang w:eastAsia="en-US"/>
    </w:rPr>
  </w:style>
  <w:style w:type="paragraph" w:styleId="FootnoteText">
    <w:name w:val="footnote text"/>
    <w:basedOn w:val="Normal"/>
    <w:link w:val="FootnoteTextChar"/>
    <w:semiHidden/>
    <w:unhideWhenUsed/>
    <w:rsid w:val="002A5C49"/>
    <w:rPr>
      <w:sz w:val="20"/>
      <w:szCs w:val="20"/>
    </w:rPr>
  </w:style>
  <w:style w:type="character" w:customStyle="1" w:styleId="FootnoteTextChar">
    <w:name w:val="Footnote Text Char"/>
    <w:basedOn w:val="DefaultParagraphFont"/>
    <w:link w:val="FootnoteText"/>
    <w:semiHidden/>
    <w:rsid w:val="002A5C49"/>
    <w:rPr>
      <w:rFonts w:ascii="Calibri" w:hAnsi="Calibri" w:cs="Arial"/>
    </w:rPr>
  </w:style>
  <w:style w:type="character" w:styleId="FootnoteReference">
    <w:name w:val="footnote reference"/>
    <w:basedOn w:val="DefaultParagraphFont"/>
    <w:semiHidden/>
    <w:unhideWhenUsed/>
    <w:rsid w:val="002A5C49"/>
    <w:rPr>
      <w:vertAlign w:val="superscript"/>
    </w:rPr>
  </w:style>
  <w:style w:type="paragraph" w:customStyle="1" w:styleId="Tabletext0">
    <w:name w:val="Table text"/>
    <w:basedOn w:val="Normal"/>
    <w:link w:val="TabletextChar0"/>
    <w:uiPriority w:val="99"/>
    <w:qFormat/>
    <w:rsid w:val="00F21D71"/>
    <w:pPr>
      <w:jc w:val="left"/>
    </w:pPr>
    <w:rPr>
      <w:rFonts w:ascii="Arial Narrow" w:hAnsi="Arial Narrow" w:cs="Times New Roman"/>
      <w:sz w:val="20"/>
      <w:szCs w:val="22"/>
      <w:lang w:eastAsia="en-US"/>
    </w:rPr>
  </w:style>
  <w:style w:type="character" w:customStyle="1" w:styleId="TabletextChar0">
    <w:name w:val="Table text Char"/>
    <w:link w:val="Tabletext0"/>
    <w:uiPriority w:val="99"/>
    <w:rsid w:val="00F21D71"/>
    <w:rPr>
      <w:rFonts w:ascii="Arial Narrow" w:hAnsi="Arial Narrow"/>
      <w:szCs w:val="22"/>
      <w:lang w:eastAsia="en-US"/>
    </w:rPr>
  </w:style>
  <w:style w:type="character" w:customStyle="1" w:styleId="ListParagraphChar">
    <w:name w:val="List Paragraph Char"/>
    <w:aliases w:val="BulletPoints Char,Numbered para Char,List Paragraph1 Char,Footnote Char,Bullet point Char,List Paragraph11 Char,Recommendation Char,ES Paragraph Char,PBAC ES Paragraph Char,PBAC normal points Char,L Char,Bullet Point Char"/>
    <w:link w:val="ListParagraph"/>
    <w:uiPriority w:val="34"/>
    <w:qFormat/>
    <w:locked/>
    <w:rsid w:val="00E8087C"/>
    <w:rPr>
      <w:rFonts w:ascii="Calibri" w:hAnsi="Calibri" w:cs="Arial"/>
      <w:sz w:val="24"/>
      <w:szCs w:val="24"/>
    </w:rPr>
  </w:style>
  <w:style w:type="table" w:customStyle="1" w:styleId="TableGrid1">
    <w:name w:val="Table Grid1"/>
    <w:basedOn w:val="TableNormal"/>
    <w:next w:val="TableGrid"/>
    <w:uiPriority w:val="39"/>
    <w:rsid w:val="008D2DD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C39F2"/>
    <w:pPr>
      <w:keepNext/>
      <w:keepLines/>
      <w:spacing w:before="240" w:line="259" w:lineRule="auto"/>
      <w:ind w:left="0" w:firstLine="0"/>
      <w:jc w:val="left"/>
      <w:outlineLvl w:val="9"/>
    </w:pPr>
    <w:rPr>
      <w:rFonts w:asciiTheme="majorHAnsi" w:eastAsiaTheme="majorEastAsia" w:hAnsiTheme="majorHAnsi" w:cstheme="majorBidi"/>
      <w:b w:val="0"/>
      <w:caps w:val="0"/>
      <w:color w:val="365F91" w:themeColor="accent1" w:themeShade="BF"/>
      <w:szCs w:val="32"/>
      <w:lang w:val="en-US" w:eastAsia="en-US"/>
    </w:rPr>
  </w:style>
  <w:style w:type="paragraph" w:styleId="TOC4">
    <w:name w:val="toc 4"/>
    <w:basedOn w:val="Normal"/>
    <w:next w:val="Normal"/>
    <w:autoRedefine/>
    <w:uiPriority w:val="39"/>
    <w:unhideWhenUsed/>
    <w:rsid w:val="007C39F2"/>
    <w:pPr>
      <w:spacing w:after="100" w:line="259"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C39F2"/>
    <w:pPr>
      <w:spacing w:after="100" w:line="259"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C39F2"/>
    <w:pPr>
      <w:spacing w:after="100" w:line="259"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C39F2"/>
    <w:pPr>
      <w:spacing w:after="100" w:line="259"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C39F2"/>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C39F2"/>
    <w:pPr>
      <w:spacing w:after="100" w:line="259" w:lineRule="auto"/>
      <w:ind w:left="1760"/>
      <w:jc w:val="left"/>
    </w:pPr>
    <w:rPr>
      <w:rFonts w:asciiTheme="minorHAnsi" w:eastAsiaTheme="minorEastAsia" w:hAnsiTheme="minorHAnsi" w:cstheme="minorBidi"/>
      <w:sz w:val="22"/>
      <w:szCs w:val="22"/>
    </w:rPr>
  </w:style>
  <w:style w:type="paragraph" w:customStyle="1" w:styleId="3Bodytext">
    <w:name w:val="3. Body text"/>
    <w:basedOn w:val="Normal"/>
    <w:qFormat/>
    <w:rsid w:val="00E54BC8"/>
    <w:pPr>
      <w:snapToGrid w:val="0"/>
      <w:spacing w:after="120"/>
      <w:ind w:left="720" w:hanging="720"/>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642">
      <w:bodyDiv w:val="1"/>
      <w:marLeft w:val="0"/>
      <w:marRight w:val="0"/>
      <w:marTop w:val="0"/>
      <w:marBottom w:val="0"/>
      <w:divBdr>
        <w:top w:val="none" w:sz="0" w:space="0" w:color="auto"/>
        <w:left w:val="none" w:sz="0" w:space="0" w:color="auto"/>
        <w:bottom w:val="none" w:sz="0" w:space="0" w:color="auto"/>
        <w:right w:val="none" w:sz="0" w:space="0" w:color="auto"/>
      </w:divBdr>
      <w:divsChild>
        <w:div w:id="414471988">
          <w:marLeft w:val="1080"/>
          <w:marRight w:val="0"/>
          <w:marTop w:val="0"/>
          <w:marBottom w:val="0"/>
          <w:divBdr>
            <w:top w:val="none" w:sz="0" w:space="0" w:color="auto"/>
            <w:left w:val="none" w:sz="0" w:space="0" w:color="auto"/>
            <w:bottom w:val="none" w:sz="0" w:space="0" w:color="auto"/>
            <w:right w:val="none" w:sz="0" w:space="0" w:color="auto"/>
          </w:divBdr>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1128550695">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7457">
      <w:bodyDiv w:val="1"/>
      <w:marLeft w:val="0"/>
      <w:marRight w:val="0"/>
      <w:marTop w:val="0"/>
      <w:marBottom w:val="0"/>
      <w:divBdr>
        <w:top w:val="none" w:sz="0" w:space="0" w:color="auto"/>
        <w:left w:val="none" w:sz="0" w:space="0" w:color="auto"/>
        <w:bottom w:val="none" w:sz="0" w:space="0" w:color="auto"/>
        <w:right w:val="none" w:sz="0" w:space="0" w:color="auto"/>
      </w:divBdr>
      <w:divsChild>
        <w:div w:id="203640296">
          <w:marLeft w:val="1080"/>
          <w:marRight w:val="0"/>
          <w:marTop w:val="0"/>
          <w:marBottom w:val="0"/>
          <w:divBdr>
            <w:top w:val="none" w:sz="0" w:space="0" w:color="auto"/>
            <w:left w:val="none" w:sz="0" w:space="0" w:color="auto"/>
            <w:bottom w:val="none" w:sz="0" w:space="0" w:color="auto"/>
            <w:right w:val="none" w:sz="0" w:space="0" w:color="auto"/>
          </w:divBdr>
        </w:div>
      </w:divsChild>
    </w:div>
    <w:div w:id="1464036506">
      <w:bodyDiv w:val="1"/>
      <w:marLeft w:val="0"/>
      <w:marRight w:val="0"/>
      <w:marTop w:val="0"/>
      <w:marBottom w:val="0"/>
      <w:divBdr>
        <w:top w:val="none" w:sz="0" w:space="0" w:color="auto"/>
        <w:left w:val="none" w:sz="0" w:space="0" w:color="auto"/>
        <w:bottom w:val="none" w:sz="0" w:space="0" w:color="auto"/>
        <w:right w:val="none" w:sz="0" w:space="0" w:color="auto"/>
      </w:divBdr>
    </w:div>
    <w:div w:id="1479110623">
      <w:bodyDiv w:val="1"/>
      <w:marLeft w:val="0"/>
      <w:marRight w:val="0"/>
      <w:marTop w:val="0"/>
      <w:marBottom w:val="0"/>
      <w:divBdr>
        <w:top w:val="none" w:sz="0" w:space="0" w:color="auto"/>
        <w:left w:val="none" w:sz="0" w:space="0" w:color="auto"/>
        <w:bottom w:val="none" w:sz="0" w:space="0" w:color="auto"/>
        <w:right w:val="none" w:sz="0" w:space="0" w:color="auto"/>
      </w:divBdr>
      <w:divsChild>
        <w:div w:id="1553466484">
          <w:marLeft w:val="1080"/>
          <w:marRight w:val="0"/>
          <w:marTop w:val="100"/>
          <w:marBottom w:val="0"/>
          <w:divBdr>
            <w:top w:val="none" w:sz="0" w:space="0" w:color="auto"/>
            <w:left w:val="none" w:sz="0" w:space="0" w:color="auto"/>
            <w:bottom w:val="none" w:sz="0" w:space="0" w:color="auto"/>
            <w:right w:val="none" w:sz="0" w:space="0" w:color="auto"/>
          </w:divBdr>
        </w:div>
      </w:divsChild>
    </w:div>
    <w:div w:id="1547596136">
      <w:bodyDiv w:val="1"/>
      <w:marLeft w:val="0"/>
      <w:marRight w:val="0"/>
      <w:marTop w:val="0"/>
      <w:marBottom w:val="0"/>
      <w:divBdr>
        <w:top w:val="none" w:sz="0" w:space="0" w:color="auto"/>
        <w:left w:val="none" w:sz="0" w:space="0" w:color="auto"/>
        <w:bottom w:val="none" w:sz="0" w:space="0" w:color="auto"/>
        <w:right w:val="none" w:sz="0" w:space="0" w:color="auto"/>
      </w:divBdr>
      <w:divsChild>
        <w:div w:id="1994488106">
          <w:marLeft w:val="1080"/>
          <w:marRight w:val="0"/>
          <w:marTop w:val="100"/>
          <w:marBottom w:val="0"/>
          <w:divBdr>
            <w:top w:val="none" w:sz="0" w:space="0" w:color="auto"/>
            <w:left w:val="none" w:sz="0" w:space="0" w:color="auto"/>
            <w:bottom w:val="none" w:sz="0" w:space="0" w:color="auto"/>
            <w:right w:val="none" w:sz="0" w:space="0" w:color="auto"/>
          </w:divBdr>
        </w:div>
      </w:divsChild>
    </w:div>
    <w:div w:id="1643652240">
      <w:bodyDiv w:val="1"/>
      <w:marLeft w:val="0"/>
      <w:marRight w:val="0"/>
      <w:marTop w:val="0"/>
      <w:marBottom w:val="0"/>
      <w:divBdr>
        <w:top w:val="none" w:sz="0" w:space="0" w:color="auto"/>
        <w:left w:val="none" w:sz="0" w:space="0" w:color="auto"/>
        <w:bottom w:val="none" w:sz="0" w:space="0" w:color="auto"/>
        <w:right w:val="none" w:sz="0" w:space="0" w:color="auto"/>
      </w:divBdr>
      <w:divsChild>
        <w:div w:id="1327709357">
          <w:marLeft w:val="1080"/>
          <w:marRight w:val="0"/>
          <w:marTop w:val="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ED4D6-2D6E-4F44-A18D-54EE38BF1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16874</Words>
  <Characters>95983</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2020-10-22T05:25:00Z</dcterms:created>
  <dcterms:modified xsi:type="dcterms:W3CDTF">2020-10-22T05:34:00Z</dcterms:modified>
</cp:coreProperties>
</file>