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2E6" w:rsidRPr="004C3DB5" w:rsidRDefault="00C477AD" w:rsidP="004C3DB5">
      <w:pPr>
        <w:pStyle w:val="1MainTitle"/>
        <w:jc w:val="left"/>
        <w:rPr>
          <w:rFonts w:eastAsia="Calibri"/>
          <w:lang w:eastAsia="en-US"/>
        </w:rPr>
      </w:pPr>
      <w:r w:rsidRPr="00831A92">
        <w:rPr>
          <w:rFonts w:eastAsia="Calibri"/>
          <w:lang w:eastAsia="en-US"/>
        </w:rPr>
        <w:t>7.15</w:t>
      </w:r>
      <w:r w:rsidR="005B2305" w:rsidRPr="00831A92">
        <w:rPr>
          <w:rFonts w:eastAsia="Calibri"/>
          <w:lang w:eastAsia="en-US"/>
        </w:rPr>
        <w:tab/>
      </w:r>
      <w:bookmarkStart w:id="0" w:name="_GoBack"/>
      <w:r w:rsidR="005B2305" w:rsidRPr="00831A92">
        <w:rPr>
          <w:rFonts w:eastAsia="Calibri"/>
          <w:lang w:eastAsia="en-US"/>
        </w:rPr>
        <w:t>BROLUCIZUMAB</w:t>
      </w:r>
      <w:bookmarkEnd w:id="0"/>
      <w:r w:rsidR="00BF27A0" w:rsidRPr="00831A92">
        <w:rPr>
          <w:rFonts w:eastAsia="Calibri"/>
          <w:lang w:eastAsia="en-US"/>
        </w:rPr>
        <w:t>,</w:t>
      </w:r>
      <w:r w:rsidR="004C3DB5">
        <w:rPr>
          <w:rFonts w:eastAsia="Calibri"/>
          <w:lang w:eastAsia="en-US"/>
        </w:rPr>
        <w:br/>
      </w:r>
      <w:r w:rsidR="005B2305" w:rsidRPr="00831A92">
        <w:rPr>
          <w:rFonts w:eastAsia="Calibri"/>
          <w:lang w:eastAsia="en-US"/>
        </w:rPr>
        <w:t>Solution for intravitreal injection 19.8 mg in 0.165 mL pre-filled syringe</w:t>
      </w:r>
      <w:r w:rsidR="00BF27A0" w:rsidRPr="00831A92">
        <w:rPr>
          <w:rFonts w:eastAsia="Calibri"/>
          <w:lang w:eastAsia="en-US"/>
        </w:rPr>
        <w:t>,</w:t>
      </w:r>
      <w:r w:rsidR="004C3DB5">
        <w:rPr>
          <w:rFonts w:eastAsia="Calibri"/>
          <w:lang w:eastAsia="en-US"/>
        </w:rPr>
        <w:br/>
      </w:r>
      <w:r w:rsidR="005B2305" w:rsidRPr="00831A92">
        <w:t>Beovu®</w:t>
      </w:r>
      <w:r w:rsidR="00BF27A0" w:rsidRPr="00831A92">
        <w:rPr>
          <w:rFonts w:eastAsia="Calibri"/>
          <w:lang w:eastAsia="en-US"/>
        </w:rPr>
        <w:t>,</w:t>
      </w:r>
      <w:r w:rsidR="004C3DB5">
        <w:rPr>
          <w:rFonts w:eastAsia="Calibri"/>
          <w:lang w:eastAsia="en-US"/>
        </w:rPr>
        <w:br/>
      </w:r>
      <w:r w:rsidR="005B2305" w:rsidRPr="00831A92">
        <w:t>Novartis</w:t>
      </w:r>
      <w:r w:rsidR="00102763" w:rsidRPr="00831A92">
        <w:t xml:space="preserve"> Pharmaceuticals</w:t>
      </w:r>
      <w:r w:rsidR="005B2305" w:rsidRPr="00831A92">
        <w:t xml:space="preserve"> Australia Pty Ltd</w:t>
      </w:r>
      <w:r w:rsidR="00BF27A0" w:rsidRPr="00831A92">
        <w:rPr>
          <w:rFonts w:eastAsia="Calibri"/>
          <w:lang w:eastAsia="en-US"/>
        </w:rPr>
        <w:t xml:space="preserve"> </w:t>
      </w:r>
      <w:r w:rsidR="006552E6" w:rsidRPr="00831A92">
        <w:tab/>
      </w:r>
    </w:p>
    <w:p w:rsidR="006A0089" w:rsidRPr="00831A92" w:rsidRDefault="00CE10C4" w:rsidP="004E1E8C">
      <w:pPr>
        <w:pStyle w:val="2Sections"/>
        <w:numPr>
          <w:ilvl w:val="0"/>
          <w:numId w:val="20"/>
        </w:numPr>
      </w:pPr>
      <w:r w:rsidRPr="00831A92">
        <w:t xml:space="preserve">Purpose of </w:t>
      </w:r>
      <w:r w:rsidR="0004240E" w:rsidRPr="00831A92">
        <w:t>Application</w:t>
      </w:r>
      <w:r w:rsidR="00034905" w:rsidRPr="00831A92">
        <w:t xml:space="preserve"> </w:t>
      </w:r>
    </w:p>
    <w:p w:rsidR="006A0089" w:rsidRPr="00831A92" w:rsidRDefault="006A0089" w:rsidP="004C3DB5">
      <w:pPr>
        <w:pStyle w:val="3Bodytext"/>
        <w:rPr>
          <w:rFonts w:cstheme="minorHAnsi"/>
          <w:szCs w:val="24"/>
        </w:rPr>
      </w:pPr>
      <w:r w:rsidRPr="00831A92">
        <w:rPr>
          <w:rFonts w:cstheme="minorHAnsi"/>
          <w:szCs w:val="24"/>
        </w:rPr>
        <w:t>The minor resubmission requested a</w:t>
      </w:r>
      <w:r w:rsidR="00322956" w:rsidRPr="00831A92">
        <w:rPr>
          <w:rFonts w:cstheme="minorHAnsi"/>
          <w:szCs w:val="24"/>
        </w:rPr>
        <w:t>n</w:t>
      </w:r>
      <w:r w:rsidRPr="00831A92">
        <w:rPr>
          <w:rFonts w:cstheme="minorHAnsi"/>
          <w:szCs w:val="24"/>
        </w:rPr>
        <w:t xml:space="preserve"> Authority Required listing </w:t>
      </w:r>
      <w:r w:rsidRPr="00831A92">
        <w:t>for brolucizumab for treatment of subfoveal choroidal neovascularisation (CNV) due to age-related macular degeneration (AMD).</w:t>
      </w:r>
      <w:r w:rsidR="00000A7A" w:rsidRPr="00831A92">
        <w:t xml:space="preserve"> Listing was requested on the basis of a cost-minimisation analysis </w:t>
      </w:r>
      <w:r w:rsidR="00123523" w:rsidRPr="00831A92">
        <w:t>(</w:t>
      </w:r>
      <w:r w:rsidR="00123523" w:rsidRPr="004C3DB5">
        <w:t>CMA</w:t>
      </w:r>
      <w:r w:rsidR="00123523" w:rsidRPr="00831A92">
        <w:t xml:space="preserve">) </w:t>
      </w:r>
      <w:r w:rsidR="00000A7A" w:rsidRPr="00831A92">
        <w:t>versus aflibercept as the main comparator and ranibizumab as a secondary comparator.</w:t>
      </w:r>
    </w:p>
    <w:p w:rsidR="006A0089" w:rsidRPr="004C3DB5" w:rsidRDefault="006A0089" w:rsidP="004C3DB5">
      <w:pPr>
        <w:pStyle w:val="3Bodytext"/>
      </w:pPr>
      <w:r w:rsidRPr="004C3DB5">
        <w:t>The minor resubmission sought to address the outstanding clinical areas of concern relating to the previous</w:t>
      </w:r>
      <w:r w:rsidR="004D0C3C" w:rsidRPr="004C3DB5">
        <w:t xml:space="preserve"> </w:t>
      </w:r>
      <w:r w:rsidRPr="004C3DB5">
        <w:t>submission</w:t>
      </w:r>
      <w:r w:rsidR="00587D5A" w:rsidRPr="004C3DB5">
        <w:t>s</w:t>
      </w:r>
      <w:r w:rsidRPr="004C3DB5">
        <w:t xml:space="preserve"> of brolucizumab </w:t>
      </w:r>
      <w:r w:rsidR="001306EB" w:rsidRPr="004C3DB5">
        <w:t xml:space="preserve">considered </w:t>
      </w:r>
      <w:r w:rsidR="00A41CE3" w:rsidRPr="004C3DB5">
        <w:t>in</w:t>
      </w:r>
      <w:r w:rsidRPr="004C3DB5">
        <w:t xml:space="preserve"> November 2019 </w:t>
      </w:r>
      <w:r w:rsidR="00587D5A" w:rsidRPr="004C3DB5">
        <w:t>(major)</w:t>
      </w:r>
      <w:r w:rsidR="004D0C3C" w:rsidRPr="004C3DB5">
        <w:t xml:space="preserve"> and March 2020 </w:t>
      </w:r>
      <w:r w:rsidR="00587D5A" w:rsidRPr="004C3DB5">
        <w:t>(minor)</w:t>
      </w:r>
      <w:r w:rsidRPr="004C3DB5">
        <w:t>.</w:t>
      </w:r>
      <w:r w:rsidR="00F60F11" w:rsidRPr="004C3DB5">
        <w:t xml:space="preserve"> The purpose of th</w:t>
      </w:r>
      <w:r w:rsidR="00A41CE3" w:rsidRPr="004C3DB5">
        <w:t>is</w:t>
      </w:r>
      <w:r w:rsidR="00F60F11" w:rsidRPr="004C3DB5">
        <w:t xml:space="preserve"> </w:t>
      </w:r>
      <w:r w:rsidR="00A41CE3" w:rsidRPr="004C3DB5">
        <w:t>re</w:t>
      </w:r>
      <w:r w:rsidR="00F60F11" w:rsidRPr="004C3DB5">
        <w:t>submission was to address the claim of non-inferior safety and difference in safety profile.</w:t>
      </w:r>
    </w:p>
    <w:p w:rsidR="00922323" w:rsidRPr="00831A92" w:rsidRDefault="00786037" w:rsidP="004E1E8C">
      <w:pPr>
        <w:pStyle w:val="2Sections"/>
        <w:numPr>
          <w:ilvl w:val="0"/>
          <w:numId w:val="2"/>
        </w:numPr>
      </w:pPr>
      <w:r w:rsidRPr="00831A92">
        <w:t>Background</w:t>
      </w:r>
    </w:p>
    <w:p w:rsidR="00922323" w:rsidRPr="00831A92" w:rsidRDefault="00922323" w:rsidP="00DB0B72">
      <w:pPr>
        <w:pStyle w:val="Heading2"/>
        <w:spacing w:after="120"/>
        <w:rPr>
          <w:rFonts w:asciiTheme="minorHAnsi" w:hAnsiTheme="minorHAnsi" w:cstheme="minorHAnsi"/>
          <w:sz w:val="28"/>
          <w:szCs w:val="28"/>
        </w:rPr>
      </w:pPr>
      <w:r w:rsidRPr="00831A92">
        <w:rPr>
          <w:rFonts w:asciiTheme="minorHAnsi" w:hAnsiTheme="minorHAnsi" w:cstheme="minorHAnsi"/>
          <w:sz w:val="28"/>
          <w:szCs w:val="28"/>
        </w:rPr>
        <w:t>Registration status</w:t>
      </w:r>
    </w:p>
    <w:p w:rsidR="00922323" w:rsidRPr="00831A92" w:rsidRDefault="0030040A" w:rsidP="004C3DB5">
      <w:pPr>
        <w:pStyle w:val="3Bodytext"/>
      </w:pPr>
      <w:r w:rsidRPr="00831A92">
        <w:t>The November 2019 submission was made under TGA/PBAC Parallel Process. The Delegate’s Overview</w:t>
      </w:r>
      <w:r w:rsidR="006939C3" w:rsidRPr="00831A92">
        <w:t xml:space="preserve"> was provided prior to the PBAC meeting and</w:t>
      </w:r>
      <w:r w:rsidRPr="00831A92">
        <w:t xml:space="preserve"> stated there is no reason that the application for brolucizumab should not be approved for the treatment of neovascular (wet) AMD. However, the Delegate noted the higher rate of ocular </w:t>
      </w:r>
      <w:r w:rsidR="00A02C5C" w:rsidRPr="00831A92">
        <w:t>adverse events (</w:t>
      </w:r>
      <w:r w:rsidRPr="00831A92">
        <w:t>AEs</w:t>
      </w:r>
      <w:r w:rsidR="00A02C5C" w:rsidRPr="00831A92">
        <w:t>)</w:t>
      </w:r>
      <w:r w:rsidRPr="00831A92">
        <w:t xml:space="preserve"> associated with brolucizumab and requested</w:t>
      </w:r>
      <w:r w:rsidR="00A61925" w:rsidRPr="00831A92">
        <w:t xml:space="preserve"> Advisory Committee on Medicines</w:t>
      </w:r>
      <w:r w:rsidRPr="00831A92">
        <w:t xml:space="preserve"> </w:t>
      </w:r>
      <w:r w:rsidR="00A61925" w:rsidRPr="00831A92">
        <w:t>(</w:t>
      </w:r>
      <w:r w:rsidRPr="00831A92">
        <w:t>ACM</w:t>
      </w:r>
      <w:r w:rsidR="00A61925" w:rsidRPr="00831A92">
        <w:t>)</w:t>
      </w:r>
      <w:r w:rsidRPr="00831A92">
        <w:t xml:space="preserve"> advice on a number of safety issues.</w:t>
      </w:r>
      <w:r w:rsidR="00922323" w:rsidRPr="00831A92">
        <w:t xml:space="preserve"> </w:t>
      </w:r>
    </w:p>
    <w:p w:rsidR="000972CC" w:rsidRPr="00831A92" w:rsidRDefault="000972CC" w:rsidP="004C3DB5">
      <w:pPr>
        <w:pStyle w:val="3Bodytext"/>
      </w:pPr>
      <w:r w:rsidRPr="00831A92">
        <w:t>The</w:t>
      </w:r>
      <w:r w:rsidR="00A957D4" w:rsidRPr="00831A92">
        <w:t xml:space="preserve"> ratified</w:t>
      </w:r>
      <w:r w:rsidRPr="00831A92">
        <w:t xml:space="preserve"> resolution from the ACM meeting on 6 Dec</w:t>
      </w:r>
      <w:r w:rsidR="00A02C5C" w:rsidRPr="00831A92">
        <w:t>ember</w:t>
      </w:r>
      <w:r w:rsidRPr="00831A92">
        <w:t xml:space="preserve"> 2019 </w:t>
      </w:r>
      <w:r w:rsidR="00CE7970" w:rsidRPr="00831A92">
        <w:t xml:space="preserve">was provided with the </w:t>
      </w:r>
      <w:r w:rsidR="006939C3" w:rsidRPr="00831A92">
        <w:t xml:space="preserve">March 2020 </w:t>
      </w:r>
      <w:r w:rsidR="00CE7970" w:rsidRPr="00831A92">
        <w:t>minor resubmission</w:t>
      </w:r>
      <w:r w:rsidRPr="00831A92">
        <w:t xml:space="preserve">. </w:t>
      </w:r>
      <w:r w:rsidR="00CE7970" w:rsidRPr="00831A92">
        <w:t xml:space="preserve">The ACM provided advice on the safety issues raised by the Delegate and considered </w:t>
      </w:r>
      <w:r w:rsidR="00C24266" w:rsidRPr="00831A92">
        <w:t>brolu</w:t>
      </w:r>
      <w:r w:rsidR="00CE7970" w:rsidRPr="00831A92">
        <w:t>cizumab had an overall positive benefit-risk profile.</w:t>
      </w:r>
      <w:r w:rsidR="00A41CE3" w:rsidRPr="00831A92">
        <w:t xml:space="preserve"> </w:t>
      </w:r>
      <w:r w:rsidR="006939C3" w:rsidRPr="00831A92">
        <w:t>B</w:t>
      </w:r>
      <w:r w:rsidR="000E7AEE" w:rsidRPr="00831A92">
        <w:t xml:space="preserve">rolucizumab </w:t>
      </w:r>
      <w:r w:rsidR="00A41CE3" w:rsidRPr="00831A92">
        <w:t>was</w:t>
      </w:r>
      <w:r w:rsidR="000E7AEE" w:rsidRPr="00831A92">
        <w:t xml:space="preserve"> approved by the TGA for the treatment of neovascular (wet) AMD and listed on the </w:t>
      </w:r>
      <w:r w:rsidR="00757CC8" w:rsidRPr="00831A92">
        <w:t>Australian Register of Therapeutic Goods (</w:t>
      </w:r>
      <w:r w:rsidR="000E7AEE" w:rsidRPr="00831A92">
        <w:t>ARTG</w:t>
      </w:r>
      <w:r w:rsidR="00757CC8" w:rsidRPr="00831A92">
        <w:t>)</w:t>
      </w:r>
      <w:r w:rsidR="000E7AEE" w:rsidRPr="00831A92">
        <w:t xml:space="preserve"> on 16 January 2020. </w:t>
      </w:r>
    </w:p>
    <w:p w:rsidR="00C71BB3" w:rsidRPr="00831A92" w:rsidRDefault="004C0CE9" w:rsidP="004C3DB5">
      <w:pPr>
        <w:pStyle w:val="3Bodytext"/>
      </w:pPr>
      <w:r w:rsidRPr="00831A92">
        <w:t xml:space="preserve">The Sponsor </w:t>
      </w:r>
      <w:r w:rsidR="00371655" w:rsidRPr="00831A92">
        <w:t>lodge</w:t>
      </w:r>
      <w:r w:rsidR="00DA6D47" w:rsidRPr="00831A92">
        <w:t>d</w:t>
      </w:r>
      <w:r w:rsidR="00371655" w:rsidRPr="00831A92">
        <w:t xml:space="preserve"> an update to</w:t>
      </w:r>
      <w:r w:rsidRPr="00831A92">
        <w:t xml:space="preserve"> the brolucizumab Product Information (PI), Consumer Medicines Information (CMI)</w:t>
      </w:r>
      <w:r w:rsidR="00906707" w:rsidRPr="00831A92">
        <w:t>,</w:t>
      </w:r>
      <w:r w:rsidRPr="00831A92">
        <w:t xml:space="preserve"> and Risk Management Plan (RMP)</w:t>
      </w:r>
      <w:r w:rsidR="00371655" w:rsidRPr="00831A92">
        <w:t xml:space="preserve"> with the TGA in May 2020</w:t>
      </w:r>
      <w:r w:rsidRPr="00831A92">
        <w:t xml:space="preserve"> </w:t>
      </w:r>
      <w:r w:rsidR="00371655" w:rsidRPr="00831A92">
        <w:t>to reflect new safety information</w:t>
      </w:r>
      <w:r w:rsidR="0008497C" w:rsidRPr="00831A92">
        <w:t xml:space="preserve"> as documented in</w:t>
      </w:r>
      <w:r w:rsidR="00D871A7" w:rsidRPr="00831A92">
        <w:t xml:space="preserve"> the report</w:t>
      </w:r>
      <w:r w:rsidR="0008497C" w:rsidRPr="00831A92">
        <w:t xml:space="preserve"> “Medical Assessment of Post-Marketing Case Reports”</w:t>
      </w:r>
      <w:r w:rsidR="00371655" w:rsidRPr="00831A92">
        <w:t xml:space="preserve"> (paragraph </w:t>
      </w:r>
      <w:r w:rsidR="007249B9" w:rsidRPr="00831A92">
        <w:t>5.</w:t>
      </w:r>
      <w:r w:rsidR="002E610F" w:rsidRPr="00831A92">
        <w:t>7</w:t>
      </w:r>
      <w:r w:rsidR="00371655" w:rsidRPr="00831A92">
        <w:t>).</w:t>
      </w:r>
      <w:r w:rsidR="00322956" w:rsidRPr="00831A92">
        <w:t xml:space="preserve"> The TGA</w:t>
      </w:r>
      <w:r w:rsidR="00C71BB3" w:rsidRPr="00831A92">
        <w:t xml:space="preserve"> </w:t>
      </w:r>
      <w:r w:rsidR="001F03B3" w:rsidRPr="00831A92">
        <w:t>completed</w:t>
      </w:r>
      <w:r w:rsidR="00C71BB3" w:rsidRPr="00831A92">
        <w:t xml:space="preserve"> their review</w:t>
      </w:r>
      <w:r w:rsidR="0008497C" w:rsidRPr="00831A92">
        <w:t xml:space="preserve"> of this information</w:t>
      </w:r>
      <w:r w:rsidR="00322956" w:rsidRPr="00831A92">
        <w:t xml:space="preserve"> </w:t>
      </w:r>
      <w:r w:rsidR="001F03B3" w:rsidRPr="00831A92">
        <w:t>in May 2020</w:t>
      </w:r>
      <w:r w:rsidR="00123523" w:rsidRPr="00831A92">
        <w:t xml:space="preserve"> and recommended changes </w:t>
      </w:r>
      <w:r w:rsidR="00123523" w:rsidRPr="00831A92">
        <w:lastRenderedPageBreak/>
        <w:t xml:space="preserve">to the PI, CMI and RMP to reflect the emergent post-market safety signal for retinal vasculitis and/or retinal vascular occlusion with or without intraocular inflammation. </w:t>
      </w:r>
    </w:p>
    <w:p w:rsidR="00FE7500" w:rsidRPr="00831A92" w:rsidRDefault="002E60F0" w:rsidP="004C3DB5">
      <w:pPr>
        <w:pStyle w:val="3Bodytext"/>
      </w:pPr>
      <w:r w:rsidRPr="00831A92">
        <w:t>The Sponsor stated in their pre-PBAC response that the TGA have concluded the review of the safety assessment report and approved the related change to the approved PI, as well as the risk management activities proposed. The Sponsor indicated that the HCP targeted educational campaign would begin in early July 2020 with the supply of brolucizumab through a named patient program commencing in Australia on 6 July 2020.</w:t>
      </w:r>
      <w:r w:rsidR="005152FB" w:rsidRPr="00831A92">
        <w:t xml:space="preserve"> The Sponsor stated in their pre-PBAC response that there does not appear to be any obstacle to a patient enrolled in a named patient programme (and receiving non-PBS brolucizumab) being able to access PBS stock under the proposed restrictions.</w:t>
      </w:r>
    </w:p>
    <w:p w:rsidR="004E1E8C" w:rsidRPr="00831A92" w:rsidRDefault="004E1E8C" w:rsidP="00FE7500">
      <w:pPr>
        <w:pStyle w:val="Heading2"/>
        <w:spacing w:after="120"/>
        <w:rPr>
          <w:rFonts w:asciiTheme="minorHAnsi" w:hAnsiTheme="minorHAnsi"/>
          <w:bCs/>
          <w:iCs/>
          <w:sz w:val="28"/>
        </w:rPr>
      </w:pPr>
      <w:r w:rsidRPr="00831A92">
        <w:rPr>
          <w:rFonts w:asciiTheme="minorHAnsi" w:hAnsiTheme="minorHAnsi"/>
          <w:bCs/>
          <w:iCs/>
          <w:sz w:val="28"/>
        </w:rPr>
        <w:t>Previous PBAC consideration</w:t>
      </w:r>
      <w:r w:rsidR="00371655" w:rsidRPr="00831A92">
        <w:rPr>
          <w:rFonts w:asciiTheme="minorHAnsi" w:hAnsiTheme="minorHAnsi"/>
          <w:bCs/>
          <w:iCs/>
          <w:sz w:val="28"/>
        </w:rPr>
        <w:t xml:space="preserve"> </w:t>
      </w:r>
    </w:p>
    <w:p w:rsidR="004E1E8C" w:rsidRPr="00831A92" w:rsidRDefault="004E1E8C" w:rsidP="004C3DB5">
      <w:pPr>
        <w:pStyle w:val="3Bodytext"/>
      </w:pPr>
      <w:r w:rsidRPr="00831A92">
        <w:t>Brolucizumab was previously considered by the PBAC for this indication in November 2019</w:t>
      </w:r>
      <w:r w:rsidR="00143103" w:rsidRPr="00831A92">
        <w:t xml:space="preserve"> and</w:t>
      </w:r>
      <w:r w:rsidR="003E6C7A" w:rsidRPr="00831A92">
        <w:t xml:space="preserve"> it</w:t>
      </w:r>
      <w:r w:rsidRPr="00831A92">
        <w:t xml:space="preserve"> was not recommended</w:t>
      </w:r>
      <w:r w:rsidR="00143103" w:rsidRPr="00831A92">
        <w:t>.</w:t>
      </w:r>
      <w:r w:rsidR="003E6C7A" w:rsidRPr="00831A92">
        <w:t xml:space="preserve"> </w:t>
      </w:r>
      <w:r w:rsidR="00143103" w:rsidRPr="00831A92">
        <w:rPr>
          <w:snapToGrid w:val="0"/>
        </w:rPr>
        <w:t>T</w:t>
      </w:r>
      <w:r w:rsidR="003E6C7A" w:rsidRPr="00831A92">
        <w:rPr>
          <w:snapToGrid w:val="0"/>
        </w:rPr>
        <w:t xml:space="preserve">he PBAC considered that the claim of non-inferior effectiveness of brolucizumab compared with aflibercept was reasonable based on two key trials (HAWK and HARRIER) (paragraph </w:t>
      </w:r>
      <w:r w:rsidR="008B2C38" w:rsidRPr="00831A92">
        <w:rPr>
          <w:snapToGrid w:val="0"/>
        </w:rPr>
        <w:t>7.3</w:t>
      </w:r>
      <w:r w:rsidR="003E6C7A" w:rsidRPr="00831A92">
        <w:rPr>
          <w:snapToGrid w:val="0"/>
        </w:rPr>
        <w:t>, brolucizumab</w:t>
      </w:r>
      <w:r w:rsidR="0039584E" w:rsidRPr="00831A92">
        <w:rPr>
          <w:snapToGrid w:val="0"/>
        </w:rPr>
        <w:t xml:space="preserve"> </w:t>
      </w:r>
      <w:r w:rsidR="007F3057" w:rsidRPr="00831A92">
        <w:rPr>
          <w:snapToGrid w:val="0"/>
        </w:rPr>
        <w:t>p</w:t>
      </w:r>
      <w:r w:rsidR="0039584E" w:rsidRPr="00831A92">
        <w:rPr>
          <w:snapToGrid w:val="0"/>
        </w:rPr>
        <w:t xml:space="preserve">ublic </w:t>
      </w:r>
      <w:r w:rsidR="007F3057" w:rsidRPr="00831A92">
        <w:rPr>
          <w:snapToGrid w:val="0"/>
        </w:rPr>
        <w:t>s</w:t>
      </w:r>
      <w:r w:rsidR="0039584E" w:rsidRPr="00831A92">
        <w:rPr>
          <w:snapToGrid w:val="0"/>
        </w:rPr>
        <w:t xml:space="preserve">ummary </w:t>
      </w:r>
      <w:r w:rsidR="007F3057" w:rsidRPr="00831A92">
        <w:rPr>
          <w:snapToGrid w:val="0"/>
        </w:rPr>
        <w:t>d</w:t>
      </w:r>
      <w:r w:rsidR="0039584E" w:rsidRPr="00831A92">
        <w:rPr>
          <w:snapToGrid w:val="0"/>
        </w:rPr>
        <w:t>ocument</w:t>
      </w:r>
      <w:r w:rsidR="003E6C7A" w:rsidRPr="00831A92">
        <w:rPr>
          <w:snapToGrid w:val="0"/>
        </w:rPr>
        <w:t xml:space="preserve"> </w:t>
      </w:r>
      <w:r w:rsidR="0039584E" w:rsidRPr="00831A92">
        <w:rPr>
          <w:snapToGrid w:val="0"/>
        </w:rPr>
        <w:t>[</w:t>
      </w:r>
      <w:r w:rsidR="003E6C7A" w:rsidRPr="00831A92">
        <w:rPr>
          <w:snapToGrid w:val="0"/>
        </w:rPr>
        <w:t>PSD</w:t>
      </w:r>
      <w:r w:rsidR="0039584E" w:rsidRPr="00831A92">
        <w:rPr>
          <w:snapToGrid w:val="0"/>
        </w:rPr>
        <w:t>]</w:t>
      </w:r>
      <w:r w:rsidR="003E6C7A" w:rsidRPr="00831A92">
        <w:rPr>
          <w:snapToGrid w:val="0"/>
        </w:rPr>
        <w:t>, November 2019)</w:t>
      </w:r>
      <w:r w:rsidRPr="00831A92">
        <w:t>.</w:t>
      </w:r>
      <w:r w:rsidR="007A4908" w:rsidRPr="00831A92">
        <w:t xml:space="preserve"> </w:t>
      </w:r>
      <w:r w:rsidR="00D928F3" w:rsidRPr="00831A92">
        <w:t xml:space="preserve">The PBAC considered the claim of non-inferior safety to be uncertain. </w:t>
      </w:r>
    </w:p>
    <w:p w:rsidR="00FE18B2" w:rsidRPr="00831A92" w:rsidRDefault="003E6C7A" w:rsidP="004C3DB5">
      <w:pPr>
        <w:pStyle w:val="3Bodytext"/>
      </w:pPr>
      <w:r w:rsidRPr="00831A92">
        <w:t>The</w:t>
      </w:r>
      <w:r w:rsidR="00F95704" w:rsidRPr="00831A92">
        <w:t xml:space="preserve"> March 2020</w:t>
      </w:r>
      <w:r w:rsidR="00FE18B2" w:rsidRPr="00831A92">
        <w:t xml:space="preserve"> minor resubmission addressed </w:t>
      </w:r>
      <w:r w:rsidR="00186D8E" w:rsidRPr="00831A92">
        <w:t>two</w:t>
      </w:r>
      <w:r w:rsidR="00FE18B2" w:rsidRPr="00831A92">
        <w:t xml:space="preserve"> issues associated with the </w:t>
      </w:r>
      <w:r w:rsidR="00186D8E" w:rsidRPr="00831A92">
        <w:t>CMA</w:t>
      </w:r>
      <w:r w:rsidR="00FE18B2" w:rsidRPr="00831A92">
        <w:t xml:space="preserve"> of </w:t>
      </w:r>
      <w:r w:rsidRPr="00831A92">
        <w:t xml:space="preserve">brolucizumab against aflibercept/ranibizumab. </w:t>
      </w:r>
      <w:r w:rsidR="00186D8E" w:rsidRPr="00831A92">
        <w:rPr>
          <w:rFonts w:cs="Arial"/>
          <w:bCs/>
          <w:snapToGrid w:val="0"/>
        </w:rPr>
        <w:t xml:space="preserve">The minor resubmission employed a 1:1 dose relativity in the </w:t>
      </w:r>
      <w:r w:rsidR="00123523" w:rsidRPr="00831A92">
        <w:rPr>
          <w:rFonts w:cs="Arial"/>
          <w:bCs/>
          <w:snapToGrid w:val="0"/>
        </w:rPr>
        <w:t>CMA</w:t>
      </w:r>
      <w:r w:rsidR="00186D8E" w:rsidRPr="00831A92">
        <w:rPr>
          <w:rFonts w:cs="Arial"/>
          <w:bCs/>
          <w:snapToGrid w:val="0"/>
        </w:rPr>
        <w:t>, consistent with the previous PBAC advice that there were no clinical reasons for dosing frequencies amongst brolucizumab and anti-</w:t>
      </w:r>
      <w:r w:rsidR="0091343E" w:rsidRPr="00831A92">
        <w:rPr>
          <w:rFonts w:cs="Arial"/>
          <w:bCs/>
          <w:snapToGrid w:val="0"/>
        </w:rPr>
        <w:t>vascular endothelial growth factors (anti-</w:t>
      </w:r>
      <w:r w:rsidR="00186D8E" w:rsidRPr="00831A92">
        <w:rPr>
          <w:rFonts w:cs="Arial"/>
          <w:bCs/>
          <w:snapToGrid w:val="0"/>
        </w:rPr>
        <w:t>VEGFs</w:t>
      </w:r>
      <w:r w:rsidR="0091343E" w:rsidRPr="00831A92">
        <w:rPr>
          <w:rFonts w:cs="Arial"/>
          <w:bCs/>
          <w:snapToGrid w:val="0"/>
        </w:rPr>
        <w:t>)</w:t>
      </w:r>
      <w:r w:rsidR="00186D8E" w:rsidRPr="00831A92">
        <w:rPr>
          <w:rFonts w:cs="Arial"/>
          <w:bCs/>
          <w:snapToGrid w:val="0"/>
        </w:rPr>
        <w:t xml:space="preserve"> to be different to each other (paragraph 6.5, brolucizumab </w:t>
      </w:r>
      <w:r w:rsidR="00042399">
        <w:rPr>
          <w:rFonts w:cs="Arial"/>
          <w:bCs/>
          <w:snapToGrid w:val="0"/>
        </w:rPr>
        <w:t>PSD</w:t>
      </w:r>
      <w:r w:rsidR="00186D8E" w:rsidRPr="00831A92">
        <w:rPr>
          <w:rFonts w:cs="Arial"/>
          <w:bCs/>
          <w:snapToGrid w:val="0"/>
        </w:rPr>
        <w:t xml:space="preserve">, March 2020). The Sponsor also used the ranibizumab price based on ranibizumab being the least costly comparator </w:t>
      </w:r>
      <w:r w:rsidR="00123523" w:rsidRPr="00831A92">
        <w:rPr>
          <w:rFonts w:cs="Arial"/>
          <w:bCs/>
          <w:snapToGrid w:val="0"/>
        </w:rPr>
        <w:t xml:space="preserve">consistent with previous PBAC advice </w:t>
      </w:r>
      <w:r w:rsidR="00186D8E" w:rsidRPr="00831A92">
        <w:rPr>
          <w:rFonts w:cs="Arial"/>
          <w:bCs/>
          <w:snapToGrid w:val="0"/>
        </w:rPr>
        <w:t xml:space="preserve">(paragraph 6.6, brolucizumab </w:t>
      </w:r>
      <w:r w:rsidR="00042399">
        <w:rPr>
          <w:rFonts w:cs="Arial"/>
          <w:bCs/>
          <w:snapToGrid w:val="0"/>
        </w:rPr>
        <w:t>PSD</w:t>
      </w:r>
      <w:r w:rsidR="00186D8E" w:rsidRPr="00831A92">
        <w:rPr>
          <w:rFonts w:cs="Arial"/>
          <w:bCs/>
          <w:snapToGrid w:val="0"/>
        </w:rPr>
        <w:t>, March 2020). However, the PBAC considered that the CMA was not adequately supported as non-inferior safety of brolucizumab had not been established.</w:t>
      </w:r>
    </w:p>
    <w:p w:rsidR="00FE18B2" w:rsidRPr="00831A92" w:rsidRDefault="00FE18B2" w:rsidP="004C3DB5">
      <w:pPr>
        <w:pStyle w:val="3Bodytext"/>
      </w:pPr>
      <w:r w:rsidRPr="00831A92">
        <w:t xml:space="preserve">The March 2020 </w:t>
      </w:r>
      <w:r w:rsidR="00C87AC2" w:rsidRPr="00831A92">
        <w:t xml:space="preserve">minor </w:t>
      </w:r>
      <w:r w:rsidRPr="00831A92">
        <w:t>resubmission</w:t>
      </w:r>
      <w:r w:rsidR="00D928F3" w:rsidRPr="00831A92">
        <w:t xml:space="preserve"> </w:t>
      </w:r>
      <w:r w:rsidR="00143103" w:rsidRPr="00831A92">
        <w:t xml:space="preserve">also </w:t>
      </w:r>
      <w:r w:rsidR="00D928F3" w:rsidRPr="00831A92">
        <w:t>sought to address outstanding safety concerns with broluci</w:t>
      </w:r>
      <w:r w:rsidR="00ED3121" w:rsidRPr="00831A92">
        <w:t>z</w:t>
      </w:r>
      <w:r w:rsidR="00D928F3" w:rsidRPr="00831A92">
        <w:t>umab by</w:t>
      </w:r>
      <w:r w:rsidRPr="00831A92">
        <w:t xml:space="preserve"> provid</w:t>
      </w:r>
      <w:r w:rsidR="00D928F3" w:rsidRPr="00831A92">
        <w:t xml:space="preserve">ing </w:t>
      </w:r>
      <w:r w:rsidR="00ED3121" w:rsidRPr="00831A92">
        <w:t>the ratified resolution of the ACM Meeting</w:t>
      </w:r>
      <w:r w:rsidR="00C87AC2" w:rsidRPr="00831A92">
        <w:t xml:space="preserve"> (paragraph 2.2)</w:t>
      </w:r>
      <w:r w:rsidR="00ED3121" w:rsidRPr="00831A92">
        <w:t>.</w:t>
      </w:r>
      <w:r w:rsidR="00C87AC2" w:rsidRPr="00831A92">
        <w:t xml:space="preserve"> The Sponsor’s pre-PBAC response </w:t>
      </w:r>
      <w:r w:rsidR="00C87AC2" w:rsidRPr="00831A92">
        <w:rPr>
          <w:bCs/>
        </w:rPr>
        <w:t>stated that on 23 February 2020, the American Society of Retinal Specialists (ASRS) shared with its membership that it ha</w:t>
      </w:r>
      <w:r w:rsidR="006A3458" w:rsidRPr="00831A92">
        <w:rPr>
          <w:bCs/>
        </w:rPr>
        <w:t>d</w:t>
      </w:r>
      <w:r w:rsidR="00C87AC2" w:rsidRPr="00831A92">
        <w:rPr>
          <w:bCs/>
        </w:rPr>
        <w:t xml:space="preserve"> received some anecdotal reports of retinal artery occlusion and intraocular inflammation since brolucizumab approval in the United States.</w:t>
      </w:r>
      <w:r w:rsidR="00C87AC2" w:rsidRPr="00831A92">
        <w:t xml:space="preserve"> </w:t>
      </w:r>
      <w:r w:rsidR="00C87AC2" w:rsidRPr="00831A92">
        <w:rPr>
          <w:bCs/>
        </w:rPr>
        <w:t>The PBAC noted these reports and considered further clarity was required regarding these safety issues with brolucizumab.</w:t>
      </w:r>
    </w:p>
    <w:p w:rsidR="00CC2FC3" w:rsidRDefault="004E1E8C" w:rsidP="004C3DB5">
      <w:pPr>
        <w:pStyle w:val="3Bodytext"/>
      </w:pPr>
      <w:r w:rsidRPr="00831A92">
        <w:t>Table 1 provides a summary of the key issues identified by the PBAC at the</w:t>
      </w:r>
      <w:r w:rsidR="00143103" w:rsidRPr="00831A92">
        <w:t xml:space="preserve"> March 2020</w:t>
      </w:r>
      <w:r w:rsidRPr="00831A92">
        <w:t xml:space="preserve"> meeting and the manner in which the</w:t>
      </w:r>
      <w:r w:rsidR="00C87AC2" w:rsidRPr="00831A92">
        <w:t xml:space="preserve"> July 2020</w:t>
      </w:r>
      <w:r w:rsidRPr="00831A92">
        <w:t xml:space="preserve"> minor resubmission has addressed them.</w:t>
      </w:r>
    </w:p>
    <w:p w:rsidR="00F15955" w:rsidRPr="00831A92" w:rsidRDefault="00F15955" w:rsidP="00F15955">
      <w:pPr>
        <w:pStyle w:val="3Bodytext"/>
        <w:numPr>
          <w:ilvl w:val="0"/>
          <w:numId w:val="0"/>
        </w:numPr>
        <w:ind w:left="720"/>
      </w:pPr>
    </w:p>
    <w:p w:rsidR="004E1E8C" w:rsidRPr="00831A92" w:rsidRDefault="004E1E8C" w:rsidP="004C3DB5">
      <w:pPr>
        <w:pStyle w:val="Tabletitles"/>
      </w:pPr>
      <w:r w:rsidRPr="00831A92">
        <w:t xml:space="preserve">Table 1: Key issues identified by the PBAC in </w:t>
      </w:r>
      <w:r w:rsidR="00143103" w:rsidRPr="00831A92">
        <w:t>March 2020</w:t>
      </w:r>
      <w:r w:rsidRPr="00831A92">
        <w:t xml:space="preserve"> and how they were addressed in the</w:t>
      </w:r>
      <w:r w:rsidR="00143103" w:rsidRPr="00831A92">
        <w:t xml:space="preserve"> July 2020</w:t>
      </w:r>
      <w:r w:rsidRPr="00831A92">
        <w:t xml:space="preserve"> minor resubmission</w:t>
      </w:r>
    </w:p>
    <w:tbl>
      <w:tblPr>
        <w:tblStyle w:val="TableGrid"/>
        <w:tblW w:w="5000" w:type="pct"/>
        <w:tblLook w:val="04A0" w:firstRow="1" w:lastRow="0" w:firstColumn="1" w:lastColumn="0" w:noHBand="0" w:noVBand="1"/>
        <w:tblCaption w:val="Table 1: Key issues identified by the PBAC in March 2020 and how they were addressed in the July 2020 minor resubmission"/>
      </w:tblPr>
      <w:tblGrid>
        <w:gridCol w:w="6374"/>
        <w:gridCol w:w="2642"/>
      </w:tblGrid>
      <w:tr w:rsidR="004E1E8C" w:rsidRPr="00831A92" w:rsidTr="004C3DB5">
        <w:trPr>
          <w:tblHeader/>
        </w:trPr>
        <w:tc>
          <w:tcPr>
            <w:tcW w:w="3535" w:type="pct"/>
            <w:tcMar>
              <w:left w:w="28" w:type="dxa"/>
              <w:right w:w="28" w:type="dxa"/>
            </w:tcMar>
          </w:tcPr>
          <w:p w:rsidR="004E1E8C" w:rsidRPr="00831A92" w:rsidRDefault="004E1E8C" w:rsidP="00042399">
            <w:pPr>
              <w:keepNext/>
              <w:keepLines/>
              <w:rPr>
                <w:rFonts w:ascii="Arial Narrow" w:hAnsi="Arial Narrow" w:cstheme="minorHAnsi"/>
                <w:b/>
                <w:sz w:val="20"/>
                <w:szCs w:val="20"/>
              </w:rPr>
            </w:pPr>
            <w:r w:rsidRPr="00831A92">
              <w:rPr>
                <w:rFonts w:ascii="Arial Narrow" w:hAnsi="Arial Narrow" w:cstheme="minorHAnsi"/>
                <w:b/>
                <w:sz w:val="20"/>
                <w:szCs w:val="20"/>
              </w:rPr>
              <w:t xml:space="preserve">Issue identified by PBAC in </w:t>
            </w:r>
            <w:r w:rsidR="00143103" w:rsidRPr="00831A92">
              <w:rPr>
                <w:rFonts w:ascii="Arial Narrow" w:hAnsi="Arial Narrow" w:cstheme="minorHAnsi"/>
                <w:b/>
                <w:sz w:val="20"/>
                <w:szCs w:val="20"/>
              </w:rPr>
              <w:t>March 2020</w:t>
            </w:r>
            <w:r w:rsidRPr="00831A92">
              <w:rPr>
                <w:rFonts w:ascii="Arial Narrow" w:hAnsi="Arial Narrow" w:cstheme="minorHAnsi"/>
                <w:b/>
                <w:sz w:val="20"/>
                <w:szCs w:val="20"/>
              </w:rPr>
              <w:t xml:space="preserve"> </w:t>
            </w:r>
            <w:r w:rsidR="00042399">
              <w:rPr>
                <w:rFonts w:ascii="Arial Narrow" w:hAnsi="Arial Narrow" w:cstheme="minorHAnsi"/>
                <w:b/>
                <w:sz w:val="20"/>
                <w:szCs w:val="20"/>
              </w:rPr>
              <w:t>Public Summary Document</w:t>
            </w:r>
          </w:p>
        </w:tc>
        <w:tc>
          <w:tcPr>
            <w:tcW w:w="1465" w:type="pct"/>
            <w:tcMar>
              <w:left w:w="28" w:type="dxa"/>
              <w:right w:w="28" w:type="dxa"/>
            </w:tcMar>
          </w:tcPr>
          <w:p w:rsidR="004E1E8C" w:rsidRPr="00831A92" w:rsidRDefault="004E1E8C" w:rsidP="00726FC1">
            <w:pPr>
              <w:keepNext/>
              <w:keepLines/>
              <w:rPr>
                <w:rFonts w:ascii="Arial Narrow" w:hAnsi="Arial Narrow" w:cstheme="minorHAnsi"/>
                <w:b/>
                <w:sz w:val="20"/>
                <w:szCs w:val="20"/>
              </w:rPr>
            </w:pPr>
            <w:r w:rsidRPr="00831A92">
              <w:rPr>
                <w:rFonts w:ascii="Arial Narrow" w:hAnsi="Arial Narrow" w:cstheme="minorHAnsi"/>
                <w:b/>
                <w:sz w:val="20"/>
                <w:szCs w:val="20"/>
              </w:rPr>
              <w:t xml:space="preserve">How issue was addressed in </w:t>
            </w:r>
            <w:r w:rsidR="00726FC1" w:rsidRPr="00831A92">
              <w:rPr>
                <w:rFonts w:ascii="Arial Narrow" w:hAnsi="Arial Narrow" w:cstheme="minorHAnsi"/>
                <w:b/>
                <w:sz w:val="20"/>
                <w:szCs w:val="20"/>
              </w:rPr>
              <w:t>July</w:t>
            </w:r>
            <w:r w:rsidR="00CE4AA1" w:rsidRPr="00831A92">
              <w:rPr>
                <w:rFonts w:ascii="Arial Narrow" w:hAnsi="Arial Narrow" w:cstheme="minorHAnsi"/>
                <w:b/>
                <w:sz w:val="20"/>
                <w:szCs w:val="20"/>
              </w:rPr>
              <w:t xml:space="preserve"> 2020</w:t>
            </w:r>
            <w:r w:rsidRPr="00831A92">
              <w:rPr>
                <w:rFonts w:ascii="Arial Narrow" w:hAnsi="Arial Narrow" w:cstheme="minorHAnsi"/>
                <w:b/>
                <w:sz w:val="20"/>
                <w:szCs w:val="20"/>
              </w:rPr>
              <w:t xml:space="preserve"> resubmission</w:t>
            </w:r>
          </w:p>
        </w:tc>
      </w:tr>
      <w:tr w:rsidR="004E1E8C" w:rsidRPr="00831A92" w:rsidTr="004C3DB5">
        <w:tc>
          <w:tcPr>
            <w:tcW w:w="3535" w:type="pct"/>
            <w:tcMar>
              <w:left w:w="28" w:type="dxa"/>
              <w:right w:w="28" w:type="dxa"/>
            </w:tcMar>
          </w:tcPr>
          <w:p w:rsidR="00121970" w:rsidRPr="00831A92" w:rsidRDefault="00121970" w:rsidP="002D11C9">
            <w:pPr>
              <w:keepNext/>
              <w:keepLines/>
              <w:widowControl w:val="0"/>
              <w:rPr>
                <w:rFonts w:ascii="Arial Narrow" w:hAnsi="Arial Narrow"/>
                <w:bCs/>
                <w:sz w:val="20"/>
                <w:szCs w:val="20"/>
              </w:rPr>
            </w:pPr>
            <w:r w:rsidRPr="00831A92">
              <w:rPr>
                <w:rFonts w:ascii="Arial Narrow" w:hAnsi="Arial Narrow"/>
                <w:bCs/>
                <w:sz w:val="20"/>
                <w:szCs w:val="20"/>
              </w:rPr>
              <w:t xml:space="preserve">[paragraph 6.3] The PBAC noted the relative risk for ocular SAEs for brolucizumab compared to aflibercept was 2.27 (95% CI: 1.12, 4.58) and the relative risk for specific ocular AEs was &gt;1 for most outcomes (favouring aflibercept) with wide confidence intervals (Table 5, brolucizumab PSD, November 2019). The PBAC noted the ACM findings regarding the safety of brolucizumab but considered the claim of non-inferior comparative safety versus aflibercept remained uncertain. The PBAC further noted the anecdotal reports from </w:t>
            </w:r>
            <w:r w:rsidR="002D11C9" w:rsidRPr="00831A92">
              <w:rPr>
                <w:rFonts w:ascii="Arial Narrow" w:hAnsi="Arial Narrow"/>
                <w:bCs/>
                <w:sz w:val="20"/>
                <w:szCs w:val="20"/>
              </w:rPr>
              <w:t>the ASRS …</w:t>
            </w:r>
            <w:r w:rsidRPr="00831A92">
              <w:rPr>
                <w:rFonts w:ascii="Arial Narrow" w:hAnsi="Arial Narrow"/>
                <w:bCs/>
                <w:sz w:val="20"/>
                <w:szCs w:val="20"/>
              </w:rPr>
              <w:t xml:space="preserve"> and considered this increased the uncertainty of the non-inferior safety claim.</w:t>
            </w:r>
          </w:p>
          <w:p w:rsidR="002D11C9" w:rsidRPr="00831A92" w:rsidRDefault="002D11C9" w:rsidP="002D11C9">
            <w:pPr>
              <w:keepNext/>
              <w:keepLines/>
              <w:widowControl w:val="0"/>
              <w:rPr>
                <w:rFonts w:ascii="Arial Narrow" w:hAnsi="Arial Narrow"/>
                <w:bCs/>
                <w:sz w:val="20"/>
                <w:szCs w:val="20"/>
              </w:rPr>
            </w:pPr>
          </w:p>
          <w:p w:rsidR="002D11C9" w:rsidRPr="00831A92" w:rsidRDefault="002D11C9" w:rsidP="002D11C9">
            <w:pPr>
              <w:keepNext/>
              <w:keepLines/>
              <w:widowControl w:val="0"/>
              <w:rPr>
                <w:rFonts w:ascii="Arial Narrow" w:hAnsi="Arial Narrow"/>
                <w:bCs/>
                <w:sz w:val="20"/>
                <w:szCs w:val="20"/>
              </w:rPr>
            </w:pPr>
            <w:r w:rsidRPr="00831A92">
              <w:rPr>
                <w:rFonts w:ascii="Arial Narrow" w:hAnsi="Arial Narrow"/>
                <w:bCs/>
                <w:sz w:val="20"/>
                <w:szCs w:val="20"/>
              </w:rPr>
              <w:t>[paragraph 6.4] The PBAC noted there were two safe and efficacious treatment options available for patients and considered the need for additional treatment options was low, particularly one with uncertain comparative safety.</w:t>
            </w:r>
          </w:p>
          <w:p w:rsidR="00B122D1" w:rsidRPr="00831A92" w:rsidRDefault="00B122D1" w:rsidP="002D11C9">
            <w:pPr>
              <w:keepNext/>
              <w:keepLines/>
              <w:widowControl w:val="0"/>
              <w:rPr>
                <w:rFonts w:ascii="Arial Narrow" w:hAnsi="Arial Narrow"/>
                <w:bCs/>
                <w:sz w:val="20"/>
                <w:szCs w:val="20"/>
              </w:rPr>
            </w:pPr>
          </w:p>
          <w:p w:rsidR="00B122D1" w:rsidRPr="00831A92" w:rsidRDefault="00B122D1" w:rsidP="002D11C9">
            <w:pPr>
              <w:keepNext/>
              <w:keepLines/>
              <w:widowControl w:val="0"/>
              <w:rPr>
                <w:rFonts w:ascii="Arial Narrow" w:hAnsi="Arial Narrow"/>
                <w:bCs/>
                <w:sz w:val="20"/>
                <w:szCs w:val="20"/>
              </w:rPr>
            </w:pPr>
            <w:r w:rsidRPr="00831A92">
              <w:rPr>
                <w:rFonts w:ascii="Arial Narrow" w:hAnsi="Arial Narrow"/>
                <w:bCs/>
                <w:sz w:val="20"/>
                <w:szCs w:val="20"/>
              </w:rPr>
              <w:t>[paragraph 6.8] The PBAC considered any future submission could be a minor resubmission and should address the uncertain claim of non-inferior safety.</w:t>
            </w:r>
          </w:p>
        </w:tc>
        <w:tc>
          <w:tcPr>
            <w:tcW w:w="1465" w:type="pct"/>
            <w:tcMar>
              <w:left w:w="28" w:type="dxa"/>
              <w:right w:w="28" w:type="dxa"/>
            </w:tcMar>
          </w:tcPr>
          <w:p w:rsidR="004E1E8C" w:rsidRPr="00831A92" w:rsidRDefault="00F60F11" w:rsidP="00C8182C">
            <w:pPr>
              <w:keepNext/>
              <w:keepLines/>
              <w:jc w:val="left"/>
              <w:rPr>
                <w:rFonts w:ascii="Arial Narrow" w:hAnsi="Arial Narrow" w:cstheme="minorHAnsi"/>
                <w:sz w:val="20"/>
                <w:szCs w:val="20"/>
              </w:rPr>
            </w:pPr>
            <w:r w:rsidRPr="00831A92">
              <w:rPr>
                <w:rFonts w:ascii="Arial Narrow" w:hAnsi="Arial Narrow" w:cstheme="minorHAnsi"/>
                <w:i/>
                <w:sz w:val="20"/>
                <w:szCs w:val="20"/>
              </w:rPr>
              <w:t xml:space="preserve"> </w:t>
            </w:r>
            <w:r w:rsidRPr="00831A92">
              <w:rPr>
                <w:rFonts w:ascii="Arial Narrow" w:hAnsi="Arial Narrow" w:cstheme="minorHAnsi"/>
                <w:sz w:val="20"/>
                <w:szCs w:val="20"/>
              </w:rPr>
              <w:t>The Sponsor has provided:</w:t>
            </w:r>
          </w:p>
          <w:p w:rsidR="00F60F11" w:rsidRPr="00831A92" w:rsidRDefault="00C8182C" w:rsidP="00C8182C">
            <w:pPr>
              <w:pStyle w:val="ListParagraph"/>
              <w:keepNext/>
              <w:keepLines/>
              <w:numPr>
                <w:ilvl w:val="0"/>
                <w:numId w:val="29"/>
              </w:numPr>
              <w:spacing w:after="0"/>
              <w:ind w:left="402" w:hanging="283"/>
              <w:rPr>
                <w:rFonts w:ascii="Arial Narrow" w:hAnsi="Arial Narrow" w:cstheme="minorHAnsi"/>
                <w:sz w:val="20"/>
                <w:szCs w:val="20"/>
              </w:rPr>
            </w:pPr>
            <w:r w:rsidRPr="00831A92">
              <w:rPr>
                <w:rFonts w:ascii="Arial Narrow" w:hAnsi="Arial Narrow" w:cstheme="minorHAnsi"/>
                <w:sz w:val="20"/>
                <w:szCs w:val="20"/>
              </w:rPr>
              <w:t xml:space="preserve">Brolucizumab </w:t>
            </w:r>
            <w:r w:rsidR="001C2972" w:rsidRPr="00831A92">
              <w:rPr>
                <w:rFonts w:ascii="Arial Narrow" w:hAnsi="Arial Narrow" w:cstheme="minorHAnsi"/>
                <w:sz w:val="20"/>
                <w:szCs w:val="20"/>
              </w:rPr>
              <w:t>medical line listings (64 cases)</w:t>
            </w:r>
          </w:p>
          <w:p w:rsidR="001C2972" w:rsidRPr="00831A92" w:rsidRDefault="006D1875" w:rsidP="00C8182C">
            <w:pPr>
              <w:pStyle w:val="ListParagraph"/>
              <w:keepNext/>
              <w:keepLines/>
              <w:numPr>
                <w:ilvl w:val="0"/>
                <w:numId w:val="29"/>
              </w:numPr>
              <w:spacing w:after="0"/>
              <w:ind w:left="402" w:hanging="283"/>
              <w:rPr>
                <w:rFonts w:ascii="Arial Narrow" w:hAnsi="Arial Narrow" w:cstheme="minorHAnsi"/>
                <w:sz w:val="20"/>
                <w:szCs w:val="20"/>
              </w:rPr>
            </w:pPr>
            <w:r w:rsidRPr="00831A92">
              <w:rPr>
                <w:rFonts w:ascii="Arial Narrow" w:hAnsi="Arial Narrow" w:cstheme="minorHAnsi"/>
                <w:sz w:val="20"/>
                <w:szCs w:val="20"/>
              </w:rPr>
              <w:t xml:space="preserve">Brolucizumab </w:t>
            </w:r>
            <w:r w:rsidR="001C2972" w:rsidRPr="00831A92">
              <w:rPr>
                <w:rFonts w:ascii="Arial Narrow" w:hAnsi="Arial Narrow" w:cstheme="minorHAnsi"/>
                <w:sz w:val="20"/>
                <w:szCs w:val="20"/>
              </w:rPr>
              <w:t>medical CIOMS forms (64 cases)</w:t>
            </w:r>
          </w:p>
          <w:p w:rsidR="001C2972" w:rsidRPr="00831A92" w:rsidRDefault="006D1875" w:rsidP="00C8182C">
            <w:pPr>
              <w:pStyle w:val="ListBullet"/>
              <w:tabs>
                <w:tab w:val="clear" w:pos="360"/>
                <w:tab w:val="num" w:pos="544"/>
              </w:tabs>
              <w:ind w:left="402" w:hanging="283"/>
              <w:jc w:val="left"/>
              <w:rPr>
                <w:sz w:val="20"/>
                <w:szCs w:val="20"/>
              </w:rPr>
            </w:pPr>
            <w:r w:rsidRPr="00831A92">
              <w:rPr>
                <w:rFonts w:ascii="Arial Narrow" w:hAnsi="Arial Narrow" w:cstheme="minorHAnsi"/>
                <w:sz w:val="20"/>
                <w:szCs w:val="20"/>
              </w:rPr>
              <w:t>Brolucizumab</w:t>
            </w:r>
            <w:r w:rsidR="001C2972" w:rsidRPr="00831A92">
              <w:rPr>
                <w:rFonts w:ascii="Arial Narrow" w:hAnsi="Arial Narrow" w:cstheme="minorHAnsi"/>
                <w:sz w:val="20"/>
                <w:szCs w:val="20"/>
              </w:rPr>
              <w:t xml:space="preserve"> medical assessment report</w:t>
            </w:r>
          </w:p>
          <w:p w:rsidR="001C2972" w:rsidRPr="00831A92" w:rsidRDefault="001C2972" w:rsidP="00C8182C">
            <w:pPr>
              <w:pStyle w:val="ListBullet"/>
              <w:tabs>
                <w:tab w:val="clear" w:pos="360"/>
                <w:tab w:val="num" w:pos="544"/>
              </w:tabs>
              <w:ind w:left="402" w:hanging="283"/>
              <w:jc w:val="left"/>
              <w:rPr>
                <w:sz w:val="20"/>
                <w:szCs w:val="20"/>
              </w:rPr>
            </w:pPr>
            <w:r w:rsidRPr="00831A92">
              <w:rPr>
                <w:rFonts w:ascii="Arial Narrow" w:hAnsi="Arial Narrow" w:cstheme="minorHAnsi"/>
                <w:sz w:val="20"/>
                <w:szCs w:val="20"/>
              </w:rPr>
              <w:t>Communication between Novartis and the TGA</w:t>
            </w:r>
          </w:p>
          <w:p w:rsidR="00E8703F" w:rsidRPr="00831A92" w:rsidRDefault="00E8703F" w:rsidP="00C8182C">
            <w:pPr>
              <w:pStyle w:val="ListBullet"/>
              <w:tabs>
                <w:tab w:val="clear" w:pos="360"/>
                <w:tab w:val="num" w:pos="544"/>
              </w:tabs>
              <w:ind w:left="402" w:hanging="283"/>
              <w:jc w:val="left"/>
              <w:rPr>
                <w:sz w:val="20"/>
                <w:szCs w:val="20"/>
              </w:rPr>
            </w:pPr>
            <w:r w:rsidRPr="00831A92">
              <w:rPr>
                <w:rFonts w:ascii="Arial Narrow" w:hAnsi="Arial Narrow" w:cstheme="minorHAnsi"/>
                <w:sz w:val="20"/>
                <w:szCs w:val="20"/>
              </w:rPr>
              <w:t>Cost of treating inflammation in HAWK and HARRIER trials (unchanged from Nov 2019 submission).</w:t>
            </w:r>
          </w:p>
        </w:tc>
      </w:tr>
    </w:tbl>
    <w:p w:rsidR="00394C3F" w:rsidRPr="00831A92" w:rsidRDefault="00F5772A" w:rsidP="004C3DB5">
      <w:pPr>
        <w:pStyle w:val="3Bodytext"/>
        <w:spacing w:before="120"/>
      </w:pPr>
      <w:r w:rsidRPr="00831A92">
        <w:t>ACM = Advisory Committee on Medicines;</w:t>
      </w:r>
      <w:r w:rsidR="00BA005E" w:rsidRPr="00831A92">
        <w:t xml:space="preserve"> </w:t>
      </w:r>
      <w:r w:rsidR="00E8703F" w:rsidRPr="00831A92">
        <w:t xml:space="preserve">AE = adverse event; </w:t>
      </w:r>
      <w:r w:rsidR="00BA005E" w:rsidRPr="00831A92">
        <w:t>CIOMS = Council for International Organizations of Medical Sciences</w:t>
      </w:r>
      <w:r w:rsidR="00E8703F" w:rsidRPr="00831A92">
        <w:t>;</w:t>
      </w:r>
      <w:r w:rsidRPr="00831A92">
        <w:t xml:space="preserve"> </w:t>
      </w:r>
      <w:r w:rsidR="00E8703F" w:rsidRPr="00831A92">
        <w:t xml:space="preserve">PSD = Public Summary Document; </w:t>
      </w:r>
      <w:r w:rsidR="008C1363" w:rsidRPr="00831A92">
        <w:t>SAE = serious adverse event</w:t>
      </w:r>
      <w:r w:rsidR="004E1E8C" w:rsidRPr="00831A92">
        <w:t>.</w:t>
      </w:r>
    </w:p>
    <w:p w:rsidR="00CC2FC3" w:rsidRPr="00831A92" w:rsidRDefault="00CC2FC3" w:rsidP="004C3DB5">
      <w:pPr>
        <w:pStyle w:val="3Bodytext"/>
      </w:pPr>
      <w:r w:rsidRPr="00831A92">
        <w:rPr>
          <w:rFonts w:cstheme="minorHAnsi"/>
          <w:szCs w:val="24"/>
        </w:rPr>
        <w:t xml:space="preserve">The cost of </w:t>
      </w:r>
      <w:r w:rsidRPr="00831A92">
        <w:t>treating inflammation in the HAWK and HARRIER trials (calculated as $</w:t>
      </w:r>
      <w:r w:rsidR="002C14AA">
        <w:rPr>
          <w:noProof/>
          <w:color w:val="000000"/>
          <w:highlight w:val="black"/>
        </w:rPr>
        <w:t>'''''''''</w:t>
      </w:r>
      <w:r w:rsidRPr="00831A92">
        <w:t xml:space="preserve"> in the brolucizumab arm and $</w:t>
      </w:r>
      <w:r w:rsidR="002C14AA">
        <w:rPr>
          <w:noProof/>
          <w:color w:val="000000"/>
          <w:highlight w:val="black"/>
        </w:rPr>
        <w:t>'''''''''</w:t>
      </w:r>
      <w:r w:rsidRPr="00831A92">
        <w:t xml:space="preserve"> in the aflibercept arm, an incremental cost of approximately $</w:t>
      </w:r>
      <w:r w:rsidR="002C14AA">
        <w:rPr>
          <w:noProof/>
          <w:color w:val="000000"/>
          <w:highlight w:val="black"/>
        </w:rPr>
        <w:t>'''</w:t>
      </w:r>
      <w:r w:rsidRPr="00831A92">
        <w:t xml:space="preserve"> per patient per year) was based on the use of topical or systemic corticosteroids, </w:t>
      </w:r>
      <w:r w:rsidR="00F0374D" w:rsidRPr="00831A92">
        <w:t>topical antibiotics/</w:t>
      </w:r>
      <w:r w:rsidRPr="00831A92">
        <w:t>anti-infectives or antiviral</w:t>
      </w:r>
      <w:r w:rsidR="00F0374D" w:rsidRPr="00831A92">
        <w:t xml:space="preserve">s, for treatment-related ocular AEs. </w:t>
      </w:r>
      <w:r w:rsidR="00222589" w:rsidRPr="00831A92">
        <w:t>The Sponsor stated in their November 2019 submission that the significantly higher rate of ocular adverse events</w:t>
      </w:r>
      <w:r w:rsidR="001C65EE" w:rsidRPr="00831A92">
        <w:t xml:space="preserve"> used to calculate this cost</w:t>
      </w:r>
      <w:r w:rsidR="00222589" w:rsidRPr="00831A92">
        <w:t xml:space="preserve"> was likely driven by rates of uveitis and iritis reported in the HAWK trial. </w:t>
      </w:r>
      <w:r w:rsidR="002A46F9" w:rsidRPr="00831A92">
        <w:t>In contrast, the emergent post-market safety signal for retinal vasculitis and/or retinal vascular occlusion with or without intraocular inflammation represents a subset of serious AEs that can lead to central or branch retinal artery occlusion (CRAO/BRAO). CR</w:t>
      </w:r>
      <w:r w:rsidR="00300281" w:rsidRPr="00831A92">
        <w:t xml:space="preserve">AO can result in severe </w:t>
      </w:r>
      <w:r w:rsidR="002A46F9" w:rsidRPr="00831A92">
        <w:t>vision</w:t>
      </w:r>
      <w:r w:rsidR="00300281" w:rsidRPr="00831A92">
        <w:t xml:space="preserve"> loss</w:t>
      </w:r>
      <w:r w:rsidR="002A46F9" w:rsidRPr="00831A92">
        <w:t>, for which the ASRS states there is no clinically proven treatment.</w:t>
      </w:r>
    </w:p>
    <w:p w:rsidR="00876E53" w:rsidRPr="004C3DB5" w:rsidRDefault="00876E53" w:rsidP="004C3DB5">
      <w:pPr>
        <w:pStyle w:val="3Bodytext"/>
        <w:numPr>
          <w:ilvl w:val="0"/>
          <w:numId w:val="0"/>
        </w:numPr>
        <w:ind w:left="720"/>
        <w:rPr>
          <w:i/>
        </w:rPr>
      </w:pPr>
      <w:r w:rsidRPr="004C3DB5">
        <w:rPr>
          <w:i/>
        </w:rPr>
        <w:t>For more deta</w:t>
      </w:r>
      <w:r w:rsidR="006D2EE3">
        <w:rPr>
          <w:i/>
        </w:rPr>
        <w:t>il on PBAC’s view, see section 6</w:t>
      </w:r>
      <w:r w:rsidRPr="004C3DB5">
        <w:rPr>
          <w:i/>
        </w:rPr>
        <w:t xml:space="preserve"> PBAC outcome.</w:t>
      </w:r>
    </w:p>
    <w:p w:rsidR="00394C3F" w:rsidRPr="00831A92" w:rsidRDefault="00394C3F" w:rsidP="004C3DB5">
      <w:pPr>
        <w:pStyle w:val="2Sections"/>
        <w:keepNext/>
        <w:numPr>
          <w:ilvl w:val="0"/>
          <w:numId w:val="2"/>
        </w:numPr>
      </w:pPr>
      <w:r w:rsidRPr="00831A92">
        <w:t>Requested listing</w:t>
      </w:r>
    </w:p>
    <w:p w:rsidR="005F2F93" w:rsidRPr="00831A92" w:rsidRDefault="007175AD" w:rsidP="004C3DB5">
      <w:pPr>
        <w:pStyle w:val="3Bodytext"/>
        <w:keepNext/>
      </w:pPr>
      <w:r w:rsidRPr="00831A92">
        <w:t xml:space="preserve">A restriction </w:t>
      </w:r>
      <w:r w:rsidR="00305EFF" w:rsidRPr="00831A92">
        <w:t xml:space="preserve">was proposed by the Sponsor </w:t>
      </w:r>
      <w:r w:rsidRPr="00831A92">
        <w:t>for initial treatment, continuing treatment and grandfathered patients with the</w:t>
      </w:r>
      <w:r w:rsidR="006E12A8" w:rsidRPr="00831A92">
        <w:t xml:space="preserve"> March 2020</w:t>
      </w:r>
      <w:r w:rsidRPr="00831A92">
        <w:t xml:space="preserve"> </w:t>
      </w:r>
      <w:r w:rsidR="007F5937" w:rsidRPr="00831A92">
        <w:t>minor resubmission</w:t>
      </w:r>
      <w:r w:rsidRPr="00831A92">
        <w:t xml:space="preserve">, as presented in the </w:t>
      </w:r>
      <w:r w:rsidR="00042399">
        <w:t>PBAC PSD</w:t>
      </w:r>
      <w:r w:rsidRPr="00831A92">
        <w:t xml:space="preserve"> from the</w:t>
      </w:r>
      <w:r w:rsidR="006A7A20" w:rsidRPr="00831A92">
        <w:t xml:space="preserve"> March 2020</w:t>
      </w:r>
      <w:r w:rsidRPr="00831A92">
        <w:t xml:space="preserve"> meeting (paragraph </w:t>
      </w:r>
      <w:r w:rsidR="006A7A20" w:rsidRPr="00831A92">
        <w:t>3</w:t>
      </w:r>
      <w:r w:rsidRPr="00831A92">
        <w:t>.1)</w:t>
      </w:r>
      <w:r w:rsidR="006A7A20" w:rsidRPr="00831A92">
        <w:t>.</w:t>
      </w:r>
      <w:r w:rsidR="00953817" w:rsidRPr="00831A92">
        <w:t xml:space="preserve"> The Sponsor confirmed</w:t>
      </w:r>
      <w:r w:rsidR="006A3458" w:rsidRPr="00831A92">
        <w:t xml:space="preserve"> the requested restriction remained unchanged </w:t>
      </w:r>
      <w:r w:rsidR="00953817" w:rsidRPr="00831A92">
        <w:t>in their pre-PBAC response for the July 2020 minor resubmi</w:t>
      </w:r>
      <w:r w:rsidR="00A53875" w:rsidRPr="00831A92">
        <w:t>ssion</w:t>
      </w:r>
      <w:r w:rsidR="00953817" w:rsidRPr="00831A92">
        <w:t>.</w:t>
      </w:r>
      <w:r w:rsidR="007F5937" w:rsidRPr="00831A92">
        <w:t xml:space="preserve"> </w:t>
      </w:r>
      <w:r w:rsidR="00BC7386" w:rsidRPr="00831A92">
        <w:t>The restriction has undergone further minor review and is summarised below; s</w:t>
      </w:r>
      <w:r w:rsidR="007F5937" w:rsidRPr="00831A92">
        <w:t>uggestions and additions proposed by the Secretariat to the requested listing are added in italics and suggested deletions are crossed out with strikethrough.</w:t>
      </w:r>
    </w:p>
    <w:p w:rsidR="00E77525" w:rsidRPr="00831A92" w:rsidRDefault="00E77525" w:rsidP="00E77525">
      <w:pPr>
        <w:pStyle w:val="Bodytextitalics"/>
        <w:rPr>
          <w:rFonts w:ascii="Arial Narrow" w:hAnsi="Arial Narrow"/>
          <w:b/>
          <w:i w:val="0"/>
          <w:snapToGrid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6"/>
        <w:gridCol w:w="671"/>
        <w:gridCol w:w="709"/>
        <w:gridCol w:w="709"/>
        <w:gridCol w:w="710"/>
        <w:gridCol w:w="1516"/>
        <w:gridCol w:w="1975"/>
      </w:tblGrid>
      <w:tr w:rsidR="00CA4F73" w:rsidRPr="00831A92" w:rsidTr="004C3DB5">
        <w:trPr>
          <w:cantSplit/>
          <w:trHeight w:val="471"/>
        </w:trPr>
        <w:tc>
          <w:tcPr>
            <w:tcW w:w="1512" w:type="pct"/>
          </w:tcPr>
          <w:p w:rsidR="00AA237D" w:rsidRPr="00831A92" w:rsidRDefault="00AA237D" w:rsidP="00AA237D">
            <w:pPr>
              <w:keepNext/>
              <w:widowControl w:val="0"/>
              <w:ind w:left="-108"/>
              <w:rPr>
                <w:rFonts w:ascii="Arial Narrow" w:hAnsi="Arial Narrow" w:cs="Arial"/>
                <w:b/>
                <w:snapToGrid w:val="0"/>
                <w:sz w:val="20"/>
                <w:szCs w:val="20"/>
                <w:lang w:eastAsia="en-US"/>
              </w:rPr>
            </w:pPr>
            <w:r w:rsidRPr="00831A92">
              <w:rPr>
                <w:rFonts w:ascii="Arial Narrow" w:hAnsi="Arial Narrow" w:cs="Arial"/>
                <w:b/>
                <w:snapToGrid w:val="0"/>
                <w:sz w:val="20"/>
                <w:szCs w:val="20"/>
                <w:lang w:eastAsia="en-US"/>
              </w:rPr>
              <w:t>Name, Restriction,</w:t>
            </w:r>
          </w:p>
          <w:p w:rsidR="00AA237D" w:rsidRPr="00831A92" w:rsidRDefault="00AA237D" w:rsidP="00AA237D">
            <w:pPr>
              <w:keepNext/>
              <w:widowControl w:val="0"/>
              <w:ind w:left="-108"/>
              <w:rPr>
                <w:rFonts w:ascii="Arial Narrow" w:hAnsi="Arial Narrow" w:cs="Arial"/>
                <w:b/>
                <w:snapToGrid w:val="0"/>
                <w:sz w:val="20"/>
                <w:szCs w:val="20"/>
                <w:lang w:eastAsia="en-US"/>
              </w:rPr>
            </w:pPr>
            <w:r w:rsidRPr="00831A92">
              <w:rPr>
                <w:rFonts w:ascii="Arial Narrow" w:hAnsi="Arial Narrow" w:cs="Arial"/>
                <w:b/>
                <w:snapToGrid w:val="0"/>
                <w:sz w:val="20"/>
                <w:szCs w:val="20"/>
                <w:lang w:eastAsia="en-US"/>
              </w:rPr>
              <w:t>Manner of administration and form</w:t>
            </w:r>
          </w:p>
        </w:tc>
        <w:tc>
          <w:tcPr>
            <w:tcW w:w="372" w:type="pct"/>
          </w:tcPr>
          <w:p w:rsidR="00AA237D" w:rsidRPr="00831A92" w:rsidRDefault="00AA237D" w:rsidP="00AA237D">
            <w:pPr>
              <w:keepNext/>
              <w:widowControl w:val="0"/>
              <w:ind w:left="-108"/>
              <w:jc w:val="center"/>
              <w:rPr>
                <w:rFonts w:ascii="Arial Narrow" w:hAnsi="Arial Narrow" w:cs="Arial"/>
                <w:b/>
                <w:snapToGrid w:val="0"/>
                <w:sz w:val="20"/>
                <w:szCs w:val="20"/>
                <w:lang w:eastAsia="en-US"/>
              </w:rPr>
            </w:pPr>
            <w:r w:rsidRPr="00831A92">
              <w:rPr>
                <w:rFonts w:ascii="Arial Narrow" w:hAnsi="Arial Narrow" w:cs="Arial"/>
                <w:b/>
                <w:snapToGrid w:val="0"/>
                <w:sz w:val="20"/>
                <w:szCs w:val="20"/>
                <w:lang w:eastAsia="en-US"/>
              </w:rPr>
              <w:t>PBS item code</w:t>
            </w:r>
          </w:p>
        </w:tc>
        <w:tc>
          <w:tcPr>
            <w:tcW w:w="393" w:type="pct"/>
          </w:tcPr>
          <w:p w:rsidR="00AA237D" w:rsidRPr="00831A92" w:rsidRDefault="00AA237D" w:rsidP="00AA237D">
            <w:pPr>
              <w:keepNext/>
              <w:widowControl w:val="0"/>
              <w:ind w:left="-108"/>
              <w:jc w:val="center"/>
              <w:rPr>
                <w:rFonts w:ascii="Arial Narrow" w:hAnsi="Arial Narrow" w:cs="Arial"/>
                <w:b/>
                <w:snapToGrid w:val="0"/>
                <w:sz w:val="20"/>
                <w:szCs w:val="20"/>
                <w:lang w:eastAsia="en-US"/>
              </w:rPr>
            </w:pPr>
            <w:r w:rsidRPr="00831A92">
              <w:rPr>
                <w:rFonts w:ascii="Arial Narrow" w:hAnsi="Arial Narrow" w:cs="Arial"/>
                <w:b/>
                <w:snapToGrid w:val="0"/>
                <w:sz w:val="20"/>
                <w:szCs w:val="20"/>
                <w:lang w:eastAsia="en-US"/>
              </w:rPr>
              <w:t>Max. qty packs</w:t>
            </w:r>
          </w:p>
        </w:tc>
        <w:tc>
          <w:tcPr>
            <w:tcW w:w="393" w:type="pct"/>
          </w:tcPr>
          <w:p w:rsidR="00AA237D" w:rsidRPr="00831A92" w:rsidRDefault="00AA237D" w:rsidP="00AA237D">
            <w:pPr>
              <w:keepNext/>
              <w:widowControl w:val="0"/>
              <w:ind w:left="-108"/>
              <w:jc w:val="center"/>
              <w:rPr>
                <w:rFonts w:ascii="Arial Narrow" w:hAnsi="Arial Narrow" w:cs="Arial"/>
                <w:b/>
                <w:snapToGrid w:val="0"/>
                <w:sz w:val="20"/>
                <w:szCs w:val="20"/>
                <w:lang w:eastAsia="en-US"/>
              </w:rPr>
            </w:pPr>
            <w:r w:rsidRPr="00831A92">
              <w:rPr>
                <w:rFonts w:ascii="Arial Narrow" w:hAnsi="Arial Narrow" w:cs="Arial"/>
                <w:b/>
                <w:snapToGrid w:val="0"/>
                <w:sz w:val="20"/>
                <w:szCs w:val="20"/>
                <w:lang w:eastAsia="en-US"/>
              </w:rPr>
              <w:t>Max. qty units</w:t>
            </w:r>
          </w:p>
        </w:tc>
        <w:tc>
          <w:tcPr>
            <w:tcW w:w="394" w:type="pct"/>
          </w:tcPr>
          <w:p w:rsidR="00AA237D" w:rsidRPr="00831A92" w:rsidRDefault="00AA237D" w:rsidP="00AA237D">
            <w:pPr>
              <w:keepNext/>
              <w:widowControl w:val="0"/>
              <w:ind w:left="-108"/>
              <w:jc w:val="center"/>
              <w:rPr>
                <w:rFonts w:ascii="Arial Narrow" w:hAnsi="Arial Narrow" w:cs="Arial"/>
                <w:b/>
                <w:snapToGrid w:val="0"/>
                <w:sz w:val="20"/>
                <w:szCs w:val="20"/>
                <w:lang w:eastAsia="en-US"/>
              </w:rPr>
            </w:pPr>
            <w:r w:rsidRPr="00831A92">
              <w:rPr>
                <w:rFonts w:ascii="Arial Narrow" w:hAnsi="Arial Narrow" w:cs="Arial"/>
                <w:b/>
                <w:snapToGrid w:val="0"/>
                <w:sz w:val="20"/>
                <w:szCs w:val="20"/>
                <w:lang w:eastAsia="en-US"/>
              </w:rPr>
              <w:t>№.of</w:t>
            </w:r>
          </w:p>
          <w:p w:rsidR="00AA237D" w:rsidRPr="00831A92" w:rsidRDefault="00AA237D" w:rsidP="00AA237D">
            <w:pPr>
              <w:keepNext/>
              <w:widowControl w:val="0"/>
              <w:ind w:left="-108"/>
              <w:jc w:val="center"/>
              <w:rPr>
                <w:rFonts w:ascii="Arial Narrow" w:hAnsi="Arial Narrow" w:cs="Arial"/>
                <w:b/>
                <w:snapToGrid w:val="0"/>
                <w:sz w:val="20"/>
                <w:szCs w:val="20"/>
                <w:lang w:eastAsia="en-US"/>
              </w:rPr>
            </w:pPr>
            <w:r w:rsidRPr="00831A92">
              <w:rPr>
                <w:rFonts w:ascii="Arial Narrow" w:hAnsi="Arial Narrow" w:cs="Arial"/>
                <w:b/>
                <w:snapToGrid w:val="0"/>
                <w:sz w:val="20"/>
                <w:szCs w:val="20"/>
                <w:lang w:eastAsia="en-US"/>
              </w:rPr>
              <w:t>Rpts</w:t>
            </w:r>
          </w:p>
        </w:tc>
        <w:tc>
          <w:tcPr>
            <w:tcW w:w="841" w:type="pct"/>
          </w:tcPr>
          <w:p w:rsidR="00AA237D" w:rsidRPr="00831A92" w:rsidRDefault="00AA237D" w:rsidP="00AA237D">
            <w:pPr>
              <w:keepNext/>
              <w:widowControl w:val="0"/>
              <w:rPr>
                <w:rFonts w:ascii="Arial Narrow" w:hAnsi="Arial Narrow" w:cs="Arial"/>
                <w:b/>
                <w:snapToGrid w:val="0"/>
                <w:sz w:val="20"/>
                <w:szCs w:val="20"/>
                <w:lang w:eastAsia="en-US"/>
              </w:rPr>
            </w:pPr>
            <w:r w:rsidRPr="00831A92">
              <w:rPr>
                <w:rFonts w:ascii="Arial Narrow" w:hAnsi="Arial Narrow" w:cs="Arial"/>
                <w:b/>
                <w:snapToGrid w:val="0"/>
                <w:sz w:val="20"/>
                <w:szCs w:val="20"/>
                <w:lang w:eastAsia="en-US"/>
              </w:rPr>
              <w:t>Dispensed Price for Max. Qty</w:t>
            </w:r>
          </w:p>
          <w:p w:rsidR="00AA237D" w:rsidRPr="00831A92" w:rsidRDefault="00AA237D" w:rsidP="00AA237D">
            <w:pPr>
              <w:keepNext/>
              <w:widowControl w:val="0"/>
              <w:rPr>
                <w:rFonts w:ascii="Arial Narrow" w:hAnsi="Arial Narrow" w:cs="Arial"/>
                <w:b/>
                <w:snapToGrid w:val="0"/>
                <w:sz w:val="20"/>
                <w:szCs w:val="20"/>
                <w:lang w:eastAsia="en-US"/>
              </w:rPr>
            </w:pPr>
          </w:p>
        </w:tc>
        <w:tc>
          <w:tcPr>
            <w:tcW w:w="1095" w:type="pct"/>
          </w:tcPr>
          <w:p w:rsidR="00AA237D" w:rsidRPr="00831A92" w:rsidRDefault="00CA4F73" w:rsidP="00AA237D">
            <w:pPr>
              <w:keepNext/>
              <w:widowControl w:val="0"/>
              <w:rPr>
                <w:rFonts w:ascii="Arial Narrow" w:hAnsi="Arial Narrow" w:cs="Arial"/>
                <w:b/>
                <w:snapToGrid w:val="0"/>
                <w:sz w:val="20"/>
                <w:szCs w:val="20"/>
                <w:lang w:eastAsia="en-US"/>
              </w:rPr>
            </w:pPr>
            <w:r w:rsidRPr="00831A92">
              <w:rPr>
                <w:rFonts w:ascii="Arial Narrow" w:hAnsi="Arial Narrow" w:cs="Arial"/>
                <w:b/>
                <w:snapToGrid w:val="0"/>
                <w:sz w:val="20"/>
                <w:szCs w:val="20"/>
                <w:lang w:eastAsia="en-US"/>
              </w:rPr>
              <w:t>Available brands</w:t>
            </w:r>
          </w:p>
        </w:tc>
      </w:tr>
      <w:tr w:rsidR="00CA4F73" w:rsidRPr="00831A92" w:rsidTr="004C3DB5">
        <w:trPr>
          <w:cantSplit/>
          <w:trHeight w:val="761"/>
        </w:trPr>
        <w:tc>
          <w:tcPr>
            <w:tcW w:w="1512" w:type="pct"/>
          </w:tcPr>
          <w:p w:rsidR="00CA4F73" w:rsidRPr="00831A92" w:rsidRDefault="00CA4F73" w:rsidP="00AA237D">
            <w:pPr>
              <w:keepNext/>
              <w:widowControl w:val="0"/>
              <w:ind w:left="-108"/>
              <w:rPr>
                <w:rFonts w:ascii="Arial Narrow" w:hAnsi="Arial Narrow" w:cs="Arial"/>
                <w:snapToGrid w:val="0"/>
                <w:sz w:val="20"/>
                <w:szCs w:val="20"/>
                <w:lang w:eastAsia="en-US"/>
              </w:rPr>
            </w:pPr>
            <w:r w:rsidRPr="00831A92">
              <w:rPr>
                <w:rFonts w:ascii="Arial Narrow" w:hAnsi="Arial Narrow" w:cs="Arial"/>
                <w:snapToGrid w:val="0"/>
                <w:sz w:val="20"/>
                <w:szCs w:val="20"/>
                <w:lang w:eastAsia="en-US"/>
              </w:rPr>
              <w:t>BROLUCIZUMAB</w:t>
            </w:r>
          </w:p>
          <w:p w:rsidR="00CA4F73" w:rsidRPr="00831A92" w:rsidRDefault="00CA4F73" w:rsidP="00AA237D">
            <w:pPr>
              <w:keepNext/>
              <w:widowControl w:val="0"/>
              <w:ind w:left="-108"/>
              <w:rPr>
                <w:rFonts w:ascii="Arial Narrow" w:hAnsi="Arial Narrow" w:cs="Arial"/>
                <w:snapToGrid w:val="0"/>
                <w:sz w:val="20"/>
                <w:szCs w:val="20"/>
                <w:lang w:eastAsia="en-US"/>
              </w:rPr>
            </w:pPr>
          </w:p>
          <w:p w:rsidR="00CA4F73" w:rsidRPr="00831A92" w:rsidRDefault="00CA4F73" w:rsidP="00D445AF">
            <w:pPr>
              <w:keepNext/>
              <w:widowControl w:val="0"/>
              <w:ind w:left="-108"/>
              <w:rPr>
                <w:rFonts w:ascii="Arial Narrow" w:hAnsi="Arial Narrow" w:cs="Arial"/>
                <w:snapToGrid w:val="0"/>
                <w:sz w:val="20"/>
                <w:szCs w:val="20"/>
                <w:lang w:eastAsia="en-US"/>
              </w:rPr>
            </w:pPr>
            <w:r w:rsidRPr="00831A92">
              <w:rPr>
                <w:rFonts w:ascii="Arial Narrow" w:hAnsi="Arial Narrow" w:cs="Arial"/>
                <w:snapToGrid w:val="0"/>
                <w:sz w:val="20"/>
                <w:szCs w:val="20"/>
                <w:lang w:eastAsia="en-US"/>
              </w:rPr>
              <w:t xml:space="preserve">brolucizumab 19.8 mg in 0.165 mL syringe </w:t>
            </w:r>
          </w:p>
        </w:tc>
        <w:tc>
          <w:tcPr>
            <w:tcW w:w="372" w:type="pct"/>
          </w:tcPr>
          <w:p w:rsidR="00CA4F73" w:rsidRPr="00831A92" w:rsidRDefault="00CA4F73" w:rsidP="00AA237D">
            <w:pPr>
              <w:keepNext/>
              <w:widowControl w:val="0"/>
              <w:ind w:left="-108"/>
              <w:jc w:val="center"/>
              <w:rPr>
                <w:rFonts w:ascii="Arial Narrow" w:hAnsi="Arial Narrow" w:cs="Arial"/>
                <w:snapToGrid w:val="0"/>
                <w:sz w:val="20"/>
                <w:szCs w:val="20"/>
                <w:lang w:eastAsia="en-US"/>
              </w:rPr>
            </w:pPr>
          </w:p>
          <w:p w:rsidR="00CA4F73" w:rsidRPr="00831A92" w:rsidRDefault="00CA4F73" w:rsidP="00AA237D">
            <w:pPr>
              <w:keepNext/>
              <w:widowControl w:val="0"/>
              <w:ind w:left="-108"/>
              <w:jc w:val="center"/>
              <w:rPr>
                <w:rFonts w:ascii="Arial Narrow" w:hAnsi="Arial Narrow" w:cs="Arial"/>
                <w:snapToGrid w:val="0"/>
                <w:sz w:val="20"/>
                <w:szCs w:val="20"/>
                <w:lang w:eastAsia="en-US"/>
              </w:rPr>
            </w:pPr>
          </w:p>
          <w:p w:rsidR="00CA4F73" w:rsidRPr="00831A92" w:rsidRDefault="00CA4F73" w:rsidP="00AA237D">
            <w:pPr>
              <w:keepNext/>
              <w:widowControl w:val="0"/>
              <w:ind w:left="-108"/>
              <w:jc w:val="center"/>
              <w:rPr>
                <w:rFonts w:ascii="Arial Narrow" w:hAnsi="Arial Narrow" w:cs="Arial"/>
                <w:snapToGrid w:val="0"/>
                <w:sz w:val="20"/>
                <w:szCs w:val="20"/>
                <w:lang w:eastAsia="en-US"/>
              </w:rPr>
            </w:pPr>
            <w:r w:rsidRPr="00831A92">
              <w:rPr>
                <w:rFonts w:ascii="Arial Narrow" w:hAnsi="Arial Narrow" w:cs="Arial"/>
                <w:snapToGrid w:val="0"/>
                <w:sz w:val="20"/>
                <w:szCs w:val="20"/>
                <w:lang w:eastAsia="en-US"/>
              </w:rPr>
              <w:t>NEW</w:t>
            </w:r>
          </w:p>
        </w:tc>
        <w:tc>
          <w:tcPr>
            <w:tcW w:w="393" w:type="pct"/>
          </w:tcPr>
          <w:p w:rsidR="00CA4F73" w:rsidRPr="00831A92" w:rsidRDefault="00CA4F73" w:rsidP="00AA237D">
            <w:pPr>
              <w:keepNext/>
              <w:widowControl w:val="0"/>
              <w:jc w:val="center"/>
              <w:rPr>
                <w:rFonts w:ascii="Arial Narrow" w:hAnsi="Arial Narrow" w:cs="Arial"/>
                <w:snapToGrid w:val="0"/>
                <w:sz w:val="20"/>
                <w:szCs w:val="20"/>
                <w:lang w:eastAsia="en-US"/>
              </w:rPr>
            </w:pPr>
          </w:p>
          <w:p w:rsidR="00CA4F73" w:rsidRPr="00831A92" w:rsidRDefault="00CA4F73" w:rsidP="00AA237D">
            <w:pPr>
              <w:keepNext/>
              <w:widowControl w:val="0"/>
              <w:ind w:left="-108"/>
              <w:jc w:val="center"/>
              <w:rPr>
                <w:rFonts w:ascii="Arial Narrow" w:hAnsi="Arial Narrow" w:cs="Arial"/>
                <w:snapToGrid w:val="0"/>
                <w:sz w:val="20"/>
                <w:szCs w:val="20"/>
                <w:lang w:eastAsia="en-US"/>
              </w:rPr>
            </w:pPr>
          </w:p>
          <w:p w:rsidR="00CA4F73" w:rsidRPr="00831A92" w:rsidRDefault="00CA4F73" w:rsidP="00AA237D">
            <w:pPr>
              <w:keepNext/>
              <w:widowControl w:val="0"/>
              <w:jc w:val="center"/>
              <w:rPr>
                <w:rFonts w:ascii="Arial Narrow" w:hAnsi="Arial Narrow" w:cs="Arial"/>
                <w:snapToGrid w:val="0"/>
                <w:sz w:val="20"/>
                <w:szCs w:val="20"/>
                <w:lang w:eastAsia="en-US"/>
              </w:rPr>
            </w:pPr>
            <w:r w:rsidRPr="00831A92">
              <w:rPr>
                <w:rFonts w:ascii="Arial Narrow" w:hAnsi="Arial Narrow" w:cs="Arial"/>
                <w:snapToGrid w:val="0"/>
                <w:sz w:val="20"/>
                <w:szCs w:val="20"/>
                <w:lang w:eastAsia="en-US"/>
              </w:rPr>
              <w:t>1</w:t>
            </w:r>
          </w:p>
        </w:tc>
        <w:tc>
          <w:tcPr>
            <w:tcW w:w="393" w:type="pct"/>
          </w:tcPr>
          <w:p w:rsidR="00CA4F73" w:rsidRPr="00831A92" w:rsidRDefault="00CA4F73" w:rsidP="00AA237D">
            <w:pPr>
              <w:keepNext/>
              <w:widowControl w:val="0"/>
              <w:ind w:left="-108"/>
              <w:jc w:val="center"/>
              <w:rPr>
                <w:rFonts w:ascii="Arial Narrow" w:hAnsi="Arial Narrow" w:cs="Arial"/>
                <w:snapToGrid w:val="0"/>
                <w:sz w:val="20"/>
                <w:szCs w:val="20"/>
                <w:lang w:eastAsia="en-US"/>
              </w:rPr>
            </w:pPr>
          </w:p>
          <w:p w:rsidR="00CA4F73" w:rsidRPr="00831A92" w:rsidRDefault="00CA4F73" w:rsidP="00AA237D">
            <w:pPr>
              <w:keepNext/>
              <w:widowControl w:val="0"/>
              <w:rPr>
                <w:rFonts w:ascii="Arial Narrow" w:hAnsi="Arial Narrow" w:cs="Arial"/>
                <w:snapToGrid w:val="0"/>
                <w:sz w:val="20"/>
                <w:szCs w:val="20"/>
                <w:lang w:eastAsia="en-US"/>
              </w:rPr>
            </w:pPr>
          </w:p>
          <w:p w:rsidR="00CA4F73" w:rsidRPr="00831A92" w:rsidRDefault="00CA4F73" w:rsidP="00AA237D">
            <w:pPr>
              <w:keepNext/>
              <w:widowControl w:val="0"/>
              <w:ind w:left="-108"/>
              <w:jc w:val="center"/>
              <w:rPr>
                <w:rFonts w:ascii="Arial Narrow" w:hAnsi="Arial Narrow" w:cs="Arial"/>
                <w:snapToGrid w:val="0"/>
                <w:sz w:val="20"/>
                <w:szCs w:val="20"/>
                <w:lang w:eastAsia="en-US"/>
              </w:rPr>
            </w:pPr>
            <w:r w:rsidRPr="00831A92">
              <w:rPr>
                <w:rFonts w:ascii="Arial Narrow" w:hAnsi="Arial Narrow" w:cs="Arial"/>
                <w:snapToGrid w:val="0"/>
                <w:sz w:val="20"/>
                <w:szCs w:val="20"/>
                <w:lang w:eastAsia="en-US"/>
              </w:rPr>
              <w:t>1</w:t>
            </w:r>
          </w:p>
        </w:tc>
        <w:tc>
          <w:tcPr>
            <w:tcW w:w="394" w:type="pct"/>
          </w:tcPr>
          <w:p w:rsidR="00CA4F73" w:rsidRPr="00831A92" w:rsidRDefault="00CA4F73" w:rsidP="00AA237D">
            <w:pPr>
              <w:keepNext/>
              <w:widowControl w:val="0"/>
              <w:ind w:left="-108"/>
              <w:jc w:val="center"/>
              <w:rPr>
                <w:rFonts w:ascii="Arial Narrow" w:hAnsi="Arial Narrow" w:cs="Arial"/>
                <w:snapToGrid w:val="0"/>
                <w:sz w:val="20"/>
                <w:szCs w:val="20"/>
                <w:lang w:eastAsia="en-US"/>
              </w:rPr>
            </w:pPr>
          </w:p>
          <w:p w:rsidR="00CA4F73" w:rsidRPr="00831A92" w:rsidRDefault="00CA4F73" w:rsidP="00AA237D">
            <w:pPr>
              <w:keepNext/>
              <w:widowControl w:val="0"/>
              <w:ind w:left="-108"/>
              <w:jc w:val="center"/>
              <w:rPr>
                <w:rFonts w:ascii="Arial Narrow" w:hAnsi="Arial Narrow" w:cs="Arial"/>
                <w:snapToGrid w:val="0"/>
                <w:sz w:val="20"/>
                <w:szCs w:val="20"/>
                <w:lang w:eastAsia="en-US"/>
              </w:rPr>
            </w:pPr>
          </w:p>
          <w:p w:rsidR="00CA4F73" w:rsidRPr="00831A92" w:rsidRDefault="00CA4F73" w:rsidP="00AA237D">
            <w:pPr>
              <w:keepNext/>
              <w:widowControl w:val="0"/>
              <w:ind w:left="-108"/>
              <w:jc w:val="center"/>
              <w:rPr>
                <w:rFonts w:ascii="Arial Narrow" w:hAnsi="Arial Narrow" w:cs="Arial"/>
                <w:snapToGrid w:val="0"/>
                <w:sz w:val="20"/>
                <w:szCs w:val="20"/>
                <w:lang w:eastAsia="en-US"/>
              </w:rPr>
            </w:pPr>
            <w:r w:rsidRPr="00831A92">
              <w:rPr>
                <w:rFonts w:ascii="Arial Narrow" w:hAnsi="Arial Narrow" w:cs="Arial"/>
                <w:snapToGrid w:val="0"/>
                <w:sz w:val="20"/>
                <w:szCs w:val="20"/>
                <w:lang w:eastAsia="en-US"/>
              </w:rPr>
              <w:t>2</w:t>
            </w:r>
          </w:p>
          <w:p w:rsidR="00CA4F73" w:rsidRPr="00831A92" w:rsidRDefault="00CA4F73" w:rsidP="00AA237D">
            <w:pPr>
              <w:keepNext/>
              <w:widowControl w:val="0"/>
              <w:rPr>
                <w:rFonts w:ascii="Arial Narrow" w:hAnsi="Arial Narrow" w:cs="Arial"/>
                <w:snapToGrid w:val="0"/>
                <w:sz w:val="20"/>
                <w:szCs w:val="20"/>
                <w:lang w:eastAsia="en-US"/>
              </w:rPr>
            </w:pPr>
          </w:p>
        </w:tc>
        <w:tc>
          <w:tcPr>
            <w:tcW w:w="841" w:type="pct"/>
          </w:tcPr>
          <w:p w:rsidR="00CA4F73" w:rsidRPr="00831A92" w:rsidRDefault="00CA4F73" w:rsidP="00AA237D">
            <w:pPr>
              <w:keepNext/>
              <w:widowControl w:val="0"/>
              <w:rPr>
                <w:rFonts w:ascii="Arial Narrow" w:hAnsi="Arial Narrow" w:cs="Arial"/>
                <w:snapToGrid w:val="0"/>
                <w:sz w:val="20"/>
                <w:szCs w:val="20"/>
                <w:lang w:eastAsia="en-US"/>
              </w:rPr>
            </w:pPr>
          </w:p>
          <w:p w:rsidR="00CA4F73" w:rsidRPr="00831A92" w:rsidRDefault="00CA4F73" w:rsidP="00AA237D">
            <w:pPr>
              <w:keepNext/>
              <w:widowControl w:val="0"/>
              <w:rPr>
                <w:rFonts w:ascii="Arial Narrow" w:hAnsi="Arial Narrow" w:cs="Arial"/>
                <w:snapToGrid w:val="0"/>
                <w:sz w:val="20"/>
                <w:szCs w:val="20"/>
                <w:lang w:eastAsia="en-US"/>
              </w:rPr>
            </w:pPr>
          </w:p>
          <w:p w:rsidR="00CA4F73" w:rsidRPr="00831A92" w:rsidRDefault="00CA4F73" w:rsidP="00AA237D">
            <w:pPr>
              <w:keepNext/>
              <w:widowControl w:val="0"/>
              <w:rPr>
                <w:rFonts w:ascii="Arial Narrow" w:hAnsi="Arial Narrow" w:cs="Arial"/>
                <w:snapToGrid w:val="0"/>
                <w:sz w:val="20"/>
                <w:szCs w:val="20"/>
                <w:lang w:eastAsia="en-US"/>
              </w:rPr>
            </w:pPr>
            <w:r w:rsidRPr="00831A92">
              <w:rPr>
                <w:rFonts w:ascii="Arial Narrow" w:hAnsi="Arial Narrow" w:cs="Arial"/>
                <w:snapToGrid w:val="0"/>
                <w:sz w:val="20"/>
                <w:szCs w:val="20"/>
                <w:lang w:eastAsia="en-US"/>
              </w:rPr>
              <w:t>Effective: $</w:t>
            </w:r>
            <w:r w:rsidR="002C14AA">
              <w:rPr>
                <w:rFonts w:ascii="Arial Narrow" w:hAnsi="Arial Narrow" w:cs="Arial"/>
                <w:noProof/>
                <w:snapToGrid w:val="0"/>
                <w:color w:val="000000"/>
                <w:sz w:val="20"/>
                <w:szCs w:val="20"/>
                <w:highlight w:val="black"/>
                <w:lang w:eastAsia="en-US"/>
              </w:rPr>
              <w:t>''''''''''''''''</w:t>
            </w:r>
          </w:p>
          <w:p w:rsidR="00CA4F73" w:rsidRPr="00831A92" w:rsidRDefault="00CA4F73" w:rsidP="00AA237D">
            <w:pPr>
              <w:keepNext/>
              <w:widowControl w:val="0"/>
              <w:rPr>
                <w:rFonts w:ascii="Arial Narrow" w:hAnsi="Arial Narrow" w:cs="Arial"/>
                <w:snapToGrid w:val="0"/>
                <w:sz w:val="20"/>
                <w:szCs w:val="20"/>
                <w:lang w:eastAsia="en-US"/>
              </w:rPr>
            </w:pPr>
            <w:r w:rsidRPr="00831A92">
              <w:rPr>
                <w:rFonts w:ascii="Arial Narrow" w:hAnsi="Arial Narrow" w:cs="Arial"/>
                <w:snapToGrid w:val="0"/>
                <w:sz w:val="20"/>
                <w:szCs w:val="20"/>
                <w:lang w:eastAsia="en-US"/>
              </w:rPr>
              <w:t>Published: $1042.60</w:t>
            </w:r>
          </w:p>
        </w:tc>
        <w:tc>
          <w:tcPr>
            <w:tcW w:w="1095" w:type="pct"/>
          </w:tcPr>
          <w:p w:rsidR="00CA4F73" w:rsidRPr="00831A92" w:rsidRDefault="00CA4F73" w:rsidP="00AA237D">
            <w:pPr>
              <w:keepNext/>
              <w:widowControl w:val="0"/>
              <w:rPr>
                <w:rFonts w:ascii="Arial Narrow" w:hAnsi="Arial Narrow" w:cs="Arial"/>
                <w:snapToGrid w:val="0"/>
                <w:sz w:val="20"/>
                <w:szCs w:val="20"/>
                <w:lang w:eastAsia="en-US"/>
              </w:rPr>
            </w:pPr>
          </w:p>
          <w:p w:rsidR="00CA4F73" w:rsidRPr="00831A92" w:rsidRDefault="00CA4F73" w:rsidP="00AA237D">
            <w:pPr>
              <w:keepNext/>
              <w:widowControl w:val="0"/>
              <w:rPr>
                <w:rFonts w:ascii="Arial Narrow" w:hAnsi="Arial Narrow" w:cs="Arial"/>
                <w:snapToGrid w:val="0"/>
                <w:sz w:val="20"/>
                <w:szCs w:val="20"/>
                <w:lang w:eastAsia="en-US"/>
              </w:rPr>
            </w:pPr>
          </w:p>
          <w:p w:rsidR="00CA4F73" w:rsidRPr="00831A92" w:rsidRDefault="00CA4F73" w:rsidP="00AA237D">
            <w:pPr>
              <w:keepNext/>
              <w:widowControl w:val="0"/>
              <w:rPr>
                <w:rFonts w:ascii="Arial Narrow" w:hAnsi="Arial Narrow" w:cs="Arial"/>
                <w:snapToGrid w:val="0"/>
                <w:sz w:val="20"/>
                <w:szCs w:val="20"/>
                <w:lang w:eastAsia="en-US"/>
              </w:rPr>
            </w:pPr>
            <w:r w:rsidRPr="00831A92">
              <w:rPr>
                <w:rFonts w:ascii="Arial Narrow" w:hAnsi="Arial Narrow" w:cs="Arial"/>
                <w:snapToGrid w:val="0"/>
                <w:sz w:val="20"/>
                <w:szCs w:val="20"/>
                <w:lang w:eastAsia="en-US"/>
              </w:rPr>
              <w:t>Beovu</w:t>
            </w:r>
          </w:p>
          <w:p w:rsidR="00CA4F73" w:rsidRPr="00831A92" w:rsidRDefault="00CA4F73" w:rsidP="00AA237D">
            <w:pPr>
              <w:keepNext/>
              <w:widowControl w:val="0"/>
              <w:rPr>
                <w:rFonts w:ascii="Arial Narrow" w:hAnsi="Arial Narrow" w:cs="Arial"/>
                <w:snapToGrid w:val="0"/>
                <w:sz w:val="20"/>
                <w:szCs w:val="20"/>
                <w:lang w:eastAsia="en-US"/>
              </w:rPr>
            </w:pPr>
          </w:p>
        </w:tc>
      </w:tr>
    </w:tbl>
    <w:p w:rsidR="00AA237D" w:rsidRPr="00831A92" w:rsidRDefault="00AA237D" w:rsidP="00E77525">
      <w:pPr>
        <w:pStyle w:val="Bodytextitalics"/>
        <w:rPr>
          <w:rFonts w:ascii="Arial Narrow" w:hAnsi="Arial Narrow"/>
          <w:b/>
          <w:i w:val="0"/>
          <w:snapToGrid w:val="0"/>
          <w:sz w:val="20"/>
          <w:szCs w:val="20"/>
        </w:rPr>
      </w:pPr>
    </w:p>
    <w:p w:rsidR="00342E8C" w:rsidRPr="00831A92" w:rsidRDefault="005F2F93" w:rsidP="00342E8C">
      <w:pPr>
        <w:pStyle w:val="Bodytextitalics"/>
        <w:keepNext/>
        <w:keepLines/>
        <w:rPr>
          <w:rFonts w:ascii="Arial Narrow" w:hAnsi="Arial Narrow"/>
          <w:b/>
          <w:i w:val="0"/>
          <w:sz w:val="20"/>
          <w:szCs w:val="20"/>
        </w:rPr>
      </w:pPr>
      <w:r w:rsidRPr="00831A92">
        <w:rPr>
          <w:rFonts w:ascii="Arial Narrow" w:hAnsi="Arial Narrow"/>
          <w:b/>
          <w:i w:val="0"/>
          <w:sz w:val="20"/>
          <w:szCs w:val="20"/>
        </w:rPr>
        <w:t xml:space="preserve">Initial treatment of subfoveal CNV </w:t>
      </w:r>
      <w:r w:rsidR="00342E8C" w:rsidRPr="00831A92">
        <w:rPr>
          <w:rFonts w:ascii="Arial Narrow" w:hAnsi="Arial Narrow"/>
          <w:b/>
          <w:i w:val="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D445AF" w:rsidRPr="00831A92" w:rsidTr="004C3DB5">
        <w:tc>
          <w:tcPr>
            <w:tcW w:w="5000" w:type="pct"/>
            <w:tcBorders>
              <w:top w:val="single" w:sz="4" w:space="0" w:color="auto"/>
              <w:left w:val="single" w:sz="4" w:space="0" w:color="auto"/>
              <w:bottom w:val="single" w:sz="4" w:space="0" w:color="auto"/>
              <w:right w:val="single" w:sz="4" w:space="0" w:color="auto"/>
            </w:tcBorders>
          </w:tcPr>
          <w:p w:rsidR="00D445AF" w:rsidRPr="00831A92" w:rsidRDefault="00D445AF" w:rsidP="005E0DDA">
            <w:pPr>
              <w:keepNext/>
              <w:keepLines/>
              <w:rPr>
                <w:rFonts w:ascii="Arial Narrow" w:hAnsi="Arial Narrow"/>
                <w:sz w:val="20"/>
                <w:szCs w:val="20"/>
              </w:rPr>
            </w:pPr>
            <w:r w:rsidRPr="00831A92">
              <w:rPr>
                <w:rFonts w:ascii="Arial Narrow" w:hAnsi="Arial Narrow"/>
                <w:b/>
                <w:sz w:val="20"/>
                <w:szCs w:val="20"/>
              </w:rPr>
              <w:t xml:space="preserve">Category / Program:   </w:t>
            </w:r>
            <w:r w:rsidRPr="00831A92">
              <w:rPr>
                <w:rFonts w:ascii="Arial Narrow" w:hAnsi="Arial Narrow"/>
                <w:sz w:val="20"/>
                <w:szCs w:val="20"/>
              </w:rPr>
              <w:t xml:space="preserve">GENERAL – General Schedule (Code GE) </w:t>
            </w:r>
          </w:p>
        </w:tc>
      </w:tr>
      <w:tr w:rsidR="00D445AF" w:rsidRPr="00831A92" w:rsidTr="004C3DB5">
        <w:trPr>
          <w:trHeight w:val="240"/>
        </w:trPr>
        <w:tc>
          <w:tcPr>
            <w:tcW w:w="5000" w:type="pct"/>
            <w:tcBorders>
              <w:top w:val="single" w:sz="4" w:space="0" w:color="auto"/>
              <w:left w:val="single" w:sz="4" w:space="0" w:color="auto"/>
              <w:bottom w:val="single" w:sz="4" w:space="0" w:color="auto"/>
              <w:right w:val="single" w:sz="4" w:space="0" w:color="auto"/>
            </w:tcBorders>
          </w:tcPr>
          <w:p w:rsidR="00D445AF" w:rsidRPr="00831A92" w:rsidRDefault="00D445AF" w:rsidP="00936DA0">
            <w:pPr>
              <w:keepNext/>
              <w:keepLines/>
              <w:rPr>
                <w:rFonts w:ascii="Arial Narrow" w:hAnsi="Arial Narrow"/>
                <w:b/>
                <w:sz w:val="20"/>
                <w:szCs w:val="20"/>
              </w:rPr>
            </w:pPr>
            <w:r w:rsidRPr="00831A92">
              <w:rPr>
                <w:rFonts w:ascii="Arial Narrow" w:hAnsi="Arial Narrow"/>
                <w:b/>
                <w:sz w:val="20"/>
                <w:szCs w:val="20"/>
              </w:rPr>
              <w:t xml:space="preserve">Prescriber type:   </w:t>
            </w:r>
            <w:r w:rsidRPr="00831A92">
              <w:rPr>
                <w:rFonts w:ascii="Arial Narrow" w:hAnsi="Arial Narrow"/>
                <w:sz w:val="20"/>
                <w:szCs w:val="20"/>
              </w:rPr>
              <w:fldChar w:fldCharType="begin">
                <w:ffData>
                  <w:name w:val=""/>
                  <w:enabled/>
                  <w:calcOnExit w:val="0"/>
                  <w:checkBox>
                    <w:sizeAuto/>
                    <w:default w:val="1"/>
                  </w:checkBox>
                </w:ffData>
              </w:fldChar>
            </w:r>
            <w:r w:rsidRPr="00831A92">
              <w:rPr>
                <w:rFonts w:ascii="Arial Narrow" w:hAnsi="Arial Narrow"/>
                <w:sz w:val="20"/>
                <w:szCs w:val="20"/>
              </w:rPr>
              <w:instrText xml:space="preserve"> FORMCHECKBOX </w:instrText>
            </w:r>
            <w:r w:rsidR="007A52BB">
              <w:rPr>
                <w:rFonts w:ascii="Arial Narrow" w:hAnsi="Arial Narrow"/>
                <w:sz w:val="20"/>
                <w:szCs w:val="20"/>
              </w:rPr>
            </w:r>
            <w:r w:rsidR="007A52BB">
              <w:rPr>
                <w:rFonts w:ascii="Arial Narrow" w:hAnsi="Arial Narrow"/>
                <w:sz w:val="20"/>
                <w:szCs w:val="20"/>
              </w:rPr>
              <w:fldChar w:fldCharType="separate"/>
            </w:r>
            <w:r w:rsidRPr="00831A92">
              <w:rPr>
                <w:rFonts w:ascii="Arial Narrow" w:hAnsi="Arial Narrow"/>
                <w:sz w:val="20"/>
                <w:szCs w:val="20"/>
              </w:rPr>
              <w:fldChar w:fldCharType="end"/>
            </w:r>
            <w:r w:rsidRPr="00831A92">
              <w:rPr>
                <w:rFonts w:ascii="Arial Narrow" w:hAnsi="Arial Narrow"/>
                <w:sz w:val="20"/>
                <w:szCs w:val="20"/>
              </w:rPr>
              <w:t xml:space="preserve">Medical Practitioners    </w:t>
            </w:r>
          </w:p>
        </w:tc>
      </w:tr>
      <w:tr w:rsidR="00D445AF" w:rsidRPr="00831A92" w:rsidTr="004C3DB5">
        <w:tc>
          <w:tcPr>
            <w:tcW w:w="5000" w:type="pct"/>
            <w:tcBorders>
              <w:top w:val="single" w:sz="4" w:space="0" w:color="auto"/>
              <w:left w:val="single" w:sz="4" w:space="0" w:color="auto"/>
              <w:bottom w:val="single" w:sz="4" w:space="0" w:color="auto"/>
              <w:right w:val="single" w:sz="4" w:space="0" w:color="auto"/>
            </w:tcBorders>
          </w:tcPr>
          <w:p w:rsidR="00D445AF" w:rsidRPr="00831A92" w:rsidRDefault="00D445AF" w:rsidP="005E0DDA">
            <w:pPr>
              <w:keepNext/>
              <w:keepLines/>
              <w:rPr>
                <w:rFonts w:ascii="Arial Narrow" w:hAnsi="Arial Narrow"/>
                <w:b/>
                <w:sz w:val="20"/>
                <w:szCs w:val="20"/>
              </w:rPr>
            </w:pPr>
            <w:r w:rsidRPr="00831A92">
              <w:rPr>
                <w:rFonts w:ascii="Arial Narrow" w:hAnsi="Arial Narrow"/>
                <w:b/>
                <w:sz w:val="20"/>
                <w:szCs w:val="20"/>
              </w:rPr>
              <w:t>Restriction  type / Method:</w:t>
            </w:r>
          </w:p>
          <w:p w:rsidR="00D445AF" w:rsidRPr="00831A92" w:rsidRDefault="00D445AF" w:rsidP="005E0DDA">
            <w:pPr>
              <w:keepNext/>
              <w:keepLines/>
              <w:rPr>
                <w:rFonts w:ascii="Arial Narrow" w:hAnsi="Arial Narrow"/>
                <w:sz w:val="20"/>
                <w:szCs w:val="20"/>
              </w:rPr>
            </w:pPr>
            <w:r w:rsidRPr="00831A92">
              <w:rPr>
                <w:rFonts w:ascii="Arial Narrow" w:hAnsi="Arial Narrow"/>
                <w:sz w:val="20"/>
                <w:szCs w:val="20"/>
              </w:rPr>
              <w:fldChar w:fldCharType="begin">
                <w:ffData>
                  <w:name w:val=""/>
                  <w:enabled/>
                  <w:calcOnExit w:val="0"/>
                  <w:checkBox>
                    <w:sizeAuto/>
                    <w:default w:val="1"/>
                  </w:checkBox>
                </w:ffData>
              </w:fldChar>
            </w:r>
            <w:r w:rsidRPr="00831A92">
              <w:rPr>
                <w:rFonts w:ascii="Arial Narrow" w:hAnsi="Arial Narrow"/>
                <w:sz w:val="20"/>
                <w:szCs w:val="20"/>
              </w:rPr>
              <w:instrText xml:space="preserve"> FORMCHECKBOX </w:instrText>
            </w:r>
            <w:r w:rsidR="007A52BB">
              <w:rPr>
                <w:rFonts w:ascii="Arial Narrow" w:hAnsi="Arial Narrow"/>
                <w:sz w:val="20"/>
                <w:szCs w:val="20"/>
              </w:rPr>
            </w:r>
            <w:r w:rsidR="007A52BB">
              <w:rPr>
                <w:rFonts w:ascii="Arial Narrow" w:hAnsi="Arial Narrow"/>
                <w:sz w:val="20"/>
                <w:szCs w:val="20"/>
              </w:rPr>
              <w:fldChar w:fldCharType="separate"/>
            </w:r>
            <w:r w:rsidRPr="00831A92">
              <w:rPr>
                <w:rFonts w:ascii="Arial Narrow" w:hAnsi="Arial Narrow"/>
                <w:sz w:val="20"/>
                <w:szCs w:val="20"/>
              </w:rPr>
              <w:fldChar w:fldCharType="end"/>
            </w:r>
            <w:r w:rsidRPr="00831A92">
              <w:rPr>
                <w:rFonts w:ascii="Arial Narrow" w:hAnsi="Arial Narrow"/>
                <w:sz w:val="20"/>
                <w:szCs w:val="20"/>
              </w:rPr>
              <w:t xml:space="preserve">Authority Required – In Writing (follow up after initial </w:t>
            </w:r>
            <w:r w:rsidR="00CA4F73" w:rsidRPr="00831A92">
              <w:rPr>
                <w:rFonts w:ascii="Arial Narrow" w:hAnsi="Arial Narrow"/>
                <w:sz w:val="20"/>
                <w:szCs w:val="20"/>
              </w:rPr>
              <w:t>facsimile</w:t>
            </w:r>
            <w:r w:rsidRPr="00831A92">
              <w:rPr>
                <w:rFonts w:ascii="Arial Narrow" w:hAnsi="Arial Narrow"/>
                <w:sz w:val="20"/>
                <w:szCs w:val="20"/>
              </w:rPr>
              <w:t xml:space="preserve"> application)</w:t>
            </w:r>
          </w:p>
          <w:p w:rsidR="00D445AF" w:rsidRPr="00831A92" w:rsidRDefault="00D445AF" w:rsidP="005E0DDA">
            <w:pPr>
              <w:keepNext/>
              <w:keepLines/>
              <w:rPr>
                <w:rFonts w:ascii="Arial Narrow" w:hAnsi="Arial Narrow"/>
                <w:sz w:val="20"/>
                <w:szCs w:val="20"/>
              </w:rPr>
            </w:pPr>
            <w:r w:rsidRPr="00831A92">
              <w:rPr>
                <w:rFonts w:ascii="Arial Narrow" w:hAnsi="Arial Narrow"/>
                <w:sz w:val="20"/>
                <w:szCs w:val="20"/>
              </w:rPr>
              <w:fldChar w:fldCharType="begin">
                <w:ffData>
                  <w:name w:val="Check3"/>
                  <w:enabled/>
                  <w:calcOnExit w:val="0"/>
                  <w:checkBox>
                    <w:sizeAuto/>
                    <w:default w:val="1"/>
                  </w:checkBox>
                </w:ffData>
              </w:fldChar>
            </w:r>
            <w:r w:rsidRPr="00831A92">
              <w:rPr>
                <w:rFonts w:ascii="Arial Narrow" w:hAnsi="Arial Narrow"/>
                <w:sz w:val="20"/>
                <w:szCs w:val="20"/>
              </w:rPr>
              <w:instrText xml:space="preserve"> FORMCHECKBOX </w:instrText>
            </w:r>
            <w:r w:rsidR="007A52BB">
              <w:rPr>
                <w:rFonts w:ascii="Arial Narrow" w:hAnsi="Arial Narrow"/>
                <w:sz w:val="20"/>
                <w:szCs w:val="20"/>
              </w:rPr>
            </w:r>
            <w:r w:rsidR="007A52BB">
              <w:rPr>
                <w:rFonts w:ascii="Arial Narrow" w:hAnsi="Arial Narrow"/>
                <w:sz w:val="20"/>
                <w:szCs w:val="20"/>
              </w:rPr>
              <w:fldChar w:fldCharType="separate"/>
            </w:r>
            <w:r w:rsidRPr="00831A92">
              <w:rPr>
                <w:rFonts w:ascii="Arial Narrow" w:hAnsi="Arial Narrow"/>
                <w:sz w:val="20"/>
                <w:szCs w:val="20"/>
              </w:rPr>
              <w:fldChar w:fldCharType="end"/>
            </w:r>
            <w:r w:rsidRPr="00831A92">
              <w:rPr>
                <w:rFonts w:ascii="Arial Narrow" w:hAnsi="Arial Narrow"/>
                <w:sz w:val="20"/>
                <w:szCs w:val="20"/>
              </w:rPr>
              <w:t>Authority Required – Telephone/Online</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D445AF" w:rsidRPr="00831A92" w:rsidRDefault="00D445AF" w:rsidP="005E0DDA">
            <w:pPr>
              <w:jc w:val="left"/>
              <w:rPr>
                <w:rFonts w:ascii="Arial Narrow" w:hAnsi="Arial Narrow"/>
                <w:color w:val="333333"/>
                <w:sz w:val="20"/>
                <w:szCs w:val="20"/>
              </w:rPr>
            </w:pPr>
            <w:r w:rsidRPr="00831A92">
              <w:rPr>
                <w:rFonts w:ascii="Arial Narrow" w:hAnsi="Arial Narrow"/>
                <w:b/>
                <w:bCs/>
                <w:color w:val="333333"/>
                <w:sz w:val="20"/>
                <w:szCs w:val="20"/>
              </w:rPr>
              <w:t>Indication:</w:t>
            </w:r>
            <w:r w:rsidRPr="00831A92">
              <w:rPr>
                <w:rFonts w:ascii="Arial Narrow" w:hAnsi="Arial Narrow"/>
                <w:color w:val="333333"/>
                <w:sz w:val="20"/>
                <w:szCs w:val="20"/>
              </w:rPr>
              <w:t xml:space="preserve"> Subfoveal choroidal neovascularisation (CNV)</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D445AF" w:rsidRPr="00831A92" w:rsidRDefault="00D445AF" w:rsidP="005E0DDA">
            <w:pPr>
              <w:jc w:val="left"/>
              <w:rPr>
                <w:rFonts w:ascii="Arial Narrow" w:hAnsi="Arial Narrow"/>
                <w:color w:val="333333"/>
                <w:sz w:val="20"/>
                <w:szCs w:val="20"/>
              </w:rPr>
            </w:pPr>
            <w:r w:rsidRPr="00831A92">
              <w:rPr>
                <w:rFonts w:ascii="Arial Narrow" w:hAnsi="Arial Narrow"/>
                <w:b/>
                <w:bCs/>
                <w:color w:val="333333"/>
                <w:sz w:val="20"/>
                <w:szCs w:val="20"/>
              </w:rPr>
              <w:t>Treatment Phase:</w:t>
            </w:r>
            <w:r w:rsidRPr="00831A92">
              <w:rPr>
                <w:rFonts w:ascii="Arial Narrow" w:hAnsi="Arial Narrow"/>
                <w:color w:val="333333"/>
                <w:sz w:val="20"/>
                <w:szCs w:val="20"/>
              </w:rPr>
              <w:t xml:space="preserve"> Initial treatment</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D445AF" w:rsidRPr="00831A92" w:rsidRDefault="00D445AF" w:rsidP="005E0DDA">
            <w:pPr>
              <w:jc w:val="left"/>
              <w:rPr>
                <w:rFonts w:ascii="Arial Narrow" w:hAnsi="Arial Narrow"/>
                <w:color w:val="333333"/>
                <w:sz w:val="20"/>
                <w:szCs w:val="20"/>
              </w:rPr>
            </w:pPr>
            <w:r w:rsidRPr="00831A92">
              <w:rPr>
                <w:rFonts w:ascii="Arial Narrow" w:hAnsi="Arial Narrow"/>
                <w:b/>
                <w:bCs/>
                <w:color w:val="333333"/>
                <w:sz w:val="20"/>
                <w:szCs w:val="20"/>
              </w:rPr>
              <w:t>Clinical criteria:</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D445AF" w:rsidRPr="00831A92" w:rsidRDefault="00D445AF" w:rsidP="005E0DDA">
            <w:pPr>
              <w:jc w:val="left"/>
              <w:rPr>
                <w:rFonts w:ascii="Arial Narrow" w:hAnsi="Arial Narrow"/>
                <w:color w:val="333333"/>
                <w:sz w:val="20"/>
                <w:szCs w:val="20"/>
              </w:rPr>
            </w:pPr>
            <w:r w:rsidRPr="00831A92">
              <w:rPr>
                <w:rFonts w:ascii="Arial Narrow" w:hAnsi="Arial Narrow"/>
                <w:color w:val="333333"/>
                <w:sz w:val="20"/>
                <w:szCs w:val="20"/>
              </w:rPr>
              <w:t>The condition must be due to age-related macular degeneration (AMD)</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D445AF" w:rsidRPr="00831A92" w:rsidRDefault="00D445AF" w:rsidP="005E0DDA">
            <w:pPr>
              <w:jc w:val="left"/>
              <w:rPr>
                <w:rFonts w:ascii="Arial Narrow" w:hAnsi="Arial Narrow"/>
                <w:color w:val="333333"/>
                <w:sz w:val="20"/>
                <w:szCs w:val="20"/>
              </w:rPr>
            </w:pPr>
            <w:r w:rsidRPr="00831A92">
              <w:rPr>
                <w:rFonts w:ascii="Arial Narrow" w:hAnsi="Arial Narrow"/>
                <w:b/>
                <w:bCs/>
                <w:color w:val="333333"/>
                <w:sz w:val="20"/>
                <w:szCs w:val="20"/>
              </w:rPr>
              <w:t>AND</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D445AF" w:rsidRPr="00831A92" w:rsidRDefault="00D445AF" w:rsidP="005E0DDA">
            <w:pPr>
              <w:jc w:val="left"/>
              <w:rPr>
                <w:rFonts w:ascii="Arial Narrow" w:hAnsi="Arial Narrow"/>
                <w:color w:val="333333"/>
                <w:sz w:val="20"/>
                <w:szCs w:val="20"/>
              </w:rPr>
            </w:pPr>
            <w:r w:rsidRPr="00831A92">
              <w:rPr>
                <w:rFonts w:ascii="Arial Narrow" w:hAnsi="Arial Narrow"/>
                <w:b/>
                <w:bCs/>
                <w:color w:val="333333"/>
                <w:sz w:val="20"/>
                <w:szCs w:val="20"/>
              </w:rPr>
              <w:t>Clinical criteria:</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D445AF" w:rsidRPr="00831A92" w:rsidRDefault="00D445AF" w:rsidP="005E0DDA">
            <w:pPr>
              <w:jc w:val="left"/>
              <w:rPr>
                <w:rFonts w:ascii="Arial Narrow" w:hAnsi="Arial Narrow"/>
                <w:color w:val="333333"/>
                <w:sz w:val="20"/>
                <w:szCs w:val="20"/>
              </w:rPr>
            </w:pPr>
            <w:r w:rsidRPr="00831A92">
              <w:rPr>
                <w:rFonts w:ascii="Arial Narrow" w:hAnsi="Arial Narrow"/>
                <w:color w:val="333333"/>
                <w:sz w:val="20"/>
                <w:szCs w:val="20"/>
              </w:rPr>
              <w:t>The condition must be diagnosed by optical coherence tomography; or</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D445AF" w:rsidRPr="00831A92" w:rsidRDefault="00D445AF" w:rsidP="005E0DDA">
            <w:pPr>
              <w:jc w:val="left"/>
              <w:rPr>
                <w:rFonts w:ascii="Arial Narrow" w:hAnsi="Arial Narrow"/>
                <w:color w:val="333333"/>
                <w:sz w:val="20"/>
                <w:szCs w:val="20"/>
              </w:rPr>
            </w:pPr>
            <w:r w:rsidRPr="00831A92">
              <w:rPr>
                <w:rFonts w:ascii="Arial Narrow" w:hAnsi="Arial Narrow"/>
                <w:color w:val="333333"/>
                <w:sz w:val="20"/>
                <w:szCs w:val="20"/>
              </w:rPr>
              <w:t>The condition must be diagnosed by fluorescein angiography</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D445AF" w:rsidRPr="00831A92" w:rsidRDefault="00D445AF" w:rsidP="005E0DDA">
            <w:pPr>
              <w:jc w:val="left"/>
              <w:rPr>
                <w:rFonts w:ascii="Arial Narrow" w:hAnsi="Arial Narrow"/>
                <w:color w:val="333333"/>
                <w:sz w:val="20"/>
                <w:szCs w:val="20"/>
              </w:rPr>
            </w:pPr>
            <w:r w:rsidRPr="00831A92">
              <w:rPr>
                <w:rFonts w:ascii="Arial Narrow" w:hAnsi="Arial Narrow"/>
                <w:b/>
                <w:bCs/>
                <w:color w:val="333333"/>
                <w:sz w:val="20"/>
                <w:szCs w:val="20"/>
              </w:rPr>
              <w:t>AND</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D445AF" w:rsidRPr="00831A92" w:rsidRDefault="00D445AF" w:rsidP="005E0DDA">
            <w:pPr>
              <w:jc w:val="left"/>
              <w:rPr>
                <w:rFonts w:ascii="Arial Narrow" w:hAnsi="Arial Narrow"/>
                <w:color w:val="333333"/>
                <w:sz w:val="20"/>
                <w:szCs w:val="20"/>
              </w:rPr>
            </w:pPr>
            <w:r w:rsidRPr="00831A92">
              <w:rPr>
                <w:rFonts w:ascii="Arial Narrow" w:hAnsi="Arial Narrow"/>
                <w:b/>
                <w:bCs/>
                <w:color w:val="333333"/>
                <w:sz w:val="20"/>
                <w:szCs w:val="20"/>
              </w:rPr>
              <w:t>Clinical criteria:</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D445AF" w:rsidRPr="00831A92" w:rsidRDefault="00D445AF" w:rsidP="005E0DDA">
            <w:pPr>
              <w:jc w:val="left"/>
              <w:rPr>
                <w:rFonts w:ascii="Arial Narrow" w:hAnsi="Arial Narrow"/>
                <w:color w:val="333333"/>
                <w:sz w:val="20"/>
                <w:szCs w:val="20"/>
              </w:rPr>
            </w:pPr>
            <w:r w:rsidRPr="00831A92">
              <w:rPr>
                <w:rFonts w:ascii="Arial Narrow" w:hAnsi="Arial Narrow"/>
                <w:color w:val="333333"/>
                <w:sz w:val="20"/>
                <w:szCs w:val="20"/>
              </w:rPr>
              <w:t>The treatment must be the sole PBS-subsidised therapy for this condition</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D445AF" w:rsidRPr="00831A92" w:rsidRDefault="00D445AF" w:rsidP="005E0DDA">
            <w:pPr>
              <w:jc w:val="left"/>
              <w:rPr>
                <w:rFonts w:ascii="Arial Narrow" w:hAnsi="Arial Narrow"/>
                <w:color w:val="333333"/>
                <w:sz w:val="20"/>
                <w:szCs w:val="20"/>
              </w:rPr>
            </w:pPr>
            <w:r w:rsidRPr="00831A92">
              <w:rPr>
                <w:rFonts w:ascii="Arial Narrow" w:hAnsi="Arial Narrow"/>
                <w:b/>
                <w:bCs/>
                <w:color w:val="333333"/>
                <w:sz w:val="20"/>
                <w:szCs w:val="20"/>
              </w:rPr>
              <w:t>AND</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D445AF" w:rsidRPr="00831A92" w:rsidRDefault="00D445AF" w:rsidP="005E0DDA">
            <w:pPr>
              <w:jc w:val="left"/>
              <w:rPr>
                <w:rFonts w:ascii="Arial Narrow" w:hAnsi="Arial Narrow"/>
                <w:b/>
                <w:bCs/>
                <w:i/>
                <w:color w:val="333333"/>
                <w:sz w:val="20"/>
                <w:szCs w:val="20"/>
              </w:rPr>
            </w:pPr>
            <w:r w:rsidRPr="00831A92">
              <w:rPr>
                <w:rFonts w:ascii="Arial Narrow" w:hAnsi="Arial Narrow"/>
                <w:i/>
                <w:color w:val="333333"/>
                <w:sz w:val="20"/>
                <w:szCs w:val="20"/>
              </w:rPr>
              <w:t xml:space="preserve">Patient has not received PBS-subsidised treatment with this drug for this condition for the same eye </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D445AF" w:rsidRPr="00831A92" w:rsidRDefault="00D445AF" w:rsidP="005E0DDA">
            <w:pPr>
              <w:jc w:val="left"/>
              <w:rPr>
                <w:rFonts w:ascii="Arial Narrow" w:hAnsi="Arial Narrow"/>
                <w:i/>
                <w:color w:val="333333"/>
                <w:sz w:val="20"/>
                <w:szCs w:val="20"/>
              </w:rPr>
            </w:pPr>
            <w:r w:rsidRPr="00831A92">
              <w:rPr>
                <w:rFonts w:ascii="Arial Narrow" w:hAnsi="Arial Narrow"/>
                <w:b/>
                <w:bCs/>
                <w:i/>
                <w:color w:val="333333"/>
                <w:sz w:val="20"/>
                <w:szCs w:val="20"/>
              </w:rPr>
              <w:t>AND</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D445AF" w:rsidRPr="00831A92" w:rsidRDefault="00D445AF" w:rsidP="005E0DDA">
            <w:pPr>
              <w:jc w:val="left"/>
              <w:rPr>
                <w:rFonts w:ascii="Arial Narrow" w:hAnsi="Arial Narrow"/>
                <w:color w:val="333333"/>
                <w:sz w:val="20"/>
                <w:szCs w:val="20"/>
              </w:rPr>
            </w:pPr>
            <w:r w:rsidRPr="00831A92">
              <w:rPr>
                <w:rFonts w:ascii="Arial Narrow" w:hAnsi="Arial Narrow"/>
                <w:b/>
                <w:bCs/>
                <w:color w:val="333333"/>
                <w:sz w:val="20"/>
                <w:szCs w:val="20"/>
              </w:rPr>
              <w:t>Treatment criteria:</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D445AF" w:rsidRPr="00831A92" w:rsidRDefault="00D445AF" w:rsidP="005E0DDA">
            <w:pPr>
              <w:jc w:val="left"/>
              <w:rPr>
                <w:rFonts w:ascii="Arial Narrow" w:hAnsi="Arial Narrow"/>
                <w:color w:val="333333"/>
                <w:sz w:val="20"/>
                <w:szCs w:val="20"/>
              </w:rPr>
            </w:pPr>
            <w:r w:rsidRPr="00831A92">
              <w:rPr>
                <w:rFonts w:ascii="Arial Narrow" w:hAnsi="Arial Narrow"/>
                <w:color w:val="333333"/>
                <w:sz w:val="20"/>
                <w:szCs w:val="20"/>
              </w:rPr>
              <w:t>Must be treated by an ophthalmologist or in consultation with an ophthalmologist</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D445AF" w:rsidRPr="00831A92" w:rsidRDefault="00D445AF" w:rsidP="005E0DDA">
            <w:pPr>
              <w:jc w:val="left"/>
              <w:rPr>
                <w:rFonts w:ascii="Arial Narrow" w:hAnsi="Arial Narrow"/>
                <w:color w:val="333333"/>
                <w:sz w:val="20"/>
                <w:szCs w:val="20"/>
              </w:rPr>
            </w:pPr>
            <w:r w:rsidRPr="00831A92">
              <w:rPr>
                <w:rFonts w:ascii="Arial Narrow" w:hAnsi="Arial Narrow"/>
                <w:b/>
                <w:bCs/>
                <w:color w:val="333333"/>
                <w:sz w:val="20"/>
                <w:szCs w:val="20"/>
              </w:rPr>
              <w:t>Prescribing Instructions:</w:t>
            </w:r>
            <w:r w:rsidRPr="00831A92">
              <w:rPr>
                <w:rFonts w:ascii="Arial Narrow" w:hAnsi="Arial Narrow"/>
                <w:color w:val="333333"/>
                <w:sz w:val="20"/>
                <w:szCs w:val="20"/>
              </w:rPr>
              <w:t xml:space="preserve"> Authority approval for initial treatment of each eye must be sought.</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D445AF" w:rsidRPr="00831A92" w:rsidRDefault="00D445AF" w:rsidP="005E0DDA">
            <w:pPr>
              <w:jc w:val="left"/>
              <w:rPr>
                <w:rFonts w:ascii="Arial Narrow" w:hAnsi="Arial Narrow"/>
                <w:color w:val="333333"/>
                <w:sz w:val="20"/>
                <w:szCs w:val="20"/>
              </w:rPr>
            </w:pPr>
            <w:r w:rsidRPr="00831A92">
              <w:rPr>
                <w:rFonts w:ascii="Arial Narrow" w:hAnsi="Arial Narrow"/>
                <w:b/>
                <w:bCs/>
                <w:color w:val="333333"/>
                <w:sz w:val="20"/>
                <w:szCs w:val="20"/>
              </w:rPr>
              <w:t>Prescribing Instructions:</w:t>
            </w:r>
          </w:p>
          <w:p w:rsidR="00D445AF" w:rsidRPr="00831A92" w:rsidRDefault="00D445AF" w:rsidP="005E0DDA">
            <w:pPr>
              <w:jc w:val="left"/>
              <w:rPr>
                <w:rFonts w:ascii="Arial Narrow" w:hAnsi="Arial Narrow"/>
                <w:color w:val="333333"/>
                <w:sz w:val="20"/>
                <w:szCs w:val="20"/>
              </w:rPr>
            </w:pPr>
            <w:r w:rsidRPr="00831A92">
              <w:rPr>
                <w:rFonts w:ascii="Arial Narrow" w:hAnsi="Arial Narrow"/>
                <w:color w:val="333333"/>
                <w:sz w:val="20"/>
                <w:szCs w:val="20"/>
              </w:rPr>
              <w:t>The first authority application for each eye must be made in writing or by telephone.</w:t>
            </w:r>
          </w:p>
          <w:p w:rsidR="00D445AF" w:rsidRPr="00831A92" w:rsidRDefault="00D445AF" w:rsidP="005E0DDA">
            <w:pPr>
              <w:jc w:val="left"/>
              <w:rPr>
                <w:rFonts w:ascii="Arial Narrow" w:hAnsi="Arial Narrow"/>
                <w:color w:val="333333"/>
                <w:sz w:val="20"/>
                <w:szCs w:val="20"/>
              </w:rPr>
            </w:pPr>
            <w:r w:rsidRPr="00831A92">
              <w:rPr>
                <w:rFonts w:ascii="Arial Narrow" w:hAnsi="Arial Narrow"/>
                <w:color w:val="333333"/>
                <w:sz w:val="20"/>
                <w:szCs w:val="20"/>
              </w:rPr>
              <w:t>A written application must include:</w:t>
            </w:r>
          </w:p>
          <w:p w:rsidR="00D445AF" w:rsidRPr="00831A92" w:rsidRDefault="00D445AF" w:rsidP="005E0DDA">
            <w:pPr>
              <w:jc w:val="left"/>
              <w:rPr>
                <w:rFonts w:ascii="Arial Narrow" w:hAnsi="Arial Narrow"/>
                <w:color w:val="333333"/>
                <w:sz w:val="20"/>
                <w:szCs w:val="20"/>
              </w:rPr>
            </w:pPr>
            <w:r w:rsidRPr="00831A92">
              <w:rPr>
                <w:rFonts w:ascii="Arial Narrow" w:hAnsi="Arial Narrow"/>
                <w:color w:val="333333"/>
                <w:sz w:val="20"/>
                <w:szCs w:val="20"/>
              </w:rPr>
              <w:t>a) a completed authority prescription form;</w:t>
            </w:r>
          </w:p>
          <w:p w:rsidR="00D445AF" w:rsidRPr="00831A92" w:rsidRDefault="00D445AF" w:rsidP="005E0DDA">
            <w:pPr>
              <w:jc w:val="left"/>
              <w:rPr>
                <w:rFonts w:ascii="Arial Narrow" w:hAnsi="Arial Narrow"/>
                <w:color w:val="333333"/>
                <w:sz w:val="20"/>
                <w:szCs w:val="20"/>
              </w:rPr>
            </w:pPr>
            <w:r w:rsidRPr="00831A92">
              <w:rPr>
                <w:rFonts w:ascii="Arial Narrow" w:hAnsi="Arial Narrow"/>
                <w:color w:val="333333"/>
                <w:sz w:val="20"/>
                <w:szCs w:val="20"/>
              </w:rPr>
              <w:t>b) a completed Subfoveal Choroidal Neovascularisation (CNV) - PBS Supporting Information Form; and</w:t>
            </w:r>
          </w:p>
          <w:p w:rsidR="00D445AF" w:rsidRPr="00831A92" w:rsidRDefault="00D445AF" w:rsidP="005E0DDA">
            <w:pPr>
              <w:jc w:val="left"/>
              <w:rPr>
                <w:rFonts w:ascii="Arial Narrow" w:hAnsi="Arial Narrow"/>
                <w:color w:val="333333"/>
                <w:sz w:val="20"/>
                <w:szCs w:val="20"/>
              </w:rPr>
            </w:pPr>
            <w:r w:rsidRPr="00831A92">
              <w:rPr>
                <w:rFonts w:ascii="Arial Narrow" w:hAnsi="Arial Narrow"/>
                <w:color w:val="333333"/>
                <w:sz w:val="20"/>
                <w:szCs w:val="20"/>
              </w:rPr>
              <w:t>c) a copy of the optical coherence tomography or fluorescein angiogram report.</w:t>
            </w:r>
          </w:p>
          <w:p w:rsidR="00D445AF" w:rsidRPr="00831A92" w:rsidRDefault="00D445AF" w:rsidP="005E0DDA">
            <w:pPr>
              <w:jc w:val="left"/>
              <w:rPr>
                <w:rFonts w:ascii="Arial Narrow" w:hAnsi="Arial Narrow"/>
                <w:color w:val="333333"/>
                <w:sz w:val="20"/>
                <w:szCs w:val="20"/>
              </w:rPr>
            </w:pPr>
            <w:r w:rsidRPr="00831A92">
              <w:rPr>
                <w:rFonts w:ascii="Arial Narrow" w:hAnsi="Arial Narrow"/>
                <w:color w:val="333333"/>
                <w:sz w:val="20"/>
                <w:szCs w:val="20"/>
              </w:rPr>
              <w:t>A telephone application must be made following submission by facsimile of a copy of a completed Subfoveal Choroidal Neovascularisation (CNV) - PBS Supporting Information Form and a copy of the optical coherence tomography or fluorescein angiogram report.</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D445AF" w:rsidRPr="00831A92" w:rsidRDefault="00D445AF" w:rsidP="005E0DDA">
            <w:pPr>
              <w:jc w:val="left"/>
              <w:rPr>
                <w:rFonts w:ascii="Arial Narrow" w:hAnsi="Arial Narrow"/>
                <w:i/>
                <w:color w:val="333333"/>
                <w:sz w:val="20"/>
                <w:szCs w:val="20"/>
              </w:rPr>
            </w:pPr>
            <w:r w:rsidRPr="00831A92">
              <w:rPr>
                <w:rFonts w:ascii="Arial Narrow" w:hAnsi="Arial Narrow"/>
                <w:b/>
                <w:bCs/>
                <w:i/>
                <w:color w:val="333333"/>
                <w:sz w:val="20"/>
                <w:szCs w:val="20"/>
              </w:rPr>
              <w:t>Prescribing Instructions:</w:t>
            </w:r>
          </w:p>
          <w:p w:rsidR="00D445AF" w:rsidRPr="00831A92" w:rsidRDefault="00D445AF" w:rsidP="005E0DDA">
            <w:pPr>
              <w:rPr>
                <w:rFonts w:ascii="Arial Narrow" w:hAnsi="Arial Narrow" w:cstheme="minorHAnsi"/>
                <w:i/>
                <w:color w:val="FF0000"/>
                <w:sz w:val="20"/>
                <w:szCs w:val="20"/>
              </w:rPr>
            </w:pPr>
            <w:r w:rsidRPr="00831A92">
              <w:rPr>
                <w:rFonts w:ascii="Arial Narrow" w:hAnsi="Arial Narrow"/>
                <w:i/>
                <w:sz w:val="20"/>
                <w:szCs w:val="20"/>
              </w:rPr>
              <w:t xml:space="preserve">Where both eyes are being treated simultaneously, a quantity of 2 </w:t>
            </w:r>
            <w:r w:rsidRPr="00831A92">
              <w:rPr>
                <w:rFonts w:ascii="Arial Narrow" w:hAnsi="Arial Narrow"/>
                <w:i/>
                <w:strike/>
                <w:sz w:val="20"/>
                <w:szCs w:val="20"/>
              </w:rPr>
              <w:t>vials</w:t>
            </w:r>
            <w:r w:rsidRPr="00831A92">
              <w:rPr>
                <w:rFonts w:ascii="Arial Narrow" w:hAnsi="Arial Narrow"/>
                <w:i/>
                <w:sz w:val="20"/>
                <w:szCs w:val="20"/>
              </w:rPr>
              <w:t xml:space="preserve"> pre-filled syringes can be requested on the same authority prescription form.</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D445AF" w:rsidRPr="00831A92" w:rsidRDefault="00D445AF" w:rsidP="005E0DDA">
            <w:pPr>
              <w:jc w:val="left"/>
              <w:rPr>
                <w:rFonts w:ascii="Arial Narrow" w:hAnsi="Arial Narrow" w:cs="Open Sans"/>
                <w:i/>
                <w:sz w:val="18"/>
                <w:szCs w:val="18"/>
              </w:rPr>
            </w:pPr>
            <w:r w:rsidRPr="00831A92">
              <w:rPr>
                <w:rFonts w:ascii="Arial Narrow" w:hAnsi="Arial Narrow" w:cs="Open Sans"/>
                <w:b/>
                <w:bCs/>
                <w:i/>
                <w:sz w:val="18"/>
                <w:szCs w:val="18"/>
              </w:rPr>
              <w:t>Prescribing Instructions:</w:t>
            </w:r>
          </w:p>
          <w:p w:rsidR="00D445AF" w:rsidRPr="00831A92" w:rsidRDefault="00D445AF" w:rsidP="005E0DDA">
            <w:pPr>
              <w:jc w:val="left"/>
              <w:rPr>
                <w:rFonts w:ascii="Arial Narrow" w:hAnsi="Arial Narrow"/>
                <w:b/>
                <w:bCs/>
                <w:i/>
                <w:color w:val="333333"/>
                <w:sz w:val="20"/>
                <w:szCs w:val="20"/>
              </w:rPr>
            </w:pPr>
            <w:r w:rsidRPr="00831A92">
              <w:rPr>
                <w:rFonts w:ascii="Arial Narrow" w:hAnsi="Arial Narrow" w:cs="Open Sans"/>
                <w:i/>
                <w:sz w:val="18"/>
                <w:szCs w:val="18"/>
              </w:rPr>
              <w:t xml:space="preserve">A Grandfathered patient who has previously received non-PBS subsidised treatment with this drug for this condition prior to </w:t>
            </w:r>
            <w:r w:rsidRPr="00831A92">
              <w:rPr>
                <w:rFonts w:ascii="Arial Narrow" w:hAnsi="Arial Narrow"/>
                <w:i/>
                <w:color w:val="FF00FF"/>
                <w:sz w:val="20"/>
                <w:szCs w:val="20"/>
              </w:rPr>
              <w:t xml:space="preserve">[insert listing date] </w:t>
            </w:r>
            <w:r w:rsidRPr="00831A92">
              <w:rPr>
                <w:rFonts w:ascii="Arial Narrow" w:hAnsi="Arial Narrow" w:cs="Open Sans"/>
                <w:i/>
                <w:sz w:val="18"/>
                <w:szCs w:val="18"/>
              </w:rPr>
              <w:t>must have met all the initial criteria under this restriction prior to PBS-subsidised initial treatment. A Grandfathered patient may qualify for PBS-subsidised treatment under this restriction once only.</w:t>
            </w:r>
            <w:r w:rsidRPr="00831A92">
              <w:rPr>
                <w:rFonts w:ascii="Arial Narrow" w:hAnsi="Arial Narrow"/>
                <w:bCs/>
                <w:i/>
                <w:color w:val="333333"/>
                <w:sz w:val="20"/>
                <w:szCs w:val="20"/>
              </w:rPr>
              <w:t xml:space="preserve"> </w:t>
            </w:r>
            <w:r w:rsidRPr="00831A92">
              <w:rPr>
                <w:rFonts w:ascii="Arial Narrow" w:hAnsi="Arial Narrow"/>
                <w:bCs/>
                <w:i/>
                <w:color w:val="333333"/>
                <w:sz w:val="18"/>
                <w:szCs w:val="18"/>
              </w:rPr>
              <w:t>For continuing PBS-subsidised treatment, a Grandfathered patient must qualify under the Continuing treatment criteria</w:t>
            </w:r>
            <w:r w:rsidRPr="00831A92">
              <w:rPr>
                <w:rFonts w:ascii="Arial Narrow" w:hAnsi="Arial Narrow"/>
                <w:bCs/>
                <w:i/>
                <w:color w:val="333333"/>
                <w:sz w:val="20"/>
                <w:szCs w:val="20"/>
              </w:rPr>
              <w:t xml:space="preserve">. </w:t>
            </w:r>
            <w:r w:rsidRPr="00831A92">
              <w:rPr>
                <w:rFonts w:ascii="Arial Narrow" w:hAnsi="Arial Narrow"/>
                <w:bCs/>
                <w:i/>
                <w:color w:val="333333"/>
                <w:sz w:val="18"/>
                <w:szCs w:val="18"/>
              </w:rPr>
              <w:t>This Grandfather patient access will cease from</w:t>
            </w:r>
            <w:r w:rsidRPr="00831A92">
              <w:rPr>
                <w:rFonts w:ascii="Arial Narrow" w:hAnsi="Arial Narrow"/>
                <w:bCs/>
                <w:i/>
                <w:color w:val="333333"/>
                <w:sz w:val="20"/>
                <w:szCs w:val="20"/>
              </w:rPr>
              <w:t xml:space="preserve"> </w:t>
            </w:r>
            <w:r w:rsidRPr="00831A92">
              <w:rPr>
                <w:rFonts w:ascii="Arial Narrow" w:hAnsi="Arial Narrow"/>
                <w:bCs/>
                <w:i/>
                <w:color w:val="FF00FF"/>
                <w:sz w:val="20"/>
                <w:szCs w:val="20"/>
              </w:rPr>
              <w:t>[insert a date which is 12 months from listing date here]</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D445AF" w:rsidRPr="00831A92" w:rsidRDefault="00D445AF" w:rsidP="005E0DDA">
            <w:pPr>
              <w:jc w:val="left"/>
              <w:rPr>
                <w:rFonts w:ascii="Arial Narrow" w:hAnsi="Arial Narrow"/>
                <w:color w:val="333333"/>
                <w:sz w:val="20"/>
                <w:szCs w:val="20"/>
              </w:rPr>
            </w:pPr>
            <w:r w:rsidRPr="00831A92">
              <w:rPr>
                <w:rFonts w:ascii="Arial Narrow" w:hAnsi="Arial Narrow"/>
                <w:b/>
                <w:bCs/>
                <w:color w:val="333333"/>
                <w:sz w:val="20"/>
                <w:szCs w:val="20"/>
              </w:rPr>
              <w:t>Administrative Advice:</w:t>
            </w:r>
          </w:p>
          <w:p w:rsidR="00D445AF" w:rsidRPr="00831A92" w:rsidRDefault="00D445AF" w:rsidP="005E0DDA">
            <w:pPr>
              <w:jc w:val="left"/>
              <w:rPr>
                <w:rFonts w:ascii="Arial Narrow" w:hAnsi="Arial Narrow"/>
                <w:color w:val="333333"/>
                <w:sz w:val="20"/>
                <w:szCs w:val="20"/>
              </w:rPr>
            </w:pPr>
            <w:r w:rsidRPr="00831A92">
              <w:rPr>
                <w:rFonts w:ascii="Arial Narrow" w:hAnsi="Arial Narrow"/>
                <w:color w:val="333333"/>
                <w:sz w:val="20"/>
                <w:szCs w:val="20"/>
              </w:rPr>
              <w:t xml:space="preserve">The first authority application may be faxed to the </w:t>
            </w:r>
            <w:r w:rsidRPr="00831A92">
              <w:rPr>
                <w:rFonts w:ascii="Arial Narrow" w:hAnsi="Arial Narrow"/>
                <w:strike/>
                <w:color w:val="333333"/>
                <w:sz w:val="20"/>
                <w:szCs w:val="20"/>
              </w:rPr>
              <w:t>Department of Human</w:t>
            </w:r>
            <w:r w:rsidRPr="00831A92">
              <w:rPr>
                <w:rFonts w:ascii="Arial Narrow" w:hAnsi="Arial Narrow"/>
                <w:color w:val="333333"/>
                <w:sz w:val="20"/>
                <w:szCs w:val="20"/>
              </w:rPr>
              <w:t xml:space="preserve"> Services </w:t>
            </w:r>
            <w:r w:rsidRPr="00831A92">
              <w:rPr>
                <w:rFonts w:ascii="Arial Narrow" w:hAnsi="Arial Narrow"/>
                <w:i/>
                <w:color w:val="333333"/>
                <w:sz w:val="20"/>
                <w:szCs w:val="20"/>
              </w:rPr>
              <w:t>Australia</w:t>
            </w:r>
            <w:r w:rsidRPr="00831A92">
              <w:rPr>
                <w:rFonts w:ascii="Arial Narrow" w:hAnsi="Arial Narrow"/>
                <w:color w:val="333333"/>
                <w:sz w:val="20"/>
                <w:szCs w:val="20"/>
              </w:rPr>
              <w:t xml:space="preserve"> on 1300 093 177 </w:t>
            </w:r>
            <w:r w:rsidRPr="00831A92">
              <w:rPr>
                <w:rFonts w:ascii="Arial Narrow" w:hAnsi="Arial Narrow"/>
                <w:strike/>
                <w:color w:val="333333"/>
                <w:sz w:val="20"/>
                <w:szCs w:val="20"/>
              </w:rPr>
              <w:t>(hours of operation 8 a.m. to 5 p.m. EST Monday to Friday)</w:t>
            </w:r>
            <w:r w:rsidRPr="00831A92">
              <w:rPr>
                <w:rFonts w:ascii="Arial Narrow" w:hAnsi="Arial Narrow"/>
                <w:color w:val="333333"/>
                <w:sz w:val="20"/>
                <w:szCs w:val="20"/>
              </w:rPr>
              <w:t xml:space="preserve">. </w:t>
            </w:r>
            <w:r w:rsidRPr="00831A92">
              <w:rPr>
                <w:rFonts w:ascii="Arial Narrow" w:hAnsi="Arial Narrow"/>
                <w:strike/>
                <w:color w:val="333333"/>
                <w:sz w:val="20"/>
                <w:szCs w:val="20"/>
              </w:rPr>
              <w:t>The Department</w:t>
            </w:r>
            <w:r w:rsidRPr="00831A92">
              <w:rPr>
                <w:rFonts w:ascii="Arial Narrow" w:hAnsi="Arial Narrow"/>
                <w:color w:val="333333"/>
                <w:sz w:val="20"/>
                <w:szCs w:val="20"/>
              </w:rPr>
              <w:t xml:space="preserve"> </w:t>
            </w:r>
            <w:r w:rsidRPr="00831A92">
              <w:rPr>
                <w:rFonts w:ascii="Arial Narrow" w:hAnsi="Arial Narrow"/>
                <w:i/>
                <w:color w:val="333333"/>
                <w:sz w:val="20"/>
                <w:szCs w:val="20"/>
              </w:rPr>
              <w:t xml:space="preserve">Services Australia </w:t>
            </w:r>
            <w:r w:rsidRPr="00831A92">
              <w:rPr>
                <w:rFonts w:ascii="Arial Narrow" w:hAnsi="Arial Narrow"/>
                <w:color w:val="333333"/>
                <w:sz w:val="20"/>
                <w:szCs w:val="20"/>
              </w:rPr>
              <w:t>will then contact the prescriber by telephone.</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D445AF" w:rsidRPr="00831A92" w:rsidRDefault="00D445AF" w:rsidP="005E0DDA">
            <w:pPr>
              <w:jc w:val="left"/>
              <w:rPr>
                <w:rFonts w:ascii="Arial Narrow" w:hAnsi="Arial Narrow"/>
                <w:color w:val="333333"/>
                <w:sz w:val="20"/>
                <w:szCs w:val="20"/>
              </w:rPr>
            </w:pPr>
            <w:r w:rsidRPr="00831A92">
              <w:rPr>
                <w:rFonts w:ascii="Arial Narrow" w:hAnsi="Arial Narrow"/>
                <w:b/>
                <w:bCs/>
                <w:color w:val="333333"/>
                <w:sz w:val="20"/>
                <w:szCs w:val="20"/>
              </w:rPr>
              <w:t>Administrative Advice:</w:t>
            </w:r>
          </w:p>
          <w:p w:rsidR="00D445AF" w:rsidRPr="00831A92" w:rsidRDefault="00D445AF" w:rsidP="005E0DDA">
            <w:pPr>
              <w:jc w:val="left"/>
              <w:rPr>
                <w:rFonts w:ascii="Arial Narrow" w:hAnsi="Arial Narrow"/>
                <w:color w:val="333333"/>
                <w:sz w:val="20"/>
                <w:szCs w:val="20"/>
              </w:rPr>
            </w:pPr>
            <w:r w:rsidRPr="00831A92">
              <w:rPr>
                <w:rFonts w:ascii="Arial Narrow" w:hAnsi="Arial Narrow"/>
                <w:color w:val="333333"/>
                <w:sz w:val="20"/>
                <w:szCs w:val="20"/>
              </w:rPr>
              <w:t xml:space="preserve">Any queries concerning the arrangements to prescribe may be directed to the </w:t>
            </w:r>
            <w:r w:rsidRPr="00831A92">
              <w:rPr>
                <w:rFonts w:ascii="Arial Narrow" w:hAnsi="Arial Narrow"/>
                <w:strike/>
                <w:color w:val="333333"/>
                <w:sz w:val="20"/>
                <w:szCs w:val="20"/>
              </w:rPr>
              <w:t>Department of Human</w:t>
            </w:r>
            <w:r w:rsidRPr="00831A92">
              <w:rPr>
                <w:rFonts w:ascii="Arial Narrow" w:hAnsi="Arial Narrow"/>
                <w:color w:val="333333"/>
                <w:sz w:val="20"/>
                <w:szCs w:val="20"/>
              </w:rPr>
              <w:t xml:space="preserve"> Services </w:t>
            </w:r>
            <w:r w:rsidRPr="00831A92">
              <w:rPr>
                <w:rFonts w:ascii="Arial Narrow" w:hAnsi="Arial Narrow"/>
                <w:i/>
                <w:color w:val="333333"/>
                <w:sz w:val="20"/>
                <w:szCs w:val="20"/>
              </w:rPr>
              <w:t>Australia</w:t>
            </w:r>
            <w:r w:rsidRPr="00831A92">
              <w:rPr>
                <w:rFonts w:ascii="Arial Narrow" w:hAnsi="Arial Narrow"/>
                <w:color w:val="333333"/>
                <w:sz w:val="20"/>
                <w:szCs w:val="20"/>
              </w:rPr>
              <w:t xml:space="preserve"> on 1800 700 270 (hours of operation 8 a.m. to 5 p.m. EST Monday to Friday).</w:t>
            </w:r>
          </w:p>
          <w:p w:rsidR="00D445AF" w:rsidRPr="00831A92" w:rsidRDefault="00D445AF" w:rsidP="005E0DDA">
            <w:pPr>
              <w:jc w:val="left"/>
              <w:rPr>
                <w:rFonts w:ascii="Arial Narrow" w:hAnsi="Arial Narrow"/>
                <w:color w:val="333333"/>
                <w:sz w:val="20"/>
                <w:szCs w:val="20"/>
              </w:rPr>
            </w:pPr>
            <w:r w:rsidRPr="00831A92">
              <w:rPr>
                <w:rFonts w:ascii="Arial Narrow" w:hAnsi="Arial Narrow"/>
                <w:color w:val="333333"/>
                <w:sz w:val="20"/>
                <w:szCs w:val="20"/>
              </w:rPr>
              <w:t xml:space="preserve"> </w:t>
            </w:r>
          </w:p>
          <w:p w:rsidR="00D445AF" w:rsidRPr="00831A92" w:rsidRDefault="00D445AF" w:rsidP="005E0DDA">
            <w:pPr>
              <w:jc w:val="left"/>
              <w:rPr>
                <w:rFonts w:ascii="Arial Narrow" w:hAnsi="Arial Narrow"/>
                <w:color w:val="333333"/>
                <w:sz w:val="20"/>
                <w:szCs w:val="20"/>
              </w:rPr>
            </w:pPr>
            <w:r w:rsidRPr="00831A92">
              <w:rPr>
                <w:rFonts w:ascii="Arial Narrow" w:hAnsi="Arial Narrow"/>
                <w:color w:val="333333"/>
                <w:sz w:val="20"/>
                <w:szCs w:val="20"/>
              </w:rPr>
              <w:t xml:space="preserve">Prescribing information (including Authority Application forms and other relevant documentation as applicable) is available on the </w:t>
            </w:r>
            <w:r w:rsidRPr="00831A92">
              <w:rPr>
                <w:rFonts w:ascii="Arial Narrow" w:hAnsi="Arial Narrow"/>
                <w:strike/>
                <w:color w:val="333333"/>
                <w:sz w:val="20"/>
                <w:szCs w:val="20"/>
              </w:rPr>
              <w:t xml:space="preserve">Department of Human </w:t>
            </w:r>
            <w:r w:rsidRPr="00831A92">
              <w:rPr>
                <w:rFonts w:ascii="Arial Narrow" w:hAnsi="Arial Narrow"/>
                <w:color w:val="333333"/>
                <w:sz w:val="20"/>
                <w:szCs w:val="20"/>
              </w:rPr>
              <w:t xml:space="preserve">Services </w:t>
            </w:r>
            <w:r w:rsidRPr="00831A92">
              <w:rPr>
                <w:rFonts w:ascii="Arial Narrow" w:hAnsi="Arial Narrow"/>
                <w:i/>
                <w:color w:val="333333"/>
                <w:sz w:val="20"/>
                <w:szCs w:val="20"/>
              </w:rPr>
              <w:t xml:space="preserve">Australia </w:t>
            </w:r>
            <w:r w:rsidRPr="00831A92">
              <w:rPr>
                <w:rFonts w:ascii="Arial Narrow" w:hAnsi="Arial Narrow"/>
                <w:color w:val="333333"/>
                <w:sz w:val="20"/>
                <w:szCs w:val="20"/>
              </w:rPr>
              <w:t xml:space="preserve">website at </w:t>
            </w:r>
            <w:r w:rsidRPr="002C14AA">
              <w:rPr>
                <w:rFonts w:ascii="Arial Narrow" w:hAnsi="Arial Narrow"/>
                <w:sz w:val="20"/>
                <w:szCs w:val="20"/>
              </w:rPr>
              <w:t>www.</w:t>
            </w:r>
            <w:r w:rsidRPr="002C14AA">
              <w:rPr>
                <w:rFonts w:ascii="Arial Narrow" w:hAnsi="Arial Narrow"/>
                <w:strike/>
                <w:sz w:val="20"/>
                <w:szCs w:val="20"/>
              </w:rPr>
              <w:t>human</w:t>
            </w:r>
            <w:r w:rsidRPr="002C14AA">
              <w:rPr>
                <w:rFonts w:ascii="Arial Narrow" w:hAnsi="Arial Narrow"/>
                <w:sz w:val="20"/>
                <w:szCs w:val="20"/>
              </w:rPr>
              <w:t>services</w:t>
            </w:r>
            <w:r w:rsidRPr="002C14AA">
              <w:rPr>
                <w:rFonts w:ascii="Arial Narrow" w:hAnsi="Arial Narrow"/>
                <w:i/>
                <w:sz w:val="20"/>
                <w:szCs w:val="20"/>
              </w:rPr>
              <w:t>australia</w:t>
            </w:r>
            <w:r w:rsidRPr="002C14AA">
              <w:rPr>
                <w:rFonts w:ascii="Arial Narrow" w:hAnsi="Arial Narrow"/>
                <w:sz w:val="20"/>
                <w:szCs w:val="20"/>
              </w:rPr>
              <w:t>.gov.au</w:t>
            </w:r>
          </w:p>
          <w:p w:rsidR="00D445AF" w:rsidRPr="00831A92" w:rsidRDefault="00D445AF" w:rsidP="005E0DDA">
            <w:pPr>
              <w:jc w:val="left"/>
              <w:rPr>
                <w:rFonts w:ascii="Arial Narrow" w:hAnsi="Arial Narrow"/>
                <w:color w:val="333333"/>
                <w:sz w:val="20"/>
                <w:szCs w:val="20"/>
              </w:rPr>
            </w:pPr>
          </w:p>
          <w:p w:rsidR="00D445AF" w:rsidRPr="00831A92" w:rsidRDefault="00D445AF" w:rsidP="005E0DDA">
            <w:pPr>
              <w:jc w:val="left"/>
              <w:rPr>
                <w:rFonts w:ascii="Arial Narrow" w:hAnsi="Arial Narrow"/>
                <w:color w:val="333333"/>
                <w:sz w:val="20"/>
                <w:szCs w:val="20"/>
              </w:rPr>
            </w:pPr>
            <w:r w:rsidRPr="00831A92">
              <w:rPr>
                <w:rFonts w:ascii="Arial Narrow" w:hAnsi="Arial Narrow"/>
                <w:color w:val="333333"/>
                <w:sz w:val="20"/>
                <w:szCs w:val="20"/>
              </w:rPr>
              <w:t xml:space="preserve">Applications for authority to prescribe should be </w:t>
            </w:r>
            <w:r w:rsidRPr="00831A92">
              <w:rPr>
                <w:rFonts w:ascii="Arial Narrow" w:hAnsi="Arial Narrow"/>
                <w:strike/>
                <w:color w:val="333333"/>
                <w:sz w:val="20"/>
                <w:szCs w:val="20"/>
              </w:rPr>
              <w:t>forwarded to:</w:t>
            </w:r>
            <w:r w:rsidRPr="00831A92">
              <w:rPr>
                <w:rFonts w:ascii="Arial Narrow" w:hAnsi="Arial Narrow"/>
                <w:color w:val="333333"/>
                <w:sz w:val="20"/>
                <w:szCs w:val="20"/>
              </w:rPr>
              <w:t xml:space="preserve"> </w:t>
            </w:r>
            <w:r w:rsidRPr="00831A92">
              <w:rPr>
                <w:rFonts w:ascii="Arial Narrow" w:hAnsi="Arial Narrow"/>
                <w:i/>
                <w:color w:val="333333"/>
                <w:sz w:val="20"/>
                <w:szCs w:val="20"/>
              </w:rPr>
              <w:t>submitted</w:t>
            </w:r>
            <w:r w:rsidRPr="00831A92">
              <w:rPr>
                <w:rFonts w:ascii="Arial Narrow" w:hAnsi="Arial Narrow"/>
                <w:color w:val="333333"/>
                <w:sz w:val="20"/>
                <w:szCs w:val="20"/>
              </w:rPr>
              <w:t xml:space="preserve"> </w:t>
            </w:r>
            <w:r w:rsidRPr="00831A92">
              <w:rPr>
                <w:rFonts w:ascii="Arial Narrow" w:hAnsi="Arial Narrow"/>
                <w:i/>
                <w:color w:val="333333"/>
                <w:sz w:val="20"/>
                <w:szCs w:val="20"/>
              </w:rPr>
              <w:t>online using the form upload facility in Health Professional Online Services (HPOS)</w:t>
            </w:r>
            <w:r w:rsidRPr="00831A92">
              <w:rPr>
                <w:rFonts w:ascii="Arial Narrow" w:hAnsi="Arial Narrow"/>
                <w:bCs/>
                <w:i/>
                <w:color w:val="333333"/>
                <w:sz w:val="20"/>
                <w:szCs w:val="20"/>
              </w:rPr>
              <w:t xml:space="preserve"> at www.servicesaustralia.gov.au/hpos </w:t>
            </w:r>
          </w:p>
          <w:p w:rsidR="00D445AF" w:rsidRPr="00831A92" w:rsidRDefault="00D445AF" w:rsidP="005E0DDA">
            <w:pPr>
              <w:jc w:val="left"/>
              <w:rPr>
                <w:rFonts w:ascii="Arial Narrow" w:hAnsi="Arial Narrow"/>
                <w:i/>
                <w:color w:val="333333"/>
                <w:sz w:val="20"/>
                <w:szCs w:val="20"/>
              </w:rPr>
            </w:pPr>
            <w:r w:rsidRPr="00831A92">
              <w:rPr>
                <w:rFonts w:ascii="Arial Narrow" w:hAnsi="Arial Narrow"/>
                <w:i/>
                <w:color w:val="333333"/>
                <w:sz w:val="20"/>
                <w:szCs w:val="20"/>
              </w:rPr>
              <w:t>Or mailed to:</w:t>
            </w:r>
          </w:p>
          <w:p w:rsidR="00D445AF" w:rsidRPr="00831A92" w:rsidRDefault="00D445AF" w:rsidP="005E0DDA">
            <w:pPr>
              <w:jc w:val="left"/>
              <w:rPr>
                <w:rFonts w:ascii="Arial Narrow" w:hAnsi="Arial Narrow"/>
                <w:color w:val="333333"/>
                <w:sz w:val="20"/>
                <w:szCs w:val="20"/>
              </w:rPr>
            </w:pPr>
          </w:p>
          <w:p w:rsidR="00D445AF" w:rsidRPr="00831A92" w:rsidRDefault="00D445AF" w:rsidP="005E0DDA">
            <w:pPr>
              <w:jc w:val="left"/>
              <w:rPr>
                <w:rFonts w:ascii="Arial Narrow" w:hAnsi="Arial Narrow"/>
                <w:i/>
                <w:color w:val="333333"/>
                <w:sz w:val="20"/>
                <w:szCs w:val="20"/>
              </w:rPr>
            </w:pPr>
            <w:r w:rsidRPr="00831A92">
              <w:rPr>
                <w:rFonts w:ascii="Arial Narrow" w:hAnsi="Arial Narrow"/>
                <w:strike/>
                <w:color w:val="333333"/>
                <w:sz w:val="20"/>
                <w:szCs w:val="20"/>
              </w:rPr>
              <w:t>Department of Human</w:t>
            </w:r>
            <w:r w:rsidRPr="00831A92">
              <w:rPr>
                <w:rFonts w:ascii="Arial Narrow" w:hAnsi="Arial Narrow"/>
                <w:color w:val="333333"/>
                <w:sz w:val="20"/>
                <w:szCs w:val="20"/>
              </w:rPr>
              <w:t xml:space="preserve"> Services </w:t>
            </w:r>
            <w:r w:rsidRPr="00831A92">
              <w:rPr>
                <w:rFonts w:ascii="Arial Narrow" w:hAnsi="Arial Narrow"/>
                <w:i/>
                <w:color w:val="333333"/>
                <w:sz w:val="20"/>
                <w:szCs w:val="20"/>
              </w:rPr>
              <w:t>Australia</w:t>
            </w:r>
          </w:p>
          <w:p w:rsidR="00D445AF" w:rsidRPr="00831A92" w:rsidRDefault="00D445AF" w:rsidP="005E0DDA">
            <w:pPr>
              <w:jc w:val="left"/>
              <w:rPr>
                <w:rFonts w:ascii="Arial Narrow" w:hAnsi="Arial Narrow"/>
                <w:color w:val="333333"/>
                <w:sz w:val="20"/>
                <w:szCs w:val="20"/>
              </w:rPr>
            </w:pPr>
            <w:r w:rsidRPr="00831A92">
              <w:rPr>
                <w:rFonts w:ascii="Arial Narrow" w:hAnsi="Arial Narrow"/>
                <w:color w:val="333333"/>
                <w:sz w:val="20"/>
                <w:szCs w:val="20"/>
              </w:rPr>
              <w:t xml:space="preserve">Complex Drugs </w:t>
            </w:r>
          </w:p>
          <w:p w:rsidR="00D445AF" w:rsidRPr="00831A92" w:rsidRDefault="00D445AF" w:rsidP="005E0DDA">
            <w:pPr>
              <w:jc w:val="left"/>
              <w:rPr>
                <w:rFonts w:ascii="Arial Narrow" w:hAnsi="Arial Narrow"/>
                <w:color w:val="333333"/>
                <w:sz w:val="20"/>
                <w:szCs w:val="20"/>
              </w:rPr>
            </w:pPr>
            <w:r w:rsidRPr="00831A92">
              <w:rPr>
                <w:rFonts w:ascii="Arial Narrow" w:hAnsi="Arial Narrow"/>
                <w:color w:val="333333"/>
                <w:sz w:val="20"/>
                <w:szCs w:val="20"/>
              </w:rPr>
              <w:t xml:space="preserve">Reply Paid 9826 </w:t>
            </w:r>
          </w:p>
          <w:p w:rsidR="00D445AF" w:rsidRPr="00831A92" w:rsidRDefault="00D445AF" w:rsidP="005E0DDA">
            <w:pPr>
              <w:jc w:val="left"/>
              <w:rPr>
                <w:rFonts w:ascii="Arial Narrow" w:hAnsi="Arial Narrow"/>
                <w:color w:val="333333"/>
                <w:sz w:val="20"/>
                <w:szCs w:val="20"/>
              </w:rPr>
            </w:pPr>
            <w:r w:rsidRPr="00831A92">
              <w:rPr>
                <w:rFonts w:ascii="Arial Narrow" w:hAnsi="Arial Narrow"/>
                <w:color w:val="333333"/>
                <w:sz w:val="20"/>
                <w:szCs w:val="20"/>
              </w:rPr>
              <w:t>HOBART TAS 7001</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D445AF" w:rsidRPr="00831A92" w:rsidRDefault="00D445AF" w:rsidP="005E0DDA">
            <w:pPr>
              <w:jc w:val="left"/>
              <w:rPr>
                <w:rFonts w:ascii="Arial Narrow" w:hAnsi="Arial Narrow"/>
                <w:b/>
                <w:bCs/>
                <w:color w:val="333333"/>
                <w:sz w:val="20"/>
                <w:szCs w:val="20"/>
              </w:rPr>
            </w:pPr>
            <w:r w:rsidRPr="00831A92">
              <w:rPr>
                <w:rFonts w:ascii="Arial Narrow" w:hAnsi="Arial Narrow"/>
                <w:b/>
                <w:bCs/>
                <w:color w:val="333333"/>
                <w:sz w:val="20"/>
                <w:szCs w:val="20"/>
              </w:rPr>
              <w:t>Administrative Advice:</w:t>
            </w:r>
          </w:p>
          <w:p w:rsidR="00D445AF" w:rsidRPr="00831A92" w:rsidRDefault="00D445AF" w:rsidP="005E0DDA">
            <w:pPr>
              <w:jc w:val="left"/>
              <w:rPr>
                <w:rFonts w:ascii="Arial Narrow" w:hAnsi="Arial Narrow"/>
                <w:bCs/>
                <w:color w:val="333333"/>
                <w:sz w:val="20"/>
                <w:szCs w:val="20"/>
              </w:rPr>
            </w:pPr>
            <w:r w:rsidRPr="00831A92">
              <w:rPr>
                <w:rFonts w:ascii="Arial Narrow" w:hAnsi="Arial Narrow"/>
                <w:bCs/>
                <w:color w:val="333333"/>
                <w:sz w:val="20"/>
                <w:szCs w:val="20"/>
              </w:rPr>
              <w:t>No increase in the maximum number of repeats may be authorised</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D445AF" w:rsidRPr="00831A92" w:rsidRDefault="00D445AF" w:rsidP="005E0DDA">
            <w:pPr>
              <w:jc w:val="left"/>
              <w:rPr>
                <w:rFonts w:ascii="Arial Narrow" w:hAnsi="Arial Narrow"/>
                <w:b/>
                <w:bCs/>
                <w:i/>
                <w:color w:val="333333"/>
                <w:sz w:val="20"/>
                <w:szCs w:val="20"/>
              </w:rPr>
            </w:pPr>
            <w:r w:rsidRPr="00831A92">
              <w:rPr>
                <w:rFonts w:ascii="Arial Narrow" w:hAnsi="Arial Narrow"/>
                <w:b/>
                <w:bCs/>
                <w:i/>
                <w:color w:val="333333"/>
                <w:sz w:val="20"/>
                <w:szCs w:val="20"/>
              </w:rPr>
              <w:t>Administrative Advice:</w:t>
            </w:r>
          </w:p>
          <w:p w:rsidR="00D445AF" w:rsidRPr="00831A92" w:rsidRDefault="00D445AF" w:rsidP="005E0DDA">
            <w:pPr>
              <w:jc w:val="left"/>
              <w:rPr>
                <w:rFonts w:ascii="Arial Narrow" w:hAnsi="Arial Narrow"/>
                <w:bCs/>
                <w:i/>
                <w:color w:val="333333"/>
                <w:sz w:val="20"/>
                <w:szCs w:val="20"/>
              </w:rPr>
            </w:pPr>
            <w:r w:rsidRPr="00831A92">
              <w:rPr>
                <w:rFonts w:ascii="Arial Narrow" w:hAnsi="Arial Narrow"/>
                <w:bCs/>
                <w:i/>
                <w:color w:val="333333"/>
                <w:sz w:val="20"/>
                <w:szCs w:val="20"/>
              </w:rPr>
              <w:t>No increase in the maximum quantity or number of units may be authorised for applications treating one eye</w:t>
            </w:r>
          </w:p>
        </w:tc>
      </w:tr>
      <w:tr w:rsidR="00D445AF" w:rsidRPr="00831A92" w:rsidTr="004C3D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D445AF" w:rsidRPr="00831A92" w:rsidRDefault="00D445AF" w:rsidP="005E0DDA">
            <w:pPr>
              <w:jc w:val="left"/>
              <w:rPr>
                <w:rFonts w:ascii="Arial Narrow" w:hAnsi="Arial Narrow"/>
                <w:color w:val="333333"/>
                <w:sz w:val="20"/>
                <w:szCs w:val="20"/>
              </w:rPr>
            </w:pPr>
            <w:r w:rsidRPr="00831A92">
              <w:rPr>
                <w:rFonts w:ascii="Arial Narrow" w:hAnsi="Arial Narrow"/>
                <w:b/>
                <w:bCs/>
                <w:color w:val="333333"/>
                <w:sz w:val="20"/>
                <w:szCs w:val="20"/>
              </w:rPr>
              <w:t>Administrative Advice:</w:t>
            </w:r>
            <w:r w:rsidRPr="00831A92">
              <w:rPr>
                <w:rFonts w:ascii="Arial Narrow" w:hAnsi="Arial Narrow"/>
                <w:color w:val="333333"/>
                <w:sz w:val="20"/>
                <w:szCs w:val="20"/>
              </w:rPr>
              <w:t xml:space="preserve"> Special Pricing Arrangements apply</w:t>
            </w:r>
          </w:p>
        </w:tc>
      </w:tr>
    </w:tbl>
    <w:p w:rsidR="00342E8C" w:rsidRPr="00831A92" w:rsidRDefault="00342E8C" w:rsidP="00342E8C">
      <w:pPr>
        <w:pStyle w:val="Bodytextitalics"/>
        <w:rPr>
          <w:b/>
          <w:snapToGrid w:val="0"/>
          <w:sz w:val="20"/>
          <w:szCs w:val="20"/>
        </w:rPr>
      </w:pPr>
    </w:p>
    <w:p w:rsidR="00342E8C" w:rsidRPr="00831A92" w:rsidRDefault="00342E8C" w:rsidP="00342E8C">
      <w:pPr>
        <w:pStyle w:val="Bodytextitalics"/>
        <w:rPr>
          <w:rFonts w:ascii="Arial Narrow" w:hAnsi="Arial Narrow"/>
          <w:b/>
          <w:i w:val="0"/>
          <w:sz w:val="20"/>
          <w:szCs w:val="20"/>
        </w:rPr>
      </w:pPr>
      <w:r w:rsidRPr="00831A92">
        <w:rPr>
          <w:rFonts w:ascii="Arial Narrow" w:hAnsi="Arial Narrow"/>
          <w:b/>
          <w:i w:val="0"/>
          <w:sz w:val="20"/>
          <w:szCs w:val="20"/>
        </w:rPr>
        <w:t>Continuing treatment of subfoveal CNV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D445AF" w:rsidRPr="00831A92" w:rsidTr="004C3DB5">
        <w:tc>
          <w:tcPr>
            <w:tcW w:w="5000" w:type="pct"/>
            <w:tcBorders>
              <w:top w:val="single" w:sz="4" w:space="0" w:color="auto"/>
              <w:left w:val="single" w:sz="4" w:space="0" w:color="auto"/>
              <w:bottom w:val="single" w:sz="4" w:space="0" w:color="auto"/>
              <w:right w:val="single" w:sz="4" w:space="0" w:color="auto"/>
            </w:tcBorders>
          </w:tcPr>
          <w:p w:rsidR="00D445AF" w:rsidRPr="00831A92" w:rsidRDefault="00D445AF" w:rsidP="005E0DDA">
            <w:pPr>
              <w:rPr>
                <w:rFonts w:ascii="Arial Narrow" w:hAnsi="Arial Narrow"/>
                <w:sz w:val="20"/>
                <w:szCs w:val="20"/>
              </w:rPr>
            </w:pPr>
            <w:r w:rsidRPr="00831A92">
              <w:rPr>
                <w:rFonts w:ascii="Arial Narrow" w:hAnsi="Arial Narrow"/>
                <w:b/>
                <w:sz w:val="20"/>
                <w:szCs w:val="20"/>
              </w:rPr>
              <w:t xml:space="preserve">Category / Program:   </w:t>
            </w:r>
            <w:r w:rsidRPr="00831A92">
              <w:rPr>
                <w:rFonts w:ascii="Arial Narrow" w:hAnsi="Arial Narrow"/>
                <w:sz w:val="20"/>
                <w:szCs w:val="20"/>
              </w:rPr>
              <w:t xml:space="preserve">GENERAL – General Schedule (Code GE) </w:t>
            </w:r>
          </w:p>
        </w:tc>
      </w:tr>
      <w:tr w:rsidR="00D445AF" w:rsidRPr="00831A92" w:rsidTr="004C3DB5">
        <w:trPr>
          <w:trHeight w:val="240"/>
        </w:trPr>
        <w:tc>
          <w:tcPr>
            <w:tcW w:w="5000" w:type="pct"/>
            <w:tcBorders>
              <w:top w:val="single" w:sz="4" w:space="0" w:color="auto"/>
              <w:left w:val="single" w:sz="4" w:space="0" w:color="auto"/>
              <w:bottom w:val="single" w:sz="4" w:space="0" w:color="auto"/>
              <w:right w:val="single" w:sz="4" w:space="0" w:color="auto"/>
            </w:tcBorders>
          </w:tcPr>
          <w:p w:rsidR="00D445AF" w:rsidRPr="00831A92" w:rsidRDefault="00D445AF" w:rsidP="00936DA0">
            <w:pPr>
              <w:rPr>
                <w:rFonts w:ascii="Arial Narrow" w:hAnsi="Arial Narrow"/>
                <w:b/>
                <w:sz w:val="20"/>
                <w:szCs w:val="20"/>
              </w:rPr>
            </w:pPr>
            <w:r w:rsidRPr="00831A92">
              <w:rPr>
                <w:rFonts w:ascii="Arial Narrow" w:hAnsi="Arial Narrow"/>
                <w:b/>
                <w:sz w:val="20"/>
                <w:szCs w:val="20"/>
              </w:rPr>
              <w:t xml:space="preserve">Prescriber type:   </w:t>
            </w:r>
            <w:r w:rsidRPr="00831A92">
              <w:rPr>
                <w:rFonts w:ascii="Arial Narrow" w:hAnsi="Arial Narrow"/>
                <w:sz w:val="20"/>
                <w:szCs w:val="20"/>
              </w:rPr>
              <w:fldChar w:fldCharType="begin">
                <w:ffData>
                  <w:name w:val=""/>
                  <w:enabled/>
                  <w:calcOnExit w:val="0"/>
                  <w:checkBox>
                    <w:sizeAuto/>
                    <w:default w:val="1"/>
                  </w:checkBox>
                </w:ffData>
              </w:fldChar>
            </w:r>
            <w:r w:rsidRPr="00831A92">
              <w:rPr>
                <w:rFonts w:ascii="Arial Narrow" w:hAnsi="Arial Narrow"/>
                <w:sz w:val="20"/>
                <w:szCs w:val="20"/>
              </w:rPr>
              <w:instrText xml:space="preserve"> FORMCHECKBOX </w:instrText>
            </w:r>
            <w:r w:rsidR="007A52BB">
              <w:rPr>
                <w:rFonts w:ascii="Arial Narrow" w:hAnsi="Arial Narrow"/>
                <w:sz w:val="20"/>
                <w:szCs w:val="20"/>
              </w:rPr>
            </w:r>
            <w:r w:rsidR="007A52BB">
              <w:rPr>
                <w:rFonts w:ascii="Arial Narrow" w:hAnsi="Arial Narrow"/>
                <w:sz w:val="20"/>
                <w:szCs w:val="20"/>
              </w:rPr>
              <w:fldChar w:fldCharType="separate"/>
            </w:r>
            <w:r w:rsidRPr="00831A92">
              <w:rPr>
                <w:rFonts w:ascii="Arial Narrow" w:hAnsi="Arial Narrow"/>
                <w:sz w:val="20"/>
                <w:szCs w:val="20"/>
              </w:rPr>
              <w:fldChar w:fldCharType="end"/>
            </w:r>
            <w:r w:rsidRPr="00831A92">
              <w:rPr>
                <w:rFonts w:ascii="Arial Narrow" w:hAnsi="Arial Narrow"/>
                <w:sz w:val="20"/>
                <w:szCs w:val="20"/>
              </w:rPr>
              <w:t xml:space="preserve">Medical Practitioners    </w:t>
            </w:r>
          </w:p>
        </w:tc>
      </w:tr>
      <w:tr w:rsidR="00D445AF" w:rsidRPr="00831A92" w:rsidTr="004C3DB5">
        <w:tc>
          <w:tcPr>
            <w:tcW w:w="5000" w:type="pct"/>
            <w:tcBorders>
              <w:top w:val="single" w:sz="4" w:space="0" w:color="auto"/>
              <w:left w:val="single" w:sz="4" w:space="0" w:color="auto"/>
              <w:bottom w:val="single" w:sz="4" w:space="0" w:color="auto"/>
              <w:right w:val="single" w:sz="4" w:space="0" w:color="auto"/>
            </w:tcBorders>
          </w:tcPr>
          <w:p w:rsidR="00D445AF" w:rsidRPr="00831A92" w:rsidRDefault="00D445AF" w:rsidP="005E0DDA">
            <w:pPr>
              <w:rPr>
                <w:rFonts w:ascii="Arial Narrow" w:hAnsi="Arial Narrow"/>
                <w:b/>
                <w:sz w:val="20"/>
                <w:szCs w:val="20"/>
              </w:rPr>
            </w:pPr>
            <w:r w:rsidRPr="00831A92">
              <w:rPr>
                <w:rFonts w:ascii="Arial Narrow" w:hAnsi="Arial Narrow"/>
                <w:b/>
                <w:sz w:val="20"/>
                <w:szCs w:val="20"/>
              </w:rPr>
              <w:t>Restriction  type / Method:</w:t>
            </w:r>
          </w:p>
          <w:p w:rsidR="00D445AF" w:rsidRPr="00831A92" w:rsidRDefault="00D445AF" w:rsidP="00D445AF">
            <w:pPr>
              <w:rPr>
                <w:rFonts w:ascii="Arial Narrow" w:hAnsi="Arial Narrow"/>
                <w:sz w:val="20"/>
                <w:szCs w:val="20"/>
              </w:rPr>
            </w:pPr>
            <w:r w:rsidRPr="00831A92">
              <w:rPr>
                <w:rFonts w:ascii="Arial Narrow" w:hAnsi="Arial Narrow"/>
                <w:sz w:val="20"/>
                <w:szCs w:val="20"/>
              </w:rPr>
              <w:fldChar w:fldCharType="begin">
                <w:ffData>
                  <w:name w:val="Check3"/>
                  <w:enabled/>
                  <w:calcOnExit w:val="0"/>
                  <w:checkBox>
                    <w:sizeAuto/>
                    <w:default w:val="1"/>
                  </w:checkBox>
                </w:ffData>
              </w:fldChar>
            </w:r>
            <w:r w:rsidRPr="00831A92">
              <w:rPr>
                <w:rFonts w:ascii="Arial Narrow" w:hAnsi="Arial Narrow"/>
                <w:sz w:val="20"/>
                <w:szCs w:val="20"/>
              </w:rPr>
              <w:instrText xml:space="preserve"> FORMCHECKBOX </w:instrText>
            </w:r>
            <w:r w:rsidR="007A52BB">
              <w:rPr>
                <w:rFonts w:ascii="Arial Narrow" w:hAnsi="Arial Narrow"/>
                <w:sz w:val="20"/>
                <w:szCs w:val="20"/>
              </w:rPr>
            </w:r>
            <w:r w:rsidR="007A52BB">
              <w:rPr>
                <w:rFonts w:ascii="Arial Narrow" w:hAnsi="Arial Narrow"/>
                <w:sz w:val="20"/>
                <w:szCs w:val="20"/>
              </w:rPr>
              <w:fldChar w:fldCharType="separate"/>
            </w:r>
            <w:r w:rsidRPr="00831A92">
              <w:rPr>
                <w:rFonts w:ascii="Arial Narrow" w:hAnsi="Arial Narrow"/>
                <w:sz w:val="20"/>
                <w:szCs w:val="20"/>
              </w:rPr>
              <w:fldChar w:fldCharType="end"/>
            </w:r>
            <w:r w:rsidRPr="00831A92">
              <w:rPr>
                <w:rFonts w:ascii="Arial Narrow" w:hAnsi="Arial Narrow"/>
                <w:sz w:val="20"/>
                <w:szCs w:val="20"/>
              </w:rPr>
              <w:t>Authority Required – Telephone/Electronic/Emergency</w:t>
            </w:r>
          </w:p>
        </w:tc>
      </w:tr>
      <w:tr w:rsidR="00D445AF" w:rsidRPr="00831A92" w:rsidTr="004C3DB5">
        <w:tc>
          <w:tcPr>
            <w:tcW w:w="5000" w:type="pct"/>
            <w:vAlign w:val="center"/>
            <w:hideMark/>
          </w:tcPr>
          <w:p w:rsidR="00D445AF" w:rsidRPr="00831A92" w:rsidRDefault="00D445AF" w:rsidP="005E0DDA">
            <w:pPr>
              <w:contextualSpacing/>
              <w:jc w:val="left"/>
              <w:rPr>
                <w:rFonts w:ascii="Arial Narrow" w:hAnsi="Arial Narrow"/>
                <w:color w:val="333333"/>
                <w:sz w:val="20"/>
                <w:szCs w:val="20"/>
              </w:rPr>
            </w:pPr>
            <w:r w:rsidRPr="00831A92">
              <w:rPr>
                <w:rFonts w:ascii="Arial Narrow" w:hAnsi="Arial Narrow"/>
                <w:b/>
                <w:bCs/>
                <w:color w:val="333333"/>
                <w:sz w:val="20"/>
                <w:szCs w:val="20"/>
              </w:rPr>
              <w:t>Indication:</w:t>
            </w:r>
            <w:r w:rsidRPr="00831A92">
              <w:rPr>
                <w:rFonts w:ascii="Arial Narrow" w:hAnsi="Arial Narrow"/>
                <w:color w:val="333333"/>
                <w:sz w:val="20"/>
                <w:szCs w:val="20"/>
              </w:rPr>
              <w:t xml:space="preserve"> Subfoveal choroidal neovascularisation (CNV)</w:t>
            </w:r>
          </w:p>
        </w:tc>
      </w:tr>
      <w:tr w:rsidR="00D445AF" w:rsidRPr="00831A92" w:rsidTr="004C3DB5">
        <w:tc>
          <w:tcPr>
            <w:tcW w:w="5000" w:type="pct"/>
            <w:vAlign w:val="center"/>
            <w:hideMark/>
          </w:tcPr>
          <w:p w:rsidR="00D445AF" w:rsidRPr="00831A92" w:rsidRDefault="00D445AF" w:rsidP="005E0DDA">
            <w:pPr>
              <w:contextualSpacing/>
              <w:jc w:val="left"/>
              <w:rPr>
                <w:rFonts w:ascii="Arial Narrow" w:hAnsi="Arial Narrow"/>
                <w:color w:val="333333"/>
                <w:sz w:val="20"/>
                <w:szCs w:val="20"/>
              </w:rPr>
            </w:pPr>
            <w:r w:rsidRPr="00831A92">
              <w:rPr>
                <w:rFonts w:ascii="Arial Narrow" w:hAnsi="Arial Narrow"/>
                <w:b/>
                <w:bCs/>
                <w:color w:val="333333"/>
                <w:sz w:val="20"/>
                <w:szCs w:val="20"/>
              </w:rPr>
              <w:t>Treatment Phase:</w:t>
            </w:r>
            <w:r w:rsidRPr="00831A92">
              <w:rPr>
                <w:rFonts w:ascii="Arial Narrow" w:hAnsi="Arial Narrow"/>
                <w:color w:val="333333"/>
                <w:sz w:val="20"/>
                <w:szCs w:val="20"/>
              </w:rPr>
              <w:t xml:space="preserve"> Continuing treatment</w:t>
            </w:r>
          </w:p>
        </w:tc>
      </w:tr>
      <w:tr w:rsidR="00D445AF" w:rsidRPr="00831A92" w:rsidTr="004C3DB5">
        <w:tc>
          <w:tcPr>
            <w:tcW w:w="5000" w:type="pct"/>
            <w:vAlign w:val="center"/>
            <w:hideMark/>
          </w:tcPr>
          <w:p w:rsidR="00D445AF" w:rsidRPr="00831A92" w:rsidRDefault="00D445AF" w:rsidP="005E0DDA">
            <w:pPr>
              <w:contextualSpacing/>
              <w:jc w:val="left"/>
              <w:rPr>
                <w:rFonts w:ascii="Arial Narrow" w:hAnsi="Arial Narrow"/>
                <w:color w:val="333333"/>
                <w:sz w:val="20"/>
                <w:szCs w:val="20"/>
              </w:rPr>
            </w:pPr>
            <w:r w:rsidRPr="00831A92">
              <w:rPr>
                <w:rFonts w:ascii="Arial Narrow" w:hAnsi="Arial Narrow"/>
                <w:b/>
                <w:bCs/>
                <w:color w:val="333333"/>
                <w:sz w:val="20"/>
                <w:szCs w:val="20"/>
              </w:rPr>
              <w:t>Clinical criteria:</w:t>
            </w:r>
          </w:p>
        </w:tc>
      </w:tr>
      <w:tr w:rsidR="00D445AF" w:rsidRPr="00831A92" w:rsidTr="004C3DB5">
        <w:tc>
          <w:tcPr>
            <w:tcW w:w="5000" w:type="pct"/>
            <w:vAlign w:val="center"/>
            <w:hideMark/>
          </w:tcPr>
          <w:p w:rsidR="00D445AF" w:rsidRPr="00831A92" w:rsidRDefault="00D445AF" w:rsidP="005E0DDA">
            <w:pPr>
              <w:contextualSpacing/>
              <w:jc w:val="left"/>
              <w:rPr>
                <w:rFonts w:ascii="Arial Narrow" w:hAnsi="Arial Narrow"/>
                <w:color w:val="333333"/>
                <w:sz w:val="20"/>
                <w:szCs w:val="20"/>
              </w:rPr>
            </w:pPr>
            <w:r w:rsidRPr="00831A92">
              <w:rPr>
                <w:rFonts w:ascii="Arial Narrow" w:hAnsi="Arial Narrow"/>
                <w:color w:val="333333"/>
                <w:sz w:val="20"/>
                <w:szCs w:val="20"/>
              </w:rPr>
              <w:t>The condition must be due to age-related macular degeneration (AMD)</w:t>
            </w:r>
          </w:p>
        </w:tc>
      </w:tr>
      <w:tr w:rsidR="00D445AF" w:rsidRPr="00831A92" w:rsidTr="004C3DB5">
        <w:tc>
          <w:tcPr>
            <w:tcW w:w="5000" w:type="pct"/>
            <w:vAlign w:val="center"/>
            <w:hideMark/>
          </w:tcPr>
          <w:p w:rsidR="00D445AF" w:rsidRPr="00831A92" w:rsidRDefault="00D445AF" w:rsidP="005E0DDA">
            <w:pPr>
              <w:contextualSpacing/>
              <w:jc w:val="left"/>
              <w:rPr>
                <w:rFonts w:ascii="Arial Narrow" w:hAnsi="Arial Narrow"/>
                <w:color w:val="333333"/>
                <w:sz w:val="20"/>
                <w:szCs w:val="20"/>
              </w:rPr>
            </w:pPr>
            <w:r w:rsidRPr="00831A92">
              <w:rPr>
                <w:rFonts w:ascii="Arial Narrow" w:hAnsi="Arial Narrow"/>
                <w:b/>
                <w:bCs/>
                <w:color w:val="333333"/>
                <w:sz w:val="20"/>
                <w:szCs w:val="20"/>
              </w:rPr>
              <w:t>AND</w:t>
            </w:r>
          </w:p>
        </w:tc>
      </w:tr>
      <w:tr w:rsidR="00D445AF" w:rsidRPr="00831A92" w:rsidTr="004C3DB5">
        <w:tc>
          <w:tcPr>
            <w:tcW w:w="5000" w:type="pct"/>
            <w:vAlign w:val="center"/>
            <w:hideMark/>
          </w:tcPr>
          <w:p w:rsidR="00D445AF" w:rsidRPr="00831A92" w:rsidRDefault="00D445AF" w:rsidP="005E0DDA">
            <w:pPr>
              <w:contextualSpacing/>
              <w:jc w:val="left"/>
              <w:rPr>
                <w:rFonts w:ascii="Arial Narrow" w:hAnsi="Arial Narrow"/>
                <w:color w:val="333333"/>
                <w:sz w:val="20"/>
                <w:szCs w:val="20"/>
              </w:rPr>
            </w:pPr>
            <w:r w:rsidRPr="00831A92">
              <w:rPr>
                <w:rFonts w:ascii="Arial Narrow" w:hAnsi="Arial Narrow"/>
                <w:b/>
                <w:bCs/>
                <w:color w:val="333333"/>
                <w:sz w:val="20"/>
                <w:szCs w:val="20"/>
              </w:rPr>
              <w:t>Clinical criteria:</w:t>
            </w:r>
          </w:p>
        </w:tc>
      </w:tr>
      <w:tr w:rsidR="00D445AF" w:rsidRPr="00831A92" w:rsidTr="004C3DB5">
        <w:tc>
          <w:tcPr>
            <w:tcW w:w="5000" w:type="pct"/>
            <w:vAlign w:val="center"/>
            <w:hideMark/>
          </w:tcPr>
          <w:p w:rsidR="00D445AF" w:rsidRPr="00831A92" w:rsidRDefault="00D445AF" w:rsidP="005E0DDA">
            <w:pPr>
              <w:contextualSpacing/>
              <w:jc w:val="left"/>
              <w:rPr>
                <w:rFonts w:ascii="Arial Narrow" w:hAnsi="Arial Narrow"/>
                <w:color w:val="333333"/>
                <w:sz w:val="20"/>
                <w:szCs w:val="20"/>
              </w:rPr>
            </w:pPr>
            <w:r w:rsidRPr="00831A92">
              <w:rPr>
                <w:rFonts w:ascii="Arial Narrow" w:hAnsi="Arial Narrow"/>
                <w:color w:val="333333"/>
                <w:sz w:val="20"/>
                <w:szCs w:val="20"/>
              </w:rPr>
              <w:t>The treatment must be the sole PBS-subsidised therapy for this condition</w:t>
            </w:r>
          </w:p>
        </w:tc>
      </w:tr>
      <w:tr w:rsidR="00D445AF" w:rsidRPr="00831A92" w:rsidTr="004C3DB5">
        <w:tc>
          <w:tcPr>
            <w:tcW w:w="5000" w:type="pct"/>
            <w:vAlign w:val="center"/>
            <w:hideMark/>
          </w:tcPr>
          <w:p w:rsidR="00D445AF" w:rsidRPr="00831A92" w:rsidRDefault="00D445AF" w:rsidP="005E0DDA">
            <w:pPr>
              <w:contextualSpacing/>
              <w:jc w:val="left"/>
              <w:rPr>
                <w:rFonts w:ascii="Arial Narrow" w:hAnsi="Arial Narrow"/>
                <w:color w:val="333333"/>
                <w:sz w:val="20"/>
                <w:szCs w:val="20"/>
              </w:rPr>
            </w:pPr>
            <w:r w:rsidRPr="00831A92">
              <w:rPr>
                <w:rFonts w:ascii="Arial Narrow" w:hAnsi="Arial Narrow"/>
                <w:b/>
                <w:bCs/>
                <w:color w:val="333333"/>
                <w:sz w:val="20"/>
                <w:szCs w:val="20"/>
              </w:rPr>
              <w:t>AND</w:t>
            </w:r>
          </w:p>
        </w:tc>
      </w:tr>
      <w:tr w:rsidR="00D445AF" w:rsidRPr="00831A92" w:rsidTr="004C3DB5">
        <w:tc>
          <w:tcPr>
            <w:tcW w:w="5000" w:type="pct"/>
            <w:vAlign w:val="center"/>
            <w:hideMark/>
          </w:tcPr>
          <w:p w:rsidR="00D445AF" w:rsidRPr="00831A92" w:rsidRDefault="00D445AF" w:rsidP="005E0DDA">
            <w:pPr>
              <w:contextualSpacing/>
              <w:jc w:val="left"/>
              <w:rPr>
                <w:rFonts w:ascii="Arial Narrow" w:hAnsi="Arial Narrow"/>
                <w:color w:val="333333"/>
                <w:sz w:val="20"/>
                <w:szCs w:val="20"/>
              </w:rPr>
            </w:pPr>
            <w:r w:rsidRPr="00831A92">
              <w:rPr>
                <w:rFonts w:ascii="Arial Narrow" w:hAnsi="Arial Narrow"/>
                <w:b/>
                <w:bCs/>
                <w:color w:val="333333"/>
                <w:sz w:val="20"/>
                <w:szCs w:val="20"/>
              </w:rPr>
              <w:t>Clinical criteria:</w:t>
            </w:r>
          </w:p>
        </w:tc>
      </w:tr>
      <w:tr w:rsidR="00D445AF" w:rsidRPr="00831A92" w:rsidTr="004C3DB5">
        <w:tc>
          <w:tcPr>
            <w:tcW w:w="5000" w:type="pct"/>
            <w:vAlign w:val="center"/>
            <w:hideMark/>
          </w:tcPr>
          <w:p w:rsidR="00D445AF" w:rsidRPr="00831A92" w:rsidRDefault="00D445AF" w:rsidP="005E0DDA">
            <w:pPr>
              <w:contextualSpacing/>
              <w:jc w:val="left"/>
              <w:rPr>
                <w:rFonts w:ascii="Arial Narrow" w:hAnsi="Arial Narrow"/>
                <w:color w:val="333333"/>
                <w:sz w:val="20"/>
                <w:szCs w:val="20"/>
              </w:rPr>
            </w:pPr>
            <w:r w:rsidRPr="00831A92">
              <w:rPr>
                <w:rFonts w:ascii="Arial Narrow" w:hAnsi="Arial Narrow"/>
                <w:color w:val="333333"/>
                <w:sz w:val="20"/>
                <w:szCs w:val="20"/>
              </w:rPr>
              <w:t>Patient must have previously been granted an authority prescription for the same eye</w:t>
            </w:r>
          </w:p>
        </w:tc>
      </w:tr>
      <w:tr w:rsidR="00D445AF" w:rsidRPr="00831A92" w:rsidTr="004C3DB5">
        <w:tc>
          <w:tcPr>
            <w:tcW w:w="5000" w:type="pct"/>
            <w:vAlign w:val="center"/>
            <w:hideMark/>
          </w:tcPr>
          <w:p w:rsidR="00D445AF" w:rsidRPr="00831A92" w:rsidRDefault="00D445AF" w:rsidP="005E0DDA">
            <w:pPr>
              <w:contextualSpacing/>
              <w:jc w:val="left"/>
              <w:rPr>
                <w:rFonts w:ascii="Arial Narrow" w:hAnsi="Arial Narrow"/>
                <w:color w:val="333333"/>
                <w:sz w:val="20"/>
                <w:szCs w:val="20"/>
              </w:rPr>
            </w:pPr>
            <w:r w:rsidRPr="00831A92">
              <w:rPr>
                <w:rFonts w:ascii="Arial Narrow" w:hAnsi="Arial Narrow"/>
                <w:b/>
                <w:bCs/>
                <w:color w:val="333333"/>
                <w:sz w:val="20"/>
                <w:szCs w:val="20"/>
              </w:rPr>
              <w:t>AND</w:t>
            </w:r>
          </w:p>
        </w:tc>
      </w:tr>
      <w:tr w:rsidR="00D445AF" w:rsidRPr="00831A92" w:rsidTr="004C3DB5">
        <w:tc>
          <w:tcPr>
            <w:tcW w:w="5000" w:type="pct"/>
            <w:vAlign w:val="center"/>
            <w:hideMark/>
          </w:tcPr>
          <w:p w:rsidR="00D445AF" w:rsidRPr="00831A92" w:rsidRDefault="00D445AF" w:rsidP="005E0DDA">
            <w:pPr>
              <w:contextualSpacing/>
              <w:jc w:val="left"/>
              <w:rPr>
                <w:rFonts w:ascii="Arial Narrow" w:hAnsi="Arial Narrow"/>
                <w:color w:val="333333"/>
                <w:sz w:val="20"/>
                <w:szCs w:val="20"/>
              </w:rPr>
            </w:pPr>
            <w:r w:rsidRPr="00831A92">
              <w:rPr>
                <w:rFonts w:ascii="Arial Narrow" w:hAnsi="Arial Narrow"/>
                <w:b/>
                <w:bCs/>
                <w:color w:val="333333"/>
                <w:sz w:val="20"/>
                <w:szCs w:val="20"/>
              </w:rPr>
              <w:t>Treatment criteria:</w:t>
            </w:r>
          </w:p>
        </w:tc>
      </w:tr>
      <w:tr w:rsidR="00D445AF" w:rsidRPr="00831A92" w:rsidTr="004C3DB5">
        <w:tc>
          <w:tcPr>
            <w:tcW w:w="5000" w:type="pct"/>
            <w:vAlign w:val="center"/>
            <w:hideMark/>
          </w:tcPr>
          <w:p w:rsidR="00D445AF" w:rsidRPr="00831A92" w:rsidRDefault="00D445AF" w:rsidP="005E0DDA">
            <w:pPr>
              <w:contextualSpacing/>
              <w:jc w:val="left"/>
              <w:rPr>
                <w:rFonts w:ascii="Arial Narrow" w:hAnsi="Arial Narrow"/>
                <w:color w:val="333333"/>
                <w:sz w:val="20"/>
                <w:szCs w:val="20"/>
              </w:rPr>
            </w:pPr>
            <w:r w:rsidRPr="00831A92">
              <w:rPr>
                <w:rFonts w:ascii="Arial Narrow" w:hAnsi="Arial Narrow"/>
                <w:color w:val="333333"/>
                <w:sz w:val="20"/>
                <w:szCs w:val="20"/>
              </w:rPr>
              <w:t xml:space="preserve"> Must be treated by an ophthalmologist or in consultation with an ophthalmologist</w:t>
            </w:r>
          </w:p>
        </w:tc>
      </w:tr>
      <w:tr w:rsidR="00D445AF" w:rsidRPr="00831A92" w:rsidTr="004C3DB5">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D445AF" w:rsidRPr="00831A92" w:rsidRDefault="00D445AF" w:rsidP="005E0DDA">
            <w:pPr>
              <w:jc w:val="left"/>
              <w:rPr>
                <w:rFonts w:ascii="Arial Narrow" w:hAnsi="Arial Narrow"/>
                <w:i/>
                <w:color w:val="333333"/>
                <w:sz w:val="20"/>
                <w:szCs w:val="20"/>
              </w:rPr>
            </w:pPr>
            <w:r w:rsidRPr="00831A92">
              <w:rPr>
                <w:rFonts w:ascii="Arial Narrow" w:hAnsi="Arial Narrow"/>
                <w:b/>
                <w:bCs/>
                <w:i/>
                <w:color w:val="333333"/>
                <w:sz w:val="20"/>
                <w:szCs w:val="20"/>
              </w:rPr>
              <w:t>Prescribing Instructions:</w:t>
            </w:r>
          </w:p>
          <w:p w:rsidR="00D445AF" w:rsidRPr="00831A92" w:rsidRDefault="00D445AF" w:rsidP="005E0DDA">
            <w:pPr>
              <w:contextualSpacing/>
              <w:jc w:val="left"/>
              <w:rPr>
                <w:rFonts w:ascii="Arial Narrow" w:hAnsi="Arial Narrow"/>
                <w:color w:val="333333"/>
                <w:sz w:val="20"/>
                <w:szCs w:val="20"/>
              </w:rPr>
            </w:pPr>
            <w:r w:rsidRPr="00831A92">
              <w:rPr>
                <w:rFonts w:ascii="Arial Narrow" w:hAnsi="Arial Narrow"/>
                <w:i/>
                <w:sz w:val="20"/>
                <w:szCs w:val="20"/>
              </w:rPr>
              <w:t xml:space="preserve">Where both eyes are being treated simultaneously, a quantity of 2 </w:t>
            </w:r>
            <w:r w:rsidRPr="00831A92">
              <w:rPr>
                <w:rFonts w:ascii="Arial Narrow" w:hAnsi="Arial Narrow"/>
                <w:i/>
                <w:strike/>
                <w:sz w:val="20"/>
                <w:szCs w:val="20"/>
              </w:rPr>
              <w:t>vials</w:t>
            </w:r>
            <w:r w:rsidRPr="00831A92">
              <w:rPr>
                <w:rFonts w:ascii="Arial Narrow" w:hAnsi="Arial Narrow"/>
                <w:i/>
                <w:sz w:val="20"/>
                <w:szCs w:val="20"/>
              </w:rPr>
              <w:t xml:space="preserve"> pre-filled syringes can be requested on the same authority prescription form</w:t>
            </w:r>
          </w:p>
        </w:tc>
      </w:tr>
      <w:tr w:rsidR="00D445AF" w:rsidRPr="00831A92" w:rsidTr="004C3DB5">
        <w:tc>
          <w:tcPr>
            <w:tcW w:w="5000" w:type="pct"/>
            <w:vAlign w:val="center"/>
            <w:hideMark/>
          </w:tcPr>
          <w:p w:rsidR="00D445AF" w:rsidRPr="00831A92" w:rsidRDefault="00D445AF" w:rsidP="005E0DDA">
            <w:pPr>
              <w:contextualSpacing/>
              <w:jc w:val="left"/>
              <w:rPr>
                <w:rFonts w:ascii="Arial Narrow" w:hAnsi="Arial Narrow"/>
                <w:color w:val="333333"/>
                <w:sz w:val="20"/>
                <w:szCs w:val="20"/>
              </w:rPr>
            </w:pPr>
            <w:r w:rsidRPr="00831A92">
              <w:rPr>
                <w:rFonts w:ascii="Arial Narrow" w:hAnsi="Arial Narrow"/>
                <w:b/>
                <w:bCs/>
                <w:color w:val="333333"/>
                <w:sz w:val="20"/>
                <w:szCs w:val="20"/>
              </w:rPr>
              <w:t>Administrative Advice:</w:t>
            </w:r>
            <w:r w:rsidRPr="00831A92">
              <w:rPr>
                <w:rFonts w:ascii="Arial Narrow" w:hAnsi="Arial Narrow"/>
                <w:color w:val="333333"/>
                <w:sz w:val="20"/>
                <w:szCs w:val="20"/>
              </w:rPr>
              <w:t xml:space="preserve"> </w:t>
            </w:r>
          </w:p>
          <w:p w:rsidR="00D445AF" w:rsidRPr="00831A92" w:rsidRDefault="00D445AF" w:rsidP="005E0DDA">
            <w:pPr>
              <w:contextualSpacing/>
              <w:jc w:val="left"/>
              <w:rPr>
                <w:rFonts w:ascii="Arial Narrow" w:hAnsi="Arial Narrow"/>
                <w:color w:val="333333"/>
                <w:sz w:val="20"/>
                <w:szCs w:val="20"/>
              </w:rPr>
            </w:pPr>
            <w:r w:rsidRPr="00831A92">
              <w:rPr>
                <w:rFonts w:ascii="Arial Narrow" w:hAnsi="Arial Narrow"/>
                <w:color w:val="333333"/>
                <w:sz w:val="20"/>
                <w:szCs w:val="20"/>
              </w:rPr>
              <w:t xml:space="preserve">Authority approvals will be administered by the Complex Drugs Unit of </w:t>
            </w:r>
            <w:r w:rsidRPr="00831A92">
              <w:rPr>
                <w:rFonts w:ascii="Arial Narrow" w:hAnsi="Arial Narrow"/>
                <w:strike/>
                <w:color w:val="333333"/>
                <w:sz w:val="20"/>
                <w:szCs w:val="20"/>
              </w:rPr>
              <w:t>the Department of Human</w:t>
            </w:r>
            <w:r w:rsidRPr="00831A92">
              <w:rPr>
                <w:rFonts w:ascii="Arial Narrow" w:hAnsi="Arial Narrow"/>
                <w:color w:val="333333"/>
                <w:sz w:val="20"/>
                <w:szCs w:val="20"/>
              </w:rPr>
              <w:t xml:space="preserve"> Services </w:t>
            </w:r>
            <w:r w:rsidRPr="00831A92">
              <w:rPr>
                <w:rFonts w:ascii="Arial Narrow" w:hAnsi="Arial Narrow"/>
                <w:i/>
                <w:color w:val="333333"/>
                <w:sz w:val="20"/>
                <w:szCs w:val="20"/>
              </w:rPr>
              <w:t>Australia</w:t>
            </w:r>
          </w:p>
        </w:tc>
      </w:tr>
      <w:tr w:rsidR="00D445AF" w:rsidRPr="00831A92" w:rsidTr="004C3DB5">
        <w:tc>
          <w:tcPr>
            <w:tcW w:w="5000" w:type="pct"/>
            <w:vAlign w:val="center"/>
            <w:hideMark/>
          </w:tcPr>
          <w:p w:rsidR="00D445AF" w:rsidRPr="00831A92" w:rsidRDefault="00D445AF" w:rsidP="005E0DDA">
            <w:pPr>
              <w:contextualSpacing/>
              <w:jc w:val="left"/>
              <w:rPr>
                <w:rFonts w:ascii="Arial Narrow" w:hAnsi="Arial Narrow"/>
                <w:color w:val="333333"/>
                <w:sz w:val="20"/>
                <w:szCs w:val="20"/>
              </w:rPr>
            </w:pPr>
            <w:r w:rsidRPr="00831A92">
              <w:rPr>
                <w:rFonts w:ascii="Arial Narrow" w:hAnsi="Arial Narrow"/>
                <w:b/>
                <w:bCs/>
                <w:color w:val="333333"/>
                <w:sz w:val="20"/>
                <w:szCs w:val="20"/>
              </w:rPr>
              <w:t>Administrative Advice:</w:t>
            </w:r>
          </w:p>
          <w:p w:rsidR="00D445AF" w:rsidRPr="00831A92" w:rsidRDefault="00D445AF" w:rsidP="005E0DDA">
            <w:pPr>
              <w:contextualSpacing/>
              <w:jc w:val="left"/>
              <w:rPr>
                <w:rFonts w:ascii="Arial Narrow" w:hAnsi="Arial Narrow"/>
                <w:color w:val="333333"/>
                <w:sz w:val="20"/>
                <w:szCs w:val="20"/>
              </w:rPr>
            </w:pPr>
            <w:r w:rsidRPr="00831A92">
              <w:rPr>
                <w:rFonts w:ascii="Arial Narrow" w:hAnsi="Arial Narrow"/>
                <w:color w:val="333333"/>
                <w:sz w:val="20"/>
                <w:szCs w:val="20"/>
              </w:rPr>
              <w:t xml:space="preserve">Authority applications for continuing treatment in the same eye may be made by telephone on 1800 700 270 </w:t>
            </w:r>
            <w:r w:rsidRPr="00831A92">
              <w:rPr>
                <w:rFonts w:ascii="Arial Narrow" w:hAnsi="Arial Narrow"/>
                <w:strike/>
                <w:color w:val="333333"/>
                <w:sz w:val="20"/>
                <w:szCs w:val="20"/>
              </w:rPr>
              <w:t>(hours of operation 8 a.m. to 5 p.m. EST Monday to Friday)</w:t>
            </w:r>
          </w:p>
        </w:tc>
      </w:tr>
      <w:tr w:rsidR="00D445AF" w:rsidRPr="00831A92" w:rsidTr="004C3DB5">
        <w:tc>
          <w:tcPr>
            <w:tcW w:w="5000" w:type="pct"/>
            <w:vAlign w:val="center"/>
            <w:hideMark/>
          </w:tcPr>
          <w:p w:rsidR="00D445AF" w:rsidRPr="00831A92" w:rsidRDefault="00D445AF" w:rsidP="005E0DDA">
            <w:pPr>
              <w:contextualSpacing/>
              <w:jc w:val="left"/>
              <w:rPr>
                <w:rFonts w:ascii="Arial Narrow" w:hAnsi="Arial Narrow"/>
                <w:color w:val="333333"/>
                <w:sz w:val="20"/>
                <w:szCs w:val="20"/>
              </w:rPr>
            </w:pPr>
            <w:r w:rsidRPr="00831A92">
              <w:rPr>
                <w:rFonts w:ascii="Arial Narrow" w:hAnsi="Arial Narrow"/>
                <w:b/>
                <w:bCs/>
                <w:color w:val="333333"/>
                <w:sz w:val="20"/>
                <w:szCs w:val="20"/>
              </w:rPr>
              <w:t>Administrative Advice:</w:t>
            </w:r>
            <w:r w:rsidRPr="00831A92">
              <w:rPr>
                <w:rFonts w:ascii="Arial Narrow" w:hAnsi="Arial Narrow"/>
                <w:color w:val="333333"/>
                <w:sz w:val="20"/>
                <w:szCs w:val="20"/>
              </w:rPr>
              <w:t xml:space="preserve"> No increase in the maximum number of repeats may be authorised</w:t>
            </w:r>
          </w:p>
        </w:tc>
      </w:tr>
      <w:tr w:rsidR="00D445AF" w:rsidRPr="00831A92" w:rsidTr="004C3DB5">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D445AF" w:rsidRPr="00831A92" w:rsidRDefault="00D445AF" w:rsidP="005E0DDA">
            <w:pPr>
              <w:jc w:val="left"/>
              <w:rPr>
                <w:rFonts w:ascii="Arial Narrow" w:hAnsi="Arial Narrow"/>
                <w:b/>
                <w:bCs/>
                <w:i/>
                <w:color w:val="333333"/>
                <w:sz w:val="20"/>
                <w:szCs w:val="20"/>
              </w:rPr>
            </w:pPr>
            <w:r w:rsidRPr="00831A92">
              <w:rPr>
                <w:rFonts w:ascii="Arial Narrow" w:hAnsi="Arial Narrow"/>
                <w:b/>
                <w:bCs/>
                <w:i/>
                <w:color w:val="333333"/>
                <w:sz w:val="20"/>
                <w:szCs w:val="20"/>
              </w:rPr>
              <w:t>Administrative Advice:</w:t>
            </w:r>
          </w:p>
          <w:p w:rsidR="00D445AF" w:rsidRPr="00831A92" w:rsidRDefault="00D445AF" w:rsidP="005E0DDA">
            <w:pPr>
              <w:jc w:val="left"/>
              <w:rPr>
                <w:rFonts w:ascii="Arial Narrow" w:hAnsi="Arial Narrow"/>
                <w:b/>
                <w:bCs/>
                <w:i/>
                <w:color w:val="333333"/>
                <w:sz w:val="20"/>
                <w:szCs w:val="20"/>
              </w:rPr>
            </w:pPr>
            <w:r w:rsidRPr="00831A92">
              <w:rPr>
                <w:rFonts w:ascii="Arial Narrow" w:hAnsi="Arial Narrow"/>
                <w:bCs/>
                <w:i/>
                <w:color w:val="333333"/>
                <w:sz w:val="20"/>
                <w:szCs w:val="20"/>
              </w:rPr>
              <w:t>No increase in the maximum quantity or number of units may be authorised for applications treating one eye</w:t>
            </w:r>
          </w:p>
        </w:tc>
      </w:tr>
      <w:tr w:rsidR="00D445AF" w:rsidRPr="00831A92" w:rsidTr="004C3DB5">
        <w:tc>
          <w:tcPr>
            <w:tcW w:w="5000" w:type="pct"/>
            <w:vAlign w:val="center"/>
            <w:hideMark/>
          </w:tcPr>
          <w:p w:rsidR="00D445AF" w:rsidRPr="00831A92" w:rsidRDefault="00D445AF" w:rsidP="005E0DDA">
            <w:pPr>
              <w:contextualSpacing/>
              <w:jc w:val="left"/>
              <w:rPr>
                <w:rFonts w:ascii="Arial Narrow" w:hAnsi="Arial Narrow"/>
                <w:color w:val="333333"/>
                <w:sz w:val="20"/>
                <w:szCs w:val="20"/>
              </w:rPr>
            </w:pPr>
            <w:r w:rsidRPr="00831A92">
              <w:rPr>
                <w:rFonts w:ascii="Arial Narrow" w:hAnsi="Arial Narrow"/>
                <w:b/>
                <w:bCs/>
                <w:color w:val="333333"/>
                <w:sz w:val="20"/>
                <w:szCs w:val="20"/>
              </w:rPr>
              <w:t>Administrative Advice:</w:t>
            </w:r>
            <w:r w:rsidRPr="00831A92">
              <w:rPr>
                <w:rFonts w:ascii="Arial Narrow" w:hAnsi="Arial Narrow"/>
                <w:color w:val="333333"/>
                <w:sz w:val="20"/>
                <w:szCs w:val="20"/>
              </w:rPr>
              <w:t xml:space="preserve"> Special Pricing Arrangements apply</w:t>
            </w:r>
          </w:p>
        </w:tc>
      </w:tr>
    </w:tbl>
    <w:p w:rsidR="006D2EE3" w:rsidRPr="006D2EE3" w:rsidRDefault="006D2EE3" w:rsidP="006D2EE3">
      <w:pPr>
        <w:pStyle w:val="3Bodytext"/>
        <w:numPr>
          <w:ilvl w:val="0"/>
          <w:numId w:val="0"/>
        </w:numPr>
        <w:ind w:left="720"/>
        <w:rPr>
          <w:i/>
        </w:rPr>
      </w:pPr>
      <w:r>
        <w:rPr>
          <w:i/>
        </w:rPr>
        <w:br/>
      </w:r>
      <w:r w:rsidRPr="004C3DB5">
        <w:rPr>
          <w:i/>
        </w:rPr>
        <w:t>For more deta</w:t>
      </w:r>
      <w:r>
        <w:rPr>
          <w:i/>
        </w:rPr>
        <w:t>il on PBAC’s view, see section 6</w:t>
      </w:r>
      <w:r w:rsidRPr="004C3DB5">
        <w:rPr>
          <w:i/>
        </w:rPr>
        <w:t xml:space="preserve"> PBAC outcome.</w:t>
      </w:r>
    </w:p>
    <w:p w:rsidR="000A3AB3" w:rsidRPr="00831A92" w:rsidRDefault="000A3AB3" w:rsidP="000A3AB3">
      <w:pPr>
        <w:pStyle w:val="Heading1"/>
        <w:keepNext/>
        <w:keepLines/>
        <w:numPr>
          <w:ilvl w:val="0"/>
          <w:numId w:val="2"/>
        </w:numPr>
        <w:spacing w:before="240"/>
        <w:ind w:left="709" w:hanging="709"/>
        <w:rPr>
          <w:sz w:val="32"/>
          <w:szCs w:val="32"/>
        </w:rPr>
      </w:pPr>
      <w:r w:rsidRPr="00831A92">
        <w:rPr>
          <w:sz w:val="32"/>
          <w:szCs w:val="32"/>
        </w:rPr>
        <w:t>Comparator</w:t>
      </w:r>
    </w:p>
    <w:p w:rsidR="006A3782" w:rsidRPr="00831A92" w:rsidRDefault="006A3782" w:rsidP="004C3DB5">
      <w:pPr>
        <w:pStyle w:val="3Bodytext"/>
      </w:pPr>
      <w:r w:rsidRPr="00831A92">
        <w:t>The November 2019 submission nominated aflibercept as the main comparator and ranibizumab as a secondary comparator</w:t>
      </w:r>
      <w:r w:rsidR="007E0F41" w:rsidRPr="00831A92">
        <w:t xml:space="preserve"> (paragraph 7.2, </w:t>
      </w:r>
      <w:r w:rsidR="00782A22" w:rsidRPr="00831A92">
        <w:t>b</w:t>
      </w:r>
      <w:r w:rsidR="007E0F41" w:rsidRPr="00831A92">
        <w:t xml:space="preserve">rolucizumab </w:t>
      </w:r>
      <w:r w:rsidR="0039584E" w:rsidRPr="00831A92">
        <w:t>PSD</w:t>
      </w:r>
      <w:r w:rsidR="007E0F41" w:rsidRPr="00831A92">
        <w:t>, November 2019)</w:t>
      </w:r>
      <w:r w:rsidRPr="00831A92">
        <w:t xml:space="preserve">. </w:t>
      </w:r>
      <w:r w:rsidRPr="00831A92">
        <w:rPr>
          <w:bCs/>
        </w:rPr>
        <w:t xml:space="preserve">The PBAC noted that ranibizumab had become the least costly comparator since </w:t>
      </w:r>
      <w:r w:rsidRPr="00831A92">
        <w:rPr>
          <w:iCs/>
        </w:rPr>
        <w:t>the F1 anniversary price reduction applied to ranibizumab (10%) and aflibercept (5%) on 1 April 2018</w:t>
      </w:r>
      <w:r w:rsidR="0034325E" w:rsidRPr="00831A92">
        <w:rPr>
          <w:bCs/>
        </w:rPr>
        <w:t>.</w:t>
      </w:r>
    </w:p>
    <w:p w:rsidR="0034325E" w:rsidRPr="00831A92" w:rsidRDefault="0034325E" w:rsidP="004C3DB5">
      <w:pPr>
        <w:pStyle w:val="3Bodytext"/>
      </w:pPr>
      <w:r w:rsidRPr="00831A92">
        <w:t xml:space="preserve">If treatment with brolucizumab is substantially more costly than any of the alternative therapies (aflibercept and ranibizumab), the PBAC could only recommend listing brolucizumab if it is satisfied that it provides, for some patients, a significant improvement in efficacy or reduction of toxicity over the alternative therapies (National Health Act 1953, Section 101(3B)). The PBAC </w:t>
      </w:r>
      <w:r w:rsidR="00960E9D" w:rsidRPr="00831A92">
        <w:t xml:space="preserve">previously </w:t>
      </w:r>
      <w:r w:rsidRPr="00831A92">
        <w:t>considered that brolucizumab did not satisfy these requirements, and advised that the cost minimisation should be performed against the least costly comparator, ranibizumab, so that it is not more costly than any of the alternative therapies</w:t>
      </w:r>
      <w:r w:rsidR="00960E9D" w:rsidRPr="00831A92">
        <w:t xml:space="preserve"> (paragraph 5.3, </w:t>
      </w:r>
      <w:r w:rsidR="009B7A51" w:rsidRPr="00831A92">
        <w:t>brolu</w:t>
      </w:r>
      <w:r w:rsidR="00960E9D" w:rsidRPr="00831A92">
        <w:t xml:space="preserve">cizumab </w:t>
      </w:r>
      <w:r w:rsidR="008E68B1" w:rsidRPr="00831A92">
        <w:t>PSD</w:t>
      </w:r>
      <w:r w:rsidR="00D72A9B" w:rsidRPr="00831A92">
        <w:t>, November 2019</w:t>
      </w:r>
      <w:r w:rsidR="00960E9D" w:rsidRPr="00831A92">
        <w:t>)</w:t>
      </w:r>
      <w:r w:rsidRPr="00831A92">
        <w:t>.</w:t>
      </w:r>
    </w:p>
    <w:p w:rsidR="0034325E" w:rsidRDefault="006A3782" w:rsidP="004C3DB5">
      <w:pPr>
        <w:pStyle w:val="3Bodytext"/>
      </w:pPr>
      <w:r w:rsidRPr="00831A92">
        <w:t>The</w:t>
      </w:r>
      <w:r w:rsidR="00782A22" w:rsidRPr="00831A92">
        <w:t xml:space="preserve"> March 2020 and July 2020</w:t>
      </w:r>
      <w:r w:rsidRPr="00831A92">
        <w:t xml:space="preserve"> minor resubmission</w:t>
      </w:r>
      <w:r w:rsidR="00782A22" w:rsidRPr="00831A92">
        <w:t>s</w:t>
      </w:r>
      <w:r w:rsidRPr="00831A92">
        <w:t xml:space="preserve"> did not update the proposed comparator.</w:t>
      </w:r>
    </w:p>
    <w:p w:rsidR="006D2EE3" w:rsidRPr="006D2EE3" w:rsidRDefault="006D2EE3" w:rsidP="006D2EE3">
      <w:pPr>
        <w:ind w:firstLine="709"/>
        <w:rPr>
          <w:i/>
        </w:rPr>
      </w:pPr>
      <w:r w:rsidRPr="006D2EE3">
        <w:rPr>
          <w:i/>
        </w:rPr>
        <w:t>For more detail on PBAC’s view, see section 6 PBAC outcome.</w:t>
      </w:r>
    </w:p>
    <w:p w:rsidR="006D2EE3" w:rsidRPr="00831A92" w:rsidRDefault="006D2EE3" w:rsidP="006D2EE3">
      <w:pPr>
        <w:pStyle w:val="3Bodytext"/>
        <w:numPr>
          <w:ilvl w:val="0"/>
          <w:numId w:val="0"/>
        </w:numPr>
        <w:ind w:left="720"/>
      </w:pPr>
    </w:p>
    <w:p w:rsidR="003B4AB0" w:rsidRPr="00831A92" w:rsidRDefault="003B4AB0" w:rsidP="00E10482">
      <w:pPr>
        <w:pStyle w:val="Heading1"/>
        <w:keepNext/>
        <w:keepLines/>
        <w:numPr>
          <w:ilvl w:val="0"/>
          <w:numId w:val="4"/>
        </w:numPr>
        <w:spacing w:before="240"/>
        <w:ind w:left="709" w:hanging="709"/>
        <w:rPr>
          <w:sz w:val="32"/>
          <w:szCs w:val="32"/>
        </w:rPr>
      </w:pPr>
      <w:r w:rsidRPr="00831A92">
        <w:rPr>
          <w:sz w:val="32"/>
          <w:szCs w:val="32"/>
        </w:rPr>
        <w:t>Consideration of the evidence</w:t>
      </w:r>
    </w:p>
    <w:p w:rsidR="00103F44" w:rsidRPr="00831A92" w:rsidRDefault="00103F44" w:rsidP="00995E7B">
      <w:pPr>
        <w:pStyle w:val="Heading2"/>
        <w:spacing w:before="240" w:after="120"/>
        <w:rPr>
          <w:rFonts w:asciiTheme="minorHAnsi" w:hAnsiTheme="minorHAnsi" w:cs="Arial"/>
          <w:b w:val="0"/>
          <w:bCs/>
          <w:i w:val="0"/>
          <w:iCs/>
          <w:snapToGrid w:val="0"/>
          <w:sz w:val="28"/>
          <w:szCs w:val="28"/>
        </w:rPr>
      </w:pPr>
      <w:r w:rsidRPr="00831A92">
        <w:rPr>
          <w:rFonts w:asciiTheme="minorHAnsi" w:hAnsiTheme="minorHAnsi" w:cs="Arial"/>
          <w:bCs/>
          <w:iCs/>
          <w:snapToGrid w:val="0"/>
          <w:sz w:val="28"/>
          <w:szCs w:val="28"/>
        </w:rPr>
        <w:t>Sponsor hearing</w:t>
      </w:r>
    </w:p>
    <w:p w:rsidR="00103F44" w:rsidRPr="00831A92" w:rsidRDefault="00103F44" w:rsidP="004C3DB5">
      <w:pPr>
        <w:pStyle w:val="3Bodytext"/>
        <w:rPr>
          <w:snapToGrid w:val="0"/>
        </w:rPr>
      </w:pPr>
      <w:r w:rsidRPr="00831A92">
        <w:rPr>
          <w:snapToGrid w:val="0"/>
        </w:rPr>
        <w:t>There was no hearing for this ite</w:t>
      </w:r>
      <w:r w:rsidR="00995E7B" w:rsidRPr="00831A92">
        <w:rPr>
          <w:snapToGrid w:val="0"/>
        </w:rPr>
        <w:t>m as it was a minor submission.</w:t>
      </w:r>
    </w:p>
    <w:p w:rsidR="00103F44" w:rsidRPr="00831A92" w:rsidRDefault="00103F44" w:rsidP="00995E7B">
      <w:pPr>
        <w:pStyle w:val="Heading2"/>
        <w:spacing w:before="240" w:after="120"/>
        <w:rPr>
          <w:rFonts w:asciiTheme="minorHAnsi" w:hAnsiTheme="minorHAnsi" w:cs="Arial"/>
          <w:b w:val="0"/>
          <w:bCs/>
          <w:i w:val="0"/>
          <w:iCs/>
          <w:snapToGrid w:val="0"/>
          <w:sz w:val="28"/>
          <w:szCs w:val="28"/>
        </w:rPr>
      </w:pPr>
      <w:r w:rsidRPr="00831A92">
        <w:rPr>
          <w:rFonts w:asciiTheme="minorHAnsi" w:hAnsiTheme="minorHAnsi" w:cs="Arial"/>
          <w:bCs/>
          <w:iCs/>
          <w:snapToGrid w:val="0"/>
          <w:sz w:val="28"/>
          <w:szCs w:val="28"/>
        </w:rPr>
        <w:t>Consumer comments</w:t>
      </w:r>
    </w:p>
    <w:p w:rsidR="00103F44" w:rsidRPr="00831A92" w:rsidRDefault="00103F44" w:rsidP="004C3DB5">
      <w:pPr>
        <w:pStyle w:val="3Bodytext"/>
        <w:rPr>
          <w:snapToGrid w:val="0"/>
        </w:rPr>
      </w:pPr>
      <w:r w:rsidRPr="00831A92">
        <w:rPr>
          <w:snapToGrid w:val="0"/>
        </w:rPr>
        <w:t xml:space="preserve">The PBAC noted and welcomed the input from </w:t>
      </w:r>
      <w:r w:rsidR="009B1885" w:rsidRPr="00831A92">
        <w:rPr>
          <w:snapToGrid w:val="0"/>
        </w:rPr>
        <w:t>health care professionals (9)</w:t>
      </w:r>
      <w:r w:rsidRPr="00831A92">
        <w:rPr>
          <w:snapToGrid w:val="0"/>
        </w:rPr>
        <w:t xml:space="preserve"> via the Consumer Comments facility on the PBS website.  The comments described a range o</w:t>
      </w:r>
      <w:r w:rsidR="009B1885" w:rsidRPr="00831A92">
        <w:rPr>
          <w:snapToGrid w:val="0"/>
        </w:rPr>
        <w:t>f benefits of treatment with brolucizumab</w:t>
      </w:r>
      <w:r w:rsidR="009323D3" w:rsidRPr="00831A92">
        <w:rPr>
          <w:snapToGrid w:val="0"/>
        </w:rPr>
        <w:t>,</w:t>
      </w:r>
      <w:r w:rsidRPr="00831A92">
        <w:rPr>
          <w:snapToGrid w:val="0"/>
        </w:rPr>
        <w:t xml:space="preserve"> i</w:t>
      </w:r>
      <w:r w:rsidR="009323D3" w:rsidRPr="00831A92">
        <w:rPr>
          <w:snapToGrid w:val="0"/>
        </w:rPr>
        <w:t>ncluding treatment for patients who have become unresponsive to the currently listed anti-VEGF treatments</w:t>
      </w:r>
      <w:r w:rsidR="006A3458" w:rsidRPr="00831A92">
        <w:rPr>
          <w:snapToGrid w:val="0"/>
        </w:rPr>
        <w:t xml:space="preserve"> and</w:t>
      </w:r>
      <w:r w:rsidR="009323D3" w:rsidRPr="00831A92">
        <w:rPr>
          <w:snapToGrid w:val="0"/>
        </w:rPr>
        <w:t xml:space="preserve"> extension of treatment intervals to 3 months in patients who are curr</w:t>
      </w:r>
      <w:r w:rsidR="00BB1066" w:rsidRPr="00831A92">
        <w:rPr>
          <w:snapToGrid w:val="0"/>
        </w:rPr>
        <w:t xml:space="preserve">ently having monthly injections. </w:t>
      </w:r>
      <w:r w:rsidR="00814F63" w:rsidRPr="00831A92">
        <w:rPr>
          <w:snapToGrid w:val="0"/>
        </w:rPr>
        <w:t xml:space="preserve">The consumer </w:t>
      </w:r>
      <w:r w:rsidR="006D6580" w:rsidRPr="00831A92">
        <w:rPr>
          <w:snapToGrid w:val="0"/>
        </w:rPr>
        <w:t xml:space="preserve">comments </w:t>
      </w:r>
      <w:r w:rsidR="00814F63" w:rsidRPr="00831A92">
        <w:rPr>
          <w:snapToGrid w:val="0"/>
        </w:rPr>
        <w:t xml:space="preserve">indicated </w:t>
      </w:r>
      <w:r w:rsidR="006D6580" w:rsidRPr="00831A92">
        <w:rPr>
          <w:snapToGrid w:val="0"/>
        </w:rPr>
        <w:t xml:space="preserve">ocular adverse events are </w:t>
      </w:r>
      <w:r w:rsidR="00814F63" w:rsidRPr="00831A92">
        <w:rPr>
          <w:snapToGrid w:val="0"/>
        </w:rPr>
        <w:t xml:space="preserve">considered </w:t>
      </w:r>
      <w:r w:rsidR="006D6580" w:rsidRPr="00831A92">
        <w:rPr>
          <w:snapToGrid w:val="0"/>
        </w:rPr>
        <w:t xml:space="preserve">rare and manageable. </w:t>
      </w:r>
    </w:p>
    <w:p w:rsidR="0018502A" w:rsidRPr="00831A92" w:rsidRDefault="00D84934" w:rsidP="0018502A">
      <w:pPr>
        <w:pStyle w:val="Heading2"/>
        <w:keepLines/>
        <w:spacing w:before="240" w:after="120"/>
        <w:rPr>
          <w:rFonts w:asciiTheme="minorHAnsi" w:eastAsiaTheme="majorEastAsia" w:hAnsiTheme="minorHAnsi" w:cstheme="majorBidi"/>
          <w:sz w:val="28"/>
          <w:szCs w:val="28"/>
          <w:lang w:eastAsia="en-US"/>
        </w:rPr>
      </w:pPr>
      <w:r w:rsidRPr="00831A92">
        <w:rPr>
          <w:rFonts w:asciiTheme="minorHAnsi" w:eastAsiaTheme="majorEastAsia" w:hAnsiTheme="minorHAnsi" w:cstheme="majorBidi"/>
          <w:sz w:val="28"/>
          <w:szCs w:val="28"/>
          <w:lang w:eastAsia="en-US"/>
        </w:rPr>
        <w:t>Clinical trials</w:t>
      </w:r>
      <w:r w:rsidR="0099465B" w:rsidRPr="00831A92">
        <w:rPr>
          <w:rFonts w:asciiTheme="minorHAnsi" w:eastAsiaTheme="majorEastAsia" w:hAnsiTheme="minorHAnsi" w:cstheme="majorBidi"/>
          <w:sz w:val="28"/>
          <w:szCs w:val="28"/>
          <w:lang w:eastAsia="en-US"/>
        </w:rPr>
        <w:t xml:space="preserve"> </w:t>
      </w:r>
    </w:p>
    <w:p w:rsidR="000B68C8" w:rsidRPr="00831A92" w:rsidRDefault="004E5DA9" w:rsidP="004C3DB5">
      <w:pPr>
        <w:pStyle w:val="3Bodytext"/>
        <w:rPr>
          <w:rFonts w:cstheme="minorHAnsi"/>
        </w:rPr>
      </w:pPr>
      <w:r w:rsidRPr="00831A92">
        <w:t>T</w:t>
      </w:r>
      <w:r w:rsidR="0018502A" w:rsidRPr="00831A92">
        <w:t>he November 2019 submission</w:t>
      </w:r>
      <w:r w:rsidRPr="00831A92">
        <w:t xml:space="preserve"> was based on two head-to-head randomised trials comparing brolucizumab 6 mg to aflibercept 2 mg (HAWK (n=720) and HARRIER (n=739)),</w:t>
      </w:r>
      <w:r w:rsidRPr="00831A92">
        <w:rPr>
          <w:rStyle w:val="FootnoteReference"/>
        </w:rPr>
        <w:footnoteReference w:id="1"/>
      </w:r>
      <w:r w:rsidRPr="00831A92">
        <w:t xml:space="preserve"> and one supplementary randomised trial (OSPREY, n=89), in patients with neovascular AMD</w:t>
      </w:r>
      <w:r w:rsidR="0018502A" w:rsidRPr="00831A92">
        <w:t>. No new clinical</w:t>
      </w:r>
      <w:r w:rsidR="00FE7317" w:rsidRPr="00831A92">
        <w:t xml:space="preserve"> trial</w:t>
      </w:r>
      <w:r w:rsidR="0018502A" w:rsidRPr="00831A92">
        <w:t xml:space="preserve"> evidence was presented in the</w:t>
      </w:r>
      <w:r w:rsidR="00FE7317" w:rsidRPr="00831A92">
        <w:t xml:space="preserve"> March 2020 and July 2020</w:t>
      </w:r>
      <w:r w:rsidR="0018502A" w:rsidRPr="00831A92">
        <w:t xml:space="preserve"> minor</w:t>
      </w:r>
      <w:r w:rsidR="000B68C8" w:rsidRPr="00831A92">
        <w:t xml:space="preserve"> resubmission</w:t>
      </w:r>
      <w:r w:rsidR="00FE7317" w:rsidRPr="00831A92">
        <w:t>s</w:t>
      </w:r>
      <w:r w:rsidR="000B68C8" w:rsidRPr="00831A92">
        <w:t xml:space="preserve">.  </w:t>
      </w:r>
      <w:r w:rsidR="0018502A" w:rsidRPr="00831A92">
        <w:rPr>
          <w:rFonts w:cstheme="minorHAnsi"/>
        </w:rPr>
        <w:t xml:space="preserve">Details of the trials presented in the </w:t>
      </w:r>
      <w:r w:rsidR="00D72A9B" w:rsidRPr="00831A92">
        <w:rPr>
          <w:rFonts w:cstheme="minorHAnsi"/>
        </w:rPr>
        <w:t xml:space="preserve">November 2019 </w:t>
      </w:r>
      <w:r w:rsidR="0018502A" w:rsidRPr="00831A92">
        <w:rPr>
          <w:rFonts w:cstheme="minorHAnsi"/>
        </w:rPr>
        <w:t>submission</w:t>
      </w:r>
      <w:r w:rsidR="00720224" w:rsidRPr="00831A92">
        <w:rPr>
          <w:rFonts w:cstheme="minorHAnsi"/>
        </w:rPr>
        <w:t xml:space="preserve"> can be found in Table </w:t>
      </w:r>
      <w:r w:rsidR="008E68B1" w:rsidRPr="00831A92">
        <w:rPr>
          <w:rFonts w:cstheme="minorHAnsi"/>
        </w:rPr>
        <w:t>2</w:t>
      </w:r>
      <w:r w:rsidR="00720224" w:rsidRPr="00831A92">
        <w:rPr>
          <w:rFonts w:cstheme="minorHAnsi"/>
        </w:rPr>
        <w:t>, brolucizumab PSD</w:t>
      </w:r>
      <w:r w:rsidR="0018502A" w:rsidRPr="00831A92">
        <w:rPr>
          <w:rFonts w:cstheme="minorHAnsi"/>
        </w:rPr>
        <w:t>.</w:t>
      </w:r>
    </w:p>
    <w:p w:rsidR="004719DD" w:rsidRPr="00831A92" w:rsidRDefault="004719DD" w:rsidP="004C3DB5">
      <w:pPr>
        <w:pStyle w:val="3Bodytext"/>
      </w:pPr>
      <w:r w:rsidRPr="00831A92">
        <w:t xml:space="preserve">In </w:t>
      </w:r>
      <w:r w:rsidR="00274E93" w:rsidRPr="00831A92">
        <w:t xml:space="preserve">the </w:t>
      </w:r>
      <w:r w:rsidRPr="00831A92">
        <w:t>HAWK and HARRIER</w:t>
      </w:r>
      <w:r w:rsidR="00274E93" w:rsidRPr="00831A92">
        <w:t xml:space="preserve"> trials</w:t>
      </w:r>
      <w:r w:rsidRPr="00831A92">
        <w:t>, patients in both the brolucizumab and the aflibercept treatment arms received 3 loading doses administered at monthly intervals, followed by maintenance regimens:</w:t>
      </w:r>
    </w:p>
    <w:p w:rsidR="004719DD" w:rsidRPr="00831A92" w:rsidRDefault="004719DD" w:rsidP="00496E4C">
      <w:pPr>
        <w:pStyle w:val="ListBullet"/>
        <w:tabs>
          <w:tab w:val="clear" w:pos="360"/>
          <w:tab w:val="num" w:pos="993"/>
        </w:tabs>
        <w:ind w:left="993" w:hanging="284"/>
      </w:pPr>
      <w:r w:rsidRPr="00831A92">
        <w:t>Brolucizumab 6 mg every 12 or 8 weeks (q12/8w), depending on whether there was evidence of disease activity;</w:t>
      </w:r>
      <w:r w:rsidR="00274E93" w:rsidRPr="00831A92">
        <w:t xml:space="preserve"> </w:t>
      </w:r>
      <w:r w:rsidR="00274E93" w:rsidRPr="00831A92">
        <w:rPr>
          <w:iCs/>
        </w:rPr>
        <w:t>subjects identified with a q8w need were switched to a q8w treatment interval for the remainder of the study.</w:t>
      </w:r>
    </w:p>
    <w:p w:rsidR="004719DD" w:rsidRPr="00831A92" w:rsidRDefault="004719DD" w:rsidP="004719DD">
      <w:pPr>
        <w:pStyle w:val="ListBullet"/>
        <w:tabs>
          <w:tab w:val="clear" w:pos="360"/>
          <w:tab w:val="num" w:pos="993"/>
        </w:tabs>
        <w:ind w:firstLine="349"/>
      </w:pPr>
      <w:r w:rsidRPr="00831A92">
        <w:t>Aflibercept 2 mg every 8 weeks (q8w).</w:t>
      </w:r>
    </w:p>
    <w:p w:rsidR="004719DD" w:rsidRPr="00831A92" w:rsidRDefault="004719DD" w:rsidP="00496E4C">
      <w:pPr>
        <w:pStyle w:val="ListBullet"/>
        <w:numPr>
          <w:ilvl w:val="0"/>
          <w:numId w:val="0"/>
        </w:numPr>
        <w:ind w:left="709"/>
      </w:pPr>
    </w:p>
    <w:p w:rsidR="00013AE5" w:rsidRPr="00831A92" w:rsidRDefault="00EB1767" w:rsidP="004C3DB5">
      <w:pPr>
        <w:pStyle w:val="3Bodytext"/>
      </w:pPr>
      <w:r w:rsidRPr="00831A92">
        <w:t>The administration of aflibercept</w:t>
      </w:r>
      <w:r w:rsidR="004719DD" w:rsidRPr="00831A92">
        <w:t xml:space="preserve"> every 8 weeks following the initial 3</w:t>
      </w:r>
      <w:r w:rsidR="00274E93" w:rsidRPr="00831A92">
        <w:t xml:space="preserve"> loading doses</w:t>
      </w:r>
      <w:r w:rsidRPr="00831A92">
        <w:t xml:space="preserve"> </w:t>
      </w:r>
      <w:r w:rsidR="004719DD" w:rsidRPr="00831A92">
        <w:t xml:space="preserve">was not consistent with the treatment strategy most commonly employed in Australian clinical practice </w:t>
      </w:r>
      <w:r w:rsidR="004719DD" w:rsidRPr="00831A92">
        <w:rPr>
          <w:iCs/>
        </w:rPr>
        <w:t>and described in the aflibercept PI</w:t>
      </w:r>
      <w:r w:rsidR="004719DD" w:rsidRPr="00831A92">
        <w:t xml:space="preserve">, where the treatment interval is extended by increasing intervals in 2- or 4-weekly increments while maintaining stable visual and/or anatomic outcomes (treat and extend [T&amp;E] regimen), and may also be shortened to a minimum of 4 weeks, if there is evidence of disease activity. </w:t>
      </w:r>
      <w:r w:rsidRPr="00831A92">
        <w:rPr>
          <w:iCs/>
        </w:rPr>
        <w:t>The PBAC maintained its previous view</w:t>
      </w:r>
      <w:r w:rsidR="004719DD" w:rsidRPr="00831A92">
        <w:rPr>
          <w:iCs/>
        </w:rPr>
        <w:t xml:space="preserve"> that the mean number of injections per patient in the trials is unlikely to be representative of aflibercept utilisation in Australia.</w:t>
      </w:r>
    </w:p>
    <w:p w:rsidR="00013AE5" w:rsidRPr="00831A92" w:rsidRDefault="00013AE5" w:rsidP="00013AE5">
      <w:pPr>
        <w:pStyle w:val="Heading2"/>
        <w:spacing w:after="120"/>
        <w:rPr>
          <w:rFonts w:asciiTheme="minorHAnsi" w:eastAsiaTheme="majorEastAsia" w:hAnsiTheme="minorHAnsi" w:cstheme="minorHAnsi"/>
          <w:sz w:val="28"/>
          <w:szCs w:val="28"/>
        </w:rPr>
      </w:pPr>
      <w:r w:rsidRPr="00831A92">
        <w:rPr>
          <w:rFonts w:asciiTheme="minorHAnsi" w:eastAsiaTheme="majorEastAsia" w:hAnsiTheme="minorHAnsi" w:cstheme="minorHAnsi"/>
          <w:sz w:val="28"/>
          <w:szCs w:val="28"/>
        </w:rPr>
        <w:t>Comparative effectiveness</w:t>
      </w:r>
    </w:p>
    <w:p w:rsidR="00693DFB" w:rsidRPr="00831A92" w:rsidRDefault="000B68C8" w:rsidP="004C3DB5">
      <w:pPr>
        <w:pStyle w:val="3Bodytext"/>
      </w:pPr>
      <w:r w:rsidRPr="00831A92">
        <w:t xml:space="preserve">The PBAC previously considered that brolucizumab was non-inferior in terms of comparative efficacy to aflibercept, based on the two key trials (HAWK and HARRIER) (paragraph 7.3, </w:t>
      </w:r>
      <w:r w:rsidR="0039584E" w:rsidRPr="00831A92">
        <w:t>b</w:t>
      </w:r>
      <w:r w:rsidRPr="00831A92">
        <w:t xml:space="preserve">rolucizumab </w:t>
      </w:r>
      <w:r w:rsidR="00472661" w:rsidRPr="00831A92">
        <w:t>PSD</w:t>
      </w:r>
      <w:r w:rsidRPr="00831A92">
        <w:t>, November 2019).</w:t>
      </w:r>
    </w:p>
    <w:p w:rsidR="005A3173" w:rsidRPr="00831A92" w:rsidRDefault="007F0021" w:rsidP="0033372B">
      <w:pPr>
        <w:pStyle w:val="Heading2"/>
        <w:keepLines/>
        <w:spacing w:after="120"/>
        <w:rPr>
          <w:rFonts w:asciiTheme="minorHAnsi" w:eastAsiaTheme="majorEastAsia" w:hAnsiTheme="minorHAnsi" w:cstheme="majorBidi"/>
          <w:sz w:val="28"/>
          <w:szCs w:val="28"/>
          <w:lang w:eastAsia="en-US"/>
        </w:rPr>
      </w:pPr>
      <w:r w:rsidRPr="00831A92">
        <w:rPr>
          <w:rFonts w:asciiTheme="minorHAnsi" w:eastAsiaTheme="majorEastAsia" w:hAnsiTheme="minorHAnsi" w:cstheme="majorBidi"/>
          <w:sz w:val="28"/>
          <w:szCs w:val="28"/>
          <w:lang w:eastAsia="en-US"/>
        </w:rPr>
        <w:t xml:space="preserve">Comparative </w:t>
      </w:r>
      <w:r w:rsidR="005A3173" w:rsidRPr="00831A92">
        <w:rPr>
          <w:rFonts w:asciiTheme="minorHAnsi" w:eastAsiaTheme="majorEastAsia" w:hAnsiTheme="minorHAnsi" w:cstheme="majorBidi"/>
          <w:sz w:val="28"/>
          <w:szCs w:val="28"/>
          <w:lang w:eastAsia="en-US"/>
        </w:rPr>
        <w:t>harms</w:t>
      </w:r>
    </w:p>
    <w:p w:rsidR="00F26C0D" w:rsidRPr="00831A92" w:rsidRDefault="00D55B46" w:rsidP="004C3DB5">
      <w:pPr>
        <w:pStyle w:val="3Bodytext"/>
      </w:pPr>
      <w:r w:rsidRPr="00831A92">
        <w:t xml:space="preserve">The PBAC previously considered that </w:t>
      </w:r>
      <w:r w:rsidR="008742A0" w:rsidRPr="00831A92">
        <w:t xml:space="preserve">the overall ocular </w:t>
      </w:r>
      <w:r w:rsidR="000914B9" w:rsidRPr="00831A92">
        <w:t>serious adverse event (</w:t>
      </w:r>
      <w:r w:rsidR="008742A0" w:rsidRPr="00831A92">
        <w:t>SAE</w:t>
      </w:r>
      <w:r w:rsidR="000914B9" w:rsidRPr="00831A92">
        <w:t>)</w:t>
      </w:r>
      <w:r w:rsidR="008742A0" w:rsidRPr="00831A92">
        <w:t xml:space="preserve"> rate with brolucizumab (3.4%) was significantly different to aflibercept (1.5%) and the claim of non-inferiority in terms of safety was uncertain (paragraph 7.3, </w:t>
      </w:r>
      <w:r w:rsidR="00FE7317" w:rsidRPr="00831A92">
        <w:t>b</w:t>
      </w:r>
      <w:r w:rsidR="008742A0" w:rsidRPr="00831A92">
        <w:t xml:space="preserve">rolucizumab </w:t>
      </w:r>
      <w:r w:rsidR="00FE7317" w:rsidRPr="00831A92">
        <w:t>PSD</w:t>
      </w:r>
      <w:r w:rsidR="008742A0" w:rsidRPr="00831A92">
        <w:t>, November 2019). The ocular SAEs that occurred more frequently with brolucizumab included uveitis, vitreous floater and retinal pigment epithelial tear. The PBAC considered that the safety profile of brolucizumab is uncertain compared to its comparators, and there are potential associated cost implications.</w:t>
      </w:r>
      <w:r w:rsidR="00E43907" w:rsidRPr="00831A92">
        <w:t xml:space="preserve"> The PBAC maintained this view in March 2020, noting that the relative risk for ocular SAEs for brolucizumab compared to aflibercept was 2.27 (95% CI: 1.12, 4.58) and the relative risk for specific ocular AEs was &gt;1 for most outcomes (favouring aflibercept) with wide confidence intervals (paragraph 6.3</w:t>
      </w:r>
      <w:r w:rsidR="00C36E95" w:rsidRPr="00831A92">
        <w:t xml:space="preserve">, brolucizumab </w:t>
      </w:r>
      <w:r w:rsidR="00042399">
        <w:t>PSD</w:t>
      </w:r>
      <w:r w:rsidR="00C36E95" w:rsidRPr="00831A92">
        <w:t>, March 2020</w:t>
      </w:r>
      <w:r w:rsidR="00E43907" w:rsidRPr="00831A92">
        <w:t xml:space="preserve">). </w:t>
      </w:r>
    </w:p>
    <w:p w:rsidR="0025691E" w:rsidRPr="00831A92" w:rsidRDefault="00A61925" w:rsidP="004C3DB5">
      <w:pPr>
        <w:pStyle w:val="3Bodytext"/>
      </w:pPr>
      <w:r w:rsidRPr="00831A92">
        <w:t>Following the TGA Delegate’s request for ACM advice on a number of safety issues associated with brolucizumab, t</w:t>
      </w:r>
      <w:r w:rsidR="003073D3" w:rsidRPr="00831A92">
        <w:t xml:space="preserve">he </w:t>
      </w:r>
      <w:r w:rsidR="00326E8D" w:rsidRPr="00831A92">
        <w:t>Ratified R</w:t>
      </w:r>
      <w:r w:rsidR="003073D3" w:rsidRPr="00831A92">
        <w:t xml:space="preserve">esolution from the TGA ACM meeting on 6 Dec 2019 </w:t>
      </w:r>
      <w:r w:rsidR="002459A9" w:rsidRPr="00831A92">
        <w:t>provided additional information regar</w:t>
      </w:r>
      <w:r w:rsidR="00EE13DC" w:rsidRPr="00831A92">
        <w:t>ding the safety profile of brolu</w:t>
      </w:r>
      <w:r w:rsidR="002459A9" w:rsidRPr="00831A92">
        <w:t>cizumab</w:t>
      </w:r>
      <w:r w:rsidR="00057EE7" w:rsidRPr="00831A92">
        <w:t xml:space="preserve"> (paragraph 5.6, brolucizumab PSD, March 2020). The ACM noted that most treatment emergent adverse events were minor and the variation in their incidence was likely determined by chance, that most cases of intraocular inflammation are transient and treatable with topical or systemic corticosteroid therapy, and that clinically significant inflammation or uveitis are rare.</w:t>
      </w:r>
      <w:r w:rsidR="00F75061" w:rsidRPr="00831A92">
        <w:t xml:space="preserve"> The Sponsor stated in the March 2020 resubmission that the findings of the TGA ACM support the claim of non-inferiority.</w:t>
      </w:r>
    </w:p>
    <w:p w:rsidR="001C65EE" w:rsidRPr="00831A92" w:rsidRDefault="009F55AA" w:rsidP="004C3DB5">
      <w:pPr>
        <w:pStyle w:val="3Bodytext"/>
      </w:pPr>
      <w:r w:rsidRPr="00831A92">
        <w:t xml:space="preserve">The PBAC noted the ACM findings regarding the safety of brolucizumab but considered the claim of non-inferior comparative safety versus aflibercept remained uncertain. The PBAC further noted the anecdotal reports from the ASRS and considered this increased the uncertainty of the non-inferior safety claim (paragraph 6.3, brolucizumab </w:t>
      </w:r>
      <w:r w:rsidR="00042399">
        <w:t>PSD</w:t>
      </w:r>
      <w:r w:rsidRPr="00831A92">
        <w:t>, March 2020).</w:t>
      </w:r>
    </w:p>
    <w:p w:rsidR="00AD7345" w:rsidRPr="00831A92" w:rsidRDefault="00EC7E9E" w:rsidP="004C3DB5">
      <w:pPr>
        <w:pStyle w:val="3Bodytext"/>
      </w:pPr>
      <w:r w:rsidRPr="00831A92">
        <w:t>In light of the anecdotal reports from the ASRS of retinal artery occlusion and intraocular inflammation, t</w:t>
      </w:r>
      <w:r w:rsidR="00AD7345" w:rsidRPr="00831A92">
        <w:t>he July 2020 minor resubmission provided a report from the Global Novartis Ophthalmology team</w:t>
      </w:r>
      <w:r w:rsidRPr="00831A92">
        <w:t xml:space="preserve"> titled </w:t>
      </w:r>
      <w:r w:rsidR="00CF392F" w:rsidRPr="00831A92">
        <w:t>“Medical assessment of post-marketing case reports”</w:t>
      </w:r>
      <w:r w:rsidR="00AD7345" w:rsidRPr="00831A92">
        <w:t xml:space="preserve">. The report included the following information: </w:t>
      </w:r>
    </w:p>
    <w:p w:rsidR="00AD7345" w:rsidRPr="00831A92" w:rsidRDefault="00AD7345" w:rsidP="00AD7345">
      <w:pPr>
        <w:pStyle w:val="ListBullet"/>
        <w:tabs>
          <w:tab w:val="clear" w:pos="360"/>
        </w:tabs>
        <w:spacing w:after="120"/>
        <w:ind w:left="1276" w:hanging="284"/>
        <w:contextualSpacing w:val="0"/>
        <w:rPr>
          <w:rFonts w:eastAsiaTheme="minorHAnsi"/>
        </w:rPr>
      </w:pPr>
      <w:r w:rsidRPr="00831A92">
        <w:rPr>
          <w:rFonts w:eastAsiaTheme="minorHAnsi" w:cstheme="minorBidi"/>
          <w:szCs w:val="22"/>
        </w:rPr>
        <w:t>All post-marketing case reports in the Novartis Safety Database relating to brolucizumab were reviewed by a Safety Review Committee (SRC), with cases of interest (</w:t>
      </w:r>
      <w:r w:rsidR="002C14AA">
        <w:rPr>
          <w:rFonts w:eastAsiaTheme="minorHAnsi" w:cstheme="minorBidi"/>
          <w:noProof/>
          <w:color w:val="000000"/>
          <w:szCs w:val="22"/>
          <w:highlight w:val="black"/>
        </w:rPr>
        <w:t>''''''</w:t>
      </w:r>
      <w:r w:rsidRPr="00831A92">
        <w:rPr>
          <w:rFonts w:eastAsiaTheme="minorHAnsi" w:cstheme="minorBidi"/>
          <w:szCs w:val="22"/>
        </w:rPr>
        <w:t xml:space="preserve"> cases) having preferred terms of retinal artery occlusion (</w:t>
      </w:r>
      <w:r w:rsidR="002C14AA">
        <w:rPr>
          <w:rFonts w:eastAsiaTheme="minorHAnsi" w:cstheme="minorBidi"/>
          <w:noProof/>
          <w:color w:val="000000"/>
          <w:szCs w:val="22"/>
          <w:highlight w:val="black"/>
        </w:rPr>
        <w:t>'''''</w:t>
      </w:r>
      <w:r w:rsidRPr="00831A92">
        <w:rPr>
          <w:rFonts w:eastAsiaTheme="minorHAnsi" w:cstheme="minorBidi"/>
          <w:szCs w:val="22"/>
        </w:rPr>
        <w:t xml:space="preserve"> cases), retinal vasculitis (</w:t>
      </w:r>
      <w:r w:rsidR="002C14AA">
        <w:rPr>
          <w:rFonts w:eastAsiaTheme="minorHAnsi" w:cstheme="minorBidi"/>
          <w:noProof/>
          <w:color w:val="000000"/>
          <w:szCs w:val="22"/>
          <w:highlight w:val="black"/>
        </w:rPr>
        <w:t>'''''</w:t>
      </w:r>
      <w:r w:rsidRPr="00831A92">
        <w:rPr>
          <w:rFonts w:eastAsiaTheme="minorHAnsi" w:cstheme="minorBidi"/>
          <w:szCs w:val="22"/>
        </w:rPr>
        <w:t xml:space="preserve"> cases), and severe vision loss (</w:t>
      </w:r>
      <w:r w:rsidR="002C14AA">
        <w:rPr>
          <w:rFonts w:eastAsiaTheme="minorHAnsi" w:cstheme="minorBidi"/>
          <w:noProof/>
          <w:color w:val="000000"/>
          <w:szCs w:val="22"/>
          <w:highlight w:val="black"/>
        </w:rPr>
        <w:t>'''''</w:t>
      </w:r>
      <w:r w:rsidRPr="00831A92">
        <w:rPr>
          <w:rFonts w:eastAsiaTheme="minorHAnsi" w:cstheme="minorBidi"/>
          <w:szCs w:val="22"/>
        </w:rPr>
        <w:t xml:space="preserve"> cases). The SRC determined that the cases </w:t>
      </w:r>
      <w:r w:rsidR="00FC5BCF" w:rsidRPr="00831A92">
        <w:rPr>
          <w:rFonts w:eastAsiaTheme="minorHAnsi" w:cstheme="minorBidi"/>
          <w:szCs w:val="22"/>
        </w:rPr>
        <w:t>could</w:t>
      </w:r>
      <w:r w:rsidRPr="00831A92">
        <w:rPr>
          <w:rFonts w:eastAsiaTheme="minorHAnsi" w:cstheme="minorBidi"/>
          <w:szCs w:val="22"/>
        </w:rPr>
        <w:t xml:space="preserve"> best be described </w:t>
      </w:r>
      <w:r w:rsidR="00B85EE2" w:rsidRPr="00831A92">
        <w:rPr>
          <w:rFonts w:eastAsiaTheme="minorHAnsi" w:cstheme="minorBidi"/>
          <w:szCs w:val="22"/>
        </w:rPr>
        <w:t>using preferred terms</w:t>
      </w:r>
      <w:r w:rsidRPr="00831A92">
        <w:rPr>
          <w:rFonts w:eastAsiaTheme="minorHAnsi" w:cstheme="minorBidi"/>
          <w:szCs w:val="22"/>
        </w:rPr>
        <w:t xml:space="preserve"> retinal vasculitis and retinal vascular occlusion, with or without an intraocular inflammation. </w:t>
      </w:r>
    </w:p>
    <w:p w:rsidR="00AD7345" w:rsidRPr="00831A92" w:rsidRDefault="00AD7345" w:rsidP="00AD7345">
      <w:pPr>
        <w:pStyle w:val="ListBullet"/>
        <w:tabs>
          <w:tab w:val="clear" w:pos="360"/>
        </w:tabs>
        <w:spacing w:after="120"/>
        <w:ind w:left="1276" w:hanging="284"/>
        <w:contextualSpacing w:val="0"/>
        <w:rPr>
          <w:rFonts w:eastAsiaTheme="minorHAnsi"/>
        </w:rPr>
      </w:pPr>
      <w:r w:rsidRPr="00831A92">
        <w:rPr>
          <w:rFonts w:eastAsiaTheme="minorHAnsi" w:cstheme="minorBidi"/>
          <w:szCs w:val="22"/>
        </w:rPr>
        <w:t>Case reports across all indications were reported to the FDA for aflibercept</w:t>
      </w:r>
      <w:r w:rsidR="00BC2069" w:rsidRPr="00831A92">
        <w:rPr>
          <w:rFonts w:eastAsiaTheme="minorHAnsi" w:cstheme="minorBidi"/>
          <w:szCs w:val="22"/>
        </w:rPr>
        <w:t xml:space="preserve">: </w:t>
      </w:r>
      <w:r w:rsidRPr="00831A92">
        <w:rPr>
          <w:rFonts w:eastAsiaTheme="minorHAnsi" w:cstheme="minorBidi"/>
          <w:szCs w:val="22"/>
        </w:rPr>
        <w:t>98 cases of retinal artery/vein occlusion and 5 cases of retinal vasculitis.</w:t>
      </w:r>
    </w:p>
    <w:p w:rsidR="0028047C" w:rsidRPr="00831A92" w:rsidRDefault="00BC2069" w:rsidP="00717CD7">
      <w:pPr>
        <w:pStyle w:val="ListBullet"/>
        <w:tabs>
          <w:tab w:val="clear" w:pos="360"/>
        </w:tabs>
        <w:spacing w:after="120"/>
        <w:ind w:left="1276" w:hanging="284"/>
        <w:contextualSpacing w:val="0"/>
        <w:rPr>
          <w:rFonts w:eastAsiaTheme="minorHAnsi"/>
        </w:rPr>
      </w:pPr>
      <w:r w:rsidRPr="00831A92">
        <w:rPr>
          <w:rFonts w:eastAsiaTheme="minorHAnsi" w:cstheme="minorBidi"/>
          <w:szCs w:val="22"/>
        </w:rPr>
        <w:t xml:space="preserve">Case reports across all indications were reported to the FDA for ranibizumab: </w:t>
      </w:r>
      <w:r w:rsidR="002C14AA">
        <w:rPr>
          <w:rFonts w:eastAsiaTheme="minorHAnsi" w:cstheme="minorBidi"/>
          <w:noProof/>
          <w:color w:val="000000"/>
          <w:szCs w:val="22"/>
          <w:highlight w:val="black"/>
        </w:rPr>
        <w:t>'''''''</w:t>
      </w:r>
      <w:r w:rsidRPr="00831A92">
        <w:rPr>
          <w:rFonts w:eastAsiaTheme="minorHAnsi" w:cstheme="minorBidi"/>
          <w:szCs w:val="22"/>
        </w:rPr>
        <w:t xml:space="preserve"> cases of retinal artery/vein occlusion and </w:t>
      </w:r>
      <w:r w:rsidR="002C14AA">
        <w:rPr>
          <w:rFonts w:eastAsiaTheme="minorHAnsi" w:cstheme="minorBidi"/>
          <w:noProof/>
          <w:color w:val="000000"/>
          <w:szCs w:val="22"/>
          <w:highlight w:val="black"/>
        </w:rPr>
        <w:t>'''</w:t>
      </w:r>
      <w:r w:rsidRPr="00831A92">
        <w:rPr>
          <w:rFonts w:eastAsiaTheme="minorHAnsi" w:cstheme="minorBidi"/>
          <w:szCs w:val="22"/>
        </w:rPr>
        <w:t xml:space="preserve"> cases of retinal vasculitis. </w:t>
      </w:r>
      <w:r w:rsidR="00AD7345" w:rsidRPr="00831A92">
        <w:rPr>
          <w:rFonts w:eastAsiaTheme="minorHAnsi" w:cstheme="minorBidi"/>
          <w:szCs w:val="22"/>
        </w:rPr>
        <w:t>The ranibizumab Periodic Safety Update Report (PSUR) was reviewed with a conclusion that retinal artery occlusion i</w:t>
      </w:r>
      <w:r w:rsidRPr="00831A92">
        <w:rPr>
          <w:rFonts w:eastAsiaTheme="minorHAnsi" w:cstheme="minorBidi"/>
          <w:szCs w:val="22"/>
        </w:rPr>
        <w:t>s</w:t>
      </w:r>
      <w:r w:rsidR="00AD7345" w:rsidRPr="00831A92">
        <w:rPr>
          <w:rFonts w:eastAsiaTheme="minorHAnsi" w:cstheme="minorBidi"/>
          <w:szCs w:val="22"/>
        </w:rPr>
        <w:t xml:space="preserve"> not considered an AE with ranibizumab, and that no change to the ranibizumab product label or RMP was warranted. The cumulative exposure for ranibizumab is 6.5 million patient treatment years.</w:t>
      </w:r>
    </w:p>
    <w:p w:rsidR="00141D9F" w:rsidRPr="00831A92" w:rsidRDefault="00141D9F" w:rsidP="004C3DB5">
      <w:pPr>
        <w:pStyle w:val="3Bodytext"/>
      </w:pPr>
      <w:r w:rsidRPr="00831A92">
        <w:t>The report from the Global Novartis Ophthalmology team contained the following discussion/conclusions:</w:t>
      </w:r>
    </w:p>
    <w:p w:rsidR="00D24821" w:rsidRPr="00831A92" w:rsidRDefault="00D24821" w:rsidP="00703042">
      <w:pPr>
        <w:pStyle w:val="ListParagraph"/>
        <w:ind w:left="1276" w:hanging="11"/>
        <w:jc w:val="both"/>
        <w:rPr>
          <w:rFonts w:eastAsia="TimesNewRoman"/>
        </w:rPr>
      </w:pPr>
      <w:r w:rsidRPr="00831A92">
        <w:rPr>
          <w:rFonts w:eastAsia="TimesNewRoman" w:cstheme="minorHAnsi"/>
        </w:rPr>
        <w:t>“The internal and SRC review of post-marketing case reports detected an emerging new safety signal of retinal vasculitis and/or retinal vascular occlusion with or without presence of intraocular inflammation that may result in severe vision loss associated with Beovu treatment. … Additionally, these events in the Phase III clinical studies were generally less severe than the post-marketing cases.”</w:t>
      </w:r>
    </w:p>
    <w:p w:rsidR="008907F3" w:rsidRPr="00831A92" w:rsidRDefault="00D24821" w:rsidP="008907F3">
      <w:pPr>
        <w:pStyle w:val="ListParagraph"/>
        <w:ind w:left="1276" w:firstLine="0"/>
        <w:jc w:val="both"/>
        <w:rPr>
          <w:rFonts w:eastAsia="TimesNewRoman" w:cstheme="minorHAnsi"/>
        </w:rPr>
      </w:pPr>
      <w:r w:rsidRPr="00831A92">
        <w:rPr>
          <w:rFonts w:eastAsia="TimesNewRoman" w:cstheme="minorHAnsi"/>
        </w:rPr>
        <w:t>“The Core Data Sheet will be amended to add retinal vasculitis and/or retinal vascular occlusion with or without presence of intraocular inflammation under warnings and precaution, and to add retinal vasculitis and retinal vascular occlusion as new adverse drug reactions.”</w:t>
      </w:r>
      <w:r w:rsidR="00FC5BCF" w:rsidRPr="00831A92">
        <w:rPr>
          <w:rFonts w:eastAsia="TimesNewRoman" w:cstheme="minorHAnsi"/>
        </w:rPr>
        <w:t xml:space="preserve"> </w:t>
      </w:r>
    </w:p>
    <w:p w:rsidR="00717CD7" w:rsidRPr="00831A92" w:rsidRDefault="00FC5BCF" w:rsidP="00717CD7">
      <w:pPr>
        <w:pStyle w:val="ListParagraph"/>
        <w:ind w:left="720" w:firstLine="0"/>
        <w:jc w:val="both"/>
        <w:rPr>
          <w:rFonts w:eastAsiaTheme="minorHAnsi"/>
        </w:rPr>
      </w:pPr>
      <w:r w:rsidRPr="00831A92">
        <w:rPr>
          <w:rFonts w:eastAsia="TimesNewRoman"/>
        </w:rPr>
        <w:t xml:space="preserve">The PIs for aflibercept and </w:t>
      </w:r>
      <w:r w:rsidR="001E332E" w:rsidRPr="00831A92">
        <w:rPr>
          <w:rFonts w:eastAsia="TimesNewRoman"/>
        </w:rPr>
        <w:t>ranibizumab</w:t>
      </w:r>
      <w:r w:rsidRPr="00831A92">
        <w:rPr>
          <w:rFonts w:eastAsia="TimesNewRoman"/>
        </w:rPr>
        <w:t xml:space="preserve"> do not contain</w:t>
      </w:r>
      <w:r w:rsidR="00673443" w:rsidRPr="00831A92">
        <w:rPr>
          <w:rFonts w:eastAsia="TimesNewRoman"/>
        </w:rPr>
        <w:t xml:space="preserve"> analogous warnings and precautions.</w:t>
      </w:r>
    </w:p>
    <w:p w:rsidR="00CF0393" w:rsidRPr="00831A92" w:rsidRDefault="00CF0393" w:rsidP="004C3DB5">
      <w:pPr>
        <w:pStyle w:val="3Bodytext"/>
      </w:pPr>
      <w:r w:rsidRPr="00831A92">
        <w:t>The Sponsor stated in the July 2020 resubmission that “The acceptable updates to the brolucizumab PI, CMI and RMP by the TGA based on the review of the reports from the ASRS should provide the PBAC with sufficient assurance that the safety events will be adequately managed in Australia, and that the benefit-risk for brolucizumab is favourable”. The TGA indicated in May 2020 that updates to the PI and CMI should reflect the emergent post-market safety signal for retinal vasculitis and/or retinal vascular occlusion, which in some cases could result in permanent vision lo</w:t>
      </w:r>
      <w:r w:rsidR="009F2A8C" w:rsidRPr="00831A92">
        <w:t>ss and blindness</w:t>
      </w:r>
      <w:r w:rsidRPr="00831A92">
        <w:t>.</w:t>
      </w:r>
      <w:r w:rsidR="00734C22" w:rsidRPr="00831A92">
        <w:t xml:space="preserve"> The PI was finalised by the TGA with revised safety information in June 2020.</w:t>
      </w:r>
      <w:r w:rsidR="009F4287" w:rsidRPr="00831A92">
        <w:t xml:space="preserve"> </w:t>
      </w:r>
    </w:p>
    <w:p w:rsidR="00EA6FFB" w:rsidRPr="00831A92" w:rsidRDefault="0091343E" w:rsidP="004C3DB5">
      <w:pPr>
        <w:pStyle w:val="3Bodytext"/>
      </w:pPr>
      <w:r w:rsidRPr="00831A92">
        <w:rPr>
          <w:rFonts w:eastAsia="TimesNewRoman"/>
        </w:rPr>
        <w:t xml:space="preserve">Ranibizumab and </w:t>
      </w:r>
      <w:r w:rsidR="001E332E" w:rsidRPr="00831A92">
        <w:rPr>
          <w:rFonts w:eastAsia="TimesNewRoman"/>
        </w:rPr>
        <w:t>brolucizumab</w:t>
      </w:r>
      <w:r w:rsidRPr="00831A92">
        <w:rPr>
          <w:rFonts w:eastAsia="TimesNewRoman"/>
        </w:rPr>
        <w:t xml:space="preserve"> are contraindicated in patients with </w:t>
      </w:r>
      <w:r w:rsidRPr="00831A92">
        <w:t>active intraocular inflammation. Aflibercept is contraindicated in patients with active severe intraocular inflammation.</w:t>
      </w:r>
      <w:r w:rsidR="00B6540D" w:rsidRPr="00831A92">
        <w:t xml:space="preserve"> The Sponsor stated</w:t>
      </w:r>
      <w:r w:rsidR="00CF4E1B" w:rsidRPr="00831A92">
        <w:t xml:space="preserve"> in the July 2020 resubmission</w:t>
      </w:r>
      <w:r w:rsidR="00B6540D" w:rsidRPr="00831A92">
        <w:t xml:space="preserve"> that physicians should follow the guidance in the prescribing information that patients with active inflammation should not be injected with brolucizumab.</w:t>
      </w:r>
      <w:r w:rsidRPr="00831A92">
        <w:rPr>
          <w:rFonts w:eastAsia="TimesNewRoman"/>
        </w:rPr>
        <w:t xml:space="preserve"> </w:t>
      </w:r>
      <w:r w:rsidR="00B6540D" w:rsidRPr="00831A92">
        <w:rPr>
          <w:rFonts w:eastAsia="TimesNewRoman"/>
        </w:rPr>
        <w:t xml:space="preserve">The discussion in the </w:t>
      </w:r>
      <w:r w:rsidR="00B6540D" w:rsidRPr="00831A92">
        <w:t>Global Novartis Ophthalmology report referred to a potential causal association</w:t>
      </w:r>
      <w:r w:rsidR="00227658" w:rsidRPr="00831A92">
        <w:t xml:space="preserve"> between brolucizumab and</w:t>
      </w:r>
      <w:r w:rsidR="00B6540D" w:rsidRPr="00831A92">
        <w:t xml:space="preserve"> retinal vasculitis and/or retinal vascular occlusion with or without presence of intraocular inflammation</w:t>
      </w:r>
      <w:r w:rsidR="00170A4A" w:rsidRPr="00831A92">
        <w:t>, and stated that the events reviewed occurred early after starting treatment.</w:t>
      </w:r>
    </w:p>
    <w:p w:rsidR="003C2FB5" w:rsidRPr="00831A92" w:rsidRDefault="005A3173" w:rsidP="008306F3">
      <w:pPr>
        <w:pStyle w:val="Heading2"/>
        <w:keepLines/>
        <w:spacing w:before="240" w:after="120"/>
        <w:rPr>
          <w:rFonts w:asciiTheme="minorHAnsi" w:eastAsiaTheme="majorEastAsia" w:hAnsiTheme="minorHAnsi" w:cstheme="majorBidi"/>
          <w:sz w:val="28"/>
          <w:szCs w:val="28"/>
          <w:lang w:eastAsia="en-US"/>
        </w:rPr>
      </w:pPr>
      <w:r w:rsidRPr="00831A92">
        <w:rPr>
          <w:rFonts w:asciiTheme="minorHAnsi" w:eastAsiaTheme="majorEastAsia" w:hAnsiTheme="minorHAnsi" w:cstheme="majorBidi"/>
          <w:sz w:val="28"/>
          <w:szCs w:val="28"/>
          <w:lang w:eastAsia="en-US"/>
        </w:rPr>
        <w:t>Clinical claim</w:t>
      </w:r>
    </w:p>
    <w:p w:rsidR="0078046D" w:rsidRPr="00831A92" w:rsidRDefault="0064199E" w:rsidP="000C5FE3">
      <w:pPr>
        <w:pStyle w:val="3Bodytext"/>
      </w:pPr>
      <w:r w:rsidRPr="00831A92">
        <w:t>The PBAC previously considered that brolucizumab was non-inferior in terms of comparative efficacy to aflibercept</w:t>
      </w:r>
      <w:r w:rsidR="0078046D" w:rsidRPr="00831A92">
        <w:t xml:space="preserve">, and that the claim of non-inferiority in terms of safety was uncertain (paragraph 7.3, </w:t>
      </w:r>
      <w:r w:rsidR="007F3057" w:rsidRPr="00831A92">
        <w:t xml:space="preserve">brolucizumab </w:t>
      </w:r>
      <w:r w:rsidR="00472661" w:rsidRPr="00831A92">
        <w:t>PSD</w:t>
      </w:r>
      <w:r w:rsidR="0078046D" w:rsidRPr="00831A92">
        <w:t xml:space="preserve">, November 2019). </w:t>
      </w:r>
    </w:p>
    <w:p w:rsidR="0078046D" w:rsidRPr="00831A92" w:rsidRDefault="007402C9" w:rsidP="000C5FE3">
      <w:pPr>
        <w:pStyle w:val="3Bodytext"/>
      </w:pPr>
      <w:r w:rsidRPr="00831A92">
        <w:t>Following the resolution from the TGA ACM meeting on 6 Dec</w:t>
      </w:r>
      <w:r w:rsidR="00424FF6" w:rsidRPr="00831A92">
        <w:t>ember</w:t>
      </w:r>
      <w:r w:rsidRPr="00831A92">
        <w:t xml:space="preserve"> 2019, the Sponsor state</w:t>
      </w:r>
      <w:r w:rsidR="00424FF6" w:rsidRPr="00831A92">
        <w:t>d</w:t>
      </w:r>
      <w:r w:rsidRPr="00831A92">
        <w:t xml:space="preserve"> that the findings of the ACM support the claim of non-inferior safety</w:t>
      </w:r>
      <w:r w:rsidR="007708C2" w:rsidRPr="00831A92">
        <w:t>, and that their changes to the brolucizumab PI, CMI and RMP should give assurance to the PBAC that safety events will be adequately managed (paragraph 5.</w:t>
      </w:r>
      <w:r w:rsidR="009F2A8C" w:rsidRPr="00831A92">
        <w:t>8</w:t>
      </w:r>
      <w:r w:rsidR="007708C2" w:rsidRPr="00831A92">
        <w:t>)</w:t>
      </w:r>
      <w:r w:rsidRPr="00831A92">
        <w:t>.</w:t>
      </w:r>
      <w:r w:rsidR="000672E2" w:rsidRPr="00831A92">
        <w:t xml:space="preserve"> Following the review of the emergent post-market safety signal for retinal vasculitis and/or retinal vascular occlusion with or without intraocular inflammation in May 2020, t</w:t>
      </w:r>
      <w:r w:rsidR="00734C22" w:rsidRPr="00831A92">
        <w:t>he PI has now been updated and finalised by the TGA in June 2020.</w:t>
      </w:r>
    </w:p>
    <w:p w:rsidR="00A56057" w:rsidRPr="00831A92" w:rsidRDefault="008E6792" w:rsidP="000C5FE3">
      <w:pPr>
        <w:pStyle w:val="3Bodytext"/>
      </w:pPr>
      <w:r w:rsidRPr="00831A92">
        <w:t xml:space="preserve">The November 2019 submission claimed that brolucizumab would provide the benefit of less frequent dosing </w:t>
      </w:r>
      <w:r w:rsidR="00124037" w:rsidRPr="00831A92">
        <w:t xml:space="preserve">(every 2 to 3 months) </w:t>
      </w:r>
      <w:r w:rsidRPr="00831A92">
        <w:t>compared with currently available anti-VEGFs</w:t>
      </w:r>
      <w:r w:rsidR="00124037" w:rsidRPr="00831A92">
        <w:t xml:space="preserve"> (every 2 months)</w:t>
      </w:r>
      <w:r w:rsidRPr="00831A92">
        <w:t>, while maintaining the same efficacy.</w:t>
      </w:r>
      <w:r w:rsidR="00EF5ADF" w:rsidRPr="00831A92">
        <w:t xml:space="preserve"> The PBAC considered this to be inappropriate</w:t>
      </w:r>
      <w:r w:rsidR="009B7A51" w:rsidRPr="00831A92">
        <w:t xml:space="preserve"> </w:t>
      </w:r>
      <w:r w:rsidR="00124037" w:rsidRPr="00831A92">
        <w:t xml:space="preserve">and noted that in Australian practice, the ‘treat and extend’ regimen is expected and should apply to all anti-VEGF injections and that there are no clinical reasons for dosing frequencies amongst them to be different to each other (paragraph 7.4 and 7.5, brolucizumab </w:t>
      </w:r>
      <w:r w:rsidR="00CF4E1B" w:rsidRPr="00831A92">
        <w:t>PSD</w:t>
      </w:r>
      <w:r w:rsidR="00124037" w:rsidRPr="00831A92">
        <w:t>, November 2019 PBAC meeting).</w:t>
      </w:r>
      <w:r w:rsidR="00EA082D" w:rsidRPr="00831A92">
        <w:t xml:space="preserve"> While the Sponsor employed</w:t>
      </w:r>
      <w:r w:rsidR="0073177C" w:rsidRPr="00831A92">
        <w:t xml:space="preserve"> a 1:1 dosing relativity for the CMA in the March 2020 resubmission (</w:t>
      </w:r>
      <w:r w:rsidR="00683C8D" w:rsidRPr="00831A92">
        <w:t xml:space="preserve">paragraph </w:t>
      </w:r>
      <w:r w:rsidR="00F96280" w:rsidRPr="00831A92">
        <w:t>5.15</w:t>
      </w:r>
      <w:r w:rsidR="0073177C" w:rsidRPr="00831A92">
        <w:t>),</w:t>
      </w:r>
      <w:r w:rsidR="00683C8D" w:rsidRPr="00831A92">
        <w:t xml:space="preserve"> it argued</w:t>
      </w:r>
      <w:r w:rsidR="0073177C" w:rsidRPr="00831A92">
        <w:t xml:space="preserve"> in the July 2020 resubmission that “Clinicians and patients with wAMD should be offered access to brolucizumab on the PBS given the particularly high burden for some patients who require ongoing monthly injections. Brolucizumab offers the opportunity to reduce this burden for patients”. </w:t>
      </w:r>
    </w:p>
    <w:p w:rsidR="00A56057" w:rsidRPr="00831A92" w:rsidRDefault="00A56057" w:rsidP="000C5FE3">
      <w:pPr>
        <w:pStyle w:val="3Bodytext"/>
      </w:pPr>
      <w:r w:rsidRPr="00831A92">
        <w:t xml:space="preserve">The Sponsor reiterated in their pre-PBAC response for the July 2020 minor resubmission that brolucizumab has demonstrated greater effective control of anatomical disease activity compared with aflibercept in the HAWK and HARRIER trials. The Sponsor stated that over 50% of subjects were able to be maintained on a regimen of </w:t>
      </w:r>
      <w:r w:rsidR="007225E0" w:rsidRPr="00831A92">
        <w:t>brolucizumab</w:t>
      </w:r>
      <w:r w:rsidR="00D95AD2" w:rsidRPr="00831A92">
        <w:t xml:space="preserve"> q12w</w:t>
      </w:r>
      <w:r w:rsidRPr="00831A92">
        <w:t xml:space="preserve"> up to Week 44, whilst achieving non-inferiority in best corrected visual acuity (BCVA) to aflibercept with a q8w treatment interval. </w:t>
      </w:r>
    </w:p>
    <w:p w:rsidR="00A56057" w:rsidRPr="00831A92" w:rsidRDefault="00683C8D" w:rsidP="000C5FE3">
      <w:pPr>
        <w:pStyle w:val="3Bodytext"/>
      </w:pPr>
      <w:r w:rsidRPr="00831A92">
        <w:t>There is no clinical evidence that brolucizumab will permit fewer injections</w:t>
      </w:r>
      <w:r w:rsidR="004353B5" w:rsidRPr="00831A92">
        <w:t>,</w:t>
      </w:r>
      <w:r w:rsidRPr="00831A92">
        <w:t xml:space="preserve"> and</w:t>
      </w:r>
      <w:r w:rsidR="004353B5" w:rsidRPr="00831A92">
        <w:t xml:space="preserve"> a ‘treat and extend’ regimen is supported in the PIs for all three agents</w:t>
      </w:r>
      <w:r w:rsidR="00533B0D" w:rsidRPr="00831A92">
        <w:t>. The submission did not present any data to support the use of brolucizumab in a subset of patients who may require monthly injections.</w:t>
      </w:r>
      <w:r w:rsidR="00EB1767" w:rsidRPr="00831A92">
        <w:t xml:space="preserve"> The administration of aflibercept every 8 weeks in the HAWK and HARRIER trials was not consistent with the treatment strategy most commonly employed in Australian clinical practice (T&amp;E regimen), and t</w:t>
      </w:r>
      <w:r w:rsidR="00EB1767" w:rsidRPr="00831A92">
        <w:rPr>
          <w:iCs/>
        </w:rPr>
        <w:t>he PBAC maintained its previous view that the mean number of injections per patient is unlikely to be representative of aflibercept utilisation in Australia (paragraph 5.5)</w:t>
      </w:r>
      <w:r w:rsidR="00BE3695" w:rsidRPr="00831A92">
        <w:rPr>
          <w:iCs/>
        </w:rPr>
        <w:t>.</w:t>
      </w:r>
    </w:p>
    <w:p w:rsidR="00103F44" w:rsidRPr="00831A92" w:rsidRDefault="00BE3695" w:rsidP="000C5FE3">
      <w:pPr>
        <w:pStyle w:val="3Bodytext"/>
        <w:rPr>
          <w:rFonts w:ascii="Calibri" w:hAnsi="Calibri"/>
        </w:rPr>
      </w:pPr>
      <w:r w:rsidRPr="00831A92">
        <w:t>The PBAC reiterated that the claim brolucizumab was of non-inferior comparative effectiveness versus aflibercept was reasonable. The PBAC considered the claim of non-inferior comparative safety remained uncertain.</w:t>
      </w:r>
    </w:p>
    <w:p w:rsidR="005A3173" w:rsidRPr="00831A92" w:rsidRDefault="005A3173" w:rsidP="00966D0D">
      <w:pPr>
        <w:pStyle w:val="Heading2"/>
        <w:keepLines/>
        <w:spacing w:before="240" w:after="120"/>
        <w:rPr>
          <w:rFonts w:asciiTheme="minorHAnsi" w:eastAsiaTheme="majorEastAsia" w:hAnsiTheme="minorHAnsi" w:cstheme="majorBidi"/>
          <w:sz w:val="28"/>
          <w:szCs w:val="28"/>
          <w:lang w:eastAsia="en-US"/>
        </w:rPr>
      </w:pPr>
      <w:r w:rsidRPr="00831A92">
        <w:rPr>
          <w:rFonts w:asciiTheme="minorHAnsi" w:eastAsiaTheme="majorEastAsia" w:hAnsiTheme="minorHAnsi" w:cstheme="majorBidi"/>
          <w:sz w:val="28"/>
          <w:szCs w:val="28"/>
          <w:lang w:eastAsia="en-US"/>
        </w:rPr>
        <w:t>Economic analysis</w:t>
      </w:r>
      <w:r w:rsidR="009803E4" w:rsidRPr="00831A92">
        <w:rPr>
          <w:rFonts w:asciiTheme="minorHAnsi" w:eastAsiaTheme="majorEastAsia" w:hAnsiTheme="minorHAnsi" w:cstheme="majorBidi"/>
          <w:sz w:val="28"/>
          <w:szCs w:val="28"/>
          <w:lang w:eastAsia="en-US"/>
        </w:rPr>
        <w:t xml:space="preserve"> </w:t>
      </w:r>
    </w:p>
    <w:p w:rsidR="00B54018" w:rsidRPr="00831A92" w:rsidRDefault="00D613EE" w:rsidP="000C5FE3">
      <w:pPr>
        <w:pStyle w:val="3Bodytext"/>
      </w:pPr>
      <w:r w:rsidRPr="00831A92">
        <w:t>The July 2020 minor resubmission appropriately assum</w:t>
      </w:r>
      <w:r w:rsidR="00607A95" w:rsidRPr="00831A92">
        <w:t>ed a</w:t>
      </w:r>
      <w:r w:rsidR="0014630E" w:rsidRPr="00831A92">
        <w:t xml:space="preserve"> 1:1 substitution of brolucizumab for aflibercept</w:t>
      </w:r>
      <w:r w:rsidR="00270FC4" w:rsidRPr="00831A92">
        <w:t xml:space="preserve"> using an identical number of injections (</w:t>
      </w:r>
      <w:r w:rsidR="002C14AA">
        <w:rPr>
          <w:noProof/>
          <w:color w:val="000000"/>
          <w:highlight w:val="black"/>
        </w:rPr>
        <w:t>''''''''</w:t>
      </w:r>
      <w:r w:rsidR="00270FC4" w:rsidRPr="00831A92">
        <w:t>)</w:t>
      </w:r>
      <w:r w:rsidR="00107DF0" w:rsidRPr="00831A92">
        <w:t xml:space="preserve"> (paragraph 2.6)</w:t>
      </w:r>
      <w:r w:rsidRPr="00831A92">
        <w:t xml:space="preserve"> and assumed the ranibizumab price in the CMA</w:t>
      </w:r>
      <w:r w:rsidR="0014630E" w:rsidRPr="00831A92">
        <w:t>.</w:t>
      </w:r>
      <w:r w:rsidR="00B54018" w:rsidRPr="00831A92">
        <w:t xml:space="preserve"> </w:t>
      </w:r>
    </w:p>
    <w:p w:rsidR="003C0919" w:rsidRPr="00831A92" w:rsidRDefault="00A02AF0" w:rsidP="000C5FE3">
      <w:pPr>
        <w:pStyle w:val="3Bodytext"/>
      </w:pPr>
      <w:r w:rsidRPr="00831A92">
        <w:t xml:space="preserve">With 1:1 substitution at the ranibizumab price, </w:t>
      </w:r>
      <w:r w:rsidR="00A84D34" w:rsidRPr="00831A92">
        <w:t>b</w:t>
      </w:r>
      <w:r w:rsidR="00B54018" w:rsidRPr="00831A92">
        <w:t xml:space="preserve">rolucizumab pricing </w:t>
      </w:r>
      <w:r w:rsidR="00703042" w:rsidRPr="00831A92">
        <w:t xml:space="preserve">would </w:t>
      </w:r>
      <w:r w:rsidR="00B54018" w:rsidRPr="00831A92">
        <w:t>be identical to that of ranibizumab at published and effective levels.</w:t>
      </w:r>
      <w:r w:rsidRPr="00831A92">
        <w:t xml:space="preserve"> </w:t>
      </w:r>
      <w:r w:rsidR="0068024E" w:rsidRPr="00831A92">
        <w:t>T</w:t>
      </w:r>
      <w:r w:rsidRPr="00831A92">
        <w:t>he</w:t>
      </w:r>
      <w:r w:rsidR="00D93000" w:rsidRPr="00831A92">
        <w:t xml:space="preserve"> published and effective</w:t>
      </w:r>
      <w:r w:rsidR="00FD0C67" w:rsidRPr="00831A92">
        <w:t xml:space="preserve"> ex-manufacturer</w:t>
      </w:r>
      <w:r w:rsidRPr="00831A92">
        <w:t xml:space="preserve"> prices associated with</w:t>
      </w:r>
      <w:r w:rsidR="00D93000" w:rsidRPr="00831A92">
        <w:t xml:space="preserve"> ranibizumab </w:t>
      </w:r>
      <w:r w:rsidR="0068024E" w:rsidRPr="00831A92">
        <w:t>are</w:t>
      </w:r>
      <w:r w:rsidR="00FD0C67" w:rsidRPr="00831A92">
        <w:t xml:space="preserve"> $932.40 and $</w:t>
      </w:r>
      <w:r w:rsidR="002C14AA">
        <w:rPr>
          <w:noProof/>
          <w:color w:val="000000"/>
          <w:highlight w:val="black"/>
        </w:rPr>
        <w:t>''''''''''''''</w:t>
      </w:r>
      <w:r w:rsidR="00FD0C67" w:rsidRPr="00831A92">
        <w:t>, respectively</w:t>
      </w:r>
      <w:r w:rsidR="00561F32" w:rsidRPr="00831A92">
        <w:t>.</w:t>
      </w:r>
      <w:r w:rsidR="00561F32" w:rsidRPr="00831A92">
        <w:rPr>
          <w:rStyle w:val="FootnoteReference"/>
        </w:rPr>
        <w:footnoteReference w:id="2"/>
      </w:r>
      <w:r w:rsidR="00FD0C67" w:rsidRPr="00831A92">
        <w:t xml:space="preserve"> The results of the CMA based on the effective ex-manufacturer prices for ranibizumab and brol</w:t>
      </w:r>
      <w:r w:rsidR="00561F32" w:rsidRPr="00831A92">
        <w:t xml:space="preserve">ucizumab </w:t>
      </w:r>
      <w:r w:rsidR="00C60299" w:rsidRPr="00831A92">
        <w:t>can be found</w:t>
      </w:r>
      <w:r w:rsidR="00561F32" w:rsidRPr="00831A92">
        <w:t xml:space="preserve"> in Table 3</w:t>
      </w:r>
      <w:r w:rsidR="00A84D34" w:rsidRPr="00831A92">
        <w:t xml:space="preserve">, brolucizumab </w:t>
      </w:r>
      <w:r w:rsidR="00042399">
        <w:t>PSD</w:t>
      </w:r>
      <w:r w:rsidR="00A84D34" w:rsidRPr="00831A92">
        <w:t>, March 2020</w:t>
      </w:r>
      <w:r w:rsidR="00FD0C67" w:rsidRPr="00831A92">
        <w:t>.</w:t>
      </w:r>
      <w:r w:rsidR="00A500E5" w:rsidRPr="00831A92">
        <w:t xml:space="preserve"> </w:t>
      </w:r>
      <w:r w:rsidR="00E31DFE" w:rsidRPr="00831A92">
        <w:t>In the pre-PBAC response to the July 2020 minor resubmission, the Sponsor</w:t>
      </w:r>
      <w:r w:rsidR="0054165A" w:rsidRPr="00831A92">
        <w:t xml:space="preserve"> </w:t>
      </w:r>
      <w:r w:rsidR="00E31DFE" w:rsidRPr="00831A92">
        <w:t>proposed</w:t>
      </w:r>
      <w:r w:rsidR="0054165A" w:rsidRPr="00831A92">
        <w:t xml:space="preserve"> a </w:t>
      </w:r>
      <w:r w:rsidR="00072E39">
        <w:rPr>
          <w:noProof/>
          <w:color w:val="000000"/>
          <w:highlight w:val="black"/>
        </w:rPr>
        <w:t>'''</w:t>
      </w:r>
      <w:r w:rsidR="0054165A" w:rsidRPr="00831A92">
        <w:t>% price reduction relative to the lowest cost comparator, ranibizumab</w:t>
      </w:r>
      <w:r w:rsidR="002E65EA" w:rsidRPr="00831A92">
        <w:t>, to account for the uncertainty associated with managing the incremental cost of treating SAEs associated with brolucizumab (paragraph 5.2</w:t>
      </w:r>
      <w:r w:rsidR="00EE75AD" w:rsidRPr="00831A92">
        <w:t>2</w:t>
      </w:r>
      <w:r w:rsidR="002E65EA" w:rsidRPr="00831A92">
        <w:t>)</w:t>
      </w:r>
      <w:r w:rsidR="0054165A" w:rsidRPr="00831A92">
        <w:t>.</w:t>
      </w:r>
      <w:r w:rsidR="00E75CB9" w:rsidRPr="00831A92">
        <w:t xml:space="preserve"> Thus, the new effective AEMP proposed for brolucizumab is $</w:t>
      </w:r>
      <w:r w:rsidR="002C14AA">
        <w:rPr>
          <w:noProof/>
          <w:color w:val="000000"/>
          <w:highlight w:val="black"/>
        </w:rPr>
        <w:t>''''''''''''''</w:t>
      </w:r>
      <w:r w:rsidR="00E75CB9" w:rsidRPr="00831A92">
        <w:t>/syringe and new effective dispensed price for maximum quantity [DPMQ] proposed is $</w:t>
      </w:r>
      <w:r w:rsidR="002C14AA">
        <w:rPr>
          <w:noProof/>
          <w:color w:val="000000"/>
          <w:highlight w:val="black"/>
        </w:rPr>
        <w:t>''''''''''''''</w:t>
      </w:r>
      <w:r w:rsidR="00E75CB9" w:rsidRPr="00831A92">
        <w:t>/syringe.</w:t>
      </w:r>
    </w:p>
    <w:p w:rsidR="00E161A5" w:rsidRPr="00831A92" w:rsidRDefault="00E161A5" w:rsidP="000C5FE3">
      <w:pPr>
        <w:pStyle w:val="3Bodytext"/>
      </w:pPr>
      <w:r w:rsidRPr="00831A92">
        <w:t>The</w:t>
      </w:r>
      <w:r w:rsidR="005F2D49" w:rsidRPr="00831A92">
        <w:t xml:space="preserve"> incremental</w:t>
      </w:r>
      <w:r w:rsidRPr="00831A92">
        <w:t xml:space="preserve"> cost of treating </w:t>
      </w:r>
      <w:r w:rsidR="005F2D49" w:rsidRPr="00831A92">
        <w:t>SAEs in brolucizumab patients was estimated by the Sponsor to be $</w:t>
      </w:r>
      <w:r w:rsidR="00072E39">
        <w:rPr>
          <w:noProof/>
          <w:color w:val="000000"/>
          <w:highlight w:val="black"/>
        </w:rPr>
        <w:t>'''</w:t>
      </w:r>
      <w:r w:rsidR="005F2D49" w:rsidRPr="00831A92">
        <w:t xml:space="preserve"> per patient per year (paragraph 2.</w:t>
      </w:r>
      <w:r w:rsidR="007B2D0B" w:rsidRPr="00831A92">
        <w:t>9</w:t>
      </w:r>
      <w:r w:rsidR="005F2D49" w:rsidRPr="00831A92">
        <w:t xml:space="preserve">). These events were </w:t>
      </w:r>
      <w:r w:rsidR="00C8748C" w:rsidRPr="00831A92">
        <w:t>described</w:t>
      </w:r>
      <w:r w:rsidR="00DC5262" w:rsidRPr="00831A92">
        <w:t xml:space="preserve"> by the ACM</w:t>
      </w:r>
      <w:r w:rsidR="00C8748C" w:rsidRPr="00831A92">
        <w:t xml:space="preserve"> as</w:t>
      </w:r>
      <w:r w:rsidR="005F2D49" w:rsidRPr="00831A92">
        <w:t xml:space="preserve"> be</w:t>
      </w:r>
      <w:r w:rsidR="00C8748C" w:rsidRPr="00831A92">
        <w:t>ing</w:t>
      </w:r>
      <w:r w:rsidR="005F2D49" w:rsidRPr="00831A92">
        <w:t xml:space="preserve"> treatable with topical or systemic therapy (corticosteroids) and thus transient, and that clinically significant inflammation is rare (paragraph 5.</w:t>
      </w:r>
      <w:r w:rsidR="000F77B2" w:rsidRPr="00831A92">
        <w:t>8</w:t>
      </w:r>
      <w:r w:rsidR="005F2D49" w:rsidRPr="00831A92">
        <w:t>).</w:t>
      </w:r>
      <w:r w:rsidR="00DC5262" w:rsidRPr="00831A92">
        <w:t xml:space="preserve"> The Sponsor did not include this additional cost in the cost-minimised price of brolucizumab. These treatable SAEs are distinct from the emergent safety signal for retinal vasculitis and/or retinal vascular occlusion, of which a complication is CRAO/BRAO, potentially leading to vision loss</w:t>
      </w:r>
      <w:r w:rsidR="00C8748C" w:rsidRPr="00831A92">
        <w:t>, for which there is no clinically proven treatment</w:t>
      </w:r>
      <w:r w:rsidR="00DC5262" w:rsidRPr="00831A92">
        <w:t>.</w:t>
      </w:r>
      <w:r w:rsidR="00BD62F1" w:rsidRPr="00831A92">
        <w:t xml:space="preserve"> The pre-PBAC response stated that retinal vasculitis and/or retinal vascular occlusion are included in the spectrum of intraocular inflammatory events, and the costs are captured as part of the costing data of the trials.</w:t>
      </w:r>
      <w:r w:rsidR="00C93D31" w:rsidRPr="00831A92">
        <w:t xml:space="preserve"> However, the S</w:t>
      </w:r>
      <w:r w:rsidR="00BD62F1" w:rsidRPr="00831A92">
        <w:t>ponsor acknowledged that there may be uncertain costs in managing these events in clinical practice relative</w:t>
      </w:r>
      <w:r w:rsidR="00A500E5" w:rsidRPr="00831A92">
        <w:t xml:space="preserve"> to</w:t>
      </w:r>
      <w:r w:rsidR="00BD62F1" w:rsidRPr="00831A92">
        <w:t xml:space="preserve"> the costs calculated from the trial evidence</w:t>
      </w:r>
      <w:r w:rsidR="00E31DFE" w:rsidRPr="00831A92">
        <w:t>,</w:t>
      </w:r>
      <w:r w:rsidR="00A500E5" w:rsidRPr="00831A92">
        <w:t xml:space="preserve"> and thus proposed</w:t>
      </w:r>
      <w:r w:rsidR="00E31DFE" w:rsidRPr="00831A92">
        <w:t xml:space="preserve"> the </w:t>
      </w:r>
      <w:r w:rsidR="002C14AA">
        <w:rPr>
          <w:noProof/>
          <w:color w:val="000000"/>
          <w:highlight w:val="black"/>
        </w:rPr>
        <w:t>'''</w:t>
      </w:r>
      <w:r w:rsidR="00E31DFE" w:rsidRPr="00831A92">
        <w:t>%</w:t>
      </w:r>
      <w:r w:rsidR="00BD62F1" w:rsidRPr="00831A92">
        <w:t xml:space="preserve"> price reduction to brolucizumab to ensure that there is no added cost to the government</w:t>
      </w:r>
      <w:r w:rsidR="00A500E5" w:rsidRPr="00831A92">
        <w:t xml:space="preserve"> (paragraph </w:t>
      </w:r>
      <w:r w:rsidR="002E65EA" w:rsidRPr="00831A92">
        <w:t>5.2</w:t>
      </w:r>
      <w:r w:rsidR="00EE75AD" w:rsidRPr="00831A92">
        <w:t>1</w:t>
      </w:r>
      <w:r w:rsidR="00A500E5" w:rsidRPr="00831A92">
        <w:t>)</w:t>
      </w:r>
      <w:r w:rsidR="00BD62F1" w:rsidRPr="00831A92">
        <w:t>.</w:t>
      </w:r>
    </w:p>
    <w:p w:rsidR="003577DE" w:rsidRPr="00831A92" w:rsidRDefault="007048DA" w:rsidP="000C5FE3">
      <w:pPr>
        <w:pStyle w:val="3Bodytext"/>
      </w:pPr>
      <w:r w:rsidRPr="00831A92">
        <w:t xml:space="preserve">The March 2020 resubmission stated consideration under Clause 5.7 of the Strategic Agreement between Medicines Australia and the Commonwealth for the comparator price prior to the </w:t>
      </w:r>
      <w:r w:rsidRPr="00831A92">
        <w:rPr>
          <w:iCs/>
        </w:rPr>
        <w:t>F1 anniversary price reductions</w:t>
      </w:r>
      <w:r w:rsidRPr="00831A92">
        <w:t xml:space="preserve"> would be discussed with the Department of Health as appropriate once a positive recommendation for brolucizumab has been received (paragraph 5.19, brolucizumab PSD, March 2020). The Sponsor clarified in the pre-PBAC response that consideration under Clause 5.7 would not be pursued.</w:t>
      </w:r>
    </w:p>
    <w:p w:rsidR="003C2FB5" w:rsidRPr="00831A92" w:rsidRDefault="000644BB" w:rsidP="008306F3">
      <w:pPr>
        <w:pStyle w:val="Heading2"/>
        <w:keepLines/>
        <w:spacing w:before="240" w:after="120"/>
        <w:rPr>
          <w:rFonts w:asciiTheme="minorHAnsi" w:eastAsiaTheme="majorEastAsia" w:hAnsiTheme="minorHAnsi" w:cstheme="majorBidi"/>
          <w:sz w:val="28"/>
          <w:szCs w:val="28"/>
          <w:lang w:eastAsia="en-US"/>
        </w:rPr>
      </w:pPr>
      <w:r w:rsidRPr="00831A92">
        <w:rPr>
          <w:rFonts w:asciiTheme="minorHAnsi" w:eastAsiaTheme="majorEastAsia" w:hAnsiTheme="minorHAnsi" w:cstheme="majorBidi"/>
          <w:sz w:val="28"/>
          <w:szCs w:val="28"/>
          <w:lang w:eastAsia="en-US"/>
        </w:rPr>
        <w:t>Drug cost/patient/year</w:t>
      </w:r>
      <w:r w:rsidR="00CA6AFA" w:rsidRPr="00831A92">
        <w:rPr>
          <w:rFonts w:asciiTheme="minorHAnsi" w:eastAsiaTheme="majorEastAsia" w:hAnsiTheme="minorHAnsi" w:cstheme="majorBidi"/>
          <w:sz w:val="28"/>
          <w:szCs w:val="28"/>
          <w:lang w:eastAsia="en-US"/>
        </w:rPr>
        <w:t>: $</w:t>
      </w:r>
      <w:r w:rsidR="002C14AA">
        <w:rPr>
          <w:rFonts w:asciiTheme="minorHAnsi" w:eastAsiaTheme="majorEastAsia" w:hAnsiTheme="minorHAnsi" w:cstheme="majorBidi"/>
          <w:noProof/>
          <w:color w:val="000000"/>
          <w:sz w:val="28"/>
          <w:szCs w:val="28"/>
          <w:highlight w:val="black"/>
          <w:lang w:eastAsia="en-US"/>
        </w:rPr>
        <w:t xml:space="preserve">''''''''' </w:t>
      </w:r>
      <w:r w:rsidR="00CA6AFA" w:rsidRPr="00831A92">
        <w:rPr>
          <w:rFonts w:asciiTheme="minorHAnsi" w:eastAsiaTheme="majorEastAsia" w:hAnsiTheme="minorHAnsi" w:cstheme="majorBidi"/>
          <w:sz w:val="28"/>
          <w:szCs w:val="28"/>
          <w:lang w:eastAsia="en-US"/>
        </w:rPr>
        <w:t>(based on effective price)</w:t>
      </w:r>
    </w:p>
    <w:p w:rsidR="005A3173" w:rsidRPr="00831A92" w:rsidRDefault="003064AF" w:rsidP="000C5FE3">
      <w:pPr>
        <w:pStyle w:val="3Bodytext"/>
      </w:pPr>
      <w:r w:rsidRPr="00831A92">
        <w:t xml:space="preserve">The estimated </w:t>
      </w:r>
      <w:r w:rsidR="003C0919" w:rsidRPr="00831A92">
        <w:t>brolucizumab</w:t>
      </w:r>
      <w:r w:rsidRPr="00831A92">
        <w:t xml:space="preserve"> cost</w:t>
      </w:r>
      <w:r w:rsidR="0052792D" w:rsidRPr="00831A92">
        <w:t>/patient</w:t>
      </w:r>
      <w:r w:rsidR="003C0919" w:rsidRPr="00831A92">
        <w:t>/</w:t>
      </w:r>
      <w:r w:rsidR="00CA48D9" w:rsidRPr="00831A92">
        <w:t>year</w:t>
      </w:r>
      <w:r w:rsidR="00F24D19" w:rsidRPr="00831A92">
        <w:t xml:space="preserve"> at the price proposed in the July 2020 </w:t>
      </w:r>
      <w:r w:rsidR="009B69CA" w:rsidRPr="00831A92">
        <w:t>resubmission would</w:t>
      </w:r>
      <w:r w:rsidR="0052792D" w:rsidRPr="00831A92">
        <w:t xml:space="preserve"> be </w:t>
      </w:r>
      <w:r w:rsidR="00CA6AFA" w:rsidRPr="00831A92">
        <w:t>$</w:t>
      </w:r>
      <w:r w:rsidR="002C14AA">
        <w:rPr>
          <w:noProof/>
          <w:color w:val="000000"/>
          <w:highlight w:val="black"/>
        </w:rPr>
        <w:t>'''''''''''</w:t>
      </w:r>
      <w:r w:rsidRPr="00831A92">
        <w:t>,</w:t>
      </w:r>
      <w:r w:rsidR="005D3C67" w:rsidRPr="00831A92">
        <w:t xml:space="preserve"> based on </w:t>
      </w:r>
      <w:r w:rsidR="002C14AA">
        <w:rPr>
          <w:noProof/>
          <w:color w:val="000000"/>
          <w:highlight w:val="black"/>
        </w:rPr>
        <w:t>''''''''</w:t>
      </w:r>
      <w:r w:rsidR="005D3C67" w:rsidRPr="00831A92">
        <w:t xml:space="preserve"> injections per year and a dispensed price for maximum quantity (DPMQ) of </w:t>
      </w:r>
      <w:r w:rsidR="00CA6AFA" w:rsidRPr="00831A92">
        <w:t>$</w:t>
      </w:r>
      <w:r w:rsidR="002C14AA">
        <w:rPr>
          <w:noProof/>
          <w:color w:val="000000"/>
          <w:highlight w:val="black"/>
        </w:rPr>
        <w:t>''''''''''''''</w:t>
      </w:r>
      <w:r w:rsidR="00CA6AFA" w:rsidRPr="00831A92">
        <w:t xml:space="preserve"> </w:t>
      </w:r>
      <w:r w:rsidR="005D3C67" w:rsidRPr="00831A92">
        <w:t>(effective price)</w:t>
      </w:r>
      <w:r w:rsidRPr="00831A92">
        <w:t xml:space="preserve">. </w:t>
      </w:r>
    </w:p>
    <w:p w:rsidR="00E75CB9" w:rsidRPr="00831A92" w:rsidRDefault="00E75CB9" w:rsidP="000C5FE3">
      <w:pPr>
        <w:pStyle w:val="3Bodytext"/>
      </w:pPr>
      <w:r w:rsidRPr="00831A92">
        <w:t>The estimated brolucizumab cost/patient/year</w:t>
      </w:r>
      <w:r w:rsidR="00046A05" w:rsidRPr="00831A92">
        <w:t xml:space="preserve"> incorporating the</w:t>
      </w:r>
      <w:r w:rsidRPr="00831A92">
        <w:t xml:space="preserve"> </w:t>
      </w:r>
      <w:r w:rsidR="002C14AA">
        <w:rPr>
          <w:noProof/>
          <w:color w:val="000000"/>
          <w:highlight w:val="black"/>
        </w:rPr>
        <w:t>'''</w:t>
      </w:r>
      <w:r w:rsidRPr="00831A92">
        <w:t>% price reduction relative to the lowest cost comparator, ranibizumab, as per the pre-PBAC response to the July 2020 minor resubmission (paragraph 5.2</w:t>
      </w:r>
      <w:r w:rsidR="007048DA" w:rsidRPr="00831A92">
        <w:t>1</w:t>
      </w:r>
      <w:r w:rsidRPr="00831A92">
        <w:t>)</w:t>
      </w:r>
      <w:r w:rsidR="00630358" w:rsidRPr="00831A92">
        <w:t>, would be $</w:t>
      </w:r>
      <w:r w:rsidR="002C14AA">
        <w:rPr>
          <w:noProof/>
          <w:color w:val="000000"/>
          <w:highlight w:val="black"/>
        </w:rPr>
        <w:t>''''''''''</w:t>
      </w:r>
      <w:r w:rsidRPr="00831A92">
        <w:t xml:space="preserve">, based on 6.03 injections per year and a </w:t>
      </w:r>
      <w:r w:rsidR="00800BA4" w:rsidRPr="00831A92">
        <w:t>DPMQ</w:t>
      </w:r>
      <w:r w:rsidRPr="00831A92">
        <w:t xml:space="preserve"> of </w:t>
      </w:r>
      <w:r w:rsidR="00800BA4" w:rsidRPr="00831A92">
        <w:t>$</w:t>
      </w:r>
      <w:r w:rsidR="002C14AA">
        <w:rPr>
          <w:noProof/>
          <w:color w:val="000000"/>
          <w:highlight w:val="black"/>
        </w:rPr>
        <w:t>''''''''''''''</w:t>
      </w:r>
      <w:r w:rsidRPr="00831A92">
        <w:t xml:space="preserve"> (effective price).</w:t>
      </w:r>
    </w:p>
    <w:p w:rsidR="00E75CB9" w:rsidRPr="00831A92" w:rsidRDefault="00E75CB9" w:rsidP="00E75CB9">
      <w:pPr>
        <w:pStyle w:val="Heading2"/>
        <w:spacing w:before="240" w:after="120"/>
        <w:rPr>
          <w:rFonts w:asciiTheme="minorHAnsi" w:hAnsiTheme="minorHAnsi"/>
          <w:bCs/>
          <w:iCs/>
          <w:sz w:val="28"/>
        </w:rPr>
      </w:pPr>
      <w:r w:rsidRPr="00831A92">
        <w:rPr>
          <w:rFonts w:asciiTheme="minorHAnsi" w:eastAsiaTheme="majorEastAsia" w:hAnsiTheme="minorHAnsi" w:cstheme="majorBidi"/>
          <w:bCs/>
          <w:iCs/>
          <w:sz w:val="28"/>
          <w:szCs w:val="28"/>
          <w:lang w:eastAsia="en-US"/>
        </w:rPr>
        <w:t>Estimated PBS usage &amp; financial implications</w:t>
      </w:r>
    </w:p>
    <w:p w:rsidR="000A7E84" w:rsidRPr="00831A92" w:rsidRDefault="000A7E84" w:rsidP="000C5FE3">
      <w:pPr>
        <w:pStyle w:val="3Bodytext"/>
      </w:pPr>
      <w:r w:rsidRPr="00831A92">
        <w:t xml:space="preserve">The July 2020 resubmission estimated a net saving to the PBS/RPBS of </w:t>
      </w:r>
      <w:r w:rsidR="00CD5FAF">
        <w:t>less the $10 million</w:t>
      </w:r>
      <w:r w:rsidRPr="00831A92">
        <w:t xml:space="preserve"> in Year 6 of listing, using effective prices, with a total net saving to the PBS/RPBS of $</w:t>
      </w:r>
      <w:r w:rsidR="00110AEF">
        <w:t xml:space="preserve">20 - $30 million </w:t>
      </w:r>
      <w:r w:rsidRPr="00831A92">
        <w:t>over the first 6 years of listing (unchanged from March 2020 resubmission). The cost savings are summarised in Table 2, as well as the expected prescription numbers.</w:t>
      </w:r>
    </w:p>
    <w:p w:rsidR="00B32482" w:rsidRPr="00831A92" w:rsidRDefault="00B32482" w:rsidP="00293AB4">
      <w:pPr>
        <w:keepNext/>
        <w:keepLines/>
        <w:rPr>
          <w:rFonts w:ascii="Arial Narrow" w:hAnsi="Arial Narrow" w:cs="Arial"/>
          <w:b/>
          <w:snapToGrid w:val="0"/>
          <w:sz w:val="20"/>
          <w:szCs w:val="16"/>
          <w:lang w:eastAsia="en-US"/>
        </w:rPr>
      </w:pPr>
      <w:r w:rsidRPr="00831A92">
        <w:rPr>
          <w:rFonts w:ascii="Arial Narrow" w:hAnsi="Arial Narrow" w:cs="Arial"/>
          <w:b/>
          <w:snapToGrid w:val="0"/>
          <w:sz w:val="20"/>
          <w:szCs w:val="16"/>
          <w:lang w:eastAsia="en-US"/>
        </w:rPr>
        <w:t xml:space="preserve">Table </w:t>
      </w:r>
      <w:r w:rsidR="004E7A8F" w:rsidRPr="00831A92">
        <w:rPr>
          <w:rFonts w:ascii="Arial Narrow" w:hAnsi="Arial Narrow" w:cs="Arial"/>
          <w:b/>
          <w:snapToGrid w:val="0"/>
          <w:sz w:val="20"/>
          <w:szCs w:val="16"/>
          <w:lang w:eastAsia="en-US"/>
        </w:rPr>
        <w:t>2</w:t>
      </w:r>
      <w:r w:rsidRPr="00831A92">
        <w:rPr>
          <w:rFonts w:ascii="Arial Narrow" w:hAnsi="Arial Narrow" w:cs="Arial"/>
          <w:b/>
          <w:snapToGrid w:val="0"/>
          <w:sz w:val="20"/>
          <w:szCs w:val="16"/>
          <w:lang w:eastAsia="en-US"/>
        </w:rPr>
        <w:t>: Estimated use and financial implications of brolucizumab to the PBS/RPBS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51"/>
        <w:gridCol w:w="1125"/>
        <w:gridCol w:w="245"/>
        <w:gridCol w:w="880"/>
        <w:gridCol w:w="198"/>
        <w:gridCol w:w="927"/>
        <w:gridCol w:w="151"/>
        <w:gridCol w:w="974"/>
        <w:gridCol w:w="105"/>
        <w:gridCol w:w="1021"/>
        <w:gridCol w:w="58"/>
        <w:gridCol w:w="1067"/>
      </w:tblGrid>
      <w:tr w:rsidR="00B32482" w:rsidRPr="00831A92" w:rsidTr="007558E2">
        <w:trPr>
          <w:trHeight w:val="37"/>
        </w:trPr>
        <w:tc>
          <w:tcPr>
            <w:tcW w:w="1256" w:type="pct"/>
            <w:gridSpan w:val="2"/>
            <w:shd w:val="clear" w:color="auto" w:fill="FFFFFF" w:themeFill="background1"/>
            <w:noWrap/>
            <w:vAlign w:val="bottom"/>
            <w:hideMark/>
          </w:tcPr>
          <w:p w:rsidR="00B32482" w:rsidRPr="000C5FE3" w:rsidRDefault="00B32482" w:rsidP="00293AB4">
            <w:pPr>
              <w:keepNext/>
              <w:keepLines/>
              <w:rPr>
                <w:rFonts w:ascii="Arial Narrow" w:hAnsi="Arial Narrow"/>
                <w:sz w:val="20"/>
                <w:szCs w:val="20"/>
                <w:highlight w:val="lightGray"/>
              </w:rPr>
            </w:pPr>
          </w:p>
        </w:tc>
        <w:tc>
          <w:tcPr>
            <w:tcW w:w="760" w:type="pct"/>
            <w:gridSpan w:val="2"/>
            <w:shd w:val="clear" w:color="auto" w:fill="FFFFFF" w:themeFill="background1"/>
            <w:vAlign w:val="bottom"/>
            <w:hideMark/>
          </w:tcPr>
          <w:p w:rsidR="00B32482" w:rsidRPr="000C5FE3" w:rsidRDefault="00B32482" w:rsidP="00293AB4">
            <w:pPr>
              <w:keepNext/>
              <w:keepLines/>
              <w:ind w:left="-61" w:right="-41"/>
              <w:jc w:val="center"/>
              <w:rPr>
                <w:rFonts w:ascii="Arial Narrow" w:hAnsi="Arial Narrow"/>
                <w:b/>
                <w:sz w:val="20"/>
                <w:szCs w:val="20"/>
              </w:rPr>
            </w:pPr>
            <w:r w:rsidRPr="000C5FE3">
              <w:rPr>
                <w:rFonts w:ascii="Arial Narrow" w:hAnsi="Arial Narrow"/>
                <w:b/>
                <w:sz w:val="20"/>
                <w:szCs w:val="20"/>
              </w:rPr>
              <w:t>Year 1</w:t>
            </w:r>
          </w:p>
        </w:tc>
        <w:tc>
          <w:tcPr>
            <w:tcW w:w="598" w:type="pct"/>
            <w:gridSpan w:val="2"/>
            <w:shd w:val="clear" w:color="auto" w:fill="FFFFFF" w:themeFill="background1"/>
            <w:vAlign w:val="bottom"/>
          </w:tcPr>
          <w:p w:rsidR="00B32482" w:rsidRPr="000C5FE3" w:rsidRDefault="00B32482" w:rsidP="00293AB4">
            <w:pPr>
              <w:keepNext/>
              <w:keepLines/>
              <w:ind w:left="-61" w:right="-41"/>
              <w:jc w:val="center"/>
              <w:rPr>
                <w:rFonts w:ascii="Arial Narrow" w:hAnsi="Arial Narrow"/>
                <w:b/>
                <w:sz w:val="20"/>
                <w:szCs w:val="20"/>
              </w:rPr>
            </w:pPr>
            <w:r w:rsidRPr="000C5FE3">
              <w:rPr>
                <w:rFonts w:ascii="Arial Narrow" w:hAnsi="Arial Narrow"/>
                <w:b/>
                <w:sz w:val="20"/>
                <w:szCs w:val="20"/>
              </w:rPr>
              <w:t>Year 2</w:t>
            </w:r>
          </w:p>
        </w:tc>
        <w:tc>
          <w:tcPr>
            <w:tcW w:w="598" w:type="pct"/>
            <w:gridSpan w:val="2"/>
            <w:shd w:val="clear" w:color="auto" w:fill="FFFFFF" w:themeFill="background1"/>
            <w:vAlign w:val="bottom"/>
          </w:tcPr>
          <w:p w:rsidR="00B32482" w:rsidRPr="000C5FE3" w:rsidRDefault="00B32482" w:rsidP="00293AB4">
            <w:pPr>
              <w:keepNext/>
              <w:keepLines/>
              <w:ind w:left="-61" w:right="-41"/>
              <w:jc w:val="center"/>
              <w:rPr>
                <w:rFonts w:ascii="Arial Narrow" w:hAnsi="Arial Narrow"/>
                <w:b/>
                <w:sz w:val="20"/>
                <w:szCs w:val="20"/>
              </w:rPr>
            </w:pPr>
            <w:r w:rsidRPr="000C5FE3">
              <w:rPr>
                <w:rFonts w:ascii="Arial Narrow" w:hAnsi="Arial Narrow"/>
                <w:b/>
                <w:sz w:val="20"/>
                <w:szCs w:val="20"/>
              </w:rPr>
              <w:t>Year 3</w:t>
            </w:r>
          </w:p>
        </w:tc>
        <w:tc>
          <w:tcPr>
            <w:tcW w:w="598" w:type="pct"/>
            <w:gridSpan w:val="2"/>
            <w:shd w:val="clear" w:color="auto" w:fill="FFFFFF" w:themeFill="background1"/>
            <w:vAlign w:val="bottom"/>
          </w:tcPr>
          <w:p w:rsidR="00B32482" w:rsidRPr="000C5FE3" w:rsidRDefault="00B32482" w:rsidP="00293AB4">
            <w:pPr>
              <w:keepNext/>
              <w:keepLines/>
              <w:ind w:left="-61" w:right="-41"/>
              <w:jc w:val="center"/>
              <w:rPr>
                <w:rFonts w:ascii="Arial Narrow" w:hAnsi="Arial Narrow"/>
                <w:b/>
                <w:sz w:val="20"/>
                <w:szCs w:val="20"/>
              </w:rPr>
            </w:pPr>
            <w:r w:rsidRPr="000C5FE3">
              <w:rPr>
                <w:rFonts w:ascii="Arial Narrow" w:hAnsi="Arial Narrow"/>
                <w:b/>
                <w:sz w:val="20"/>
                <w:szCs w:val="20"/>
              </w:rPr>
              <w:t>Year 4</w:t>
            </w:r>
          </w:p>
        </w:tc>
        <w:tc>
          <w:tcPr>
            <w:tcW w:w="598" w:type="pct"/>
            <w:gridSpan w:val="2"/>
            <w:shd w:val="clear" w:color="auto" w:fill="FFFFFF" w:themeFill="background1"/>
            <w:vAlign w:val="bottom"/>
          </w:tcPr>
          <w:p w:rsidR="00B32482" w:rsidRPr="000C5FE3" w:rsidRDefault="00B32482" w:rsidP="00293AB4">
            <w:pPr>
              <w:keepNext/>
              <w:keepLines/>
              <w:ind w:left="-61" w:right="-41"/>
              <w:jc w:val="center"/>
              <w:rPr>
                <w:rFonts w:ascii="Arial Narrow" w:hAnsi="Arial Narrow"/>
                <w:b/>
                <w:sz w:val="20"/>
                <w:szCs w:val="20"/>
              </w:rPr>
            </w:pPr>
            <w:r w:rsidRPr="000C5FE3">
              <w:rPr>
                <w:rFonts w:ascii="Arial Narrow" w:hAnsi="Arial Narrow"/>
                <w:b/>
                <w:sz w:val="20"/>
                <w:szCs w:val="20"/>
              </w:rPr>
              <w:t>Year 5</w:t>
            </w:r>
          </w:p>
        </w:tc>
        <w:tc>
          <w:tcPr>
            <w:tcW w:w="592" w:type="pct"/>
            <w:shd w:val="clear" w:color="auto" w:fill="FFFFFF" w:themeFill="background1"/>
            <w:vAlign w:val="bottom"/>
          </w:tcPr>
          <w:p w:rsidR="00B32482" w:rsidRPr="000C5FE3" w:rsidRDefault="00B32482" w:rsidP="00293AB4">
            <w:pPr>
              <w:keepNext/>
              <w:keepLines/>
              <w:ind w:left="-61" w:right="-41"/>
              <w:jc w:val="center"/>
              <w:rPr>
                <w:rFonts w:ascii="Arial Narrow" w:hAnsi="Arial Narrow"/>
                <w:b/>
                <w:sz w:val="20"/>
                <w:szCs w:val="20"/>
              </w:rPr>
            </w:pPr>
            <w:r w:rsidRPr="000C5FE3">
              <w:rPr>
                <w:rFonts w:ascii="Arial Narrow" w:hAnsi="Arial Narrow"/>
                <w:b/>
                <w:sz w:val="20"/>
                <w:szCs w:val="20"/>
              </w:rPr>
              <w:t>Year 6</w:t>
            </w:r>
          </w:p>
        </w:tc>
      </w:tr>
      <w:tr w:rsidR="00B32482" w:rsidRPr="00831A92" w:rsidTr="00572EE6">
        <w:trPr>
          <w:trHeight w:val="37"/>
        </w:trPr>
        <w:tc>
          <w:tcPr>
            <w:tcW w:w="5000" w:type="pct"/>
            <w:gridSpan w:val="13"/>
            <w:shd w:val="clear" w:color="auto" w:fill="auto"/>
            <w:vAlign w:val="bottom"/>
          </w:tcPr>
          <w:p w:rsidR="00B32482" w:rsidRPr="000C5FE3" w:rsidRDefault="00B32482" w:rsidP="00293AB4">
            <w:pPr>
              <w:keepNext/>
              <w:keepLines/>
              <w:ind w:left="-61" w:right="-41"/>
              <w:rPr>
                <w:rFonts w:ascii="Arial Narrow" w:hAnsi="Arial Narrow"/>
                <w:sz w:val="20"/>
                <w:szCs w:val="20"/>
                <w:highlight w:val="lightGray"/>
              </w:rPr>
            </w:pPr>
            <w:r w:rsidRPr="000C5FE3">
              <w:rPr>
                <w:rFonts w:ascii="Arial Narrow" w:hAnsi="Arial Narrow"/>
                <w:b/>
                <w:bCs/>
                <w:sz w:val="20"/>
                <w:szCs w:val="20"/>
              </w:rPr>
              <w:t>Estimated extent of use</w:t>
            </w:r>
          </w:p>
        </w:tc>
      </w:tr>
      <w:tr w:rsidR="00ED7596" w:rsidRPr="00831A92" w:rsidTr="007558E2">
        <w:trPr>
          <w:trHeight w:val="37"/>
        </w:trPr>
        <w:tc>
          <w:tcPr>
            <w:tcW w:w="1256" w:type="pct"/>
            <w:gridSpan w:val="2"/>
            <w:shd w:val="clear" w:color="auto" w:fill="auto"/>
            <w:vAlign w:val="bottom"/>
          </w:tcPr>
          <w:p w:rsidR="00ED7596" w:rsidRPr="000C5FE3" w:rsidRDefault="00EF3FAD" w:rsidP="00293AB4">
            <w:pPr>
              <w:keepNext/>
              <w:keepLines/>
              <w:jc w:val="left"/>
              <w:rPr>
                <w:rFonts w:ascii="Arial Narrow" w:hAnsi="Arial Narrow"/>
                <w:sz w:val="20"/>
                <w:szCs w:val="20"/>
              </w:rPr>
            </w:pPr>
            <w:r w:rsidRPr="000C5FE3">
              <w:rPr>
                <w:rFonts w:ascii="Arial Narrow" w:hAnsi="Arial Narrow"/>
                <w:sz w:val="20"/>
                <w:szCs w:val="20"/>
              </w:rPr>
              <w:t>S</w:t>
            </w:r>
            <w:r w:rsidR="00ED7596" w:rsidRPr="000C5FE3">
              <w:rPr>
                <w:rFonts w:ascii="Arial Narrow" w:hAnsi="Arial Narrow"/>
                <w:sz w:val="20"/>
                <w:szCs w:val="20"/>
              </w:rPr>
              <w:t>cripts</w:t>
            </w:r>
            <w:r w:rsidR="002D0B39" w:rsidRPr="000C5FE3">
              <w:rPr>
                <w:rFonts w:ascii="Arial Narrow" w:hAnsi="Arial Narrow"/>
                <w:sz w:val="20"/>
                <w:szCs w:val="20"/>
              </w:rPr>
              <w:t xml:space="preserve"> dispensed</w:t>
            </w:r>
            <w:r w:rsidRPr="000C5FE3">
              <w:rPr>
                <w:rFonts w:ascii="Arial Narrow" w:hAnsi="Arial Narrow"/>
                <w:sz w:val="20"/>
                <w:szCs w:val="20"/>
                <w:vertAlign w:val="superscript"/>
              </w:rPr>
              <w:t>a</w:t>
            </w:r>
          </w:p>
        </w:tc>
        <w:tc>
          <w:tcPr>
            <w:tcW w:w="624" w:type="pct"/>
            <w:shd w:val="clear" w:color="auto" w:fill="auto"/>
            <w:noWrap/>
          </w:tcPr>
          <w:p w:rsidR="00ED7596" w:rsidRPr="002C14AA" w:rsidRDefault="002C14AA" w:rsidP="00293AB4">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24" w:type="pct"/>
            <w:gridSpan w:val="2"/>
            <w:shd w:val="clear" w:color="auto" w:fill="auto"/>
            <w:noWrap/>
          </w:tcPr>
          <w:p w:rsidR="00ED7596" w:rsidRPr="002C14AA" w:rsidRDefault="002C14AA" w:rsidP="00293AB4">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24" w:type="pct"/>
            <w:gridSpan w:val="2"/>
            <w:shd w:val="clear" w:color="auto" w:fill="auto"/>
            <w:noWrap/>
          </w:tcPr>
          <w:p w:rsidR="00ED7596" w:rsidRPr="002C14AA" w:rsidRDefault="002C14AA" w:rsidP="00293AB4">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24" w:type="pct"/>
            <w:gridSpan w:val="2"/>
            <w:shd w:val="clear" w:color="auto" w:fill="auto"/>
            <w:noWrap/>
          </w:tcPr>
          <w:p w:rsidR="00ED7596" w:rsidRPr="002C14AA" w:rsidRDefault="002C14AA" w:rsidP="00293AB4">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24" w:type="pct"/>
            <w:gridSpan w:val="2"/>
            <w:shd w:val="clear" w:color="auto" w:fill="auto"/>
            <w:noWrap/>
          </w:tcPr>
          <w:p w:rsidR="00ED7596" w:rsidRPr="002C14AA" w:rsidRDefault="002C14AA" w:rsidP="00293AB4">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24" w:type="pct"/>
            <w:gridSpan w:val="2"/>
          </w:tcPr>
          <w:p w:rsidR="00ED7596" w:rsidRPr="002C14AA" w:rsidRDefault="002C14AA" w:rsidP="00293AB4">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r>
      <w:tr w:rsidR="002D0B39" w:rsidRPr="00831A92" w:rsidTr="007558E2">
        <w:trPr>
          <w:trHeight w:val="37"/>
        </w:trPr>
        <w:tc>
          <w:tcPr>
            <w:tcW w:w="1256" w:type="pct"/>
            <w:gridSpan w:val="2"/>
            <w:shd w:val="clear" w:color="auto" w:fill="auto"/>
            <w:vAlign w:val="bottom"/>
          </w:tcPr>
          <w:p w:rsidR="002D0B39" w:rsidRPr="000C5FE3" w:rsidRDefault="002D0B39" w:rsidP="00293AB4">
            <w:pPr>
              <w:keepNext/>
              <w:keepLines/>
              <w:rPr>
                <w:rFonts w:ascii="Arial Narrow" w:hAnsi="Arial Narrow"/>
                <w:sz w:val="20"/>
                <w:szCs w:val="20"/>
              </w:rPr>
            </w:pPr>
            <w:r w:rsidRPr="000C5FE3">
              <w:rPr>
                <w:rFonts w:ascii="Arial Narrow" w:hAnsi="Arial Narrow"/>
                <w:sz w:val="20"/>
                <w:szCs w:val="20"/>
              </w:rPr>
              <w:t>Brolucizumab scripts</w:t>
            </w:r>
          </w:p>
        </w:tc>
        <w:tc>
          <w:tcPr>
            <w:tcW w:w="624" w:type="pct"/>
            <w:shd w:val="clear" w:color="auto" w:fill="auto"/>
            <w:noWrap/>
          </w:tcPr>
          <w:p w:rsidR="002D0B39" w:rsidRPr="002C14AA" w:rsidRDefault="002C14AA" w:rsidP="00293AB4">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24" w:type="pct"/>
            <w:gridSpan w:val="2"/>
            <w:shd w:val="clear" w:color="auto" w:fill="auto"/>
            <w:noWrap/>
          </w:tcPr>
          <w:p w:rsidR="002D0B39" w:rsidRPr="002C14AA" w:rsidRDefault="002C14AA" w:rsidP="00293AB4">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24" w:type="pct"/>
            <w:gridSpan w:val="2"/>
            <w:shd w:val="clear" w:color="auto" w:fill="auto"/>
            <w:noWrap/>
          </w:tcPr>
          <w:p w:rsidR="002D0B39" w:rsidRPr="002C14AA" w:rsidRDefault="002C14AA" w:rsidP="00293AB4">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24" w:type="pct"/>
            <w:gridSpan w:val="2"/>
            <w:shd w:val="clear" w:color="auto" w:fill="auto"/>
            <w:noWrap/>
          </w:tcPr>
          <w:p w:rsidR="002D0B39" w:rsidRPr="002C14AA" w:rsidRDefault="002C14AA" w:rsidP="00293AB4">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24" w:type="pct"/>
            <w:gridSpan w:val="2"/>
            <w:shd w:val="clear" w:color="auto" w:fill="auto"/>
            <w:noWrap/>
          </w:tcPr>
          <w:p w:rsidR="002D0B39" w:rsidRPr="002C14AA" w:rsidRDefault="002C14AA" w:rsidP="00293AB4">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c>
          <w:tcPr>
            <w:tcW w:w="624" w:type="pct"/>
            <w:gridSpan w:val="2"/>
          </w:tcPr>
          <w:p w:rsidR="002D0B39" w:rsidRPr="002C14AA" w:rsidRDefault="002C14AA" w:rsidP="00293AB4">
            <w:pPr>
              <w:keepNext/>
              <w:keepLines/>
              <w:ind w:left="-61" w:right="-41"/>
              <w:jc w:val="right"/>
              <w:rPr>
                <w:rFonts w:ascii="Arial Narrow" w:hAnsi="Arial Narrow"/>
                <w:sz w:val="20"/>
                <w:szCs w:val="20"/>
                <w:highlight w:val="black"/>
              </w:rPr>
            </w:pPr>
            <w:r>
              <w:rPr>
                <w:rFonts w:ascii="Arial Narrow" w:hAnsi="Arial Narrow"/>
                <w:noProof/>
                <w:color w:val="000000"/>
                <w:sz w:val="20"/>
                <w:szCs w:val="20"/>
                <w:highlight w:val="black"/>
              </w:rPr>
              <w:t xml:space="preserve">'''''''''''''''''''' </w:t>
            </w:r>
          </w:p>
        </w:tc>
      </w:tr>
      <w:tr w:rsidR="00ED7596" w:rsidRPr="00831A92" w:rsidTr="00ED7596">
        <w:trPr>
          <w:trHeight w:val="37"/>
        </w:trPr>
        <w:tc>
          <w:tcPr>
            <w:tcW w:w="5000" w:type="pct"/>
            <w:gridSpan w:val="13"/>
            <w:shd w:val="clear" w:color="auto" w:fill="auto"/>
            <w:vAlign w:val="bottom"/>
          </w:tcPr>
          <w:p w:rsidR="00ED7596" w:rsidRPr="000C5FE3" w:rsidRDefault="00ED7596" w:rsidP="00293AB4">
            <w:pPr>
              <w:keepNext/>
              <w:keepLines/>
              <w:ind w:left="-61" w:right="-41"/>
              <w:jc w:val="left"/>
              <w:rPr>
                <w:rFonts w:ascii="Arial Narrow" w:hAnsi="Arial Narrow"/>
                <w:b/>
                <w:sz w:val="20"/>
                <w:szCs w:val="20"/>
              </w:rPr>
            </w:pPr>
            <w:r w:rsidRPr="000C5FE3">
              <w:rPr>
                <w:rFonts w:ascii="Arial Narrow" w:hAnsi="Arial Narrow"/>
                <w:b/>
                <w:sz w:val="20"/>
                <w:szCs w:val="20"/>
              </w:rPr>
              <w:t xml:space="preserve">Estimated </w:t>
            </w:r>
            <w:r w:rsidR="002D0B39" w:rsidRPr="000C5FE3">
              <w:rPr>
                <w:rFonts w:ascii="Arial Narrow" w:hAnsi="Arial Narrow"/>
                <w:b/>
                <w:sz w:val="20"/>
                <w:szCs w:val="20"/>
              </w:rPr>
              <w:t>financial implications</w:t>
            </w:r>
            <w:r w:rsidRPr="000C5FE3">
              <w:rPr>
                <w:rFonts w:ascii="Arial Narrow" w:hAnsi="Arial Narrow"/>
                <w:b/>
                <w:sz w:val="20"/>
                <w:szCs w:val="20"/>
              </w:rPr>
              <w:t xml:space="preserve"> of brolucizumab</w:t>
            </w:r>
            <w:r w:rsidR="00DC15A7" w:rsidRPr="000C5FE3">
              <w:rPr>
                <w:rFonts w:ascii="Arial Narrow" w:hAnsi="Arial Narrow"/>
                <w:b/>
                <w:sz w:val="20"/>
                <w:szCs w:val="20"/>
              </w:rPr>
              <w:t xml:space="preserve"> </w:t>
            </w:r>
            <w:r w:rsidR="00DC15A7" w:rsidRPr="000C5FE3">
              <w:rPr>
                <w:rFonts w:ascii="Arial Narrow" w:hAnsi="Arial Narrow"/>
                <w:b/>
                <w:bCs/>
                <w:sz w:val="20"/>
                <w:szCs w:val="20"/>
              </w:rPr>
              <w:t>(</w:t>
            </w:r>
            <w:r w:rsidR="00DC15A7" w:rsidRPr="000C5FE3">
              <w:rPr>
                <w:rFonts w:ascii="Arial Narrow" w:hAnsi="Arial Narrow"/>
                <w:b/>
                <w:sz w:val="20"/>
                <w:szCs w:val="20"/>
              </w:rPr>
              <w:t>net cost to PBS/RPBS</w:t>
            </w:r>
            <w:r w:rsidR="00EF3FAD" w:rsidRPr="000C5FE3">
              <w:rPr>
                <w:rFonts w:ascii="Arial Narrow" w:hAnsi="Arial Narrow"/>
                <w:b/>
                <w:sz w:val="20"/>
                <w:szCs w:val="20"/>
                <w:vertAlign w:val="superscript"/>
              </w:rPr>
              <w:t>b</w:t>
            </w:r>
            <w:r w:rsidR="00DC15A7" w:rsidRPr="000C5FE3">
              <w:rPr>
                <w:rFonts w:ascii="Arial Narrow" w:hAnsi="Arial Narrow"/>
                <w:b/>
                <w:sz w:val="20"/>
                <w:szCs w:val="20"/>
              </w:rPr>
              <w:t>)</w:t>
            </w:r>
          </w:p>
        </w:tc>
      </w:tr>
      <w:tr w:rsidR="007558E2" w:rsidRPr="00831A92" w:rsidTr="007558E2">
        <w:trPr>
          <w:trHeight w:val="37"/>
        </w:trPr>
        <w:tc>
          <w:tcPr>
            <w:tcW w:w="1256" w:type="pct"/>
            <w:gridSpan w:val="2"/>
            <w:shd w:val="clear" w:color="auto" w:fill="auto"/>
            <w:vAlign w:val="bottom"/>
          </w:tcPr>
          <w:p w:rsidR="007558E2" w:rsidRPr="000C5FE3" w:rsidRDefault="00DC15A7" w:rsidP="00293AB4">
            <w:pPr>
              <w:keepNext/>
              <w:keepLines/>
              <w:rPr>
                <w:rFonts w:ascii="Arial Narrow" w:hAnsi="Arial Narrow"/>
                <w:sz w:val="20"/>
                <w:szCs w:val="20"/>
              </w:rPr>
            </w:pPr>
            <w:r w:rsidRPr="000C5FE3">
              <w:rPr>
                <w:rFonts w:ascii="Arial Narrow" w:hAnsi="Arial Narrow"/>
                <w:sz w:val="20"/>
                <w:szCs w:val="20"/>
              </w:rPr>
              <w:t>Brolucizumab</w:t>
            </w:r>
          </w:p>
        </w:tc>
        <w:tc>
          <w:tcPr>
            <w:tcW w:w="624" w:type="pct"/>
            <w:shd w:val="clear" w:color="auto" w:fill="auto"/>
            <w:noWrap/>
          </w:tcPr>
          <w:p w:rsidR="007558E2" w:rsidRPr="000C5FE3" w:rsidRDefault="007558E2"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tcPr>
          <w:p w:rsidR="007558E2" w:rsidRPr="000C5FE3" w:rsidRDefault="007558E2"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tcPr>
          <w:p w:rsidR="007558E2" w:rsidRPr="000C5FE3" w:rsidRDefault="007558E2"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tcPr>
          <w:p w:rsidR="007558E2" w:rsidRPr="000C5FE3" w:rsidRDefault="007558E2"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tcPr>
          <w:p w:rsidR="007558E2" w:rsidRPr="000C5FE3" w:rsidRDefault="007558E2"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tcPr>
          <w:p w:rsidR="007558E2" w:rsidRPr="000C5FE3" w:rsidRDefault="007558E2"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r>
      <w:tr w:rsidR="00B32482" w:rsidRPr="00831A92" w:rsidTr="00572EE6">
        <w:trPr>
          <w:trHeight w:val="148"/>
        </w:trPr>
        <w:tc>
          <w:tcPr>
            <w:tcW w:w="5000" w:type="pct"/>
            <w:gridSpan w:val="13"/>
            <w:shd w:val="clear" w:color="auto" w:fill="auto"/>
            <w:vAlign w:val="bottom"/>
          </w:tcPr>
          <w:p w:rsidR="00B32482" w:rsidRPr="000C5FE3" w:rsidRDefault="00F73B98" w:rsidP="00293AB4">
            <w:pPr>
              <w:keepNext/>
              <w:keepLines/>
              <w:ind w:left="-61" w:right="-41"/>
              <w:rPr>
                <w:rFonts w:ascii="Arial Narrow" w:hAnsi="Arial Narrow"/>
                <w:b/>
                <w:bCs/>
                <w:sz w:val="20"/>
                <w:szCs w:val="20"/>
              </w:rPr>
            </w:pPr>
            <w:r w:rsidRPr="000C5FE3">
              <w:rPr>
                <w:rFonts w:ascii="Arial Narrow" w:hAnsi="Arial Narrow"/>
                <w:b/>
                <w:bCs/>
                <w:sz w:val="20"/>
                <w:szCs w:val="20"/>
              </w:rPr>
              <w:t xml:space="preserve">Estimated treatment </w:t>
            </w:r>
            <w:r w:rsidR="005E0DDA" w:rsidRPr="000C5FE3">
              <w:rPr>
                <w:rFonts w:ascii="Arial Narrow" w:hAnsi="Arial Narrow"/>
                <w:b/>
                <w:bCs/>
                <w:sz w:val="20"/>
                <w:szCs w:val="20"/>
              </w:rPr>
              <w:t>re</w:t>
            </w:r>
            <w:r w:rsidRPr="000C5FE3">
              <w:rPr>
                <w:rFonts w:ascii="Arial Narrow" w:hAnsi="Arial Narrow"/>
                <w:b/>
                <w:bCs/>
                <w:sz w:val="20"/>
                <w:szCs w:val="20"/>
              </w:rPr>
              <w:t xml:space="preserve">placed </w:t>
            </w:r>
          </w:p>
        </w:tc>
      </w:tr>
      <w:tr w:rsidR="00F73B98" w:rsidRPr="00831A92" w:rsidTr="00A02C5C">
        <w:trPr>
          <w:trHeight w:val="148"/>
        </w:trPr>
        <w:tc>
          <w:tcPr>
            <w:tcW w:w="784" w:type="pct"/>
            <w:shd w:val="clear" w:color="auto" w:fill="auto"/>
            <w:vAlign w:val="bottom"/>
          </w:tcPr>
          <w:p w:rsidR="00F73B98" w:rsidRPr="000C5FE3" w:rsidRDefault="00F73B98" w:rsidP="00293AB4">
            <w:pPr>
              <w:keepNext/>
              <w:keepLines/>
              <w:rPr>
                <w:rFonts w:ascii="Arial Narrow" w:hAnsi="Arial Narrow"/>
                <w:bCs/>
                <w:sz w:val="20"/>
                <w:szCs w:val="20"/>
              </w:rPr>
            </w:pPr>
            <w:r w:rsidRPr="000C5FE3">
              <w:rPr>
                <w:rFonts w:ascii="Arial Narrow" w:hAnsi="Arial Narrow"/>
                <w:bCs/>
                <w:sz w:val="20"/>
                <w:szCs w:val="20"/>
              </w:rPr>
              <w:t xml:space="preserve">Aflibercept  </w:t>
            </w:r>
          </w:p>
        </w:tc>
        <w:tc>
          <w:tcPr>
            <w:tcW w:w="472" w:type="pct"/>
            <w:shd w:val="clear" w:color="auto" w:fill="auto"/>
            <w:vAlign w:val="bottom"/>
          </w:tcPr>
          <w:p w:rsidR="00F73B98" w:rsidRPr="000C5FE3" w:rsidRDefault="00F73B98" w:rsidP="00293AB4">
            <w:pPr>
              <w:keepNext/>
              <w:keepLines/>
              <w:rPr>
                <w:rFonts w:ascii="Arial Narrow" w:hAnsi="Arial Narrow"/>
                <w:bCs/>
                <w:sz w:val="20"/>
                <w:szCs w:val="20"/>
              </w:rPr>
            </w:pPr>
            <w:r w:rsidRPr="000C5FE3">
              <w:rPr>
                <w:rFonts w:ascii="Arial Narrow" w:hAnsi="Arial Narrow"/>
                <w:bCs/>
                <w:sz w:val="20"/>
                <w:szCs w:val="20"/>
              </w:rPr>
              <w:t>2168D</w:t>
            </w:r>
          </w:p>
        </w:tc>
        <w:tc>
          <w:tcPr>
            <w:tcW w:w="624" w:type="pct"/>
            <w:shd w:val="clear" w:color="auto" w:fill="auto"/>
            <w:noWrap/>
            <w:vAlign w:val="center"/>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c>
          <w:tcPr>
            <w:tcW w:w="624" w:type="pct"/>
            <w:gridSpan w:val="2"/>
            <w:shd w:val="clear" w:color="auto" w:fill="auto"/>
            <w:noWrap/>
            <w:vAlign w:val="center"/>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c>
          <w:tcPr>
            <w:tcW w:w="624" w:type="pct"/>
            <w:gridSpan w:val="2"/>
            <w:shd w:val="clear" w:color="auto" w:fill="auto"/>
            <w:noWrap/>
            <w:vAlign w:val="center"/>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c>
          <w:tcPr>
            <w:tcW w:w="624" w:type="pct"/>
            <w:gridSpan w:val="2"/>
            <w:shd w:val="clear" w:color="auto" w:fill="auto"/>
            <w:noWrap/>
            <w:vAlign w:val="center"/>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c>
          <w:tcPr>
            <w:tcW w:w="624" w:type="pct"/>
            <w:gridSpan w:val="2"/>
            <w:shd w:val="clear" w:color="auto" w:fill="auto"/>
            <w:noWrap/>
            <w:vAlign w:val="center"/>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c>
          <w:tcPr>
            <w:tcW w:w="624" w:type="pct"/>
            <w:gridSpan w:val="2"/>
            <w:vAlign w:val="center"/>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r>
      <w:tr w:rsidR="00F73B98" w:rsidRPr="00831A92" w:rsidTr="00A02C5C">
        <w:trPr>
          <w:trHeight w:val="148"/>
        </w:trPr>
        <w:tc>
          <w:tcPr>
            <w:tcW w:w="784" w:type="pct"/>
            <w:shd w:val="clear" w:color="auto" w:fill="auto"/>
            <w:vAlign w:val="bottom"/>
          </w:tcPr>
          <w:p w:rsidR="00F73B98" w:rsidRPr="000C5FE3" w:rsidRDefault="00F73B98" w:rsidP="00293AB4">
            <w:pPr>
              <w:keepNext/>
              <w:keepLines/>
              <w:rPr>
                <w:rFonts w:ascii="Arial Narrow" w:hAnsi="Arial Narrow"/>
                <w:bCs/>
                <w:sz w:val="20"/>
                <w:szCs w:val="20"/>
              </w:rPr>
            </w:pPr>
            <w:r w:rsidRPr="000C5FE3">
              <w:rPr>
                <w:rFonts w:ascii="Arial Narrow" w:hAnsi="Arial Narrow"/>
                <w:bCs/>
                <w:sz w:val="20"/>
                <w:szCs w:val="20"/>
              </w:rPr>
              <w:t xml:space="preserve">Ranibizumab  </w:t>
            </w:r>
          </w:p>
        </w:tc>
        <w:tc>
          <w:tcPr>
            <w:tcW w:w="472" w:type="pct"/>
            <w:shd w:val="clear" w:color="auto" w:fill="auto"/>
            <w:vAlign w:val="bottom"/>
          </w:tcPr>
          <w:p w:rsidR="00F73B98" w:rsidRPr="000C5FE3" w:rsidRDefault="00F73B98" w:rsidP="00293AB4">
            <w:pPr>
              <w:keepNext/>
              <w:keepLines/>
              <w:rPr>
                <w:rFonts w:ascii="Arial Narrow" w:hAnsi="Arial Narrow"/>
                <w:bCs/>
                <w:sz w:val="20"/>
                <w:szCs w:val="20"/>
              </w:rPr>
            </w:pPr>
            <w:r w:rsidRPr="000C5FE3">
              <w:rPr>
                <w:rFonts w:ascii="Arial Narrow" w:hAnsi="Arial Narrow"/>
                <w:bCs/>
                <w:sz w:val="20"/>
                <w:szCs w:val="20"/>
              </w:rPr>
              <w:t>10138N</w:t>
            </w:r>
          </w:p>
        </w:tc>
        <w:tc>
          <w:tcPr>
            <w:tcW w:w="624" w:type="pct"/>
            <w:shd w:val="clear" w:color="auto" w:fill="auto"/>
            <w:noWrap/>
            <w:vAlign w:val="center"/>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c>
          <w:tcPr>
            <w:tcW w:w="624" w:type="pct"/>
            <w:gridSpan w:val="2"/>
            <w:shd w:val="clear" w:color="auto" w:fill="auto"/>
            <w:noWrap/>
            <w:vAlign w:val="center"/>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c>
          <w:tcPr>
            <w:tcW w:w="624" w:type="pct"/>
            <w:gridSpan w:val="2"/>
            <w:shd w:val="clear" w:color="auto" w:fill="auto"/>
            <w:noWrap/>
            <w:vAlign w:val="center"/>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c>
          <w:tcPr>
            <w:tcW w:w="624" w:type="pct"/>
            <w:gridSpan w:val="2"/>
            <w:shd w:val="clear" w:color="auto" w:fill="auto"/>
            <w:noWrap/>
            <w:vAlign w:val="center"/>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c>
          <w:tcPr>
            <w:tcW w:w="624" w:type="pct"/>
            <w:gridSpan w:val="2"/>
            <w:shd w:val="clear" w:color="auto" w:fill="auto"/>
            <w:noWrap/>
            <w:vAlign w:val="center"/>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c>
          <w:tcPr>
            <w:tcW w:w="624" w:type="pct"/>
            <w:gridSpan w:val="2"/>
            <w:vAlign w:val="center"/>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r>
      <w:tr w:rsidR="00F73B98" w:rsidRPr="00831A92" w:rsidTr="00A02C5C">
        <w:trPr>
          <w:trHeight w:val="148"/>
        </w:trPr>
        <w:tc>
          <w:tcPr>
            <w:tcW w:w="784" w:type="pct"/>
            <w:shd w:val="clear" w:color="auto" w:fill="auto"/>
            <w:vAlign w:val="bottom"/>
          </w:tcPr>
          <w:p w:rsidR="00F73B98" w:rsidRPr="000C5FE3" w:rsidRDefault="00F73B98" w:rsidP="00293AB4">
            <w:pPr>
              <w:keepNext/>
              <w:keepLines/>
              <w:rPr>
                <w:rFonts w:ascii="Arial Narrow" w:hAnsi="Arial Narrow"/>
                <w:bCs/>
                <w:sz w:val="20"/>
                <w:szCs w:val="20"/>
              </w:rPr>
            </w:pPr>
            <w:r w:rsidRPr="000C5FE3">
              <w:rPr>
                <w:rFonts w:ascii="Arial Narrow" w:hAnsi="Arial Narrow"/>
                <w:bCs/>
                <w:sz w:val="20"/>
                <w:szCs w:val="20"/>
              </w:rPr>
              <w:t xml:space="preserve">Ranibizumab  </w:t>
            </w:r>
          </w:p>
        </w:tc>
        <w:tc>
          <w:tcPr>
            <w:tcW w:w="472" w:type="pct"/>
            <w:shd w:val="clear" w:color="auto" w:fill="auto"/>
            <w:vAlign w:val="bottom"/>
          </w:tcPr>
          <w:p w:rsidR="00F73B98" w:rsidRPr="000C5FE3" w:rsidRDefault="00F73B98" w:rsidP="00293AB4">
            <w:pPr>
              <w:keepNext/>
              <w:keepLines/>
              <w:rPr>
                <w:rFonts w:ascii="Arial Narrow" w:hAnsi="Arial Narrow"/>
                <w:bCs/>
                <w:sz w:val="20"/>
                <w:szCs w:val="20"/>
              </w:rPr>
            </w:pPr>
            <w:r w:rsidRPr="000C5FE3">
              <w:rPr>
                <w:rFonts w:ascii="Arial Narrow" w:hAnsi="Arial Narrow"/>
                <w:bCs/>
                <w:sz w:val="20"/>
                <w:szCs w:val="20"/>
              </w:rPr>
              <w:t>1382R</w:t>
            </w:r>
          </w:p>
        </w:tc>
        <w:tc>
          <w:tcPr>
            <w:tcW w:w="624" w:type="pct"/>
            <w:shd w:val="clear" w:color="auto" w:fill="auto"/>
            <w:noWrap/>
            <w:vAlign w:val="center"/>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c>
          <w:tcPr>
            <w:tcW w:w="624" w:type="pct"/>
            <w:gridSpan w:val="2"/>
            <w:shd w:val="clear" w:color="auto" w:fill="auto"/>
            <w:noWrap/>
            <w:vAlign w:val="center"/>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c>
          <w:tcPr>
            <w:tcW w:w="624" w:type="pct"/>
            <w:gridSpan w:val="2"/>
            <w:shd w:val="clear" w:color="auto" w:fill="auto"/>
            <w:noWrap/>
            <w:vAlign w:val="center"/>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c>
          <w:tcPr>
            <w:tcW w:w="624" w:type="pct"/>
            <w:gridSpan w:val="2"/>
            <w:shd w:val="clear" w:color="auto" w:fill="auto"/>
            <w:noWrap/>
            <w:vAlign w:val="center"/>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c>
          <w:tcPr>
            <w:tcW w:w="624" w:type="pct"/>
            <w:gridSpan w:val="2"/>
            <w:shd w:val="clear" w:color="auto" w:fill="auto"/>
            <w:noWrap/>
            <w:vAlign w:val="center"/>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c>
          <w:tcPr>
            <w:tcW w:w="624" w:type="pct"/>
            <w:gridSpan w:val="2"/>
            <w:vAlign w:val="center"/>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r>
      <w:tr w:rsidR="00F73B98" w:rsidRPr="00831A92" w:rsidTr="00A02C5C">
        <w:trPr>
          <w:trHeight w:val="148"/>
        </w:trPr>
        <w:tc>
          <w:tcPr>
            <w:tcW w:w="1256" w:type="pct"/>
            <w:gridSpan w:val="2"/>
            <w:shd w:val="clear" w:color="auto" w:fill="auto"/>
            <w:vAlign w:val="bottom"/>
          </w:tcPr>
          <w:p w:rsidR="00F73B98" w:rsidRPr="000C5FE3" w:rsidRDefault="00F73B98" w:rsidP="00293AB4">
            <w:pPr>
              <w:keepNext/>
              <w:keepLines/>
              <w:rPr>
                <w:rFonts w:ascii="Arial Narrow" w:hAnsi="Arial Narrow"/>
                <w:bCs/>
                <w:sz w:val="20"/>
                <w:szCs w:val="20"/>
              </w:rPr>
            </w:pPr>
            <w:r w:rsidRPr="000C5FE3">
              <w:rPr>
                <w:rFonts w:ascii="Arial Narrow" w:hAnsi="Arial Narrow"/>
                <w:bCs/>
                <w:sz w:val="20"/>
                <w:szCs w:val="20"/>
              </w:rPr>
              <w:t>Total</w:t>
            </w:r>
          </w:p>
        </w:tc>
        <w:tc>
          <w:tcPr>
            <w:tcW w:w="624" w:type="pct"/>
            <w:shd w:val="clear" w:color="auto" w:fill="auto"/>
            <w:noWrap/>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c>
          <w:tcPr>
            <w:tcW w:w="624" w:type="pct"/>
            <w:gridSpan w:val="2"/>
            <w:shd w:val="clear" w:color="auto" w:fill="auto"/>
            <w:noWrap/>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c>
          <w:tcPr>
            <w:tcW w:w="624" w:type="pct"/>
            <w:gridSpan w:val="2"/>
            <w:shd w:val="clear" w:color="auto" w:fill="auto"/>
            <w:noWrap/>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c>
          <w:tcPr>
            <w:tcW w:w="624" w:type="pct"/>
            <w:gridSpan w:val="2"/>
            <w:shd w:val="clear" w:color="auto" w:fill="auto"/>
            <w:noWrap/>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c>
          <w:tcPr>
            <w:tcW w:w="624" w:type="pct"/>
            <w:gridSpan w:val="2"/>
            <w:shd w:val="clear" w:color="auto" w:fill="auto"/>
            <w:noWrap/>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c>
          <w:tcPr>
            <w:tcW w:w="624" w:type="pct"/>
            <w:gridSpan w:val="2"/>
          </w:tcPr>
          <w:p w:rsidR="00F73B98" w:rsidRPr="002C14AA" w:rsidRDefault="002C14AA" w:rsidP="00293AB4">
            <w:pPr>
              <w:keepNext/>
              <w:keepLines/>
              <w:ind w:left="-61" w:right="-41"/>
              <w:jc w:val="right"/>
              <w:rPr>
                <w:rFonts w:ascii="Arial Narrow" w:hAnsi="Arial Narrow"/>
                <w:b/>
                <w:bCs/>
                <w:sz w:val="20"/>
                <w:szCs w:val="20"/>
                <w:highlight w:val="black"/>
              </w:rPr>
            </w:pPr>
            <w:r>
              <w:rPr>
                <w:rFonts w:ascii="Arial Narrow" w:hAnsi="Arial Narrow"/>
                <w:noProof/>
                <w:color w:val="000000"/>
                <w:sz w:val="20"/>
                <w:szCs w:val="20"/>
                <w:highlight w:val="black"/>
              </w:rPr>
              <w:t>''''''''''''''''''</w:t>
            </w:r>
          </w:p>
        </w:tc>
      </w:tr>
      <w:tr w:rsidR="00781379" w:rsidRPr="00831A92" w:rsidTr="00A02C5C">
        <w:trPr>
          <w:trHeight w:val="148"/>
        </w:trPr>
        <w:tc>
          <w:tcPr>
            <w:tcW w:w="5000" w:type="pct"/>
            <w:gridSpan w:val="13"/>
            <w:shd w:val="clear" w:color="auto" w:fill="auto"/>
            <w:vAlign w:val="bottom"/>
          </w:tcPr>
          <w:p w:rsidR="00781379" w:rsidRPr="000C5FE3" w:rsidRDefault="00781379" w:rsidP="00293AB4">
            <w:pPr>
              <w:keepNext/>
              <w:keepLines/>
              <w:ind w:left="-61" w:right="-41"/>
              <w:rPr>
                <w:rFonts w:ascii="Arial Narrow" w:hAnsi="Arial Narrow"/>
                <w:b/>
                <w:bCs/>
                <w:sz w:val="20"/>
                <w:szCs w:val="20"/>
              </w:rPr>
            </w:pPr>
            <w:r w:rsidRPr="000C5FE3">
              <w:rPr>
                <w:rFonts w:ascii="Arial Narrow" w:hAnsi="Arial Narrow"/>
                <w:b/>
                <w:bCs/>
                <w:sz w:val="20"/>
                <w:szCs w:val="20"/>
              </w:rPr>
              <w:t xml:space="preserve">Estimated financial implications of treatment </w:t>
            </w:r>
            <w:r w:rsidR="005E0DDA" w:rsidRPr="000C5FE3">
              <w:rPr>
                <w:rFonts w:ascii="Arial Narrow" w:hAnsi="Arial Narrow"/>
                <w:b/>
                <w:bCs/>
                <w:sz w:val="20"/>
                <w:szCs w:val="20"/>
              </w:rPr>
              <w:t>re</w:t>
            </w:r>
            <w:r w:rsidRPr="000C5FE3">
              <w:rPr>
                <w:rFonts w:ascii="Arial Narrow" w:hAnsi="Arial Narrow"/>
                <w:b/>
                <w:bCs/>
                <w:sz w:val="20"/>
                <w:szCs w:val="20"/>
              </w:rPr>
              <w:t xml:space="preserve">placed </w:t>
            </w:r>
            <w:r w:rsidR="00580BF5" w:rsidRPr="000C5FE3">
              <w:rPr>
                <w:rFonts w:ascii="Arial Narrow" w:hAnsi="Arial Narrow"/>
                <w:b/>
                <w:bCs/>
                <w:sz w:val="20"/>
                <w:szCs w:val="20"/>
              </w:rPr>
              <w:t>(</w:t>
            </w:r>
            <w:r w:rsidR="00580BF5" w:rsidRPr="000C5FE3">
              <w:rPr>
                <w:rFonts w:ascii="Arial Narrow" w:hAnsi="Arial Narrow"/>
                <w:b/>
                <w:sz w:val="20"/>
                <w:szCs w:val="20"/>
              </w:rPr>
              <w:t>net cost to PBS/RPBS</w:t>
            </w:r>
            <w:r w:rsidR="00EF3FAD" w:rsidRPr="000C5FE3">
              <w:rPr>
                <w:rFonts w:ascii="Arial Narrow" w:hAnsi="Arial Narrow"/>
                <w:b/>
                <w:sz w:val="20"/>
                <w:szCs w:val="20"/>
                <w:vertAlign w:val="superscript"/>
              </w:rPr>
              <w:t>b</w:t>
            </w:r>
            <w:r w:rsidR="00580BF5" w:rsidRPr="000C5FE3">
              <w:rPr>
                <w:rFonts w:ascii="Arial Narrow" w:hAnsi="Arial Narrow"/>
                <w:b/>
                <w:sz w:val="20"/>
                <w:szCs w:val="20"/>
              </w:rPr>
              <w:t>)</w:t>
            </w:r>
          </w:p>
        </w:tc>
      </w:tr>
      <w:tr w:rsidR="00580BF5" w:rsidRPr="00831A92" w:rsidTr="00781379">
        <w:trPr>
          <w:trHeight w:val="148"/>
        </w:trPr>
        <w:tc>
          <w:tcPr>
            <w:tcW w:w="784" w:type="pct"/>
            <w:shd w:val="clear" w:color="auto" w:fill="auto"/>
            <w:vAlign w:val="bottom"/>
          </w:tcPr>
          <w:p w:rsidR="00580BF5" w:rsidRPr="000C5FE3" w:rsidRDefault="00580BF5" w:rsidP="00293AB4">
            <w:pPr>
              <w:keepNext/>
              <w:keepLines/>
              <w:rPr>
                <w:rFonts w:ascii="Arial Narrow" w:hAnsi="Arial Narrow"/>
                <w:bCs/>
                <w:sz w:val="20"/>
                <w:szCs w:val="20"/>
              </w:rPr>
            </w:pPr>
            <w:r w:rsidRPr="000C5FE3">
              <w:rPr>
                <w:rFonts w:ascii="Arial Narrow" w:hAnsi="Arial Narrow"/>
                <w:bCs/>
                <w:sz w:val="20"/>
                <w:szCs w:val="20"/>
              </w:rPr>
              <w:t xml:space="preserve">Aflibercept  </w:t>
            </w:r>
          </w:p>
        </w:tc>
        <w:tc>
          <w:tcPr>
            <w:tcW w:w="472" w:type="pct"/>
            <w:shd w:val="clear" w:color="auto" w:fill="auto"/>
            <w:vAlign w:val="bottom"/>
          </w:tcPr>
          <w:p w:rsidR="00580BF5" w:rsidRPr="000C5FE3" w:rsidRDefault="00580BF5" w:rsidP="00293AB4">
            <w:pPr>
              <w:keepNext/>
              <w:keepLines/>
              <w:rPr>
                <w:rFonts w:ascii="Arial Narrow" w:hAnsi="Arial Narrow"/>
                <w:bCs/>
                <w:sz w:val="20"/>
                <w:szCs w:val="20"/>
              </w:rPr>
            </w:pPr>
            <w:r w:rsidRPr="000C5FE3">
              <w:rPr>
                <w:rFonts w:ascii="Arial Narrow" w:hAnsi="Arial Narrow"/>
                <w:bCs/>
                <w:sz w:val="20"/>
                <w:szCs w:val="20"/>
              </w:rPr>
              <w:t>2168D</w:t>
            </w:r>
          </w:p>
        </w:tc>
        <w:tc>
          <w:tcPr>
            <w:tcW w:w="624" w:type="pct"/>
            <w:shd w:val="clear" w:color="auto" w:fill="auto"/>
            <w:noWrap/>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r>
      <w:tr w:rsidR="00580BF5" w:rsidRPr="00831A92" w:rsidTr="00781379">
        <w:trPr>
          <w:trHeight w:val="148"/>
        </w:trPr>
        <w:tc>
          <w:tcPr>
            <w:tcW w:w="784" w:type="pct"/>
            <w:shd w:val="clear" w:color="auto" w:fill="auto"/>
            <w:vAlign w:val="bottom"/>
          </w:tcPr>
          <w:p w:rsidR="00580BF5" w:rsidRPr="000C5FE3" w:rsidRDefault="00580BF5" w:rsidP="00293AB4">
            <w:pPr>
              <w:keepNext/>
              <w:keepLines/>
              <w:rPr>
                <w:rFonts w:ascii="Arial Narrow" w:hAnsi="Arial Narrow"/>
                <w:bCs/>
                <w:sz w:val="20"/>
                <w:szCs w:val="20"/>
              </w:rPr>
            </w:pPr>
            <w:r w:rsidRPr="000C5FE3">
              <w:rPr>
                <w:rFonts w:ascii="Arial Narrow" w:hAnsi="Arial Narrow"/>
                <w:bCs/>
                <w:sz w:val="20"/>
                <w:szCs w:val="20"/>
              </w:rPr>
              <w:t xml:space="preserve">Ranibizumab  </w:t>
            </w:r>
          </w:p>
        </w:tc>
        <w:tc>
          <w:tcPr>
            <w:tcW w:w="472" w:type="pct"/>
            <w:shd w:val="clear" w:color="auto" w:fill="auto"/>
            <w:vAlign w:val="bottom"/>
          </w:tcPr>
          <w:p w:rsidR="00580BF5" w:rsidRPr="000C5FE3" w:rsidRDefault="00580BF5" w:rsidP="00293AB4">
            <w:pPr>
              <w:keepNext/>
              <w:keepLines/>
              <w:rPr>
                <w:rFonts w:ascii="Arial Narrow" w:hAnsi="Arial Narrow"/>
                <w:bCs/>
                <w:sz w:val="20"/>
                <w:szCs w:val="20"/>
              </w:rPr>
            </w:pPr>
            <w:r w:rsidRPr="000C5FE3">
              <w:rPr>
                <w:rFonts w:ascii="Arial Narrow" w:hAnsi="Arial Narrow"/>
                <w:bCs/>
                <w:sz w:val="20"/>
                <w:szCs w:val="20"/>
              </w:rPr>
              <w:t>10138N</w:t>
            </w:r>
          </w:p>
        </w:tc>
        <w:tc>
          <w:tcPr>
            <w:tcW w:w="624" w:type="pct"/>
            <w:shd w:val="clear" w:color="auto" w:fill="auto"/>
            <w:noWrap/>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r>
      <w:tr w:rsidR="00580BF5" w:rsidRPr="00831A92" w:rsidTr="00781379">
        <w:trPr>
          <w:trHeight w:val="148"/>
        </w:trPr>
        <w:tc>
          <w:tcPr>
            <w:tcW w:w="784" w:type="pct"/>
            <w:shd w:val="clear" w:color="auto" w:fill="auto"/>
            <w:vAlign w:val="bottom"/>
          </w:tcPr>
          <w:p w:rsidR="00580BF5" w:rsidRPr="000C5FE3" w:rsidRDefault="00580BF5" w:rsidP="00293AB4">
            <w:pPr>
              <w:keepNext/>
              <w:keepLines/>
              <w:rPr>
                <w:rFonts w:ascii="Arial Narrow" w:hAnsi="Arial Narrow"/>
                <w:bCs/>
                <w:sz w:val="20"/>
                <w:szCs w:val="20"/>
              </w:rPr>
            </w:pPr>
            <w:r w:rsidRPr="000C5FE3">
              <w:rPr>
                <w:rFonts w:ascii="Arial Narrow" w:hAnsi="Arial Narrow"/>
                <w:bCs/>
                <w:sz w:val="20"/>
                <w:szCs w:val="20"/>
              </w:rPr>
              <w:t xml:space="preserve">Ranibizumab  </w:t>
            </w:r>
          </w:p>
        </w:tc>
        <w:tc>
          <w:tcPr>
            <w:tcW w:w="472" w:type="pct"/>
            <w:shd w:val="clear" w:color="auto" w:fill="auto"/>
            <w:vAlign w:val="bottom"/>
          </w:tcPr>
          <w:p w:rsidR="00580BF5" w:rsidRPr="000C5FE3" w:rsidRDefault="00580BF5" w:rsidP="00293AB4">
            <w:pPr>
              <w:keepNext/>
              <w:keepLines/>
              <w:rPr>
                <w:rFonts w:ascii="Arial Narrow" w:hAnsi="Arial Narrow"/>
                <w:bCs/>
                <w:sz w:val="20"/>
                <w:szCs w:val="20"/>
              </w:rPr>
            </w:pPr>
            <w:r w:rsidRPr="000C5FE3">
              <w:rPr>
                <w:rFonts w:ascii="Arial Narrow" w:hAnsi="Arial Narrow"/>
                <w:bCs/>
                <w:sz w:val="20"/>
                <w:szCs w:val="20"/>
              </w:rPr>
              <w:t>1382R</w:t>
            </w:r>
          </w:p>
        </w:tc>
        <w:tc>
          <w:tcPr>
            <w:tcW w:w="624" w:type="pct"/>
            <w:shd w:val="clear" w:color="auto" w:fill="auto"/>
            <w:noWrap/>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r>
      <w:tr w:rsidR="00580BF5" w:rsidRPr="00831A92" w:rsidTr="00A02C5C">
        <w:trPr>
          <w:trHeight w:val="148"/>
        </w:trPr>
        <w:tc>
          <w:tcPr>
            <w:tcW w:w="1256" w:type="pct"/>
            <w:gridSpan w:val="2"/>
            <w:shd w:val="clear" w:color="auto" w:fill="auto"/>
            <w:vAlign w:val="bottom"/>
          </w:tcPr>
          <w:p w:rsidR="00580BF5" w:rsidRPr="000C5FE3" w:rsidRDefault="00580BF5" w:rsidP="00293AB4">
            <w:pPr>
              <w:keepNext/>
              <w:keepLines/>
              <w:rPr>
                <w:rFonts w:ascii="Arial Narrow" w:hAnsi="Arial Narrow"/>
                <w:bCs/>
                <w:sz w:val="20"/>
                <w:szCs w:val="20"/>
              </w:rPr>
            </w:pPr>
            <w:r w:rsidRPr="000C5FE3">
              <w:rPr>
                <w:rFonts w:ascii="Arial Narrow" w:hAnsi="Arial Narrow"/>
                <w:bCs/>
                <w:sz w:val="20"/>
                <w:szCs w:val="20"/>
              </w:rPr>
              <w:t>Total</w:t>
            </w:r>
          </w:p>
        </w:tc>
        <w:tc>
          <w:tcPr>
            <w:tcW w:w="624" w:type="pct"/>
            <w:shd w:val="clear" w:color="auto" w:fill="auto"/>
            <w:noWrap/>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tcPr>
          <w:p w:rsidR="00580BF5" w:rsidRPr="000C5FE3" w:rsidRDefault="00580BF5"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r>
      <w:tr w:rsidR="00580BF5" w:rsidRPr="00831A92" w:rsidTr="00A02C5C">
        <w:trPr>
          <w:trHeight w:val="148"/>
        </w:trPr>
        <w:tc>
          <w:tcPr>
            <w:tcW w:w="5000" w:type="pct"/>
            <w:gridSpan w:val="13"/>
            <w:shd w:val="clear" w:color="auto" w:fill="auto"/>
            <w:vAlign w:val="bottom"/>
          </w:tcPr>
          <w:p w:rsidR="00580BF5" w:rsidRPr="000C5FE3" w:rsidRDefault="00580BF5" w:rsidP="00293AB4">
            <w:pPr>
              <w:keepNext/>
              <w:keepLines/>
              <w:ind w:left="-61" w:right="-41"/>
              <w:rPr>
                <w:rFonts w:ascii="Arial Narrow" w:hAnsi="Arial Narrow"/>
                <w:b/>
                <w:bCs/>
                <w:sz w:val="20"/>
                <w:szCs w:val="20"/>
              </w:rPr>
            </w:pPr>
            <w:r w:rsidRPr="000C5FE3">
              <w:rPr>
                <w:rFonts w:ascii="Arial Narrow" w:hAnsi="Arial Narrow"/>
                <w:b/>
                <w:bCs/>
                <w:sz w:val="20"/>
                <w:szCs w:val="20"/>
              </w:rPr>
              <w:t>Net financial implications</w:t>
            </w:r>
          </w:p>
        </w:tc>
      </w:tr>
      <w:tr w:rsidR="00580BF5" w:rsidRPr="00831A92" w:rsidTr="00A02C5C">
        <w:trPr>
          <w:trHeight w:val="148"/>
        </w:trPr>
        <w:tc>
          <w:tcPr>
            <w:tcW w:w="1256" w:type="pct"/>
            <w:gridSpan w:val="2"/>
            <w:shd w:val="clear" w:color="auto" w:fill="auto"/>
            <w:vAlign w:val="bottom"/>
          </w:tcPr>
          <w:p w:rsidR="00580BF5" w:rsidRPr="000C5FE3" w:rsidRDefault="00580BF5" w:rsidP="00293AB4">
            <w:pPr>
              <w:keepNext/>
              <w:keepLines/>
              <w:rPr>
                <w:rFonts w:ascii="Arial Narrow" w:hAnsi="Arial Narrow"/>
                <w:sz w:val="20"/>
                <w:szCs w:val="20"/>
                <w:highlight w:val="lightGray"/>
                <w:vertAlign w:val="superscript"/>
              </w:rPr>
            </w:pPr>
            <w:r w:rsidRPr="000C5FE3">
              <w:rPr>
                <w:rFonts w:ascii="Arial Narrow" w:hAnsi="Arial Narrow"/>
                <w:sz w:val="20"/>
                <w:szCs w:val="20"/>
              </w:rPr>
              <w:t>MBS net cost</w:t>
            </w:r>
          </w:p>
        </w:tc>
        <w:tc>
          <w:tcPr>
            <w:tcW w:w="624" w:type="pct"/>
            <w:shd w:val="clear" w:color="auto" w:fill="auto"/>
            <w:noWrap/>
          </w:tcPr>
          <w:p w:rsidR="00580BF5" w:rsidRPr="000C5FE3" w:rsidRDefault="00580BF5" w:rsidP="00293AB4">
            <w:pPr>
              <w:keepNext/>
              <w:keepLines/>
              <w:ind w:left="-61" w:right="-41"/>
              <w:jc w:val="right"/>
              <w:rPr>
                <w:rFonts w:ascii="Arial Narrow" w:hAnsi="Arial Narrow"/>
                <w:sz w:val="20"/>
                <w:szCs w:val="20"/>
                <w:highlight w:val="lightGray"/>
              </w:rPr>
            </w:pPr>
            <w:r w:rsidRPr="000C5FE3">
              <w:rPr>
                <w:rFonts w:ascii="Arial Narrow" w:hAnsi="Arial Narrow"/>
                <w:sz w:val="20"/>
                <w:szCs w:val="20"/>
              </w:rPr>
              <w:t>$0</w:t>
            </w:r>
          </w:p>
        </w:tc>
        <w:tc>
          <w:tcPr>
            <w:tcW w:w="624" w:type="pct"/>
            <w:gridSpan w:val="2"/>
            <w:shd w:val="clear" w:color="auto" w:fill="auto"/>
            <w:noWrap/>
          </w:tcPr>
          <w:p w:rsidR="00580BF5" w:rsidRPr="000C5FE3" w:rsidRDefault="00580BF5" w:rsidP="00293AB4">
            <w:pPr>
              <w:keepNext/>
              <w:keepLines/>
              <w:ind w:left="-61" w:right="-41"/>
              <w:jc w:val="right"/>
              <w:rPr>
                <w:rFonts w:ascii="Arial Narrow" w:hAnsi="Arial Narrow"/>
                <w:sz w:val="20"/>
                <w:szCs w:val="20"/>
                <w:highlight w:val="lightGray"/>
              </w:rPr>
            </w:pPr>
            <w:r w:rsidRPr="000C5FE3">
              <w:rPr>
                <w:rFonts w:ascii="Arial Narrow" w:hAnsi="Arial Narrow"/>
                <w:sz w:val="20"/>
                <w:szCs w:val="20"/>
              </w:rPr>
              <w:t>$0</w:t>
            </w:r>
          </w:p>
        </w:tc>
        <w:tc>
          <w:tcPr>
            <w:tcW w:w="624" w:type="pct"/>
            <w:gridSpan w:val="2"/>
            <w:shd w:val="clear" w:color="auto" w:fill="auto"/>
            <w:noWrap/>
          </w:tcPr>
          <w:p w:rsidR="00580BF5" w:rsidRPr="000C5FE3" w:rsidRDefault="00580BF5" w:rsidP="00293AB4">
            <w:pPr>
              <w:keepNext/>
              <w:keepLines/>
              <w:ind w:left="-61" w:right="-41"/>
              <w:jc w:val="right"/>
              <w:rPr>
                <w:rFonts w:ascii="Arial Narrow" w:hAnsi="Arial Narrow"/>
                <w:sz w:val="20"/>
                <w:szCs w:val="20"/>
                <w:highlight w:val="lightGray"/>
              </w:rPr>
            </w:pPr>
            <w:r w:rsidRPr="000C5FE3">
              <w:rPr>
                <w:rFonts w:ascii="Arial Narrow" w:hAnsi="Arial Narrow"/>
                <w:sz w:val="20"/>
                <w:szCs w:val="20"/>
              </w:rPr>
              <w:t>$0</w:t>
            </w:r>
          </w:p>
        </w:tc>
        <w:tc>
          <w:tcPr>
            <w:tcW w:w="624" w:type="pct"/>
            <w:gridSpan w:val="2"/>
            <w:shd w:val="clear" w:color="auto" w:fill="auto"/>
            <w:noWrap/>
          </w:tcPr>
          <w:p w:rsidR="00580BF5" w:rsidRPr="000C5FE3" w:rsidRDefault="00580BF5" w:rsidP="00293AB4">
            <w:pPr>
              <w:keepNext/>
              <w:keepLines/>
              <w:ind w:left="-61" w:right="-41"/>
              <w:jc w:val="right"/>
              <w:rPr>
                <w:rFonts w:ascii="Arial Narrow" w:hAnsi="Arial Narrow"/>
                <w:sz w:val="20"/>
                <w:szCs w:val="20"/>
                <w:highlight w:val="lightGray"/>
              </w:rPr>
            </w:pPr>
            <w:r w:rsidRPr="000C5FE3">
              <w:rPr>
                <w:rFonts w:ascii="Arial Narrow" w:hAnsi="Arial Narrow"/>
                <w:sz w:val="20"/>
                <w:szCs w:val="20"/>
              </w:rPr>
              <w:t>$0</w:t>
            </w:r>
          </w:p>
        </w:tc>
        <w:tc>
          <w:tcPr>
            <w:tcW w:w="624" w:type="pct"/>
            <w:gridSpan w:val="2"/>
            <w:shd w:val="clear" w:color="auto" w:fill="auto"/>
            <w:noWrap/>
          </w:tcPr>
          <w:p w:rsidR="00580BF5" w:rsidRPr="000C5FE3" w:rsidRDefault="00580BF5" w:rsidP="00293AB4">
            <w:pPr>
              <w:keepNext/>
              <w:keepLines/>
              <w:ind w:left="-61" w:right="-41"/>
              <w:jc w:val="right"/>
              <w:rPr>
                <w:rFonts w:ascii="Arial Narrow" w:hAnsi="Arial Narrow"/>
                <w:sz w:val="20"/>
                <w:szCs w:val="20"/>
                <w:highlight w:val="lightGray"/>
              </w:rPr>
            </w:pPr>
            <w:r w:rsidRPr="000C5FE3">
              <w:rPr>
                <w:rFonts w:ascii="Arial Narrow" w:hAnsi="Arial Narrow"/>
                <w:sz w:val="20"/>
                <w:szCs w:val="20"/>
              </w:rPr>
              <w:t>$0</w:t>
            </w:r>
          </w:p>
        </w:tc>
        <w:tc>
          <w:tcPr>
            <w:tcW w:w="624" w:type="pct"/>
            <w:gridSpan w:val="2"/>
          </w:tcPr>
          <w:p w:rsidR="00580BF5" w:rsidRPr="000C5FE3" w:rsidRDefault="00580BF5" w:rsidP="00293AB4">
            <w:pPr>
              <w:keepNext/>
              <w:keepLines/>
              <w:ind w:left="-61" w:right="-41"/>
              <w:jc w:val="right"/>
              <w:rPr>
                <w:rFonts w:ascii="Arial Narrow" w:hAnsi="Arial Narrow"/>
                <w:sz w:val="20"/>
                <w:szCs w:val="20"/>
                <w:highlight w:val="lightGray"/>
              </w:rPr>
            </w:pPr>
            <w:r w:rsidRPr="000C5FE3">
              <w:rPr>
                <w:rFonts w:ascii="Arial Narrow" w:hAnsi="Arial Narrow"/>
                <w:sz w:val="20"/>
                <w:szCs w:val="20"/>
              </w:rPr>
              <w:t>$0</w:t>
            </w:r>
          </w:p>
        </w:tc>
      </w:tr>
      <w:tr w:rsidR="008D7862" w:rsidRPr="00831A92" w:rsidTr="00703042">
        <w:trPr>
          <w:trHeight w:val="148"/>
        </w:trPr>
        <w:tc>
          <w:tcPr>
            <w:tcW w:w="1256" w:type="pct"/>
            <w:gridSpan w:val="2"/>
            <w:shd w:val="clear" w:color="auto" w:fill="auto"/>
            <w:vAlign w:val="bottom"/>
          </w:tcPr>
          <w:p w:rsidR="008D7862" w:rsidRPr="000C5FE3" w:rsidRDefault="008D7862" w:rsidP="00293AB4">
            <w:pPr>
              <w:keepNext/>
              <w:keepLines/>
              <w:rPr>
                <w:rFonts w:ascii="Arial Narrow" w:hAnsi="Arial Narrow"/>
                <w:sz w:val="20"/>
                <w:szCs w:val="20"/>
                <w:highlight w:val="lightGray"/>
              </w:rPr>
            </w:pPr>
            <w:r w:rsidRPr="000C5FE3">
              <w:rPr>
                <w:rFonts w:ascii="Arial Narrow" w:hAnsi="Arial Narrow"/>
                <w:sz w:val="20"/>
                <w:szCs w:val="20"/>
              </w:rPr>
              <w:t>Net cost to PBS/RPBS/MBS</w:t>
            </w:r>
            <w:r w:rsidR="008860E8" w:rsidRPr="000C5FE3">
              <w:rPr>
                <w:rFonts w:ascii="Arial Narrow" w:hAnsi="Arial Narrow"/>
                <w:sz w:val="20"/>
                <w:szCs w:val="20"/>
              </w:rPr>
              <w:t xml:space="preserve"> (March 2020 resubmission)</w:t>
            </w:r>
          </w:p>
        </w:tc>
        <w:tc>
          <w:tcPr>
            <w:tcW w:w="624" w:type="pct"/>
            <w:shd w:val="clear" w:color="auto" w:fill="auto"/>
            <w:noWrap/>
            <w:vAlign w:val="center"/>
          </w:tcPr>
          <w:p w:rsidR="008D7862" w:rsidRPr="000C5FE3" w:rsidRDefault="008D7862"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vAlign w:val="center"/>
          </w:tcPr>
          <w:p w:rsidR="008D7862" w:rsidRPr="000C5FE3" w:rsidRDefault="008D7862"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vAlign w:val="center"/>
          </w:tcPr>
          <w:p w:rsidR="008D7862" w:rsidRPr="000C5FE3" w:rsidRDefault="008D7862"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vAlign w:val="center"/>
          </w:tcPr>
          <w:p w:rsidR="008D7862" w:rsidRPr="000C5FE3" w:rsidRDefault="008D7862"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shd w:val="clear" w:color="auto" w:fill="auto"/>
            <w:noWrap/>
            <w:vAlign w:val="center"/>
          </w:tcPr>
          <w:p w:rsidR="008D7862" w:rsidRPr="000C5FE3" w:rsidRDefault="008D7862"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c>
          <w:tcPr>
            <w:tcW w:w="624" w:type="pct"/>
            <w:gridSpan w:val="2"/>
            <w:vAlign w:val="center"/>
          </w:tcPr>
          <w:p w:rsidR="008D7862" w:rsidRPr="000C5FE3" w:rsidRDefault="008D7862" w:rsidP="00293AB4">
            <w:pPr>
              <w:keepNext/>
              <w:keepLines/>
              <w:ind w:left="-61" w:right="-41"/>
              <w:jc w:val="right"/>
              <w:rPr>
                <w:rFonts w:ascii="Arial Narrow" w:hAnsi="Arial Narrow"/>
                <w:sz w:val="20"/>
                <w:szCs w:val="20"/>
              </w:rPr>
            </w:pPr>
            <w:r w:rsidRPr="000C5FE3">
              <w:rPr>
                <w:rFonts w:ascii="Arial Narrow" w:hAnsi="Arial Narrow"/>
                <w:sz w:val="20"/>
                <w:szCs w:val="20"/>
              </w:rPr>
              <w:t>-$</w:t>
            </w:r>
            <w:r w:rsidR="002C14AA">
              <w:rPr>
                <w:rFonts w:ascii="Arial Narrow" w:hAnsi="Arial Narrow"/>
                <w:noProof/>
                <w:color w:val="000000"/>
                <w:sz w:val="20"/>
                <w:szCs w:val="20"/>
                <w:highlight w:val="black"/>
              </w:rPr>
              <w:t>''''''''''''''''''''''</w:t>
            </w:r>
          </w:p>
        </w:tc>
      </w:tr>
    </w:tbl>
    <w:p w:rsidR="00B32482" w:rsidRPr="00831A92" w:rsidRDefault="00B32482" w:rsidP="000C5FE3">
      <w:pPr>
        <w:pStyle w:val="TableFooter"/>
        <w:spacing w:after="120"/>
        <w:contextualSpacing/>
      </w:pPr>
      <w:r w:rsidRPr="00831A92">
        <w:t xml:space="preserve">Abbreviations: </w:t>
      </w:r>
      <w:r w:rsidR="00EF3FAD" w:rsidRPr="00831A92">
        <w:t xml:space="preserve">AMD = age-related macular degeneration; CNV = choroidal neovascularisation; </w:t>
      </w:r>
      <w:r w:rsidR="00ED6DEE" w:rsidRPr="00831A92">
        <w:t>DPMQ</w:t>
      </w:r>
      <w:r w:rsidRPr="00831A92">
        <w:t xml:space="preserve"> = dispensed price for maximum </w:t>
      </w:r>
      <w:r w:rsidR="00ED6DEE" w:rsidRPr="00831A92">
        <w:t>quantity</w:t>
      </w:r>
      <w:r w:rsidRPr="00831A92">
        <w:t>; MBS = Medicare Benefits PBS = Pharmaceutical Benefits Scheme; RPBS = Repatriation Pharmaceutical Benefits Scheme.</w:t>
      </w:r>
    </w:p>
    <w:p w:rsidR="00B32482" w:rsidRPr="00831A92" w:rsidRDefault="00B32482" w:rsidP="000C5FE3">
      <w:pPr>
        <w:pStyle w:val="TableFooter"/>
        <w:spacing w:after="120"/>
        <w:contextualSpacing/>
      </w:pPr>
      <w:r w:rsidRPr="00831A92">
        <w:t>Source: Section 4 Workbook_</w:t>
      </w:r>
      <w:r w:rsidR="00E3283D" w:rsidRPr="00831A92">
        <w:t>’PBS-RPBS overview tab’</w:t>
      </w:r>
      <w:r w:rsidR="00EF3FAD" w:rsidRPr="00831A92">
        <w:t>.</w:t>
      </w:r>
      <w:r w:rsidRPr="00831A92">
        <w:t xml:space="preserve"> </w:t>
      </w:r>
    </w:p>
    <w:p w:rsidR="00EF3FAD" w:rsidRPr="00831A92" w:rsidRDefault="00EF3FAD" w:rsidP="000C5FE3">
      <w:pPr>
        <w:pStyle w:val="TableFooter"/>
        <w:spacing w:after="120"/>
        <w:contextualSpacing/>
      </w:pPr>
      <w:r w:rsidRPr="00831A92">
        <w:rPr>
          <w:vertAlign w:val="superscript"/>
        </w:rPr>
        <w:t>a</w:t>
      </w:r>
      <w:r w:rsidRPr="00831A92">
        <w:t xml:space="preserve"> Total anti-VEG</w:t>
      </w:r>
      <w:r w:rsidR="00B24A8C" w:rsidRPr="00831A92">
        <w:t>F</w:t>
      </w:r>
      <w:r w:rsidRPr="00831A92">
        <w:t xml:space="preserve"> scripts for CNV due to AMD.</w:t>
      </w:r>
    </w:p>
    <w:p w:rsidR="0002649C" w:rsidRPr="00831A92" w:rsidRDefault="00EF3FAD" w:rsidP="000C5FE3">
      <w:pPr>
        <w:pStyle w:val="TableFooter"/>
        <w:spacing w:after="120"/>
        <w:contextualSpacing/>
      </w:pPr>
      <w:r w:rsidRPr="00831A92">
        <w:rPr>
          <w:vertAlign w:val="superscript"/>
        </w:rPr>
        <w:t>b</w:t>
      </w:r>
      <w:r w:rsidR="00B32482" w:rsidRPr="00831A92">
        <w:t xml:space="preserve"> Costs represent DPM</w:t>
      </w:r>
      <w:r w:rsidR="00ED6DEE" w:rsidRPr="00831A92">
        <w:t>Q</w:t>
      </w:r>
      <w:r w:rsidR="00B32482" w:rsidRPr="00831A92">
        <w:t xml:space="preserve"> minus copayment</w:t>
      </w:r>
      <w:r w:rsidR="00F73B98" w:rsidRPr="00831A92">
        <w:t xml:space="preserve"> at the</w:t>
      </w:r>
      <w:r w:rsidR="00ED7596" w:rsidRPr="00831A92">
        <w:t xml:space="preserve"> effective price</w:t>
      </w:r>
      <w:r w:rsidR="00B50D37" w:rsidRPr="00831A92">
        <w:t xml:space="preserve"> and do not incorporate the </w:t>
      </w:r>
      <w:r w:rsidR="002C14AA">
        <w:rPr>
          <w:noProof/>
          <w:color w:val="000000"/>
          <w:highlight w:val="black"/>
        </w:rPr>
        <w:t>''''</w:t>
      </w:r>
      <w:r w:rsidR="00B50D37" w:rsidRPr="00831A92">
        <w:t>% price reduction proposed in the pre-PBAC response for the July 2020 resubmission</w:t>
      </w:r>
      <w:r w:rsidR="00B32482" w:rsidRPr="00831A92">
        <w:t>.</w:t>
      </w:r>
    </w:p>
    <w:p w:rsidR="0039257E" w:rsidRPr="0039257E" w:rsidRDefault="0039257E" w:rsidP="0039257E">
      <w:pPr>
        <w:pStyle w:val="3Bodytext"/>
        <w:numPr>
          <w:ilvl w:val="0"/>
          <w:numId w:val="0"/>
        </w:numPr>
        <w:ind w:left="720" w:hanging="720"/>
        <w:rPr>
          <w:i/>
        </w:rPr>
      </w:pPr>
      <w:r>
        <w:rPr>
          <w:i/>
        </w:rPr>
        <w:t>The redacted table shows that at Year 6, the estimated number of brolucizumab scripts dispensed was over 200,000.</w:t>
      </w:r>
    </w:p>
    <w:p w:rsidR="00C342AB" w:rsidRPr="00831A92" w:rsidRDefault="00C342AB" w:rsidP="000C5FE3">
      <w:pPr>
        <w:pStyle w:val="3Bodytext"/>
        <w:rPr>
          <w:i/>
        </w:rPr>
      </w:pPr>
      <w:r w:rsidRPr="00831A92">
        <w:t>As a minor submission, the financial estimates have not been independently evaluated.</w:t>
      </w:r>
    </w:p>
    <w:p w:rsidR="00C342AB" w:rsidRPr="00831A92" w:rsidRDefault="00C342AB" w:rsidP="00046A05">
      <w:pPr>
        <w:pStyle w:val="Heading2"/>
        <w:spacing w:before="240" w:after="120"/>
        <w:rPr>
          <w:rFonts w:asciiTheme="minorHAnsi" w:hAnsiTheme="minorHAnsi"/>
          <w:bCs/>
          <w:iCs/>
          <w:sz w:val="28"/>
        </w:rPr>
      </w:pPr>
      <w:bookmarkStart w:id="1" w:name="_Toc19612028"/>
      <w:r w:rsidRPr="00831A92">
        <w:rPr>
          <w:rFonts w:asciiTheme="minorHAnsi" w:hAnsiTheme="minorHAnsi"/>
          <w:bCs/>
          <w:iCs/>
          <w:sz w:val="28"/>
        </w:rPr>
        <w:t>Financial Management – Risk Sharing Arrangements</w:t>
      </w:r>
      <w:bookmarkEnd w:id="1"/>
    </w:p>
    <w:p w:rsidR="005C4524" w:rsidRDefault="005C4524" w:rsidP="000C5FE3">
      <w:pPr>
        <w:pStyle w:val="3Bodytext"/>
      </w:pPr>
      <w:r w:rsidRPr="00831A92">
        <w:t xml:space="preserve">The </w:t>
      </w:r>
      <w:r w:rsidR="00703042" w:rsidRPr="00831A92">
        <w:t xml:space="preserve">March 2020 </w:t>
      </w:r>
      <w:r w:rsidRPr="00831A92">
        <w:t>resubmission noted that ranibizumab and aflibercept currently have risk sharing arrangements in place covering PBS expenditure in relation to the treatment of neovascular AMD. The</w:t>
      </w:r>
      <w:r w:rsidR="00703042" w:rsidRPr="00831A92">
        <w:t xml:space="preserve"> March 2020</w:t>
      </w:r>
      <w:r w:rsidRPr="00831A92">
        <w:t xml:space="preserve"> resubmission stated that the degree to which these arrangements would, or would not, apply to brolucizumab is not known at this stage. However, the sponsor expects this to be central part of post-PBAC negotiations once a positive recommendation is received.</w:t>
      </w:r>
      <w:r w:rsidR="00703042" w:rsidRPr="00831A92">
        <w:t xml:space="preserve"> The July 2020 resubmission did not alter this position.</w:t>
      </w:r>
    </w:p>
    <w:p w:rsidR="006D2EE3" w:rsidRPr="006D2EE3" w:rsidRDefault="006D2EE3" w:rsidP="006D2EE3">
      <w:pPr>
        <w:ind w:firstLine="709"/>
        <w:rPr>
          <w:i/>
        </w:rPr>
      </w:pPr>
      <w:r w:rsidRPr="006D2EE3">
        <w:rPr>
          <w:i/>
        </w:rPr>
        <w:t>For more detail on PBAC’s view, see section 6 PBAC outcome.</w:t>
      </w:r>
    </w:p>
    <w:p w:rsidR="003B4AB0" w:rsidRPr="00831A92" w:rsidRDefault="003B4AB0" w:rsidP="003B4AB0">
      <w:pPr>
        <w:pStyle w:val="Heading1"/>
        <w:keepNext/>
        <w:keepLines/>
        <w:numPr>
          <w:ilvl w:val="0"/>
          <w:numId w:val="4"/>
        </w:numPr>
        <w:spacing w:before="240"/>
        <w:ind w:left="709" w:hanging="709"/>
        <w:rPr>
          <w:sz w:val="32"/>
          <w:szCs w:val="32"/>
        </w:rPr>
      </w:pPr>
      <w:r w:rsidRPr="00831A92">
        <w:rPr>
          <w:sz w:val="32"/>
          <w:szCs w:val="32"/>
        </w:rPr>
        <w:t>P</w:t>
      </w:r>
      <w:r w:rsidR="00E10482" w:rsidRPr="00831A92">
        <w:rPr>
          <w:sz w:val="32"/>
          <w:szCs w:val="32"/>
        </w:rPr>
        <w:t>BAC o</w:t>
      </w:r>
      <w:r w:rsidRPr="00831A92">
        <w:rPr>
          <w:sz w:val="32"/>
          <w:szCs w:val="32"/>
        </w:rPr>
        <w:t>utcome</w:t>
      </w:r>
    </w:p>
    <w:p w:rsidR="007F493F" w:rsidRPr="00831A92" w:rsidRDefault="007F493F" w:rsidP="000C5FE3">
      <w:pPr>
        <w:pStyle w:val="3Bodytext"/>
        <w:rPr>
          <w:rFonts w:cs="Arial"/>
          <w:bCs/>
          <w:snapToGrid w:val="0"/>
        </w:rPr>
      </w:pPr>
      <w:r w:rsidRPr="00831A92">
        <w:rPr>
          <w:bCs/>
        </w:rPr>
        <w:t xml:space="preserve">The PBAC did not recommend brolucizumab for the treatment of patients with </w:t>
      </w:r>
      <w:r w:rsidRPr="00831A92">
        <w:t xml:space="preserve">subfoveal choroidal neovascularisation (CNV) due to age-related macular degeneration (AMD). The PBAC considered </w:t>
      </w:r>
      <w:r w:rsidR="0085068B" w:rsidRPr="00831A92">
        <w:t xml:space="preserve">that the claim of non-inferior safety was not adequately demonstrated and that </w:t>
      </w:r>
      <w:r w:rsidR="00111DCE" w:rsidRPr="00831A92">
        <w:t>brolucizumab</w:t>
      </w:r>
      <w:r w:rsidRPr="00831A92">
        <w:t xml:space="preserve"> is likely inferior to aflibercept in terms of comparative safety. The PBAC recalled it had previously considered brolucizumab was non-inferior in terms of comparative efficacy but would not provide the benefit of less frequent dosing compared with currently available anti-VEGFs as claimed by the sponsor.  </w:t>
      </w:r>
    </w:p>
    <w:p w:rsidR="009C0CB4" w:rsidRPr="000C5FE3" w:rsidRDefault="009C0CB4" w:rsidP="000C5FE3">
      <w:pPr>
        <w:pStyle w:val="3Bodytext"/>
      </w:pPr>
      <w:r w:rsidRPr="00831A92">
        <w:t xml:space="preserve">The PBAC noted the consumer comments stating that a treatment option that could extend treatment intervals to 3 months would be beneficial, and that </w:t>
      </w:r>
      <w:r w:rsidRPr="00831A92">
        <w:rPr>
          <w:rFonts w:cs="Arial"/>
          <w:snapToGrid w:val="0"/>
        </w:rPr>
        <w:t xml:space="preserve">safety concerns regarding </w:t>
      </w:r>
      <w:r w:rsidRPr="000C5FE3">
        <w:t>rare cases of intraocular inflammation and vasculitis should not preclude its use.</w:t>
      </w:r>
      <w:r w:rsidR="0085068B" w:rsidRPr="000C5FE3">
        <w:t xml:space="preserve"> The PBAC also noted the comments that an alternative to the two currently available VEGF inhibitors in the case of non-responsiveness would be useful.  However, the PBAC considered that would mean brolucizumab would be second line therapy, used after failure of the first line agents (ranibizumab and aflibercept).</w:t>
      </w:r>
    </w:p>
    <w:p w:rsidR="00CB16A2" w:rsidRPr="000C5FE3" w:rsidRDefault="00CB16A2" w:rsidP="000C5FE3">
      <w:pPr>
        <w:pStyle w:val="3Bodytext"/>
      </w:pPr>
      <w:r w:rsidRPr="000C5FE3">
        <w:t>The PBAC previously considered that clinical data indicated a significant difference between brolucizumab and aflibercept in serious adverse events (SAEs). The PBAC noted the relative risk for ocular SAEs for brolucizumab compared to aflibercept was 2.27 (95% CI: 1.12, 4.58) and the relative risk for specific ocular AEs was &gt;1 for most outcomes (favouring aflibercept) with wide confidence intervals (Table 5, brolucizumab PSD, November 2019).</w:t>
      </w:r>
      <w:r w:rsidR="0058488D" w:rsidRPr="000C5FE3">
        <w:t xml:space="preserve"> The PBAC noted that the Global Novartis Ophthalmology report identified an emerging new safety signal of retinal vasculitis and/or retinal vascular occlusion with or without presence of intraocular inflammation that may result in severe vision loss associated with brolucizumab.  The PBAC noted the TGA have approved changes to the </w:t>
      </w:r>
      <w:r w:rsidR="00A82313" w:rsidRPr="000C5FE3">
        <w:t xml:space="preserve">brolucizumab </w:t>
      </w:r>
      <w:r w:rsidR="0058488D" w:rsidRPr="000C5FE3">
        <w:t xml:space="preserve">PI to reflect this emerging safety signal. </w:t>
      </w:r>
    </w:p>
    <w:p w:rsidR="00E74F7D" w:rsidRPr="000C5FE3" w:rsidRDefault="00CB16A2" w:rsidP="000C5FE3">
      <w:pPr>
        <w:pStyle w:val="3Bodytext"/>
      </w:pPr>
      <w:r w:rsidRPr="000C5FE3">
        <w:t xml:space="preserve">Based on the clinical trial evidence of a </w:t>
      </w:r>
      <w:r w:rsidR="00225BB7" w:rsidRPr="000C5FE3">
        <w:t xml:space="preserve">significant </w:t>
      </w:r>
      <w:r w:rsidRPr="000C5FE3">
        <w:t xml:space="preserve">difference in SAEs between brolucizumab and aflibercept, and changes made to the approved PI to reflect an emerging </w:t>
      </w:r>
      <w:r w:rsidR="000D3952" w:rsidRPr="000C5FE3">
        <w:t>safety signal</w:t>
      </w:r>
      <w:r w:rsidRPr="000C5FE3">
        <w:t>, the PBAC concluded that brolucizumab is likely inferior to aflibercept in terms of comparative safety.</w:t>
      </w:r>
    </w:p>
    <w:p w:rsidR="00CF7625" w:rsidRPr="000C5FE3" w:rsidRDefault="00CB16A2" w:rsidP="000C5FE3">
      <w:pPr>
        <w:pStyle w:val="3Bodytext"/>
      </w:pPr>
      <w:r w:rsidRPr="000C5FE3">
        <w:t xml:space="preserve">While the PBAC </w:t>
      </w:r>
      <w:r w:rsidR="00111DCE" w:rsidRPr="000C5FE3">
        <w:t xml:space="preserve">previously </w:t>
      </w:r>
      <w:r w:rsidRPr="000C5FE3">
        <w:t xml:space="preserve">considered the claim of non-inferior effectiveness of brolucizumab compared with aflibercept was reasonable, it </w:t>
      </w:r>
      <w:r w:rsidR="00CF7625" w:rsidRPr="000C5FE3">
        <w:t>did not consider brolucizumab would provide the benefit of less frequent dosing compared with currently available anti-VEGFs (as claimed in the submission), while maintaining the same efficacy</w:t>
      </w:r>
      <w:r w:rsidR="00C83FFB" w:rsidRPr="000C5FE3">
        <w:t xml:space="preserve">, based on </w:t>
      </w:r>
      <w:r w:rsidR="0058488D" w:rsidRPr="000C5FE3">
        <w:t xml:space="preserve">the </w:t>
      </w:r>
      <w:r w:rsidR="00C83FFB" w:rsidRPr="000C5FE3">
        <w:t xml:space="preserve">HAWK and HARRIER </w:t>
      </w:r>
      <w:r w:rsidR="0058488D" w:rsidRPr="000C5FE3">
        <w:t xml:space="preserve">studies </w:t>
      </w:r>
      <w:r w:rsidR="00CF7625" w:rsidRPr="000C5FE3">
        <w:t>(paragraph 7.4, brolucizumab PSD, November 2019).</w:t>
      </w:r>
    </w:p>
    <w:p w:rsidR="003B4AB0" w:rsidRPr="00831A92" w:rsidRDefault="000D3952" w:rsidP="000C5FE3">
      <w:pPr>
        <w:pStyle w:val="3Bodytext"/>
        <w:rPr>
          <w:rFonts w:cs="Arial"/>
          <w:snapToGrid w:val="0"/>
        </w:rPr>
      </w:pPr>
      <w:r w:rsidRPr="000C5FE3">
        <w:t>The PBAC acknowledged that the frequency of SAEs (retinal vasculitis and/or retinal vascular occlusion with or without</w:t>
      </w:r>
      <w:r w:rsidRPr="00831A92">
        <w:rPr>
          <w:rFonts w:eastAsia="TimesNewRoman" w:cstheme="minorHAnsi"/>
        </w:rPr>
        <w:t xml:space="preserve"> presence of intraocular inflammation) that may result in severe vision loss</w:t>
      </w:r>
      <w:r w:rsidRPr="00831A92">
        <w:rPr>
          <w:rFonts w:cs="Arial"/>
          <w:snapToGrid w:val="0"/>
        </w:rPr>
        <w:t>, as</w:t>
      </w:r>
      <w:r w:rsidR="00B541F8" w:rsidRPr="00831A92">
        <w:rPr>
          <w:rFonts w:cs="Arial"/>
          <w:snapToGrid w:val="0"/>
        </w:rPr>
        <w:t xml:space="preserve"> documented by the ASRS, was rare</w:t>
      </w:r>
      <w:r w:rsidRPr="00831A92">
        <w:rPr>
          <w:rFonts w:cs="Arial"/>
          <w:snapToGrid w:val="0"/>
        </w:rPr>
        <w:t>. However, t</w:t>
      </w:r>
      <w:r w:rsidRPr="00831A92">
        <w:t>he PBAC maintained its view that there were two safe and efficacious treatment options available for patients and considered the need for additional treatments was low, particularly one with likely inferior safety. The PBAC considered that unnecessary risk may be associated with brolucizumab with no additional benefit compared to the treatment options already available.</w:t>
      </w:r>
    </w:p>
    <w:p w:rsidR="006F368E" w:rsidRPr="00831A92" w:rsidRDefault="00C420C8" w:rsidP="006F368E">
      <w:pPr>
        <w:widowControl w:val="0"/>
        <w:numPr>
          <w:ilvl w:val="1"/>
          <w:numId w:val="2"/>
        </w:numPr>
        <w:spacing w:after="120"/>
        <w:rPr>
          <w:rFonts w:asciiTheme="minorHAnsi" w:hAnsiTheme="minorHAnsi" w:cs="Arial"/>
          <w:bCs/>
          <w:i/>
          <w:snapToGrid w:val="0"/>
        </w:rPr>
      </w:pPr>
      <w:r w:rsidRPr="00831A92">
        <w:rPr>
          <w:rFonts w:asciiTheme="minorHAnsi" w:hAnsiTheme="minorHAnsi" w:cs="Arial"/>
          <w:bCs/>
          <w:snapToGrid w:val="0"/>
        </w:rPr>
        <w:t>The PBAC note</w:t>
      </w:r>
      <w:r w:rsidR="004413D9" w:rsidRPr="00831A92">
        <w:rPr>
          <w:rFonts w:asciiTheme="minorHAnsi" w:hAnsiTheme="minorHAnsi" w:cs="Arial"/>
          <w:bCs/>
          <w:snapToGrid w:val="0"/>
        </w:rPr>
        <w:t>d that this submission is</w:t>
      </w:r>
      <w:r w:rsidRPr="00831A92">
        <w:rPr>
          <w:rFonts w:asciiTheme="minorHAnsi" w:hAnsiTheme="minorHAnsi" w:cs="Arial"/>
          <w:bCs/>
          <w:snapToGrid w:val="0"/>
        </w:rPr>
        <w:t xml:space="preserve"> eligible for an Independent Review. </w:t>
      </w:r>
    </w:p>
    <w:p w:rsidR="00C420C8" w:rsidRPr="00831A92" w:rsidRDefault="00C420C8" w:rsidP="00C420C8">
      <w:pPr>
        <w:spacing w:before="240"/>
        <w:rPr>
          <w:rFonts w:asciiTheme="minorHAnsi" w:hAnsiTheme="minorHAnsi" w:cs="Arial"/>
          <w:b/>
          <w:bCs/>
          <w:snapToGrid w:val="0"/>
        </w:rPr>
      </w:pPr>
      <w:r w:rsidRPr="00831A92">
        <w:rPr>
          <w:rFonts w:asciiTheme="minorHAnsi" w:hAnsiTheme="minorHAnsi" w:cs="Arial"/>
          <w:b/>
          <w:bCs/>
          <w:snapToGrid w:val="0"/>
        </w:rPr>
        <w:t>Outcome:</w:t>
      </w:r>
    </w:p>
    <w:p w:rsidR="007376B6" w:rsidRDefault="00C420C8" w:rsidP="002E3930">
      <w:pPr>
        <w:rPr>
          <w:rFonts w:asciiTheme="minorHAnsi" w:hAnsiTheme="minorHAnsi" w:cs="Arial"/>
          <w:bCs/>
          <w:snapToGrid w:val="0"/>
        </w:rPr>
      </w:pPr>
      <w:r w:rsidRPr="00831A92">
        <w:rPr>
          <w:rFonts w:asciiTheme="minorHAnsi" w:hAnsiTheme="minorHAnsi" w:cs="Arial"/>
          <w:bCs/>
          <w:snapToGrid w:val="0"/>
        </w:rPr>
        <w:t>Reje</w:t>
      </w:r>
      <w:r w:rsidR="006F368E" w:rsidRPr="00831A92">
        <w:rPr>
          <w:rFonts w:asciiTheme="minorHAnsi" w:hAnsiTheme="minorHAnsi" w:cs="Arial"/>
          <w:bCs/>
          <w:snapToGrid w:val="0"/>
        </w:rPr>
        <w:t>cted</w:t>
      </w:r>
    </w:p>
    <w:p w:rsidR="00AD5965" w:rsidRDefault="00AD5965" w:rsidP="002E3930">
      <w:pPr>
        <w:rPr>
          <w:rFonts w:asciiTheme="minorHAnsi" w:hAnsiTheme="minorHAnsi" w:cs="Arial"/>
          <w:bCs/>
          <w:snapToGrid w:val="0"/>
        </w:rPr>
      </w:pPr>
    </w:p>
    <w:p w:rsidR="00AD5965" w:rsidRPr="00AD5965" w:rsidRDefault="00AD5965" w:rsidP="00AD5965">
      <w:pPr>
        <w:pStyle w:val="Heading1"/>
        <w:keepNext/>
        <w:keepLines/>
        <w:numPr>
          <w:ilvl w:val="0"/>
          <w:numId w:val="4"/>
        </w:numPr>
        <w:spacing w:before="240"/>
        <w:ind w:left="709" w:hanging="709"/>
        <w:rPr>
          <w:sz w:val="32"/>
          <w:szCs w:val="32"/>
        </w:rPr>
      </w:pPr>
      <w:r w:rsidRPr="00AD5965">
        <w:rPr>
          <w:sz w:val="32"/>
          <w:szCs w:val="32"/>
        </w:rPr>
        <w:t>Context for Decision</w:t>
      </w:r>
    </w:p>
    <w:p w:rsidR="00AD5965" w:rsidRPr="007129F2" w:rsidRDefault="00AD5965" w:rsidP="00F15955">
      <w:pPr>
        <w:spacing w:after="1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AD5965" w:rsidRPr="00AD5965" w:rsidRDefault="00AD5965" w:rsidP="00AD5965">
      <w:pPr>
        <w:pStyle w:val="Heading1"/>
        <w:keepNext/>
        <w:keepLines/>
        <w:numPr>
          <w:ilvl w:val="0"/>
          <w:numId w:val="4"/>
        </w:numPr>
        <w:spacing w:before="240"/>
        <w:ind w:left="709" w:hanging="709"/>
        <w:rPr>
          <w:sz w:val="32"/>
          <w:szCs w:val="32"/>
        </w:rPr>
      </w:pPr>
      <w:r w:rsidRPr="00AD5965" w:rsidDel="007129F2">
        <w:rPr>
          <w:sz w:val="32"/>
          <w:szCs w:val="32"/>
        </w:rPr>
        <w:t xml:space="preserve"> </w:t>
      </w:r>
      <w:r w:rsidRPr="00AD5965">
        <w:rPr>
          <w:sz w:val="32"/>
          <w:szCs w:val="32"/>
        </w:rPr>
        <w:t>Sponsor’s Comment</w:t>
      </w:r>
    </w:p>
    <w:p w:rsidR="00AD5965" w:rsidRPr="00831A92" w:rsidRDefault="003A6215" w:rsidP="00F15955">
      <w:pPr>
        <w:rPr>
          <w:rFonts w:asciiTheme="minorHAnsi" w:hAnsiTheme="minorHAnsi" w:cs="Arial"/>
          <w:bCs/>
          <w:snapToGrid w:val="0"/>
        </w:rPr>
      </w:pPr>
      <w:r w:rsidRPr="003A6215">
        <w:rPr>
          <w:rFonts w:asciiTheme="minorHAnsi" w:hAnsiTheme="minorHAnsi" w:cs="Arial"/>
          <w:bCs/>
          <w:lang w:val="en-GB"/>
        </w:rPr>
        <w:t>Novartis disagrees with the decision of the PBAC not to recommend the listing of Beovu® on the PBS for the treatment of wet AMD. Beovu® has now been approved in more than 30 countries, including all major markets, and Novartis and Australian clinicians believe that Beovu® represents an important treatment option for patients with wet AMD, with an overall favourable benefit-risk profile. Novartis will continue to work collaboratively with the PBAC, the Department of Health and the Federal Government to help ensure that Australians with wet AMD receive access to Beovu® through the PBS at the earliest opportunity.</w:t>
      </w:r>
    </w:p>
    <w:sectPr w:rsidR="00AD5965" w:rsidRPr="00831A92"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E4CDB" w16cex:dateUtc="2020-08-12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9593D4" w16cid:durableId="22DD9092"/>
  <w16cid:commentId w16cid:paraId="2AE32B1C" w16cid:durableId="22DE4C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E39" w:rsidRDefault="00072E39">
      <w:r>
        <w:separator/>
      </w:r>
    </w:p>
    <w:p w:rsidR="00072E39" w:rsidRDefault="00072E39"/>
  </w:endnote>
  <w:endnote w:type="continuationSeparator" w:id="0">
    <w:p w:rsidR="00072E39" w:rsidRDefault="00072E39">
      <w:r>
        <w:continuationSeparator/>
      </w:r>
    </w:p>
    <w:p w:rsidR="00072E39" w:rsidRDefault="00072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Arial Bold">
    <w:panose1 w:val="020B0704020202020204"/>
    <w:charset w:val="00"/>
    <w:family w:val="auto"/>
    <w:pitch w:val="variable"/>
    <w:sig w:usb0="E0002AFF" w:usb1="C0007843" w:usb2="00000009" w:usb3="00000000" w:csb0="000001FF" w:csb1="00000000"/>
  </w:font>
  <w:font w:name="Sabon">
    <w:altName w:val="Constantia"/>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TimesNewRoman">
    <w:altName w:val="MS Gothic"/>
    <w:panose1 w:val="00000000000000000000"/>
    <w:charset w:val="00"/>
    <w:family w:val="roman"/>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F976E8" w:rsidTr="005A3173">
      <w:trPr>
        <w:trHeight w:val="151"/>
      </w:trPr>
      <w:tc>
        <w:tcPr>
          <w:tcW w:w="2250" w:type="pct"/>
          <w:tcBorders>
            <w:top w:val="nil"/>
            <w:left w:val="nil"/>
            <w:bottom w:val="single" w:sz="4" w:space="0" w:color="4F81BD"/>
            <w:right w:val="nil"/>
          </w:tcBorders>
        </w:tcPr>
        <w:p w:rsidR="00F976E8" w:rsidRPr="005A3173" w:rsidRDefault="00F976E8" w:rsidP="005A3173">
          <w:pPr>
            <w:pStyle w:val="Header"/>
            <w:spacing w:line="276" w:lineRule="auto"/>
            <w:rPr>
              <w:rFonts w:eastAsia="MS Gothic"/>
              <w:b/>
              <w:bCs/>
              <w:color w:val="4F81BD"/>
            </w:rPr>
          </w:pPr>
        </w:p>
      </w:tc>
      <w:tc>
        <w:tcPr>
          <w:tcW w:w="500" w:type="pct"/>
          <w:vMerge w:val="restart"/>
          <w:noWrap/>
          <w:vAlign w:val="center"/>
          <w:hideMark/>
        </w:tcPr>
        <w:p w:rsidR="00F976E8" w:rsidRPr="005A3173" w:rsidRDefault="00F976E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976E8" w:rsidRPr="005A3173" w:rsidRDefault="00F976E8" w:rsidP="005A3173">
          <w:pPr>
            <w:pStyle w:val="Header"/>
            <w:spacing w:line="276" w:lineRule="auto"/>
            <w:rPr>
              <w:rFonts w:eastAsia="MS Gothic"/>
              <w:b/>
              <w:bCs/>
              <w:color w:val="4F81BD"/>
            </w:rPr>
          </w:pPr>
        </w:p>
      </w:tc>
    </w:tr>
    <w:tr w:rsidR="00F976E8" w:rsidTr="005A3173">
      <w:trPr>
        <w:trHeight w:val="150"/>
      </w:trPr>
      <w:tc>
        <w:tcPr>
          <w:tcW w:w="2250" w:type="pct"/>
          <w:tcBorders>
            <w:top w:val="single" w:sz="4" w:space="0" w:color="4F81BD"/>
            <w:left w:val="nil"/>
            <w:bottom w:val="nil"/>
            <w:right w:val="nil"/>
          </w:tcBorders>
        </w:tcPr>
        <w:p w:rsidR="00F976E8" w:rsidRPr="005A3173" w:rsidRDefault="00F976E8" w:rsidP="005A3173">
          <w:pPr>
            <w:pStyle w:val="Header"/>
            <w:spacing w:line="276" w:lineRule="auto"/>
            <w:rPr>
              <w:rFonts w:eastAsia="MS Gothic"/>
              <w:b/>
              <w:bCs/>
              <w:color w:val="4F81BD"/>
            </w:rPr>
          </w:pPr>
        </w:p>
      </w:tc>
      <w:tc>
        <w:tcPr>
          <w:tcW w:w="0" w:type="auto"/>
          <w:vMerge/>
          <w:vAlign w:val="center"/>
          <w:hideMark/>
        </w:tcPr>
        <w:p w:rsidR="00F976E8" w:rsidRPr="005A3173" w:rsidRDefault="00F976E8" w:rsidP="005A3173">
          <w:pPr>
            <w:rPr>
              <w:color w:val="365F91"/>
              <w:sz w:val="22"/>
              <w:szCs w:val="22"/>
            </w:rPr>
          </w:pPr>
        </w:p>
      </w:tc>
      <w:tc>
        <w:tcPr>
          <w:tcW w:w="2250" w:type="pct"/>
          <w:tcBorders>
            <w:top w:val="single" w:sz="4" w:space="0" w:color="4F81BD"/>
            <w:left w:val="nil"/>
            <w:bottom w:val="nil"/>
            <w:right w:val="nil"/>
          </w:tcBorders>
        </w:tcPr>
        <w:p w:rsidR="00F976E8" w:rsidRPr="005A3173" w:rsidRDefault="00F976E8" w:rsidP="005A3173">
          <w:pPr>
            <w:pStyle w:val="Header"/>
            <w:spacing w:line="276" w:lineRule="auto"/>
            <w:rPr>
              <w:rFonts w:eastAsia="MS Gothic"/>
              <w:b/>
              <w:bCs/>
              <w:color w:val="4F81BD"/>
            </w:rPr>
          </w:pPr>
        </w:p>
      </w:tc>
    </w:tr>
  </w:tbl>
  <w:p w:rsidR="00F976E8" w:rsidRDefault="00F976E8"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76E8" w:rsidRDefault="00F976E8">
    <w:pPr>
      <w:pStyle w:val="Footer"/>
    </w:pPr>
  </w:p>
  <w:p w:rsidR="00F976E8" w:rsidRDefault="00F976E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6E8" w:rsidRDefault="00F976E8">
    <w:pPr>
      <w:pStyle w:val="Footer"/>
      <w:jc w:val="center"/>
    </w:pPr>
  </w:p>
  <w:p w:rsidR="00F976E8" w:rsidRPr="00225D3B" w:rsidRDefault="007A52BB" w:rsidP="00225D3B">
    <w:pPr>
      <w:pStyle w:val="Footer"/>
      <w:jc w:val="center"/>
    </w:pPr>
    <w:sdt>
      <w:sdtPr>
        <w:id w:val="671229630"/>
        <w:docPartObj>
          <w:docPartGallery w:val="Page Numbers (Bottom of Page)"/>
          <w:docPartUnique/>
        </w:docPartObj>
      </w:sdtPr>
      <w:sdtEndPr>
        <w:rPr>
          <w:b/>
          <w:noProof/>
        </w:rPr>
      </w:sdtEndPr>
      <w:sdtContent>
        <w:r w:rsidR="00F976E8" w:rsidRPr="009E2374">
          <w:rPr>
            <w:b/>
          </w:rPr>
          <w:fldChar w:fldCharType="begin"/>
        </w:r>
        <w:r w:rsidR="00F976E8" w:rsidRPr="009E2374">
          <w:rPr>
            <w:b/>
          </w:rPr>
          <w:instrText xml:space="preserve"> PAGE   \* MERGEFORMAT </w:instrText>
        </w:r>
        <w:r w:rsidR="00F976E8" w:rsidRPr="009E2374">
          <w:rPr>
            <w:b/>
          </w:rPr>
          <w:fldChar w:fldCharType="separate"/>
        </w:r>
        <w:r>
          <w:rPr>
            <w:b/>
            <w:noProof/>
          </w:rPr>
          <w:t>1</w:t>
        </w:r>
        <w:r w:rsidR="00F976E8" w:rsidRPr="009E2374">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F976E8" w:rsidTr="005A3173">
      <w:trPr>
        <w:trHeight w:val="151"/>
      </w:trPr>
      <w:tc>
        <w:tcPr>
          <w:tcW w:w="2250" w:type="pct"/>
          <w:tcBorders>
            <w:top w:val="nil"/>
            <w:left w:val="nil"/>
            <w:bottom w:val="single" w:sz="4" w:space="0" w:color="4F81BD"/>
            <w:right w:val="nil"/>
          </w:tcBorders>
        </w:tcPr>
        <w:p w:rsidR="00F976E8" w:rsidRPr="005A3173" w:rsidRDefault="00F976E8" w:rsidP="005A3173">
          <w:pPr>
            <w:pStyle w:val="Header"/>
            <w:spacing w:line="276" w:lineRule="auto"/>
            <w:rPr>
              <w:rFonts w:eastAsia="MS Gothic"/>
              <w:b/>
              <w:bCs/>
              <w:color w:val="4F81BD"/>
            </w:rPr>
          </w:pPr>
        </w:p>
      </w:tc>
      <w:tc>
        <w:tcPr>
          <w:tcW w:w="500" w:type="pct"/>
          <w:vMerge w:val="restart"/>
          <w:noWrap/>
          <w:vAlign w:val="center"/>
          <w:hideMark/>
        </w:tcPr>
        <w:p w:rsidR="00F976E8" w:rsidRPr="005A3173" w:rsidRDefault="00F976E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976E8" w:rsidRPr="005A3173" w:rsidRDefault="00F976E8" w:rsidP="005A3173">
          <w:pPr>
            <w:pStyle w:val="Header"/>
            <w:spacing w:line="276" w:lineRule="auto"/>
            <w:rPr>
              <w:rFonts w:eastAsia="MS Gothic"/>
              <w:b/>
              <w:bCs/>
              <w:color w:val="4F81BD"/>
            </w:rPr>
          </w:pPr>
        </w:p>
      </w:tc>
    </w:tr>
    <w:tr w:rsidR="00F976E8" w:rsidTr="005A3173">
      <w:trPr>
        <w:trHeight w:val="150"/>
      </w:trPr>
      <w:tc>
        <w:tcPr>
          <w:tcW w:w="2250" w:type="pct"/>
          <w:tcBorders>
            <w:top w:val="single" w:sz="4" w:space="0" w:color="4F81BD"/>
            <w:left w:val="nil"/>
            <w:bottom w:val="nil"/>
            <w:right w:val="nil"/>
          </w:tcBorders>
        </w:tcPr>
        <w:p w:rsidR="00F976E8" w:rsidRPr="005A3173" w:rsidRDefault="00F976E8" w:rsidP="005A3173">
          <w:pPr>
            <w:pStyle w:val="Header"/>
            <w:spacing w:line="276" w:lineRule="auto"/>
            <w:rPr>
              <w:rFonts w:eastAsia="MS Gothic"/>
              <w:b/>
              <w:bCs/>
              <w:color w:val="4F81BD"/>
            </w:rPr>
          </w:pPr>
        </w:p>
      </w:tc>
      <w:tc>
        <w:tcPr>
          <w:tcW w:w="0" w:type="auto"/>
          <w:vMerge/>
          <w:vAlign w:val="center"/>
          <w:hideMark/>
        </w:tcPr>
        <w:p w:rsidR="00F976E8" w:rsidRPr="005A3173" w:rsidRDefault="00F976E8" w:rsidP="005A3173">
          <w:pPr>
            <w:rPr>
              <w:color w:val="365F91"/>
              <w:sz w:val="22"/>
              <w:szCs w:val="22"/>
            </w:rPr>
          </w:pPr>
        </w:p>
      </w:tc>
      <w:tc>
        <w:tcPr>
          <w:tcW w:w="2250" w:type="pct"/>
          <w:tcBorders>
            <w:top w:val="single" w:sz="4" w:space="0" w:color="4F81BD"/>
            <w:left w:val="nil"/>
            <w:bottom w:val="nil"/>
            <w:right w:val="nil"/>
          </w:tcBorders>
        </w:tcPr>
        <w:p w:rsidR="00F976E8" w:rsidRPr="005A3173" w:rsidRDefault="00F976E8"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976E8" w:rsidTr="005A3173">
      <w:trPr>
        <w:trHeight w:val="151"/>
      </w:trPr>
      <w:tc>
        <w:tcPr>
          <w:tcW w:w="2250" w:type="pct"/>
          <w:tcBorders>
            <w:top w:val="nil"/>
            <w:left w:val="nil"/>
            <w:bottom w:val="single" w:sz="4" w:space="0" w:color="4F81BD"/>
            <w:right w:val="nil"/>
          </w:tcBorders>
        </w:tcPr>
        <w:p w:rsidR="00F976E8" w:rsidRPr="005A3173" w:rsidRDefault="00F976E8" w:rsidP="005A3173">
          <w:pPr>
            <w:pStyle w:val="Header"/>
            <w:spacing w:line="276" w:lineRule="auto"/>
            <w:rPr>
              <w:rFonts w:eastAsia="MS Gothic"/>
              <w:b/>
              <w:bCs/>
              <w:color w:val="4F81BD"/>
            </w:rPr>
          </w:pPr>
        </w:p>
      </w:tc>
      <w:tc>
        <w:tcPr>
          <w:tcW w:w="500" w:type="pct"/>
          <w:vMerge w:val="restart"/>
          <w:noWrap/>
          <w:vAlign w:val="center"/>
          <w:hideMark/>
        </w:tcPr>
        <w:p w:rsidR="00F976E8" w:rsidRPr="005A3173" w:rsidRDefault="00F976E8"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976E8" w:rsidRPr="005A3173" w:rsidRDefault="00F976E8" w:rsidP="005A3173">
          <w:pPr>
            <w:pStyle w:val="Header"/>
            <w:spacing w:line="276" w:lineRule="auto"/>
            <w:rPr>
              <w:rFonts w:eastAsia="MS Gothic"/>
              <w:b/>
              <w:bCs/>
              <w:color w:val="4F81BD"/>
            </w:rPr>
          </w:pPr>
        </w:p>
      </w:tc>
    </w:tr>
    <w:tr w:rsidR="00F976E8" w:rsidTr="005A3173">
      <w:trPr>
        <w:trHeight w:val="150"/>
      </w:trPr>
      <w:tc>
        <w:tcPr>
          <w:tcW w:w="2250" w:type="pct"/>
          <w:tcBorders>
            <w:top w:val="single" w:sz="4" w:space="0" w:color="4F81BD"/>
            <w:left w:val="nil"/>
            <w:bottom w:val="nil"/>
            <w:right w:val="nil"/>
          </w:tcBorders>
        </w:tcPr>
        <w:p w:rsidR="00F976E8" w:rsidRPr="005A3173" w:rsidRDefault="00F976E8" w:rsidP="005A3173">
          <w:pPr>
            <w:pStyle w:val="Header"/>
            <w:spacing w:line="276" w:lineRule="auto"/>
            <w:rPr>
              <w:rFonts w:eastAsia="MS Gothic"/>
              <w:b/>
              <w:bCs/>
              <w:color w:val="4F81BD"/>
            </w:rPr>
          </w:pPr>
        </w:p>
      </w:tc>
      <w:tc>
        <w:tcPr>
          <w:tcW w:w="0" w:type="auto"/>
          <w:vMerge/>
          <w:vAlign w:val="center"/>
          <w:hideMark/>
        </w:tcPr>
        <w:p w:rsidR="00F976E8" w:rsidRPr="005A3173" w:rsidRDefault="00F976E8" w:rsidP="005A3173">
          <w:pPr>
            <w:rPr>
              <w:color w:val="365F91"/>
              <w:sz w:val="22"/>
              <w:szCs w:val="22"/>
            </w:rPr>
          </w:pPr>
        </w:p>
      </w:tc>
      <w:tc>
        <w:tcPr>
          <w:tcW w:w="2250" w:type="pct"/>
          <w:tcBorders>
            <w:top w:val="single" w:sz="4" w:space="0" w:color="4F81BD"/>
            <w:left w:val="nil"/>
            <w:bottom w:val="nil"/>
            <w:right w:val="nil"/>
          </w:tcBorders>
        </w:tcPr>
        <w:p w:rsidR="00F976E8" w:rsidRPr="005A3173" w:rsidRDefault="00F976E8" w:rsidP="005A3173">
          <w:pPr>
            <w:pStyle w:val="Header"/>
            <w:spacing w:line="276" w:lineRule="auto"/>
            <w:rPr>
              <w:rFonts w:eastAsia="MS Gothic"/>
              <w:b/>
              <w:bCs/>
              <w:color w:val="4F81BD"/>
            </w:rPr>
          </w:pPr>
        </w:p>
      </w:tc>
    </w:tr>
  </w:tbl>
  <w:p w:rsidR="00F976E8" w:rsidRPr="007C0F57" w:rsidRDefault="00F976E8"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976E8" w:rsidRPr="007C0F57" w:rsidRDefault="00F976E8" w:rsidP="007C0F57">
    <w:pPr>
      <w:pStyle w:val="Footer"/>
      <w:jc w:val="center"/>
      <w:rPr>
        <w:b/>
        <w:i/>
        <w:sz w:val="20"/>
        <w:szCs w:val="20"/>
      </w:rPr>
    </w:pPr>
    <w:r w:rsidRPr="007C0F57">
      <w:rPr>
        <w:b/>
        <w:i/>
        <w:sz w:val="20"/>
        <w:szCs w:val="20"/>
      </w:rPr>
      <w:t>Commercial-in-Confidence</w:t>
    </w:r>
  </w:p>
  <w:p w:rsidR="00F976E8" w:rsidRDefault="00F976E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E39" w:rsidRDefault="00072E39">
      <w:r>
        <w:separator/>
      </w:r>
    </w:p>
    <w:p w:rsidR="00072E39" w:rsidRDefault="00072E39"/>
  </w:footnote>
  <w:footnote w:type="continuationSeparator" w:id="0">
    <w:p w:rsidR="00072E39" w:rsidRDefault="00072E39">
      <w:r>
        <w:continuationSeparator/>
      </w:r>
    </w:p>
    <w:p w:rsidR="00072E39" w:rsidRDefault="00072E39"/>
  </w:footnote>
  <w:footnote w:id="1">
    <w:p w:rsidR="00F976E8" w:rsidRDefault="00F976E8">
      <w:pPr>
        <w:pStyle w:val="FootnoteText"/>
      </w:pPr>
      <w:r>
        <w:rPr>
          <w:rStyle w:val="FootnoteReference"/>
        </w:rPr>
        <w:footnoteRef/>
      </w:r>
      <w:r>
        <w:t xml:space="preserve"> Number of patients in the relevant treatment arms (full analysis set)</w:t>
      </w:r>
    </w:p>
  </w:footnote>
  <w:footnote w:id="2">
    <w:p w:rsidR="00F976E8" w:rsidRDefault="00F976E8">
      <w:pPr>
        <w:pStyle w:val="FootnoteText"/>
      </w:pPr>
      <w:r>
        <w:rPr>
          <w:rStyle w:val="FootnoteReference"/>
        </w:rPr>
        <w:footnoteRef/>
      </w:r>
      <w:r>
        <w:t xml:space="preserve"> </w:t>
      </w:r>
      <w:r w:rsidRPr="00D93000">
        <w:rPr>
          <w:rStyle w:val="TableFooterChar"/>
          <w:szCs w:val="18"/>
        </w:rPr>
        <w:t>Since r</w:t>
      </w:r>
      <w:r w:rsidRPr="00D93000">
        <w:rPr>
          <w:rFonts w:ascii="Arial Narrow" w:hAnsi="Arial Narrow"/>
          <w:sz w:val="18"/>
          <w:szCs w:val="18"/>
        </w:rPr>
        <w:t>anibizumab is p</w:t>
      </w:r>
      <w:r>
        <w:rPr>
          <w:rFonts w:ascii="Arial Narrow" w:hAnsi="Arial Narrow"/>
          <w:sz w:val="18"/>
          <w:szCs w:val="18"/>
        </w:rPr>
        <w:t>rovided by the same S</w:t>
      </w:r>
      <w:r w:rsidRPr="00D93000">
        <w:rPr>
          <w:rFonts w:ascii="Arial Narrow" w:hAnsi="Arial Narrow"/>
          <w:sz w:val="18"/>
          <w:szCs w:val="18"/>
        </w:rPr>
        <w:t>ponsor, the effective price is known by the Sponsor.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F976E8" w:rsidRPr="008E0D90" w:rsidTr="00A06225">
      <w:trPr>
        <w:trHeight w:val="151"/>
      </w:trPr>
      <w:tc>
        <w:tcPr>
          <w:tcW w:w="2389" w:type="pct"/>
          <w:tcBorders>
            <w:top w:val="nil"/>
            <w:left w:val="nil"/>
            <w:bottom w:val="single" w:sz="4" w:space="0" w:color="4F81BD"/>
            <w:right w:val="nil"/>
          </w:tcBorders>
        </w:tcPr>
        <w:p w:rsidR="00F976E8" w:rsidRPr="00A06225" w:rsidRDefault="00F976E8">
          <w:pPr>
            <w:pStyle w:val="Header"/>
            <w:spacing w:line="276" w:lineRule="auto"/>
            <w:rPr>
              <w:rFonts w:ascii="Cambria" w:eastAsia="MS Gothic" w:hAnsi="Cambria"/>
              <w:b/>
              <w:bCs/>
              <w:color w:val="4F81BD"/>
            </w:rPr>
          </w:pPr>
        </w:p>
      </w:tc>
      <w:tc>
        <w:tcPr>
          <w:tcW w:w="333" w:type="pct"/>
          <w:vMerge w:val="restart"/>
          <w:noWrap/>
          <w:vAlign w:val="center"/>
          <w:hideMark/>
        </w:tcPr>
        <w:p w:rsidR="00F976E8" w:rsidRPr="00A06225" w:rsidRDefault="00F976E8"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976E8" w:rsidRPr="00A06225" w:rsidRDefault="00F976E8">
          <w:pPr>
            <w:pStyle w:val="Header"/>
            <w:spacing w:line="276" w:lineRule="auto"/>
            <w:rPr>
              <w:rFonts w:ascii="Cambria" w:eastAsia="MS Gothic" w:hAnsi="Cambria"/>
              <w:b/>
              <w:bCs/>
              <w:color w:val="4F81BD"/>
            </w:rPr>
          </w:pPr>
        </w:p>
      </w:tc>
    </w:tr>
    <w:tr w:rsidR="00F976E8" w:rsidRPr="008E0D90" w:rsidTr="00A06225">
      <w:trPr>
        <w:trHeight w:val="150"/>
      </w:trPr>
      <w:tc>
        <w:tcPr>
          <w:tcW w:w="2389" w:type="pct"/>
          <w:tcBorders>
            <w:top w:val="single" w:sz="4" w:space="0" w:color="4F81BD"/>
            <w:left w:val="nil"/>
            <w:bottom w:val="nil"/>
            <w:right w:val="nil"/>
          </w:tcBorders>
        </w:tcPr>
        <w:p w:rsidR="00F976E8" w:rsidRPr="00A06225" w:rsidRDefault="00F976E8">
          <w:pPr>
            <w:pStyle w:val="Header"/>
            <w:spacing w:line="276" w:lineRule="auto"/>
            <w:rPr>
              <w:rFonts w:ascii="Cambria" w:eastAsia="MS Gothic" w:hAnsi="Cambria"/>
              <w:b/>
              <w:bCs/>
              <w:color w:val="4F81BD"/>
            </w:rPr>
          </w:pPr>
        </w:p>
      </w:tc>
      <w:tc>
        <w:tcPr>
          <w:tcW w:w="0" w:type="auto"/>
          <w:vMerge/>
          <w:vAlign w:val="center"/>
          <w:hideMark/>
        </w:tcPr>
        <w:p w:rsidR="00F976E8" w:rsidRPr="00A06225" w:rsidRDefault="00F976E8">
          <w:pPr>
            <w:rPr>
              <w:rFonts w:ascii="Cambria" w:hAnsi="Cambria"/>
              <w:color w:val="4F81BD"/>
              <w:sz w:val="22"/>
              <w:szCs w:val="22"/>
            </w:rPr>
          </w:pPr>
        </w:p>
      </w:tc>
      <w:tc>
        <w:tcPr>
          <w:tcW w:w="2278" w:type="pct"/>
          <w:tcBorders>
            <w:top w:val="single" w:sz="4" w:space="0" w:color="4F81BD"/>
            <w:left w:val="nil"/>
            <w:bottom w:val="nil"/>
            <w:right w:val="nil"/>
          </w:tcBorders>
        </w:tcPr>
        <w:p w:rsidR="00F976E8" w:rsidRPr="00A06225" w:rsidRDefault="00F976E8">
          <w:pPr>
            <w:pStyle w:val="Header"/>
            <w:spacing w:line="276" w:lineRule="auto"/>
            <w:rPr>
              <w:rFonts w:ascii="Cambria" w:eastAsia="MS Gothic" w:hAnsi="Cambria"/>
              <w:b/>
              <w:bCs/>
              <w:color w:val="4F81BD"/>
            </w:rPr>
          </w:pPr>
        </w:p>
      </w:tc>
    </w:tr>
  </w:tbl>
  <w:p w:rsidR="00F976E8" w:rsidRDefault="00F976E8">
    <w:pPr>
      <w:pStyle w:val="Header"/>
    </w:pPr>
  </w:p>
  <w:p w:rsidR="00F976E8" w:rsidRDefault="00F976E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6E8" w:rsidRPr="00056684" w:rsidRDefault="00AD5965" w:rsidP="009E2374">
    <w:pPr>
      <w:pStyle w:val="Header"/>
      <w:ind w:left="360"/>
      <w:rPr>
        <w:rFonts w:asciiTheme="minorHAnsi" w:hAnsiTheme="minorHAnsi" w:cs="Arial"/>
        <w:i/>
        <w:color w:val="808080"/>
      </w:rPr>
    </w:pPr>
    <w:r>
      <w:rPr>
        <w:rFonts w:asciiTheme="minorHAnsi" w:hAnsiTheme="minorHAnsi" w:cs="Arial"/>
        <w:i/>
        <w:color w:val="808080"/>
      </w:rPr>
      <w:t>Public Summary Document</w:t>
    </w:r>
    <w:r w:rsidR="00F976E8" w:rsidRPr="00056684">
      <w:rPr>
        <w:rFonts w:asciiTheme="minorHAnsi" w:hAnsiTheme="minorHAnsi" w:cs="Arial"/>
        <w:i/>
        <w:color w:val="808080"/>
      </w:rPr>
      <w:t xml:space="preserve"> – </w:t>
    </w:r>
    <w:r w:rsidR="00F976E8">
      <w:rPr>
        <w:rFonts w:asciiTheme="minorHAnsi" w:hAnsiTheme="minorHAnsi" w:cs="Arial"/>
        <w:i/>
        <w:color w:val="808080"/>
      </w:rPr>
      <w:t>July 2020</w:t>
    </w:r>
    <w:r w:rsidR="00F976E8" w:rsidRPr="00056684">
      <w:rPr>
        <w:rFonts w:asciiTheme="minorHAnsi" w:hAnsiTheme="minorHAnsi" w:cs="Arial"/>
        <w:i/>
        <w:color w:val="808080"/>
      </w:rPr>
      <w:t xml:space="preserve"> PBAC Meeting</w:t>
    </w:r>
  </w:p>
  <w:p w:rsidR="00F976E8" w:rsidRPr="00225D3B" w:rsidRDefault="00F976E8" w:rsidP="00A128E6">
    <w:pPr>
      <w:pStyle w:val="NoSpacing"/>
      <w:rPr>
        <w:rFonts w:asciiTheme="minorHAnsi" w:hAnsiTheme="minorHAnsi" w:cstheme="minorHAnsi"/>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097" w:rsidRDefault="001E5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B90A88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6D7F91"/>
    <w:multiLevelType w:val="hybridMultilevel"/>
    <w:tmpl w:val="62A4C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015B3"/>
    <w:multiLevelType w:val="hybridMultilevel"/>
    <w:tmpl w:val="0786D91A"/>
    <w:lvl w:ilvl="0" w:tplc="18143B82">
      <w:start w:val="1"/>
      <w:numFmt w:val="bullet"/>
      <w:lvlText w:val=""/>
      <w:lvlJc w:val="left"/>
      <w:pPr>
        <w:tabs>
          <w:tab w:val="num" w:pos="720"/>
        </w:tabs>
        <w:ind w:left="720" w:hanging="360"/>
      </w:pPr>
      <w:rPr>
        <w:rFonts w:ascii="Symbol" w:hAnsi="Symbol" w:hint="default"/>
      </w:rPr>
    </w:lvl>
    <w:lvl w:ilvl="1" w:tplc="3BB87880">
      <w:start w:val="1"/>
      <w:numFmt w:val="bullet"/>
      <w:pStyle w:val="3-BodyTex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996683"/>
    <w:multiLevelType w:val="hybridMultilevel"/>
    <w:tmpl w:val="9492516E"/>
    <w:lvl w:ilvl="0" w:tplc="7C06699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A372C5"/>
    <w:multiLevelType w:val="hybridMultilevel"/>
    <w:tmpl w:val="68E48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B6274A"/>
    <w:multiLevelType w:val="hybridMultilevel"/>
    <w:tmpl w:val="A3520914"/>
    <w:lvl w:ilvl="0" w:tplc="AC586018">
      <w:start w:val="1"/>
      <w:numFmt w:val="decimal"/>
      <w:lvlText w:val="%1."/>
      <w:lvlJc w:val="left"/>
      <w:pPr>
        <w:ind w:left="720" w:hanging="360"/>
      </w:pPr>
      <w:rPr>
        <w:rFonts w:asciiTheme="minorHAnsi" w:hAnsiTheme="minorHAnsi" w:cstheme="minorHAnsi" w:hint="default"/>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3F03C4"/>
    <w:multiLevelType w:val="hybridMultilevel"/>
    <w:tmpl w:val="633673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7" w15:restartNumberingAfterBreak="0">
    <w:nsid w:val="44442297"/>
    <w:multiLevelType w:val="hybridMultilevel"/>
    <w:tmpl w:val="E6FE4E00"/>
    <w:lvl w:ilvl="0" w:tplc="C324F4F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1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39332A"/>
    <w:multiLevelType w:val="hybridMultilevel"/>
    <w:tmpl w:val="BC62B366"/>
    <w:lvl w:ilvl="0" w:tplc="05946E42">
      <w:start w:val="1"/>
      <w:numFmt w:val="bullet"/>
      <w:pStyle w:val="Bulletpoints"/>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17B0461"/>
    <w:multiLevelType w:val="hybridMultilevel"/>
    <w:tmpl w:val="46FA4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9BB7F77"/>
    <w:multiLevelType w:val="hybridMultilevel"/>
    <w:tmpl w:val="AD2052C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590265"/>
    <w:multiLevelType w:val="hybridMultilevel"/>
    <w:tmpl w:val="2B781B30"/>
    <w:lvl w:ilvl="0" w:tplc="0C090003">
      <w:start w:val="1"/>
      <w:numFmt w:val="bullet"/>
      <w:lvlText w:val="o"/>
      <w:lvlJc w:val="left"/>
      <w:pPr>
        <w:ind w:left="1785"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A40161"/>
    <w:multiLevelType w:val="hybridMultilevel"/>
    <w:tmpl w:val="48764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84D033C"/>
    <w:multiLevelType w:val="multilevel"/>
    <w:tmpl w:val="44A2839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C96158"/>
    <w:multiLevelType w:val="hybridMultilevel"/>
    <w:tmpl w:val="743215A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3"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7"/>
  </w:num>
  <w:num w:numId="2">
    <w:abstractNumId w:val="31"/>
  </w:num>
  <w:num w:numId="3">
    <w:abstractNumId w:val="0"/>
  </w:num>
  <w:num w:numId="4">
    <w:abstractNumId w:val="31"/>
  </w:num>
  <w:num w:numId="5">
    <w:abstractNumId w:val="23"/>
  </w:num>
  <w:num w:numId="6">
    <w:abstractNumId w:val="20"/>
  </w:num>
  <w:num w:numId="7">
    <w:abstractNumId w:val="33"/>
  </w:num>
  <w:num w:numId="8">
    <w:abstractNumId w:val="25"/>
  </w:num>
  <w:num w:numId="9">
    <w:abstractNumId w:val="30"/>
  </w:num>
  <w:num w:numId="10">
    <w:abstractNumId w:val="19"/>
  </w:num>
  <w:num w:numId="11">
    <w:abstractNumId w:val="8"/>
  </w:num>
  <w:num w:numId="12">
    <w:abstractNumId w:val="24"/>
  </w:num>
  <w:num w:numId="13">
    <w:abstractNumId w:val="27"/>
  </w:num>
  <w:num w:numId="14">
    <w:abstractNumId w:val="16"/>
    <w:lvlOverride w:ilvl="0">
      <w:startOverride w:val="1"/>
    </w:lvlOverride>
  </w:num>
  <w:num w:numId="15">
    <w:abstractNumId w:val="16"/>
  </w:num>
  <w:num w:numId="16">
    <w:abstractNumId w:val="16"/>
    <w:lvlOverride w:ilvl="0">
      <w:startOverride w:val="1"/>
    </w:lvlOverride>
  </w:num>
  <w:num w:numId="17">
    <w:abstractNumId w:val="18"/>
  </w:num>
  <w:num w:numId="18">
    <w:abstractNumId w:val="16"/>
    <w:lvlOverride w:ilvl="0">
      <w:startOverride w:val="4"/>
    </w:lvlOverride>
  </w:num>
  <w:num w:numId="19">
    <w:abstractNumId w:val="5"/>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
  </w:num>
  <w:num w:numId="23">
    <w:abstractNumId w:val="31"/>
  </w:num>
  <w:num w:numId="24">
    <w:abstractNumId w:val="28"/>
  </w:num>
  <w:num w:numId="25">
    <w:abstractNumId w:val="11"/>
  </w:num>
  <w:num w:numId="26">
    <w:abstractNumId w:val="13"/>
  </w:num>
  <w:num w:numId="27">
    <w:abstractNumId w:val="26"/>
  </w:num>
  <w:num w:numId="28">
    <w:abstractNumId w:val="32"/>
  </w:num>
  <w:num w:numId="29">
    <w:abstractNumId w:val="9"/>
  </w:num>
  <w:num w:numId="30">
    <w:abstractNumId w:val="29"/>
  </w:num>
  <w:num w:numId="31">
    <w:abstractNumId w:val="4"/>
  </w:num>
  <w:num w:numId="32">
    <w:abstractNumId w:val="17"/>
  </w:num>
  <w:num w:numId="33">
    <w:abstractNumId w:val="21"/>
  </w:num>
  <w:num w:numId="34">
    <w:abstractNumId w:val="22"/>
  </w:num>
  <w:num w:numId="35">
    <w:abstractNumId w:val="6"/>
  </w:num>
  <w:num w:numId="36">
    <w:abstractNumId w:val="2"/>
  </w:num>
  <w:num w:numId="37">
    <w:abstractNumId w:val="12"/>
  </w:num>
  <w:num w:numId="38">
    <w:abstractNumId w:val="14"/>
  </w:num>
  <w:num w:numId="39">
    <w:abstractNumId w:val="10"/>
  </w:num>
  <w:num w:numId="40">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A7A"/>
    <w:rsid w:val="00001663"/>
    <w:rsid w:val="000025AD"/>
    <w:rsid w:val="0000335D"/>
    <w:rsid w:val="00004ADF"/>
    <w:rsid w:val="00006515"/>
    <w:rsid w:val="00011A59"/>
    <w:rsid w:val="00013AE5"/>
    <w:rsid w:val="00016A41"/>
    <w:rsid w:val="00016D50"/>
    <w:rsid w:val="000214D1"/>
    <w:rsid w:val="0002464A"/>
    <w:rsid w:val="0002649C"/>
    <w:rsid w:val="00026966"/>
    <w:rsid w:val="0003106B"/>
    <w:rsid w:val="00034905"/>
    <w:rsid w:val="000421A1"/>
    <w:rsid w:val="00042399"/>
    <w:rsid w:val="0004240E"/>
    <w:rsid w:val="00044644"/>
    <w:rsid w:val="00045E26"/>
    <w:rsid w:val="00046A05"/>
    <w:rsid w:val="000514B5"/>
    <w:rsid w:val="00057EE7"/>
    <w:rsid w:val="00060E64"/>
    <w:rsid w:val="000644BB"/>
    <w:rsid w:val="00066755"/>
    <w:rsid w:val="000672E2"/>
    <w:rsid w:val="00072AA2"/>
    <w:rsid w:val="00072E39"/>
    <w:rsid w:val="00076261"/>
    <w:rsid w:val="000763D5"/>
    <w:rsid w:val="00077143"/>
    <w:rsid w:val="00080AC3"/>
    <w:rsid w:val="0008162F"/>
    <w:rsid w:val="00082169"/>
    <w:rsid w:val="00082699"/>
    <w:rsid w:val="0008497C"/>
    <w:rsid w:val="00090733"/>
    <w:rsid w:val="00090754"/>
    <w:rsid w:val="000914B9"/>
    <w:rsid w:val="000918CB"/>
    <w:rsid w:val="00091B06"/>
    <w:rsid w:val="00093BAA"/>
    <w:rsid w:val="000951C4"/>
    <w:rsid w:val="00095ABF"/>
    <w:rsid w:val="00095ADA"/>
    <w:rsid w:val="000969AD"/>
    <w:rsid w:val="000972CC"/>
    <w:rsid w:val="000A3AA2"/>
    <w:rsid w:val="000A3AB3"/>
    <w:rsid w:val="000A44B2"/>
    <w:rsid w:val="000A7E84"/>
    <w:rsid w:val="000B0EA4"/>
    <w:rsid w:val="000B3C65"/>
    <w:rsid w:val="000B44C3"/>
    <w:rsid w:val="000B558D"/>
    <w:rsid w:val="000B68C8"/>
    <w:rsid w:val="000C3805"/>
    <w:rsid w:val="000C5F95"/>
    <w:rsid w:val="000C5FE3"/>
    <w:rsid w:val="000C6996"/>
    <w:rsid w:val="000D09E9"/>
    <w:rsid w:val="000D23BA"/>
    <w:rsid w:val="000D3952"/>
    <w:rsid w:val="000E4CE2"/>
    <w:rsid w:val="000E681E"/>
    <w:rsid w:val="000E7AEE"/>
    <w:rsid w:val="000F0003"/>
    <w:rsid w:val="000F08BD"/>
    <w:rsid w:val="000F3384"/>
    <w:rsid w:val="000F4E6A"/>
    <w:rsid w:val="000F7354"/>
    <w:rsid w:val="000F77B2"/>
    <w:rsid w:val="00101ABE"/>
    <w:rsid w:val="00102202"/>
    <w:rsid w:val="00102763"/>
    <w:rsid w:val="001032CF"/>
    <w:rsid w:val="00103F44"/>
    <w:rsid w:val="00104227"/>
    <w:rsid w:val="00107DF0"/>
    <w:rsid w:val="001107BF"/>
    <w:rsid w:val="00110AEF"/>
    <w:rsid w:val="00111DCE"/>
    <w:rsid w:val="00113649"/>
    <w:rsid w:val="00114779"/>
    <w:rsid w:val="00121970"/>
    <w:rsid w:val="00123523"/>
    <w:rsid w:val="00124037"/>
    <w:rsid w:val="0012417C"/>
    <w:rsid w:val="0012749D"/>
    <w:rsid w:val="001306EB"/>
    <w:rsid w:val="001314CB"/>
    <w:rsid w:val="00131E07"/>
    <w:rsid w:val="0013381E"/>
    <w:rsid w:val="00135C7B"/>
    <w:rsid w:val="00137E35"/>
    <w:rsid w:val="00140226"/>
    <w:rsid w:val="00140AAA"/>
    <w:rsid w:val="00141D9F"/>
    <w:rsid w:val="00142395"/>
    <w:rsid w:val="00142714"/>
    <w:rsid w:val="00143103"/>
    <w:rsid w:val="001452ED"/>
    <w:rsid w:val="0014630E"/>
    <w:rsid w:val="00147D84"/>
    <w:rsid w:val="001549C1"/>
    <w:rsid w:val="00154F62"/>
    <w:rsid w:val="0015762C"/>
    <w:rsid w:val="00162D4E"/>
    <w:rsid w:val="00163329"/>
    <w:rsid w:val="00164623"/>
    <w:rsid w:val="001652DE"/>
    <w:rsid w:val="00165B64"/>
    <w:rsid w:val="00170A4A"/>
    <w:rsid w:val="00180675"/>
    <w:rsid w:val="00180713"/>
    <w:rsid w:val="00182DF7"/>
    <w:rsid w:val="001830CE"/>
    <w:rsid w:val="0018502A"/>
    <w:rsid w:val="00185BB1"/>
    <w:rsid w:val="0018643B"/>
    <w:rsid w:val="00186D8E"/>
    <w:rsid w:val="00196307"/>
    <w:rsid w:val="001A33EA"/>
    <w:rsid w:val="001A4C4F"/>
    <w:rsid w:val="001A76FB"/>
    <w:rsid w:val="001B017F"/>
    <w:rsid w:val="001B2BBC"/>
    <w:rsid w:val="001B3FFE"/>
    <w:rsid w:val="001B42AB"/>
    <w:rsid w:val="001B5129"/>
    <w:rsid w:val="001B6EF1"/>
    <w:rsid w:val="001C0B4C"/>
    <w:rsid w:val="001C0C4E"/>
    <w:rsid w:val="001C1195"/>
    <w:rsid w:val="001C231A"/>
    <w:rsid w:val="001C2972"/>
    <w:rsid w:val="001C2E42"/>
    <w:rsid w:val="001C3F11"/>
    <w:rsid w:val="001C5572"/>
    <w:rsid w:val="001C65EE"/>
    <w:rsid w:val="001D1F5F"/>
    <w:rsid w:val="001D40CA"/>
    <w:rsid w:val="001E06D2"/>
    <w:rsid w:val="001E332E"/>
    <w:rsid w:val="001E5097"/>
    <w:rsid w:val="001F03B3"/>
    <w:rsid w:val="001F084A"/>
    <w:rsid w:val="001F1850"/>
    <w:rsid w:val="001F3189"/>
    <w:rsid w:val="001F5362"/>
    <w:rsid w:val="00203FAC"/>
    <w:rsid w:val="00211118"/>
    <w:rsid w:val="00213CFB"/>
    <w:rsid w:val="0021553C"/>
    <w:rsid w:val="0021557B"/>
    <w:rsid w:val="002174FD"/>
    <w:rsid w:val="00217BE1"/>
    <w:rsid w:val="00222589"/>
    <w:rsid w:val="00222962"/>
    <w:rsid w:val="00225BB7"/>
    <w:rsid w:val="00225D3B"/>
    <w:rsid w:val="0022636E"/>
    <w:rsid w:val="00227658"/>
    <w:rsid w:val="00234252"/>
    <w:rsid w:val="00237AC6"/>
    <w:rsid w:val="00244490"/>
    <w:rsid w:val="00244D72"/>
    <w:rsid w:val="002459A9"/>
    <w:rsid w:val="00253499"/>
    <w:rsid w:val="002551A4"/>
    <w:rsid w:val="0025691E"/>
    <w:rsid w:val="00257664"/>
    <w:rsid w:val="00257792"/>
    <w:rsid w:val="002631C7"/>
    <w:rsid w:val="002648D1"/>
    <w:rsid w:val="00265151"/>
    <w:rsid w:val="002660D9"/>
    <w:rsid w:val="00266509"/>
    <w:rsid w:val="00267A03"/>
    <w:rsid w:val="00270FC4"/>
    <w:rsid w:val="00271BA1"/>
    <w:rsid w:val="00274E93"/>
    <w:rsid w:val="002762FA"/>
    <w:rsid w:val="00277505"/>
    <w:rsid w:val="0028047C"/>
    <w:rsid w:val="00282044"/>
    <w:rsid w:val="002823B6"/>
    <w:rsid w:val="00282B99"/>
    <w:rsid w:val="002930E9"/>
    <w:rsid w:val="00293AB4"/>
    <w:rsid w:val="00294068"/>
    <w:rsid w:val="00294274"/>
    <w:rsid w:val="0029458F"/>
    <w:rsid w:val="002A0E04"/>
    <w:rsid w:val="002A104C"/>
    <w:rsid w:val="002A46F9"/>
    <w:rsid w:val="002A494D"/>
    <w:rsid w:val="002A4960"/>
    <w:rsid w:val="002B0AE0"/>
    <w:rsid w:val="002B1AE6"/>
    <w:rsid w:val="002B1D51"/>
    <w:rsid w:val="002B2DE8"/>
    <w:rsid w:val="002B30F8"/>
    <w:rsid w:val="002B31F5"/>
    <w:rsid w:val="002B388A"/>
    <w:rsid w:val="002B43C3"/>
    <w:rsid w:val="002B4FF5"/>
    <w:rsid w:val="002B5596"/>
    <w:rsid w:val="002C087F"/>
    <w:rsid w:val="002C14AA"/>
    <w:rsid w:val="002C212F"/>
    <w:rsid w:val="002C5139"/>
    <w:rsid w:val="002C6870"/>
    <w:rsid w:val="002C702C"/>
    <w:rsid w:val="002C7485"/>
    <w:rsid w:val="002D0B39"/>
    <w:rsid w:val="002D11C9"/>
    <w:rsid w:val="002D283A"/>
    <w:rsid w:val="002D3F4D"/>
    <w:rsid w:val="002D4543"/>
    <w:rsid w:val="002D7E66"/>
    <w:rsid w:val="002E3153"/>
    <w:rsid w:val="002E3930"/>
    <w:rsid w:val="002E5292"/>
    <w:rsid w:val="002E60F0"/>
    <w:rsid w:val="002E610F"/>
    <w:rsid w:val="002E65EA"/>
    <w:rsid w:val="002E72CA"/>
    <w:rsid w:val="002F2336"/>
    <w:rsid w:val="002F5749"/>
    <w:rsid w:val="002F600D"/>
    <w:rsid w:val="00300281"/>
    <w:rsid w:val="0030040A"/>
    <w:rsid w:val="00300AD6"/>
    <w:rsid w:val="00300B1B"/>
    <w:rsid w:val="003019D0"/>
    <w:rsid w:val="003043D6"/>
    <w:rsid w:val="003052ED"/>
    <w:rsid w:val="00305EFF"/>
    <w:rsid w:val="003064AF"/>
    <w:rsid w:val="003073D3"/>
    <w:rsid w:val="00310C87"/>
    <w:rsid w:val="0031302F"/>
    <w:rsid w:val="00313EE8"/>
    <w:rsid w:val="0031675F"/>
    <w:rsid w:val="00317C6C"/>
    <w:rsid w:val="00320CD3"/>
    <w:rsid w:val="00322956"/>
    <w:rsid w:val="00326E79"/>
    <w:rsid w:val="00326E8D"/>
    <w:rsid w:val="003301B1"/>
    <w:rsid w:val="00331189"/>
    <w:rsid w:val="0033263D"/>
    <w:rsid w:val="0033372B"/>
    <w:rsid w:val="0033518A"/>
    <w:rsid w:val="003367EF"/>
    <w:rsid w:val="003372CB"/>
    <w:rsid w:val="0034034F"/>
    <w:rsid w:val="00340A15"/>
    <w:rsid w:val="00341AE4"/>
    <w:rsid w:val="00342E8C"/>
    <w:rsid w:val="0034325E"/>
    <w:rsid w:val="003476EE"/>
    <w:rsid w:val="003528FB"/>
    <w:rsid w:val="003544B5"/>
    <w:rsid w:val="00357230"/>
    <w:rsid w:val="003577DE"/>
    <w:rsid w:val="00371655"/>
    <w:rsid w:val="003736C9"/>
    <w:rsid w:val="00375C97"/>
    <w:rsid w:val="00382370"/>
    <w:rsid w:val="00384988"/>
    <w:rsid w:val="003872CF"/>
    <w:rsid w:val="0039257E"/>
    <w:rsid w:val="00394C3F"/>
    <w:rsid w:val="00395255"/>
    <w:rsid w:val="0039584E"/>
    <w:rsid w:val="0039782C"/>
    <w:rsid w:val="003A4759"/>
    <w:rsid w:val="003A5B4A"/>
    <w:rsid w:val="003A6215"/>
    <w:rsid w:val="003B23C5"/>
    <w:rsid w:val="003B2A75"/>
    <w:rsid w:val="003B4AB0"/>
    <w:rsid w:val="003B5166"/>
    <w:rsid w:val="003B6124"/>
    <w:rsid w:val="003C0919"/>
    <w:rsid w:val="003C093A"/>
    <w:rsid w:val="003C1ECF"/>
    <w:rsid w:val="003C2FB5"/>
    <w:rsid w:val="003D2160"/>
    <w:rsid w:val="003D24C5"/>
    <w:rsid w:val="003D4AC4"/>
    <w:rsid w:val="003D63B7"/>
    <w:rsid w:val="003E468B"/>
    <w:rsid w:val="003E5373"/>
    <w:rsid w:val="003E62BD"/>
    <w:rsid w:val="003E6C7A"/>
    <w:rsid w:val="003F060D"/>
    <w:rsid w:val="003F0C3A"/>
    <w:rsid w:val="003F3228"/>
    <w:rsid w:val="003F5C8C"/>
    <w:rsid w:val="003F6062"/>
    <w:rsid w:val="003F6B77"/>
    <w:rsid w:val="003F775A"/>
    <w:rsid w:val="003F7CF7"/>
    <w:rsid w:val="0040015D"/>
    <w:rsid w:val="004005F5"/>
    <w:rsid w:val="00400E55"/>
    <w:rsid w:val="0040128E"/>
    <w:rsid w:val="0040216B"/>
    <w:rsid w:val="00403C94"/>
    <w:rsid w:val="004072C3"/>
    <w:rsid w:val="004129F6"/>
    <w:rsid w:val="00412D0E"/>
    <w:rsid w:val="0041753F"/>
    <w:rsid w:val="00424FF6"/>
    <w:rsid w:val="004252EC"/>
    <w:rsid w:val="00430D39"/>
    <w:rsid w:val="004353B5"/>
    <w:rsid w:val="00437D6E"/>
    <w:rsid w:val="004413D9"/>
    <w:rsid w:val="00443D8D"/>
    <w:rsid w:val="00444652"/>
    <w:rsid w:val="00445F67"/>
    <w:rsid w:val="004465BD"/>
    <w:rsid w:val="004509B3"/>
    <w:rsid w:val="00453D69"/>
    <w:rsid w:val="00455822"/>
    <w:rsid w:val="00461A44"/>
    <w:rsid w:val="00466ADA"/>
    <w:rsid w:val="004702BB"/>
    <w:rsid w:val="004719DD"/>
    <w:rsid w:val="00472661"/>
    <w:rsid w:val="004748BA"/>
    <w:rsid w:val="0047494B"/>
    <w:rsid w:val="00476245"/>
    <w:rsid w:val="00477A9B"/>
    <w:rsid w:val="00480944"/>
    <w:rsid w:val="00481414"/>
    <w:rsid w:val="0048197D"/>
    <w:rsid w:val="00483035"/>
    <w:rsid w:val="00485940"/>
    <w:rsid w:val="004904B8"/>
    <w:rsid w:val="004904B9"/>
    <w:rsid w:val="004954E8"/>
    <w:rsid w:val="00496E4C"/>
    <w:rsid w:val="004A2484"/>
    <w:rsid w:val="004A3081"/>
    <w:rsid w:val="004A400C"/>
    <w:rsid w:val="004A4F0E"/>
    <w:rsid w:val="004A516D"/>
    <w:rsid w:val="004A5A85"/>
    <w:rsid w:val="004A71D1"/>
    <w:rsid w:val="004A7C5B"/>
    <w:rsid w:val="004B03F9"/>
    <w:rsid w:val="004B1845"/>
    <w:rsid w:val="004B2E98"/>
    <w:rsid w:val="004B5640"/>
    <w:rsid w:val="004B706A"/>
    <w:rsid w:val="004C0CE9"/>
    <w:rsid w:val="004C12BC"/>
    <w:rsid w:val="004C1BD7"/>
    <w:rsid w:val="004C31FE"/>
    <w:rsid w:val="004C3DB5"/>
    <w:rsid w:val="004C524C"/>
    <w:rsid w:val="004C691D"/>
    <w:rsid w:val="004C6C07"/>
    <w:rsid w:val="004C7677"/>
    <w:rsid w:val="004D0C3C"/>
    <w:rsid w:val="004D4FF6"/>
    <w:rsid w:val="004E0CB7"/>
    <w:rsid w:val="004E1E8C"/>
    <w:rsid w:val="004E234D"/>
    <w:rsid w:val="004E5DA9"/>
    <w:rsid w:val="004E692D"/>
    <w:rsid w:val="004E7A8F"/>
    <w:rsid w:val="004E7D87"/>
    <w:rsid w:val="004F1958"/>
    <w:rsid w:val="004F2553"/>
    <w:rsid w:val="00501554"/>
    <w:rsid w:val="00502AFE"/>
    <w:rsid w:val="00503AD7"/>
    <w:rsid w:val="00504037"/>
    <w:rsid w:val="00504E0C"/>
    <w:rsid w:val="005109D4"/>
    <w:rsid w:val="0051287D"/>
    <w:rsid w:val="00514CD7"/>
    <w:rsid w:val="005152FB"/>
    <w:rsid w:val="00520560"/>
    <w:rsid w:val="00520D6A"/>
    <w:rsid w:val="00521466"/>
    <w:rsid w:val="00522DB6"/>
    <w:rsid w:val="00525D37"/>
    <w:rsid w:val="0052792D"/>
    <w:rsid w:val="00527E7B"/>
    <w:rsid w:val="005319B2"/>
    <w:rsid w:val="00532402"/>
    <w:rsid w:val="00532BF8"/>
    <w:rsid w:val="00532C74"/>
    <w:rsid w:val="00533B0D"/>
    <w:rsid w:val="00534E2E"/>
    <w:rsid w:val="0053700E"/>
    <w:rsid w:val="0053746B"/>
    <w:rsid w:val="0054165A"/>
    <w:rsid w:val="00544552"/>
    <w:rsid w:val="0055286A"/>
    <w:rsid w:val="00554D63"/>
    <w:rsid w:val="00555745"/>
    <w:rsid w:val="00557D4F"/>
    <w:rsid w:val="00560517"/>
    <w:rsid w:val="00561F32"/>
    <w:rsid w:val="0056484E"/>
    <w:rsid w:val="00572EE6"/>
    <w:rsid w:val="005764CD"/>
    <w:rsid w:val="00576E60"/>
    <w:rsid w:val="00577C4D"/>
    <w:rsid w:val="00580532"/>
    <w:rsid w:val="00580BF5"/>
    <w:rsid w:val="00581932"/>
    <w:rsid w:val="0058488D"/>
    <w:rsid w:val="00587D5A"/>
    <w:rsid w:val="005963BB"/>
    <w:rsid w:val="005A2B35"/>
    <w:rsid w:val="005A2C75"/>
    <w:rsid w:val="005A3173"/>
    <w:rsid w:val="005A3223"/>
    <w:rsid w:val="005A3DA3"/>
    <w:rsid w:val="005A52C4"/>
    <w:rsid w:val="005A5C39"/>
    <w:rsid w:val="005B2305"/>
    <w:rsid w:val="005C4524"/>
    <w:rsid w:val="005D03AB"/>
    <w:rsid w:val="005D3C67"/>
    <w:rsid w:val="005D5017"/>
    <w:rsid w:val="005D63FA"/>
    <w:rsid w:val="005E0DDA"/>
    <w:rsid w:val="005E1333"/>
    <w:rsid w:val="005E3136"/>
    <w:rsid w:val="005E507D"/>
    <w:rsid w:val="005F2D49"/>
    <w:rsid w:val="005F2F93"/>
    <w:rsid w:val="005F65D5"/>
    <w:rsid w:val="00601A91"/>
    <w:rsid w:val="00602BA3"/>
    <w:rsid w:val="00605B63"/>
    <w:rsid w:val="00606EED"/>
    <w:rsid w:val="0060708F"/>
    <w:rsid w:val="006072C4"/>
    <w:rsid w:val="00607A95"/>
    <w:rsid w:val="00612DC9"/>
    <w:rsid w:val="00612E34"/>
    <w:rsid w:val="00614159"/>
    <w:rsid w:val="00616C5F"/>
    <w:rsid w:val="00616DAC"/>
    <w:rsid w:val="00617682"/>
    <w:rsid w:val="00617C00"/>
    <w:rsid w:val="00621278"/>
    <w:rsid w:val="00621E32"/>
    <w:rsid w:val="006263BF"/>
    <w:rsid w:val="0062748A"/>
    <w:rsid w:val="00627532"/>
    <w:rsid w:val="00630358"/>
    <w:rsid w:val="00630A2C"/>
    <w:rsid w:val="00635D43"/>
    <w:rsid w:val="0063682E"/>
    <w:rsid w:val="0064199E"/>
    <w:rsid w:val="00642DA8"/>
    <w:rsid w:val="006436CD"/>
    <w:rsid w:val="00651169"/>
    <w:rsid w:val="00653D69"/>
    <w:rsid w:val="00653F7E"/>
    <w:rsid w:val="00654E40"/>
    <w:rsid w:val="0065503B"/>
    <w:rsid w:val="006552E6"/>
    <w:rsid w:val="00655407"/>
    <w:rsid w:val="00656B89"/>
    <w:rsid w:val="00657A1C"/>
    <w:rsid w:val="00657C63"/>
    <w:rsid w:val="0066237D"/>
    <w:rsid w:val="006670BE"/>
    <w:rsid w:val="00670A76"/>
    <w:rsid w:val="006711AA"/>
    <w:rsid w:val="00672B57"/>
    <w:rsid w:val="00673443"/>
    <w:rsid w:val="00674080"/>
    <w:rsid w:val="0067415C"/>
    <w:rsid w:val="00675622"/>
    <w:rsid w:val="0067747D"/>
    <w:rsid w:val="00680020"/>
    <w:rsid w:val="0068024E"/>
    <w:rsid w:val="00681CA4"/>
    <w:rsid w:val="00683C8D"/>
    <w:rsid w:val="0069039D"/>
    <w:rsid w:val="006906DB"/>
    <w:rsid w:val="00691E6C"/>
    <w:rsid w:val="00692B33"/>
    <w:rsid w:val="006936C8"/>
    <w:rsid w:val="006939C3"/>
    <w:rsid w:val="00693DFB"/>
    <w:rsid w:val="0069501D"/>
    <w:rsid w:val="00695280"/>
    <w:rsid w:val="00696129"/>
    <w:rsid w:val="00697CF2"/>
    <w:rsid w:val="006A0089"/>
    <w:rsid w:val="006A0DC6"/>
    <w:rsid w:val="006A12A5"/>
    <w:rsid w:val="006A3458"/>
    <w:rsid w:val="006A3782"/>
    <w:rsid w:val="006A5E20"/>
    <w:rsid w:val="006A7A20"/>
    <w:rsid w:val="006B0D94"/>
    <w:rsid w:val="006B35DC"/>
    <w:rsid w:val="006B485D"/>
    <w:rsid w:val="006C2EDC"/>
    <w:rsid w:val="006C334C"/>
    <w:rsid w:val="006C698D"/>
    <w:rsid w:val="006C708E"/>
    <w:rsid w:val="006D14E7"/>
    <w:rsid w:val="006D1875"/>
    <w:rsid w:val="006D2073"/>
    <w:rsid w:val="006D2EE3"/>
    <w:rsid w:val="006D43B2"/>
    <w:rsid w:val="006D4444"/>
    <w:rsid w:val="006D6493"/>
    <w:rsid w:val="006D6580"/>
    <w:rsid w:val="006D6EC7"/>
    <w:rsid w:val="006E12A8"/>
    <w:rsid w:val="006E1BCD"/>
    <w:rsid w:val="006E36BC"/>
    <w:rsid w:val="006E52EF"/>
    <w:rsid w:val="006F155C"/>
    <w:rsid w:val="006F368E"/>
    <w:rsid w:val="006F40C2"/>
    <w:rsid w:val="006F5125"/>
    <w:rsid w:val="006F6E50"/>
    <w:rsid w:val="006F733D"/>
    <w:rsid w:val="00702B6F"/>
    <w:rsid w:val="00703042"/>
    <w:rsid w:val="007048DA"/>
    <w:rsid w:val="00706A2F"/>
    <w:rsid w:val="0070718E"/>
    <w:rsid w:val="00711755"/>
    <w:rsid w:val="00711E10"/>
    <w:rsid w:val="0071340B"/>
    <w:rsid w:val="00716E09"/>
    <w:rsid w:val="007174BB"/>
    <w:rsid w:val="007175AD"/>
    <w:rsid w:val="00717CD7"/>
    <w:rsid w:val="00720224"/>
    <w:rsid w:val="0072025D"/>
    <w:rsid w:val="007225E0"/>
    <w:rsid w:val="00723E3E"/>
    <w:rsid w:val="007249B9"/>
    <w:rsid w:val="00726FC1"/>
    <w:rsid w:val="0073137C"/>
    <w:rsid w:val="0073177C"/>
    <w:rsid w:val="00734B00"/>
    <w:rsid w:val="00734C22"/>
    <w:rsid w:val="007353D3"/>
    <w:rsid w:val="007376B6"/>
    <w:rsid w:val="00737CD1"/>
    <w:rsid w:val="007402C9"/>
    <w:rsid w:val="0074156B"/>
    <w:rsid w:val="007555E8"/>
    <w:rsid w:val="007558E2"/>
    <w:rsid w:val="00757CC8"/>
    <w:rsid w:val="0076420C"/>
    <w:rsid w:val="00764D34"/>
    <w:rsid w:val="007708C2"/>
    <w:rsid w:val="00771D07"/>
    <w:rsid w:val="00773BE3"/>
    <w:rsid w:val="00774E2C"/>
    <w:rsid w:val="007753C2"/>
    <w:rsid w:val="0078046D"/>
    <w:rsid w:val="00781379"/>
    <w:rsid w:val="00782A22"/>
    <w:rsid w:val="007838B8"/>
    <w:rsid w:val="00786037"/>
    <w:rsid w:val="007868C5"/>
    <w:rsid w:val="007915BA"/>
    <w:rsid w:val="007A4908"/>
    <w:rsid w:val="007A52BB"/>
    <w:rsid w:val="007A65B2"/>
    <w:rsid w:val="007A6CD6"/>
    <w:rsid w:val="007B2739"/>
    <w:rsid w:val="007B2D0B"/>
    <w:rsid w:val="007B3DDC"/>
    <w:rsid w:val="007B72A6"/>
    <w:rsid w:val="007C0F57"/>
    <w:rsid w:val="007C3552"/>
    <w:rsid w:val="007C40B6"/>
    <w:rsid w:val="007C729F"/>
    <w:rsid w:val="007C7E77"/>
    <w:rsid w:val="007D1A31"/>
    <w:rsid w:val="007D503D"/>
    <w:rsid w:val="007D67DC"/>
    <w:rsid w:val="007E0F41"/>
    <w:rsid w:val="007E1D28"/>
    <w:rsid w:val="007F0021"/>
    <w:rsid w:val="007F2641"/>
    <w:rsid w:val="007F3057"/>
    <w:rsid w:val="007F493F"/>
    <w:rsid w:val="007F5937"/>
    <w:rsid w:val="007F5C8A"/>
    <w:rsid w:val="007F69DB"/>
    <w:rsid w:val="007F7C36"/>
    <w:rsid w:val="00800085"/>
    <w:rsid w:val="00800BA4"/>
    <w:rsid w:val="00806796"/>
    <w:rsid w:val="00807428"/>
    <w:rsid w:val="00811CC0"/>
    <w:rsid w:val="00814F63"/>
    <w:rsid w:val="008151D6"/>
    <w:rsid w:val="00821527"/>
    <w:rsid w:val="008268BB"/>
    <w:rsid w:val="00826F6D"/>
    <w:rsid w:val="008306F3"/>
    <w:rsid w:val="00830E40"/>
    <w:rsid w:val="00831A92"/>
    <w:rsid w:val="00831FFC"/>
    <w:rsid w:val="00833DE3"/>
    <w:rsid w:val="00841B1D"/>
    <w:rsid w:val="00842B99"/>
    <w:rsid w:val="00846921"/>
    <w:rsid w:val="0085068B"/>
    <w:rsid w:val="0085248B"/>
    <w:rsid w:val="00854502"/>
    <w:rsid w:val="00855FD6"/>
    <w:rsid w:val="00856DDD"/>
    <w:rsid w:val="00863E68"/>
    <w:rsid w:val="008647B5"/>
    <w:rsid w:val="008723C7"/>
    <w:rsid w:val="00873206"/>
    <w:rsid w:val="00873328"/>
    <w:rsid w:val="008742A0"/>
    <w:rsid w:val="00875DCB"/>
    <w:rsid w:val="00876E53"/>
    <w:rsid w:val="00882085"/>
    <w:rsid w:val="00882BB3"/>
    <w:rsid w:val="00883188"/>
    <w:rsid w:val="008860E8"/>
    <w:rsid w:val="008907F3"/>
    <w:rsid w:val="00890DA8"/>
    <w:rsid w:val="008963F2"/>
    <w:rsid w:val="00896F78"/>
    <w:rsid w:val="00897068"/>
    <w:rsid w:val="00897D58"/>
    <w:rsid w:val="00897F22"/>
    <w:rsid w:val="008A0906"/>
    <w:rsid w:val="008A0B39"/>
    <w:rsid w:val="008A1956"/>
    <w:rsid w:val="008A1D22"/>
    <w:rsid w:val="008A45B5"/>
    <w:rsid w:val="008A4937"/>
    <w:rsid w:val="008A50F1"/>
    <w:rsid w:val="008A59D9"/>
    <w:rsid w:val="008A6819"/>
    <w:rsid w:val="008A6E90"/>
    <w:rsid w:val="008B2C38"/>
    <w:rsid w:val="008B2EC0"/>
    <w:rsid w:val="008B6FDF"/>
    <w:rsid w:val="008C1363"/>
    <w:rsid w:val="008C2EBA"/>
    <w:rsid w:val="008C46FA"/>
    <w:rsid w:val="008D1B5C"/>
    <w:rsid w:val="008D3C82"/>
    <w:rsid w:val="008D405F"/>
    <w:rsid w:val="008D447E"/>
    <w:rsid w:val="008D6E96"/>
    <w:rsid w:val="008D7862"/>
    <w:rsid w:val="008D7A41"/>
    <w:rsid w:val="008E04B6"/>
    <w:rsid w:val="008E2C72"/>
    <w:rsid w:val="008E3680"/>
    <w:rsid w:val="008E5870"/>
    <w:rsid w:val="008E588A"/>
    <w:rsid w:val="008E5E11"/>
    <w:rsid w:val="008E6792"/>
    <w:rsid w:val="008E68B1"/>
    <w:rsid w:val="008F1434"/>
    <w:rsid w:val="008F4F7B"/>
    <w:rsid w:val="008F54C3"/>
    <w:rsid w:val="008F7355"/>
    <w:rsid w:val="009023DC"/>
    <w:rsid w:val="009063AB"/>
    <w:rsid w:val="00906707"/>
    <w:rsid w:val="009067B7"/>
    <w:rsid w:val="009116C9"/>
    <w:rsid w:val="0091343E"/>
    <w:rsid w:val="009144E3"/>
    <w:rsid w:val="00922323"/>
    <w:rsid w:val="009257A7"/>
    <w:rsid w:val="00926560"/>
    <w:rsid w:val="00930937"/>
    <w:rsid w:val="00930C50"/>
    <w:rsid w:val="009323D3"/>
    <w:rsid w:val="009324A6"/>
    <w:rsid w:val="00933E6C"/>
    <w:rsid w:val="00936DA0"/>
    <w:rsid w:val="00937958"/>
    <w:rsid w:val="00941602"/>
    <w:rsid w:val="00942160"/>
    <w:rsid w:val="0095146F"/>
    <w:rsid w:val="009515F9"/>
    <w:rsid w:val="00953817"/>
    <w:rsid w:val="00957944"/>
    <w:rsid w:val="009602C5"/>
    <w:rsid w:val="00960E9D"/>
    <w:rsid w:val="00962223"/>
    <w:rsid w:val="00964CAA"/>
    <w:rsid w:val="00966D0D"/>
    <w:rsid w:val="00967542"/>
    <w:rsid w:val="0096783C"/>
    <w:rsid w:val="009722B3"/>
    <w:rsid w:val="00974C21"/>
    <w:rsid w:val="00975401"/>
    <w:rsid w:val="00975948"/>
    <w:rsid w:val="00975BD8"/>
    <w:rsid w:val="00977BF3"/>
    <w:rsid w:val="009803E4"/>
    <w:rsid w:val="00980B0E"/>
    <w:rsid w:val="009836A3"/>
    <w:rsid w:val="009855A8"/>
    <w:rsid w:val="00990057"/>
    <w:rsid w:val="00990540"/>
    <w:rsid w:val="009913F4"/>
    <w:rsid w:val="00994150"/>
    <w:rsid w:val="0099465B"/>
    <w:rsid w:val="00995E7B"/>
    <w:rsid w:val="009A0CDD"/>
    <w:rsid w:val="009A3168"/>
    <w:rsid w:val="009A61CA"/>
    <w:rsid w:val="009B0C64"/>
    <w:rsid w:val="009B0F67"/>
    <w:rsid w:val="009B1885"/>
    <w:rsid w:val="009B69CA"/>
    <w:rsid w:val="009B7A51"/>
    <w:rsid w:val="009C0CB4"/>
    <w:rsid w:val="009C1B50"/>
    <w:rsid w:val="009C49D9"/>
    <w:rsid w:val="009C703C"/>
    <w:rsid w:val="009D206E"/>
    <w:rsid w:val="009D3CAA"/>
    <w:rsid w:val="009D6398"/>
    <w:rsid w:val="009D6532"/>
    <w:rsid w:val="009E1BF6"/>
    <w:rsid w:val="009E2374"/>
    <w:rsid w:val="009E40E1"/>
    <w:rsid w:val="009E450B"/>
    <w:rsid w:val="009E75CE"/>
    <w:rsid w:val="009F0EFA"/>
    <w:rsid w:val="009F2A8C"/>
    <w:rsid w:val="009F4287"/>
    <w:rsid w:val="009F4E46"/>
    <w:rsid w:val="009F55AA"/>
    <w:rsid w:val="009F5B65"/>
    <w:rsid w:val="009F5F2E"/>
    <w:rsid w:val="009F77F6"/>
    <w:rsid w:val="00A02AF0"/>
    <w:rsid w:val="00A02C5C"/>
    <w:rsid w:val="00A040DF"/>
    <w:rsid w:val="00A06225"/>
    <w:rsid w:val="00A128E6"/>
    <w:rsid w:val="00A144D3"/>
    <w:rsid w:val="00A22AC3"/>
    <w:rsid w:val="00A23F3F"/>
    <w:rsid w:val="00A24067"/>
    <w:rsid w:val="00A2744D"/>
    <w:rsid w:val="00A34E6C"/>
    <w:rsid w:val="00A36398"/>
    <w:rsid w:val="00A37C8D"/>
    <w:rsid w:val="00A4020E"/>
    <w:rsid w:val="00A40FB5"/>
    <w:rsid w:val="00A41CE3"/>
    <w:rsid w:val="00A42826"/>
    <w:rsid w:val="00A4683C"/>
    <w:rsid w:val="00A500E5"/>
    <w:rsid w:val="00A5013B"/>
    <w:rsid w:val="00A5273B"/>
    <w:rsid w:val="00A53875"/>
    <w:rsid w:val="00A53A9D"/>
    <w:rsid w:val="00A55FEE"/>
    <w:rsid w:val="00A56057"/>
    <w:rsid w:val="00A61925"/>
    <w:rsid w:val="00A62C1A"/>
    <w:rsid w:val="00A635BB"/>
    <w:rsid w:val="00A6426D"/>
    <w:rsid w:val="00A665C1"/>
    <w:rsid w:val="00A70622"/>
    <w:rsid w:val="00A70977"/>
    <w:rsid w:val="00A70D58"/>
    <w:rsid w:val="00A744F9"/>
    <w:rsid w:val="00A77613"/>
    <w:rsid w:val="00A82313"/>
    <w:rsid w:val="00A8390C"/>
    <w:rsid w:val="00A84D34"/>
    <w:rsid w:val="00A86AE0"/>
    <w:rsid w:val="00A928BD"/>
    <w:rsid w:val="00A92EC8"/>
    <w:rsid w:val="00A957D4"/>
    <w:rsid w:val="00A97DE9"/>
    <w:rsid w:val="00AA12CD"/>
    <w:rsid w:val="00AA1E1A"/>
    <w:rsid w:val="00AA237D"/>
    <w:rsid w:val="00AA4D1C"/>
    <w:rsid w:val="00AA6606"/>
    <w:rsid w:val="00AA6E12"/>
    <w:rsid w:val="00AB11AB"/>
    <w:rsid w:val="00AB4E52"/>
    <w:rsid w:val="00AB5856"/>
    <w:rsid w:val="00AC193C"/>
    <w:rsid w:val="00AC4DE5"/>
    <w:rsid w:val="00AC5206"/>
    <w:rsid w:val="00AD2E91"/>
    <w:rsid w:val="00AD3E6B"/>
    <w:rsid w:val="00AD4322"/>
    <w:rsid w:val="00AD5766"/>
    <w:rsid w:val="00AD57F3"/>
    <w:rsid w:val="00AD5965"/>
    <w:rsid w:val="00AD66D8"/>
    <w:rsid w:val="00AD7345"/>
    <w:rsid w:val="00AD7702"/>
    <w:rsid w:val="00AE11A5"/>
    <w:rsid w:val="00AE13E2"/>
    <w:rsid w:val="00AE22D3"/>
    <w:rsid w:val="00AE2CAC"/>
    <w:rsid w:val="00AE5A49"/>
    <w:rsid w:val="00AF036B"/>
    <w:rsid w:val="00AF0C7C"/>
    <w:rsid w:val="00AF170E"/>
    <w:rsid w:val="00AF52AF"/>
    <w:rsid w:val="00AF6014"/>
    <w:rsid w:val="00AF62DF"/>
    <w:rsid w:val="00AF68CC"/>
    <w:rsid w:val="00AF70D7"/>
    <w:rsid w:val="00B07CFB"/>
    <w:rsid w:val="00B1059E"/>
    <w:rsid w:val="00B10D99"/>
    <w:rsid w:val="00B122D1"/>
    <w:rsid w:val="00B170A5"/>
    <w:rsid w:val="00B176C8"/>
    <w:rsid w:val="00B205AA"/>
    <w:rsid w:val="00B22E84"/>
    <w:rsid w:val="00B233AD"/>
    <w:rsid w:val="00B23E25"/>
    <w:rsid w:val="00B24A8C"/>
    <w:rsid w:val="00B25F75"/>
    <w:rsid w:val="00B26B3F"/>
    <w:rsid w:val="00B2778F"/>
    <w:rsid w:val="00B27C97"/>
    <w:rsid w:val="00B31650"/>
    <w:rsid w:val="00B32482"/>
    <w:rsid w:val="00B33635"/>
    <w:rsid w:val="00B34B69"/>
    <w:rsid w:val="00B372DE"/>
    <w:rsid w:val="00B43E90"/>
    <w:rsid w:val="00B467DC"/>
    <w:rsid w:val="00B47534"/>
    <w:rsid w:val="00B479B0"/>
    <w:rsid w:val="00B50D37"/>
    <w:rsid w:val="00B51644"/>
    <w:rsid w:val="00B520A8"/>
    <w:rsid w:val="00B54018"/>
    <w:rsid w:val="00B541F8"/>
    <w:rsid w:val="00B56118"/>
    <w:rsid w:val="00B568B0"/>
    <w:rsid w:val="00B62DDB"/>
    <w:rsid w:val="00B63AB1"/>
    <w:rsid w:val="00B6540D"/>
    <w:rsid w:val="00B6773F"/>
    <w:rsid w:val="00B70EB3"/>
    <w:rsid w:val="00B760FB"/>
    <w:rsid w:val="00B767AB"/>
    <w:rsid w:val="00B801BA"/>
    <w:rsid w:val="00B80762"/>
    <w:rsid w:val="00B821B4"/>
    <w:rsid w:val="00B84D5C"/>
    <w:rsid w:val="00B85EE2"/>
    <w:rsid w:val="00B871B6"/>
    <w:rsid w:val="00BA005E"/>
    <w:rsid w:val="00BA2DA8"/>
    <w:rsid w:val="00BA347C"/>
    <w:rsid w:val="00BB1066"/>
    <w:rsid w:val="00BB5FE1"/>
    <w:rsid w:val="00BB69F5"/>
    <w:rsid w:val="00BB7EC3"/>
    <w:rsid w:val="00BC2069"/>
    <w:rsid w:val="00BC4B9A"/>
    <w:rsid w:val="00BC7386"/>
    <w:rsid w:val="00BD02C3"/>
    <w:rsid w:val="00BD62F1"/>
    <w:rsid w:val="00BD784C"/>
    <w:rsid w:val="00BE020A"/>
    <w:rsid w:val="00BE3695"/>
    <w:rsid w:val="00BF092C"/>
    <w:rsid w:val="00BF263A"/>
    <w:rsid w:val="00BF27A0"/>
    <w:rsid w:val="00BF32AA"/>
    <w:rsid w:val="00BF4CB6"/>
    <w:rsid w:val="00BF6123"/>
    <w:rsid w:val="00C00DA7"/>
    <w:rsid w:val="00C019F6"/>
    <w:rsid w:val="00C04CDE"/>
    <w:rsid w:val="00C12768"/>
    <w:rsid w:val="00C12D70"/>
    <w:rsid w:val="00C2167C"/>
    <w:rsid w:val="00C21B09"/>
    <w:rsid w:val="00C24266"/>
    <w:rsid w:val="00C2673A"/>
    <w:rsid w:val="00C27B58"/>
    <w:rsid w:val="00C3181C"/>
    <w:rsid w:val="00C31961"/>
    <w:rsid w:val="00C327DC"/>
    <w:rsid w:val="00C33AF5"/>
    <w:rsid w:val="00C342AB"/>
    <w:rsid w:val="00C35996"/>
    <w:rsid w:val="00C36E95"/>
    <w:rsid w:val="00C40E49"/>
    <w:rsid w:val="00C420C8"/>
    <w:rsid w:val="00C4747E"/>
    <w:rsid w:val="00C477AD"/>
    <w:rsid w:val="00C5151E"/>
    <w:rsid w:val="00C51836"/>
    <w:rsid w:val="00C5342C"/>
    <w:rsid w:val="00C53B2B"/>
    <w:rsid w:val="00C60272"/>
    <w:rsid w:val="00C60299"/>
    <w:rsid w:val="00C603D4"/>
    <w:rsid w:val="00C60F74"/>
    <w:rsid w:val="00C6256A"/>
    <w:rsid w:val="00C62E21"/>
    <w:rsid w:val="00C64B89"/>
    <w:rsid w:val="00C67082"/>
    <w:rsid w:val="00C67D03"/>
    <w:rsid w:val="00C710E2"/>
    <w:rsid w:val="00C71BB3"/>
    <w:rsid w:val="00C71C3F"/>
    <w:rsid w:val="00C7409E"/>
    <w:rsid w:val="00C76E76"/>
    <w:rsid w:val="00C77891"/>
    <w:rsid w:val="00C8126E"/>
    <w:rsid w:val="00C8182C"/>
    <w:rsid w:val="00C83057"/>
    <w:rsid w:val="00C83FFB"/>
    <w:rsid w:val="00C8748C"/>
    <w:rsid w:val="00C87AC2"/>
    <w:rsid w:val="00C91449"/>
    <w:rsid w:val="00C92D10"/>
    <w:rsid w:val="00C93D31"/>
    <w:rsid w:val="00CA48D9"/>
    <w:rsid w:val="00CA4F73"/>
    <w:rsid w:val="00CA6AFA"/>
    <w:rsid w:val="00CB1193"/>
    <w:rsid w:val="00CB16A2"/>
    <w:rsid w:val="00CB2D77"/>
    <w:rsid w:val="00CB39E0"/>
    <w:rsid w:val="00CB4767"/>
    <w:rsid w:val="00CB493D"/>
    <w:rsid w:val="00CC2FC3"/>
    <w:rsid w:val="00CC3867"/>
    <w:rsid w:val="00CC3B97"/>
    <w:rsid w:val="00CC7780"/>
    <w:rsid w:val="00CD55A0"/>
    <w:rsid w:val="00CD5FAF"/>
    <w:rsid w:val="00CE10C4"/>
    <w:rsid w:val="00CE27B5"/>
    <w:rsid w:val="00CE4AA1"/>
    <w:rsid w:val="00CE5E13"/>
    <w:rsid w:val="00CE6DAF"/>
    <w:rsid w:val="00CE7970"/>
    <w:rsid w:val="00CF0393"/>
    <w:rsid w:val="00CF392F"/>
    <w:rsid w:val="00CF410A"/>
    <w:rsid w:val="00CF418E"/>
    <w:rsid w:val="00CF4E1B"/>
    <w:rsid w:val="00CF7625"/>
    <w:rsid w:val="00D0321E"/>
    <w:rsid w:val="00D0657A"/>
    <w:rsid w:val="00D07A8A"/>
    <w:rsid w:val="00D1455A"/>
    <w:rsid w:val="00D22093"/>
    <w:rsid w:val="00D24821"/>
    <w:rsid w:val="00D31150"/>
    <w:rsid w:val="00D3138B"/>
    <w:rsid w:val="00D3280C"/>
    <w:rsid w:val="00D32C4D"/>
    <w:rsid w:val="00D3406A"/>
    <w:rsid w:val="00D36632"/>
    <w:rsid w:val="00D37055"/>
    <w:rsid w:val="00D41345"/>
    <w:rsid w:val="00D4270F"/>
    <w:rsid w:val="00D441F1"/>
    <w:rsid w:val="00D445AF"/>
    <w:rsid w:val="00D4572C"/>
    <w:rsid w:val="00D469B2"/>
    <w:rsid w:val="00D54173"/>
    <w:rsid w:val="00D5454F"/>
    <w:rsid w:val="00D54FF2"/>
    <w:rsid w:val="00D555D0"/>
    <w:rsid w:val="00D55B46"/>
    <w:rsid w:val="00D613EE"/>
    <w:rsid w:val="00D65658"/>
    <w:rsid w:val="00D72A9B"/>
    <w:rsid w:val="00D72B6F"/>
    <w:rsid w:val="00D741EB"/>
    <w:rsid w:val="00D7679C"/>
    <w:rsid w:val="00D76850"/>
    <w:rsid w:val="00D820F3"/>
    <w:rsid w:val="00D83605"/>
    <w:rsid w:val="00D84934"/>
    <w:rsid w:val="00D871A7"/>
    <w:rsid w:val="00D91271"/>
    <w:rsid w:val="00D919F5"/>
    <w:rsid w:val="00D928F3"/>
    <w:rsid w:val="00D93000"/>
    <w:rsid w:val="00D94F03"/>
    <w:rsid w:val="00D95AD2"/>
    <w:rsid w:val="00DA0D14"/>
    <w:rsid w:val="00DA1FC9"/>
    <w:rsid w:val="00DA2CB5"/>
    <w:rsid w:val="00DA4BAC"/>
    <w:rsid w:val="00DA6D47"/>
    <w:rsid w:val="00DB0151"/>
    <w:rsid w:val="00DB0B72"/>
    <w:rsid w:val="00DC0DEC"/>
    <w:rsid w:val="00DC15A7"/>
    <w:rsid w:val="00DC2C3E"/>
    <w:rsid w:val="00DC4880"/>
    <w:rsid w:val="00DC5262"/>
    <w:rsid w:val="00DD0548"/>
    <w:rsid w:val="00DD056D"/>
    <w:rsid w:val="00DD2DBC"/>
    <w:rsid w:val="00DD71DB"/>
    <w:rsid w:val="00DE391F"/>
    <w:rsid w:val="00DE3988"/>
    <w:rsid w:val="00DE6D27"/>
    <w:rsid w:val="00DF01F8"/>
    <w:rsid w:val="00DF217D"/>
    <w:rsid w:val="00DF26A7"/>
    <w:rsid w:val="00DF3277"/>
    <w:rsid w:val="00DF3F1F"/>
    <w:rsid w:val="00DF77BD"/>
    <w:rsid w:val="00DF7919"/>
    <w:rsid w:val="00E0207E"/>
    <w:rsid w:val="00E03912"/>
    <w:rsid w:val="00E078D9"/>
    <w:rsid w:val="00E10482"/>
    <w:rsid w:val="00E13D9A"/>
    <w:rsid w:val="00E15627"/>
    <w:rsid w:val="00E161A5"/>
    <w:rsid w:val="00E164B3"/>
    <w:rsid w:val="00E16910"/>
    <w:rsid w:val="00E24E09"/>
    <w:rsid w:val="00E27234"/>
    <w:rsid w:val="00E27339"/>
    <w:rsid w:val="00E31DFE"/>
    <w:rsid w:val="00E3283D"/>
    <w:rsid w:val="00E342CF"/>
    <w:rsid w:val="00E42BDB"/>
    <w:rsid w:val="00E43907"/>
    <w:rsid w:val="00E50FEA"/>
    <w:rsid w:val="00E51660"/>
    <w:rsid w:val="00E53BC4"/>
    <w:rsid w:val="00E57EEB"/>
    <w:rsid w:val="00E61801"/>
    <w:rsid w:val="00E62D94"/>
    <w:rsid w:val="00E64F37"/>
    <w:rsid w:val="00E65E54"/>
    <w:rsid w:val="00E661C7"/>
    <w:rsid w:val="00E74F7D"/>
    <w:rsid w:val="00E7598D"/>
    <w:rsid w:val="00E75CB9"/>
    <w:rsid w:val="00E77525"/>
    <w:rsid w:val="00E80155"/>
    <w:rsid w:val="00E8134B"/>
    <w:rsid w:val="00E81E0D"/>
    <w:rsid w:val="00E81F28"/>
    <w:rsid w:val="00E82EC9"/>
    <w:rsid w:val="00E83073"/>
    <w:rsid w:val="00E848C0"/>
    <w:rsid w:val="00E8703F"/>
    <w:rsid w:val="00E91B96"/>
    <w:rsid w:val="00E93D1E"/>
    <w:rsid w:val="00E941A1"/>
    <w:rsid w:val="00E95CE3"/>
    <w:rsid w:val="00EA00DD"/>
    <w:rsid w:val="00EA082D"/>
    <w:rsid w:val="00EA252F"/>
    <w:rsid w:val="00EA2825"/>
    <w:rsid w:val="00EA2F4B"/>
    <w:rsid w:val="00EA6518"/>
    <w:rsid w:val="00EA6E83"/>
    <w:rsid w:val="00EA6FFB"/>
    <w:rsid w:val="00EA70FA"/>
    <w:rsid w:val="00EA7466"/>
    <w:rsid w:val="00EA7EDE"/>
    <w:rsid w:val="00EB0B63"/>
    <w:rsid w:val="00EB1767"/>
    <w:rsid w:val="00EB1936"/>
    <w:rsid w:val="00EB36F6"/>
    <w:rsid w:val="00EB37BE"/>
    <w:rsid w:val="00EB3ADF"/>
    <w:rsid w:val="00EB5088"/>
    <w:rsid w:val="00EC7E9E"/>
    <w:rsid w:val="00ED1644"/>
    <w:rsid w:val="00ED1BFC"/>
    <w:rsid w:val="00ED2593"/>
    <w:rsid w:val="00ED3121"/>
    <w:rsid w:val="00ED6DEE"/>
    <w:rsid w:val="00ED7596"/>
    <w:rsid w:val="00ED7D9C"/>
    <w:rsid w:val="00EE1198"/>
    <w:rsid w:val="00EE13DC"/>
    <w:rsid w:val="00EE75AD"/>
    <w:rsid w:val="00EF0019"/>
    <w:rsid w:val="00EF0069"/>
    <w:rsid w:val="00EF3FAD"/>
    <w:rsid w:val="00EF44A0"/>
    <w:rsid w:val="00EF4FED"/>
    <w:rsid w:val="00EF5ADF"/>
    <w:rsid w:val="00EF7174"/>
    <w:rsid w:val="00F007C6"/>
    <w:rsid w:val="00F0172E"/>
    <w:rsid w:val="00F0374D"/>
    <w:rsid w:val="00F050BD"/>
    <w:rsid w:val="00F05657"/>
    <w:rsid w:val="00F15955"/>
    <w:rsid w:val="00F209E2"/>
    <w:rsid w:val="00F24D19"/>
    <w:rsid w:val="00F25578"/>
    <w:rsid w:val="00F258E5"/>
    <w:rsid w:val="00F25B9C"/>
    <w:rsid w:val="00F25DEF"/>
    <w:rsid w:val="00F26C0D"/>
    <w:rsid w:val="00F26CC6"/>
    <w:rsid w:val="00F300BC"/>
    <w:rsid w:val="00F3263C"/>
    <w:rsid w:val="00F3334E"/>
    <w:rsid w:val="00F35184"/>
    <w:rsid w:val="00F36CCB"/>
    <w:rsid w:val="00F374E5"/>
    <w:rsid w:val="00F37B93"/>
    <w:rsid w:val="00F43AF2"/>
    <w:rsid w:val="00F5007E"/>
    <w:rsid w:val="00F50EC4"/>
    <w:rsid w:val="00F52232"/>
    <w:rsid w:val="00F550CF"/>
    <w:rsid w:val="00F5630D"/>
    <w:rsid w:val="00F5772A"/>
    <w:rsid w:val="00F57A6D"/>
    <w:rsid w:val="00F60F11"/>
    <w:rsid w:val="00F638CC"/>
    <w:rsid w:val="00F64C9E"/>
    <w:rsid w:val="00F64CC1"/>
    <w:rsid w:val="00F72317"/>
    <w:rsid w:val="00F72C8F"/>
    <w:rsid w:val="00F733E3"/>
    <w:rsid w:val="00F73B98"/>
    <w:rsid w:val="00F75061"/>
    <w:rsid w:val="00F76480"/>
    <w:rsid w:val="00F80475"/>
    <w:rsid w:val="00F8247A"/>
    <w:rsid w:val="00F8253F"/>
    <w:rsid w:val="00F84C65"/>
    <w:rsid w:val="00F909D8"/>
    <w:rsid w:val="00F94786"/>
    <w:rsid w:val="00F95704"/>
    <w:rsid w:val="00F9598E"/>
    <w:rsid w:val="00F96280"/>
    <w:rsid w:val="00F9629A"/>
    <w:rsid w:val="00F96C06"/>
    <w:rsid w:val="00F976E8"/>
    <w:rsid w:val="00F97EFC"/>
    <w:rsid w:val="00FA1BDD"/>
    <w:rsid w:val="00FA305C"/>
    <w:rsid w:val="00FA34E6"/>
    <w:rsid w:val="00FA4DD5"/>
    <w:rsid w:val="00FA5883"/>
    <w:rsid w:val="00FA6055"/>
    <w:rsid w:val="00FB322F"/>
    <w:rsid w:val="00FB442F"/>
    <w:rsid w:val="00FC1929"/>
    <w:rsid w:val="00FC288F"/>
    <w:rsid w:val="00FC5B46"/>
    <w:rsid w:val="00FC5BCF"/>
    <w:rsid w:val="00FD0C67"/>
    <w:rsid w:val="00FD25FB"/>
    <w:rsid w:val="00FD6D8E"/>
    <w:rsid w:val="00FE0E94"/>
    <w:rsid w:val="00FE18B2"/>
    <w:rsid w:val="00FE3680"/>
    <w:rsid w:val="00FE3CD9"/>
    <w:rsid w:val="00FE4F72"/>
    <w:rsid w:val="00FE7317"/>
    <w:rsid w:val="00FE7500"/>
    <w:rsid w:val="00FF00BD"/>
    <w:rsid w:val="00FF06D5"/>
    <w:rsid w:val="00FF1ED4"/>
    <w:rsid w:val="00FF2399"/>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03D"/>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7D503D"/>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7D503D"/>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L,Bullet Point,Bulletr List Paragraph,Content descriptions,FooterText,List Bullet 1,List Paragraph2,List Paragraph21,Footnote"/>
    <w:next w:val="ListBullet"/>
    <w:link w:val="ListParagraphChar"/>
    <w:uiPriority w:val="34"/>
    <w:qFormat/>
    <w:rsid w:val="007D503D"/>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3"/>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L Char,Bullet Point Char,Bulletr List Paragraph Char,Content descriptions Char"/>
    <w:basedOn w:val="DefaultParagraphFont"/>
    <w:link w:val="ListParagraph"/>
    <w:uiPriority w:val="34"/>
    <w:qFormat/>
    <w:rsid w:val="007D503D"/>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4C3DB5"/>
    <w:pPr>
      <w:numPr>
        <w:ilvl w:val="1"/>
        <w:numId w:val="2"/>
      </w:numPr>
    </w:pPr>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4C3DB5"/>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7D503D"/>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5"/>
      </w:numPr>
    </w:pPr>
  </w:style>
  <w:style w:type="character" w:customStyle="1" w:styleId="TableTextChar0">
    <w:name w:val="Table Text Char"/>
    <w:basedOn w:val="DefaultParagraphFont"/>
    <w:link w:val="TableText0"/>
    <w:rsid w:val="007D503D"/>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FA305C"/>
    <w:pPr>
      <w:numPr>
        <w:numId w:val="6"/>
      </w:numPr>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14"/>
      </w:numPr>
      <w:spacing w:before="60" w:after="60" w:line="300" w:lineRule="atLeast"/>
      <w:ind w:right="567"/>
    </w:pPr>
    <w:rPr>
      <w:rFonts w:ascii="Tahoma" w:hAnsi="Tahoma"/>
      <w:sz w:val="22"/>
      <w:szCs w:val="20"/>
    </w:rPr>
  </w:style>
  <w:style w:type="paragraph" w:customStyle="1" w:styleId="GeneralHeading">
    <w:name w:val="General Heading"/>
    <w:qFormat/>
    <w:rsid w:val="007D503D"/>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7D503D"/>
    <w:pPr>
      <w:keepNext/>
    </w:pPr>
    <w:rPr>
      <w:rFonts w:ascii="Arial Narrow" w:eastAsiaTheme="majorEastAsia" w:hAnsi="Arial Narrow"/>
      <w:b/>
      <w:szCs w:val="24"/>
      <w:lang w:val="en-US"/>
    </w:rPr>
  </w:style>
  <w:style w:type="paragraph" w:customStyle="1" w:styleId="2-SectionHeading">
    <w:name w:val="2-Section Heading"/>
    <w:qFormat/>
    <w:rsid w:val="007D503D"/>
    <w:pPr>
      <w:keepNext/>
      <w:numPr>
        <w:numId w:val="2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7D503D"/>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7D503D"/>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7D503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7D503D"/>
    <w:rPr>
      <w:rFonts w:ascii="Arial Narrow" w:eastAsiaTheme="majorEastAsia" w:hAnsi="Arial Narrow" w:cstheme="majorBidi"/>
      <w:b/>
      <w:bCs/>
      <w:szCs w:val="24"/>
    </w:rPr>
  </w:style>
  <w:style w:type="paragraph" w:customStyle="1" w:styleId="3-BodyText">
    <w:name w:val="3-Body Text"/>
    <w:link w:val="3-BodyTextChar"/>
    <w:qFormat/>
    <w:rsid w:val="007D503D"/>
    <w:pPr>
      <w:numPr>
        <w:ilvl w:val="1"/>
        <w:numId w:val="1"/>
      </w:numPr>
      <w:tabs>
        <w:tab w:val="clear" w:pos="144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7D503D"/>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7D503D"/>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7D503D"/>
    <w:rPr>
      <w:rFonts w:ascii="Calibri" w:hAnsi="Calibri" w:cs="Arial"/>
      <w:b/>
      <w:sz w:val="24"/>
      <w:szCs w:val="24"/>
    </w:rPr>
  </w:style>
  <w:style w:type="paragraph" w:customStyle="1" w:styleId="TableFigureFooter">
    <w:name w:val="Table/Figure Footer"/>
    <w:basedOn w:val="Normal"/>
    <w:link w:val="TableFigureFooterChar"/>
    <w:qFormat/>
    <w:rsid w:val="007D503D"/>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7D503D"/>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7D503D"/>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7D503D"/>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7D503D"/>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7D503D"/>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22"/>
      </w:numPr>
      <w:contextualSpacing/>
    </w:pPr>
  </w:style>
  <w:style w:type="paragraph" w:customStyle="1" w:styleId="PBACcaption">
    <w:name w:val="PBAC caption"/>
    <w:basedOn w:val="Normal"/>
    <w:link w:val="PBACcaptionChar"/>
    <w:qFormat/>
    <w:rsid w:val="00140226"/>
    <w:pPr>
      <w:jc w:val="left"/>
    </w:pPr>
    <w:rPr>
      <w:rFonts w:ascii="Sabon" w:eastAsiaTheme="minorHAnsi" w:hAnsi="Sabon" w:cs="Arial"/>
      <w:b/>
      <w:sz w:val="22"/>
      <w:szCs w:val="22"/>
      <w:lang w:eastAsia="en-US"/>
    </w:rPr>
  </w:style>
  <w:style w:type="character" w:customStyle="1" w:styleId="PBACcaptionChar">
    <w:name w:val="PBAC caption Char"/>
    <w:basedOn w:val="DefaultParagraphFont"/>
    <w:link w:val="PBACcaption"/>
    <w:rsid w:val="00140226"/>
    <w:rPr>
      <w:rFonts w:ascii="Sabon" w:eastAsiaTheme="minorHAnsi" w:hAnsi="Sabon" w:cs="Arial"/>
      <w:b/>
      <w:sz w:val="22"/>
      <w:szCs w:val="22"/>
      <w:lang w:eastAsia="en-US"/>
    </w:rPr>
  </w:style>
  <w:style w:type="paragraph" w:customStyle="1" w:styleId="PBACtablecaption">
    <w:name w:val="PBAC table caption"/>
    <w:basedOn w:val="Normal"/>
    <w:link w:val="PBACtablecaptionChar"/>
    <w:rsid w:val="00140226"/>
    <w:pPr>
      <w:jc w:val="left"/>
    </w:pPr>
    <w:rPr>
      <w:rFonts w:ascii="Arial Narrow" w:eastAsiaTheme="minorHAnsi" w:hAnsi="Arial Narrow" w:cs="Arial"/>
      <w:sz w:val="18"/>
      <w:szCs w:val="18"/>
      <w:lang w:eastAsia="en-US"/>
    </w:rPr>
  </w:style>
  <w:style w:type="character" w:customStyle="1" w:styleId="PBACtablecaptionChar">
    <w:name w:val="PBAC table caption Char"/>
    <w:basedOn w:val="DefaultParagraphFont"/>
    <w:link w:val="PBACtablecaption"/>
    <w:rsid w:val="00140226"/>
    <w:rPr>
      <w:rFonts w:ascii="Arial Narrow" w:eastAsiaTheme="minorHAnsi" w:hAnsi="Arial Narrow" w:cs="Arial"/>
      <w:sz w:val="18"/>
      <w:szCs w:val="18"/>
      <w:lang w:eastAsia="en-US"/>
    </w:rPr>
  </w:style>
  <w:style w:type="paragraph" w:customStyle="1" w:styleId="Commentitalics">
    <w:name w:val="Comment (italics)"/>
    <w:basedOn w:val="Normal"/>
    <w:next w:val="Normal"/>
    <w:qFormat/>
    <w:rsid w:val="00FE4F72"/>
    <w:pPr>
      <w:widowControl w:val="0"/>
    </w:pPr>
    <w:rPr>
      <w:rFonts w:cs="Arial"/>
      <w:i/>
      <w:snapToGrid w:val="0"/>
      <w:lang w:eastAsia="en-US"/>
    </w:rPr>
  </w:style>
  <w:style w:type="paragraph" w:styleId="FootnoteText">
    <w:name w:val="footnote text"/>
    <w:basedOn w:val="Normal"/>
    <w:link w:val="FootnoteTextChar"/>
    <w:semiHidden/>
    <w:unhideWhenUsed/>
    <w:rsid w:val="004E5DA9"/>
    <w:rPr>
      <w:sz w:val="20"/>
      <w:szCs w:val="20"/>
    </w:rPr>
  </w:style>
  <w:style w:type="character" w:customStyle="1" w:styleId="FootnoteTextChar">
    <w:name w:val="Footnote Text Char"/>
    <w:basedOn w:val="DefaultParagraphFont"/>
    <w:link w:val="FootnoteText"/>
    <w:semiHidden/>
    <w:rsid w:val="004E5DA9"/>
    <w:rPr>
      <w:rFonts w:ascii="Calibri" w:hAnsi="Calibri"/>
    </w:rPr>
  </w:style>
  <w:style w:type="character" w:styleId="FootnoteReference">
    <w:name w:val="footnote reference"/>
    <w:basedOn w:val="DefaultParagraphFont"/>
    <w:semiHidden/>
    <w:unhideWhenUsed/>
    <w:rsid w:val="004E5DA9"/>
    <w:rPr>
      <w:vertAlign w:val="superscript"/>
    </w:rPr>
  </w:style>
  <w:style w:type="paragraph" w:styleId="Revision">
    <w:name w:val="Revision"/>
    <w:hidden/>
    <w:uiPriority w:val="71"/>
    <w:semiHidden/>
    <w:rsid w:val="004A516D"/>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06259000">
      <w:bodyDiv w:val="1"/>
      <w:marLeft w:val="0"/>
      <w:marRight w:val="0"/>
      <w:marTop w:val="0"/>
      <w:marBottom w:val="0"/>
      <w:divBdr>
        <w:top w:val="none" w:sz="0" w:space="0" w:color="auto"/>
        <w:left w:val="none" w:sz="0" w:space="0" w:color="auto"/>
        <w:bottom w:val="none" w:sz="0" w:space="0" w:color="auto"/>
        <w:right w:val="none" w:sz="0" w:space="0" w:color="auto"/>
      </w:divBdr>
    </w:div>
    <w:div w:id="45830830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35740336">
      <w:bodyDiv w:val="1"/>
      <w:marLeft w:val="0"/>
      <w:marRight w:val="0"/>
      <w:marTop w:val="0"/>
      <w:marBottom w:val="0"/>
      <w:divBdr>
        <w:top w:val="none" w:sz="0" w:space="0" w:color="auto"/>
        <w:left w:val="none" w:sz="0" w:space="0" w:color="auto"/>
        <w:bottom w:val="none" w:sz="0" w:space="0" w:color="auto"/>
        <w:right w:val="none" w:sz="0" w:space="0" w:color="auto"/>
      </w:divBdr>
    </w:div>
    <w:div w:id="154713323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59672058">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FE33D-D45C-46F2-A05F-C1680F9F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5540</Words>
  <Characters>33181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2020-10-27T04:56:00Z</dcterms:created>
  <dcterms:modified xsi:type="dcterms:W3CDTF">2020-10-27T04:56:00Z</dcterms:modified>
</cp:coreProperties>
</file>