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1A8B2" w14:textId="77777777" w:rsidR="00DE1EBB" w:rsidRPr="00855489" w:rsidRDefault="006C60D4" w:rsidP="00BF3760">
      <w:pPr>
        <w:pStyle w:val="1-MainHeading"/>
      </w:pPr>
      <w:bookmarkStart w:id="0" w:name="_Toc40431442"/>
      <w:bookmarkStart w:id="1" w:name="_Toc40775716"/>
      <w:r w:rsidRPr="00855489">
        <w:t>5</w:t>
      </w:r>
      <w:r w:rsidR="00433044" w:rsidRPr="00855489">
        <w:t>.</w:t>
      </w:r>
      <w:r w:rsidRPr="00855489">
        <w:t>0</w:t>
      </w:r>
      <w:r w:rsidR="000657AD" w:rsidRPr="00855489">
        <w:t>2</w:t>
      </w:r>
      <w:r w:rsidR="00163F66" w:rsidRPr="00855489">
        <w:tab/>
      </w:r>
      <w:r w:rsidR="00F6772C" w:rsidRPr="00855489">
        <w:t>BECLOMETASONE</w:t>
      </w:r>
      <w:r w:rsidR="00EB0BAB">
        <w:t xml:space="preserve"> DIPROPRIONATE</w:t>
      </w:r>
      <w:r w:rsidR="00F6772C" w:rsidRPr="00855489">
        <w:t xml:space="preserve"> with FORMOTEROL</w:t>
      </w:r>
      <w:r w:rsidR="00EB0BAB">
        <w:t xml:space="preserve"> FUMARATE DIHYDRATE</w:t>
      </w:r>
      <w:r w:rsidR="00163F66" w:rsidRPr="00855489">
        <w:t>,</w:t>
      </w:r>
      <w:r w:rsidR="00163F66" w:rsidRPr="00855489">
        <w:br/>
      </w:r>
      <w:r w:rsidR="00401AC7" w:rsidRPr="00855489">
        <w:t>P</w:t>
      </w:r>
      <w:r w:rsidR="00F02944" w:rsidRPr="00855489">
        <w:t xml:space="preserve">ressurised inhalation </w:t>
      </w:r>
      <w:r w:rsidR="00882177" w:rsidRPr="00855489">
        <w:t>containing beclometasone diprop</w:t>
      </w:r>
      <w:r w:rsidR="0061210E" w:rsidRPr="00855489">
        <w:t xml:space="preserve">ionate </w:t>
      </w:r>
      <w:r w:rsidR="00F02944" w:rsidRPr="00855489">
        <w:t xml:space="preserve">100 micrograms </w:t>
      </w:r>
      <w:r w:rsidR="0061210E" w:rsidRPr="00855489">
        <w:t>with formoterol fumarate dihy</w:t>
      </w:r>
      <w:r w:rsidR="00882177" w:rsidRPr="00855489">
        <w:t>d</w:t>
      </w:r>
      <w:r w:rsidR="0061210E" w:rsidRPr="00855489">
        <w:t>rate</w:t>
      </w:r>
      <w:r w:rsidR="00F02944" w:rsidRPr="00855489">
        <w:t xml:space="preserve"> 6 micrograms per </w:t>
      </w:r>
      <w:r w:rsidR="0061210E" w:rsidRPr="00855489">
        <w:t>dose</w:t>
      </w:r>
      <w:r w:rsidR="00163F66" w:rsidRPr="00855489">
        <w:t>,</w:t>
      </w:r>
      <w:r w:rsidR="0061210E" w:rsidRPr="00855489">
        <w:t xml:space="preserve"> 120 doses </w:t>
      </w:r>
      <w:r w:rsidR="00163F66" w:rsidRPr="00855489">
        <w:br/>
      </w:r>
      <w:r w:rsidR="00F02944" w:rsidRPr="00855489">
        <w:t>Fostair</w:t>
      </w:r>
      <w:r w:rsidR="00B60939" w:rsidRPr="00855489">
        <w:rPr>
          <w:vertAlign w:val="superscript"/>
        </w:rPr>
        <w:t>®</w:t>
      </w:r>
      <w:r w:rsidR="004A6040" w:rsidRPr="00855489">
        <w:t>,</w:t>
      </w:r>
      <w:r w:rsidR="004A6040" w:rsidRPr="00855489">
        <w:br/>
      </w:r>
      <w:r w:rsidR="00F02944" w:rsidRPr="00855489">
        <w:t>Emerge Health Pty Ltd</w:t>
      </w:r>
      <w:r w:rsidR="00B60939" w:rsidRPr="00855489">
        <w:t>.</w:t>
      </w:r>
      <w:bookmarkEnd w:id="0"/>
      <w:bookmarkEnd w:id="1"/>
    </w:p>
    <w:p w14:paraId="6DD19DF0" w14:textId="77777777" w:rsidR="00B50DB8" w:rsidRPr="00855489" w:rsidRDefault="00B50DB8" w:rsidP="004A6040">
      <w:pPr>
        <w:pStyle w:val="2-SectionHeading"/>
      </w:pPr>
      <w:bookmarkStart w:id="2" w:name="_Toc40775718"/>
      <w:r w:rsidRPr="00855489">
        <w:t xml:space="preserve">Purpose of </w:t>
      </w:r>
      <w:r w:rsidR="00CD7193" w:rsidRPr="00855489">
        <w:t>s</w:t>
      </w:r>
      <w:r w:rsidR="00BB3A45" w:rsidRPr="00855489">
        <w:t>ubmission</w:t>
      </w:r>
      <w:bookmarkEnd w:id="2"/>
    </w:p>
    <w:p w14:paraId="1DA4E1F9" w14:textId="77777777" w:rsidR="00270FAD" w:rsidRPr="00855489" w:rsidRDefault="007170DA" w:rsidP="006A4889">
      <w:pPr>
        <w:pStyle w:val="3-BodyText"/>
      </w:pPr>
      <w:r w:rsidRPr="00855489">
        <w:t xml:space="preserve">The submission requested </w:t>
      </w:r>
      <w:r w:rsidR="00F02944" w:rsidRPr="00855489">
        <w:t xml:space="preserve">an Authority Required </w:t>
      </w:r>
      <w:r w:rsidR="009106D3" w:rsidRPr="00855489">
        <w:t>(S</w:t>
      </w:r>
      <w:r w:rsidR="00477146" w:rsidRPr="00855489">
        <w:t>treamlined</w:t>
      </w:r>
      <w:r w:rsidR="009106D3" w:rsidRPr="00855489">
        <w:t xml:space="preserve">) </w:t>
      </w:r>
      <w:r w:rsidR="008B1757" w:rsidRPr="00855489">
        <w:t xml:space="preserve">listing </w:t>
      </w:r>
      <w:r w:rsidR="00D45C35" w:rsidRPr="00855489">
        <w:t>of</w:t>
      </w:r>
      <w:r w:rsidR="008B1757" w:rsidRPr="00855489">
        <w:t xml:space="preserve"> </w:t>
      </w:r>
      <w:r w:rsidR="009106D3" w:rsidRPr="00855489">
        <w:t xml:space="preserve">Fostair® </w:t>
      </w:r>
      <w:r w:rsidR="0071327D" w:rsidRPr="00855489">
        <w:t>metered dose inhaler (MDI)</w:t>
      </w:r>
      <w:r w:rsidR="00D45C35" w:rsidRPr="00855489">
        <w:t>, the</w:t>
      </w:r>
      <w:r w:rsidR="009106D3" w:rsidRPr="00855489">
        <w:t xml:space="preserve"> fixed dose combination (FDC) of </w:t>
      </w:r>
      <w:r w:rsidR="000822E9" w:rsidRPr="00855489">
        <w:t>b</w:t>
      </w:r>
      <w:r w:rsidR="001E1DD8" w:rsidRPr="00855489">
        <w:t xml:space="preserve">eclometasone </w:t>
      </w:r>
      <w:r w:rsidR="00882177" w:rsidRPr="00855489">
        <w:t>diprop</w:t>
      </w:r>
      <w:r w:rsidR="001E1DD8" w:rsidRPr="00855489">
        <w:t xml:space="preserve">ionate </w:t>
      </w:r>
      <w:r w:rsidR="009106D3" w:rsidRPr="00855489">
        <w:t>(BEC)</w:t>
      </w:r>
      <w:r w:rsidR="00D45C35" w:rsidRPr="00855489">
        <w:t xml:space="preserve">, an inhaled corticosteroid (ICS) </w:t>
      </w:r>
      <w:r w:rsidR="001E1DD8" w:rsidRPr="00855489">
        <w:t xml:space="preserve">and </w:t>
      </w:r>
      <w:r w:rsidR="000822E9" w:rsidRPr="00855489">
        <w:t>formoterol fumarate dihydrate</w:t>
      </w:r>
      <w:r w:rsidR="001E1DD8" w:rsidRPr="00855489">
        <w:t xml:space="preserve"> (</w:t>
      </w:r>
      <w:r w:rsidR="000822E9" w:rsidRPr="00855489">
        <w:t>FOR</w:t>
      </w:r>
      <w:r w:rsidR="001E1DD8" w:rsidRPr="00855489">
        <w:t>)</w:t>
      </w:r>
      <w:r w:rsidR="00D45C35" w:rsidRPr="00855489">
        <w:t>, a long-acting beta2-agonist (LABA) for maintenance treatment of asthma and maintenance and reliever therapy (MART). Fostair® is</w:t>
      </w:r>
      <w:r w:rsidR="0071327D" w:rsidRPr="00855489">
        <w:t xml:space="preserve"> available in one strength (</w:t>
      </w:r>
      <w:r w:rsidR="00DA1654" w:rsidRPr="00855489">
        <w:t xml:space="preserve">BEC/FOR </w:t>
      </w:r>
      <w:r w:rsidR="0071327D" w:rsidRPr="00855489">
        <w:t>100/6 micrograms per actuation)</w:t>
      </w:r>
      <w:r w:rsidR="009106D3" w:rsidRPr="00855489">
        <w:t>.</w:t>
      </w:r>
    </w:p>
    <w:p w14:paraId="597DC294" w14:textId="77777777" w:rsidR="0071327D" w:rsidRPr="00855489" w:rsidRDefault="0071327D" w:rsidP="006A4889">
      <w:pPr>
        <w:pStyle w:val="3-BodyText"/>
      </w:pPr>
      <w:r w:rsidRPr="00855489">
        <w:t xml:space="preserve">If </w:t>
      </w:r>
      <w:r w:rsidR="00BA1CCB" w:rsidRPr="00855489">
        <w:t xml:space="preserve">listed, </w:t>
      </w:r>
      <w:r w:rsidRPr="00855489">
        <w:t>BEC/FOR will be one of five ICS/LABA FDC drug combinations available on the PBS for asthma, and the second low dose ICS/LABA FDC</w:t>
      </w:r>
      <w:r w:rsidR="009D66B8" w:rsidRPr="00855489">
        <w:t xml:space="preserve"> drug combination</w:t>
      </w:r>
      <w:r w:rsidRPr="00855489">
        <w:t xml:space="preserve"> listed for MART.</w:t>
      </w:r>
      <w:r w:rsidR="00572896" w:rsidRPr="00855489">
        <w:t xml:space="preserve"> </w:t>
      </w:r>
      <w:r w:rsidRPr="00855489">
        <w:t xml:space="preserve">Currently, all ICS/LABA FDCs available on the PBS for asthma are delivered </w:t>
      </w:r>
      <w:r w:rsidR="008A3718" w:rsidRPr="00855489">
        <w:t xml:space="preserve">via </w:t>
      </w:r>
      <w:r w:rsidRPr="00855489">
        <w:t>MDI and/or dry powder inhaler (DPI).</w:t>
      </w:r>
    </w:p>
    <w:p w14:paraId="489E9FA7" w14:textId="77777777" w:rsidR="00C2778B" w:rsidRPr="00855489" w:rsidRDefault="00965327" w:rsidP="006A4889">
      <w:pPr>
        <w:pStyle w:val="3-BodyText"/>
      </w:pPr>
      <w:r w:rsidRPr="00855489">
        <w:t>The basis of the requested listing was</w:t>
      </w:r>
      <w:r w:rsidR="005750C5" w:rsidRPr="00855489">
        <w:t xml:space="preserve"> a cost-minimisation</w:t>
      </w:r>
      <w:r w:rsidR="0071268B" w:rsidRPr="00855489">
        <w:t xml:space="preserve"> </w:t>
      </w:r>
      <w:r w:rsidR="005750C5" w:rsidRPr="00855489">
        <w:t xml:space="preserve">analysis versus </w:t>
      </w:r>
      <w:r w:rsidRPr="00855489">
        <w:t xml:space="preserve">fluticasone propionate (FP) /salmeterol (SAL) FDC. </w:t>
      </w:r>
      <w:r w:rsidR="00984504" w:rsidRPr="00855489">
        <w:t>The submission also presented a</w:t>
      </w:r>
      <w:r w:rsidRPr="00855489">
        <w:t xml:space="preserve"> cost-minimisation analysis versus</w:t>
      </w:r>
      <w:r w:rsidR="00F05DDD" w:rsidRPr="00855489">
        <w:t xml:space="preserve"> the individual components </w:t>
      </w:r>
      <w:r w:rsidR="00824F72" w:rsidRPr="00855489">
        <w:t xml:space="preserve">of </w:t>
      </w:r>
      <w:r w:rsidR="00984504" w:rsidRPr="00855489">
        <w:t xml:space="preserve">BEC </w:t>
      </w:r>
      <w:r w:rsidR="00824F72" w:rsidRPr="00855489">
        <w:t>and</w:t>
      </w:r>
      <w:r w:rsidR="00984504" w:rsidRPr="00855489">
        <w:t xml:space="preserve"> FOR </w:t>
      </w:r>
      <w:r w:rsidR="00F05DDD" w:rsidRPr="00855489">
        <w:t xml:space="preserve">administered concomitantly via separate inhaler and </w:t>
      </w:r>
      <w:r w:rsidR="00984504" w:rsidRPr="00855489">
        <w:t xml:space="preserve">versus </w:t>
      </w:r>
      <w:r w:rsidR="00F05DDD" w:rsidRPr="00855489">
        <w:t>budesonide (BUD)/FOR FDC</w:t>
      </w:r>
      <w:r w:rsidR="00C9525F" w:rsidRPr="00855489">
        <w:t xml:space="preserve">. </w:t>
      </w:r>
      <w:r w:rsidR="00572896" w:rsidRPr="00855489">
        <w:rPr>
          <w:iCs/>
        </w:rPr>
        <w:t xml:space="preserve">A cost-minimisation analysis </w:t>
      </w:r>
      <w:r w:rsidR="00984504" w:rsidRPr="00855489">
        <w:rPr>
          <w:iCs/>
        </w:rPr>
        <w:t>to</w:t>
      </w:r>
      <w:r w:rsidR="00572896" w:rsidRPr="00855489">
        <w:rPr>
          <w:iCs/>
        </w:rPr>
        <w:t xml:space="preserve"> </w:t>
      </w:r>
      <w:r w:rsidR="00851064" w:rsidRPr="00855489">
        <w:t xml:space="preserve">other available ICS/LABA FDCs at </w:t>
      </w:r>
      <w:r w:rsidR="00572896" w:rsidRPr="00855489">
        <w:t xml:space="preserve">the nominated </w:t>
      </w:r>
      <w:r w:rsidR="00851064" w:rsidRPr="00855489">
        <w:t xml:space="preserve">equi-effective doses </w:t>
      </w:r>
      <w:r w:rsidR="00572896" w:rsidRPr="00855489">
        <w:t xml:space="preserve">was conducted </w:t>
      </w:r>
      <w:r w:rsidR="00851064" w:rsidRPr="00855489">
        <w:t>during the evaluation</w:t>
      </w:r>
      <w:r w:rsidR="00727703" w:rsidRPr="00855489">
        <w:rPr>
          <w:iCs/>
        </w:rPr>
        <w:t>.</w:t>
      </w:r>
    </w:p>
    <w:p w14:paraId="085F9520" w14:textId="77777777" w:rsidR="008B1757" w:rsidRPr="00855489" w:rsidRDefault="008B1757" w:rsidP="006A4889">
      <w:pPr>
        <w:pStyle w:val="TableFigureHeading"/>
        <w:keepLines/>
        <w:rPr>
          <w:rStyle w:val="CommentReference"/>
          <w:b/>
          <w:szCs w:val="24"/>
        </w:rPr>
      </w:pPr>
      <w:r w:rsidRPr="00855489">
        <w:rPr>
          <w:rStyle w:val="CommentReference"/>
          <w:b/>
          <w:szCs w:val="24"/>
        </w:rPr>
        <w:lastRenderedPageBreak/>
        <w:t xml:space="preserve">Table </w:t>
      </w:r>
      <w:r w:rsidR="004E7C82" w:rsidRPr="00855489">
        <w:rPr>
          <w:rStyle w:val="CommentReference"/>
          <w:b/>
          <w:szCs w:val="24"/>
        </w:rPr>
        <w:t>1</w:t>
      </w:r>
      <w:r w:rsidRPr="00855489">
        <w:rPr>
          <w:rStyle w:val="CommentReference"/>
          <w:b/>
          <w:szCs w:val="24"/>
        </w:rPr>
        <w:t>:</w:t>
      </w:r>
      <w:r w:rsidR="00BC591F" w:rsidRPr="00855489">
        <w:rPr>
          <w:rStyle w:val="CommentReference"/>
          <w:b/>
          <w:szCs w:val="24"/>
        </w:rPr>
        <w:t xml:space="preserve"> </w:t>
      </w:r>
      <w:r w:rsidRPr="00855489">
        <w:rPr>
          <w:rStyle w:val="CommentReference"/>
          <w:b/>
          <w:szCs w:val="24"/>
        </w:rPr>
        <w:t>Key components of the clinical issue addressed by the submission</w:t>
      </w:r>
      <w:r w:rsidR="007170DA" w:rsidRPr="00855489">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7765"/>
      </w:tblGrid>
      <w:tr w:rsidR="00A05D2D" w:rsidRPr="00855489" w14:paraId="1AB2D636" w14:textId="77777777" w:rsidTr="006A4889">
        <w:tc>
          <w:tcPr>
            <w:tcW w:w="694" w:type="pct"/>
            <w:vAlign w:val="center"/>
          </w:tcPr>
          <w:p w14:paraId="55E89CBA" w14:textId="77777777" w:rsidR="00A05D2D" w:rsidRPr="00855489" w:rsidRDefault="00A05D2D" w:rsidP="006A4889">
            <w:pPr>
              <w:pStyle w:val="In-tableHeading"/>
              <w:keepLines/>
              <w:rPr>
                <w:lang w:val="en-AU"/>
              </w:rPr>
            </w:pPr>
            <w:r w:rsidRPr="00855489">
              <w:rPr>
                <w:lang w:val="en-AU"/>
              </w:rPr>
              <w:t>Component</w:t>
            </w:r>
          </w:p>
        </w:tc>
        <w:tc>
          <w:tcPr>
            <w:tcW w:w="4306" w:type="pct"/>
            <w:vAlign w:val="center"/>
          </w:tcPr>
          <w:p w14:paraId="57D17CF0" w14:textId="77777777" w:rsidR="00A05D2D" w:rsidRPr="00855489" w:rsidRDefault="00A05D2D" w:rsidP="006A4889">
            <w:pPr>
              <w:pStyle w:val="In-tableHeading"/>
              <w:keepLines/>
              <w:rPr>
                <w:lang w:val="en-AU"/>
              </w:rPr>
            </w:pPr>
            <w:r w:rsidRPr="00855489">
              <w:rPr>
                <w:lang w:val="en-AU"/>
              </w:rPr>
              <w:t>Description</w:t>
            </w:r>
          </w:p>
        </w:tc>
      </w:tr>
      <w:tr w:rsidR="00A05D2D" w:rsidRPr="00855489" w14:paraId="6CFD8248" w14:textId="77777777" w:rsidTr="006A4889">
        <w:tc>
          <w:tcPr>
            <w:tcW w:w="694" w:type="pct"/>
            <w:vAlign w:val="center"/>
          </w:tcPr>
          <w:p w14:paraId="59D092FB" w14:textId="77777777" w:rsidR="00A05D2D" w:rsidRPr="00855489" w:rsidRDefault="00A05D2D" w:rsidP="006A4889">
            <w:pPr>
              <w:pStyle w:val="TableText0"/>
              <w:keepLines/>
            </w:pPr>
            <w:r w:rsidRPr="00855489">
              <w:t>Population</w:t>
            </w:r>
          </w:p>
        </w:tc>
        <w:tc>
          <w:tcPr>
            <w:tcW w:w="4306" w:type="pct"/>
            <w:vAlign w:val="center"/>
          </w:tcPr>
          <w:p w14:paraId="31A39E52" w14:textId="77777777" w:rsidR="00A05D2D" w:rsidRPr="00855489" w:rsidRDefault="00A05D2D" w:rsidP="006A4889">
            <w:pPr>
              <w:pStyle w:val="TableText0"/>
              <w:keepLines/>
            </w:pPr>
            <w:r w:rsidRPr="00855489">
              <w:rPr>
                <w:rFonts w:cs="Arial"/>
              </w:rPr>
              <w:t>Patients with asthma where use of a combination product (ICS+LABA) is appropriate, namely patients not adequately controlled with ICS and ‘as needed’ inhaled rapid-acting beta</w:t>
            </w:r>
            <w:r w:rsidRPr="00855489">
              <w:rPr>
                <w:rFonts w:cs="Arial"/>
                <w:vertAlign w:val="subscript"/>
              </w:rPr>
              <w:t>2</w:t>
            </w:r>
            <w:r w:rsidRPr="00855489">
              <w:rPr>
                <w:rFonts w:cs="Arial"/>
              </w:rPr>
              <w:t xml:space="preserve"> agonist, or patients already adequately controlled on both ICS and LABAs</w:t>
            </w:r>
          </w:p>
        </w:tc>
      </w:tr>
      <w:tr w:rsidR="00A05D2D" w:rsidRPr="00855489" w14:paraId="2A6EFE3A" w14:textId="77777777" w:rsidTr="006A4889">
        <w:tc>
          <w:tcPr>
            <w:tcW w:w="694" w:type="pct"/>
            <w:vAlign w:val="center"/>
          </w:tcPr>
          <w:p w14:paraId="547C03D5" w14:textId="77777777" w:rsidR="00A05D2D" w:rsidRPr="00855489" w:rsidRDefault="00A05D2D" w:rsidP="006A4889">
            <w:pPr>
              <w:pStyle w:val="TableText0"/>
              <w:keepLines/>
            </w:pPr>
            <w:r w:rsidRPr="00855489">
              <w:t>Intervention</w:t>
            </w:r>
          </w:p>
        </w:tc>
        <w:tc>
          <w:tcPr>
            <w:tcW w:w="4306" w:type="pct"/>
            <w:vAlign w:val="center"/>
          </w:tcPr>
          <w:p w14:paraId="34ABF000" w14:textId="77777777" w:rsidR="00A05D2D" w:rsidRPr="00855489" w:rsidRDefault="00A05D2D" w:rsidP="006A4889">
            <w:pPr>
              <w:pStyle w:val="TableText0"/>
              <w:keepLines/>
              <w:rPr>
                <w:rFonts w:cs="Arial"/>
              </w:rPr>
            </w:pPr>
            <w:r w:rsidRPr="00855489">
              <w:t xml:space="preserve">Fostair®, metered dose inhaler (MDI) containing </w:t>
            </w:r>
            <w:r w:rsidRPr="00855489">
              <w:rPr>
                <w:rFonts w:cs="Arial"/>
              </w:rPr>
              <w:t xml:space="preserve">beclometasone dipropionate (BEC) and formoterol fumarate (FOR), available in one strength formulation: 100/6 </w:t>
            </w:r>
            <w:r w:rsidR="00B61CD9" w:rsidRPr="00855489">
              <w:rPr>
                <w:rFonts w:cs="Arial"/>
              </w:rPr>
              <w:t>mcg</w:t>
            </w:r>
            <w:r w:rsidRPr="00855489">
              <w:rPr>
                <w:rFonts w:cs="Arial"/>
              </w:rPr>
              <w:t xml:space="preserve"> per actuation.</w:t>
            </w:r>
          </w:p>
          <w:p w14:paraId="4322FFE0" w14:textId="77777777" w:rsidR="00B61CD9" w:rsidRPr="00855489" w:rsidRDefault="00B61CD9" w:rsidP="006A4889">
            <w:pPr>
              <w:pStyle w:val="TableText0"/>
              <w:keepLines/>
              <w:rPr>
                <w:rFonts w:cs="Arial"/>
              </w:rPr>
            </w:pPr>
            <w:r w:rsidRPr="00855489">
              <w:rPr>
                <w:rFonts w:cs="Arial"/>
              </w:rPr>
              <w:t xml:space="preserve">For maintenance therapy, one or two inhalations twice daily (maximum daily dose of 4 inhalations). </w:t>
            </w:r>
          </w:p>
          <w:p w14:paraId="30BEFFFB" w14:textId="77777777" w:rsidR="00B61CD9" w:rsidRPr="00855489" w:rsidRDefault="00B61CD9" w:rsidP="006A4889">
            <w:pPr>
              <w:pStyle w:val="TableText0"/>
              <w:keepLines/>
            </w:pPr>
            <w:r w:rsidRPr="00855489">
              <w:rPr>
                <w:rFonts w:cs="Arial"/>
              </w:rPr>
              <w:t xml:space="preserve">For maintenance and reliever therapy (MART), patients take daily maintenance dose of BEC/FOR </w:t>
            </w:r>
            <w:r w:rsidR="00824F72" w:rsidRPr="00855489">
              <w:rPr>
                <w:rFonts w:cs="Arial"/>
              </w:rPr>
              <w:t>and in addition take BEC/FOR as needed in response to asthma symptoms (maximum daily dose of 8 inhalations)</w:t>
            </w:r>
          </w:p>
        </w:tc>
      </w:tr>
      <w:tr w:rsidR="00A05D2D" w:rsidRPr="00855489" w14:paraId="0A7599F0" w14:textId="77777777" w:rsidTr="006A4889">
        <w:tc>
          <w:tcPr>
            <w:tcW w:w="694" w:type="pct"/>
            <w:vAlign w:val="center"/>
          </w:tcPr>
          <w:p w14:paraId="7F1BB9D4" w14:textId="77777777" w:rsidR="00A05D2D" w:rsidRPr="00855489" w:rsidRDefault="00A05D2D" w:rsidP="006A4889">
            <w:pPr>
              <w:pStyle w:val="TableText0"/>
              <w:keepLines/>
            </w:pPr>
            <w:r w:rsidRPr="00855489">
              <w:t>Comparator</w:t>
            </w:r>
          </w:p>
        </w:tc>
        <w:tc>
          <w:tcPr>
            <w:tcW w:w="4306" w:type="pct"/>
            <w:vAlign w:val="center"/>
          </w:tcPr>
          <w:p w14:paraId="65B4F426" w14:textId="77777777" w:rsidR="00A05D2D" w:rsidRPr="00855489" w:rsidRDefault="00A05D2D" w:rsidP="006A4889">
            <w:pPr>
              <w:pStyle w:val="TableText0"/>
              <w:keepLines/>
            </w:pPr>
            <w:r w:rsidRPr="00855489">
              <w:t>The submission acknowledged that BEC/FOR FDC would substitute for other ICS/LABA FDCs on the PBS, at comparable doses. Clinical evidence was presented for the following relevant comparators:</w:t>
            </w:r>
          </w:p>
          <w:p w14:paraId="6A0732A3" w14:textId="77777777" w:rsidR="00A05D2D" w:rsidRPr="00855489" w:rsidRDefault="00A05D2D" w:rsidP="006A4889">
            <w:pPr>
              <w:pStyle w:val="TableText0"/>
              <w:keepLines/>
              <w:numPr>
                <w:ilvl w:val="0"/>
                <w:numId w:val="4"/>
              </w:numPr>
              <w:ind w:left="281" w:hanging="232"/>
            </w:pPr>
            <w:r w:rsidRPr="00855489">
              <w:t xml:space="preserve">Individual components (BEC and FOR) </w:t>
            </w:r>
            <w:r w:rsidRPr="00855489">
              <w:rPr>
                <w:rFonts w:cs="Arial"/>
              </w:rPr>
              <w:t>administered</w:t>
            </w:r>
            <w:r w:rsidRPr="00855489">
              <w:t xml:space="preserve"> concomitantly via separate inhalers </w:t>
            </w:r>
          </w:p>
          <w:p w14:paraId="312E9971" w14:textId="77777777" w:rsidR="00A05D2D" w:rsidRPr="00855489" w:rsidRDefault="00A05D2D" w:rsidP="006A4889">
            <w:pPr>
              <w:pStyle w:val="TableText0"/>
              <w:keepLines/>
              <w:numPr>
                <w:ilvl w:val="0"/>
                <w:numId w:val="4"/>
              </w:numPr>
              <w:ind w:left="281" w:hanging="232"/>
            </w:pPr>
            <w:r w:rsidRPr="00855489">
              <w:t>Fluticasone propionate (FP)/salmeterol (SAL)</w:t>
            </w:r>
            <w:r w:rsidR="00AF07E0" w:rsidRPr="00855489">
              <w:t xml:space="preserve"> </w:t>
            </w:r>
            <w:r w:rsidRPr="00855489">
              <w:t xml:space="preserve">MDI (125/25 </w:t>
            </w:r>
            <w:r w:rsidR="0008330C" w:rsidRPr="00855489">
              <w:rPr>
                <w:rFonts w:cs="Arial"/>
              </w:rPr>
              <w:t>mcg</w:t>
            </w:r>
            <w:r w:rsidRPr="00855489">
              <w:rPr>
                <w:rFonts w:cs="Arial"/>
              </w:rPr>
              <w:t xml:space="preserve"> per actuation</w:t>
            </w:r>
            <w:r w:rsidRPr="00855489">
              <w:t>) or</w:t>
            </w:r>
            <w:r w:rsidR="00AF07E0" w:rsidRPr="00855489">
              <w:t xml:space="preserve"> </w:t>
            </w:r>
            <w:r w:rsidRPr="00855489">
              <w:t>DPI (250/50</w:t>
            </w:r>
            <w:r w:rsidRPr="00855489">
              <w:rPr>
                <w:rFonts w:cs="Arial"/>
              </w:rPr>
              <w:t xml:space="preserve"> </w:t>
            </w:r>
            <w:r w:rsidR="0008330C" w:rsidRPr="00855489">
              <w:rPr>
                <w:rFonts w:cs="Arial"/>
              </w:rPr>
              <w:t>mcg</w:t>
            </w:r>
            <w:r w:rsidRPr="00855489">
              <w:rPr>
                <w:rFonts w:cs="Arial"/>
              </w:rPr>
              <w:t xml:space="preserve"> per actuation</w:t>
            </w:r>
            <w:r w:rsidRPr="00855489">
              <w:t>)</w:t>
            </w:r>
          </w:p>
          <w:p w14:paraId="63C1520D" w14:textId="77777777" w:rsidR="00A05D2D" w:rsidRPr="00855489" w:rsidRDefault="00A05D2D" w:rsidP="006A4889">
            <w:pPr>
              <w:pStyle w:val="TableText0"/>
              <w:keepLines/>
              <w:numPr>
                <w:ilvl w:val="0"/>
                <w:numId w:val="4"/>
              </w:numPr>
              <w:ind w:left="281" w:hanging="232"/>
            </w:pPr>
            <w:r w:rsidRPr="00855489">
              <w:t>Budesonide (BUD)/FOR MDI (200/6</w:t>
            </w:r>
            <w:r w:rsidRPr="00855489">
              <w:rPr>
                <w:rFonts w:cs="Arial"/>
              </w:rPr>
              <w:t xml:space="preserve"> </w:t>
            </w:r>
            <w:r w:rsidR="0008330C" w:rsidRPr="00855489">
              <w:rPr>
                <w:rFonts w:cs="Arial"/>
              </w:rPr>
              <w:t>mcg</w:t>
            </w:r>
            <w:r w:rsidRPr="00855489">
              <w:rPr>
                <w:rFonts w:cs="Arial"/>
              </w:rPr>
              <w:t xml:space="preserve"> per actuation</w:t>
            </w:r>
            <w:r w:rsidRPr="00855489">
              <w:t>) or DPI (200/6</w:t>
            </w:r>
            <w:r w:rsidRPr="00855489">
              <w:rPr>
                <w:rFonts w:cs="Arial"/>
              </w:rPr>
              <w:t xml:space="preserve"> </w:t>
            </w:r>
            <w:r w:rsidR="0008330C" w:rsidRPr="00855489">
              <w:rPr>
                <w:rFonts w:cs="Arial"/>
              </w:rPr>
              <w:t>mcg</w:t>
            </w:r>
            <w:r w:rsidRPr="00855489">
              <w:rPr>
                <w:rFonts w:cs="Arial"/>
              </w:rPr>
              <w:t xml:space="preserve"> per actuation</w:t>
            </w:r>
            <w:r w:rsidRPr="00855489">
              <w:t>)</w:t>
            </w:r>
          </w:p>
        </w:tc>
      </w:tr>
      <w:tr w:rsidR="00A05D2D" w:rsidRPr="00855489" w14:paraId="5CC14A61" w14:textId="77777777" w:rsidTr="006A4889">
        <w:tc>
          <w:tcPr>
            <w:tcW w:w="694" w:type="pct"/>
            <w:vAlign w:val="center"/>
          </w:tcPr>
          <w:p w14:paraId="5C9F3E2A" w14:textId="77777777" w:rsidR="00A05D2D" w:rsidRPr="00855489" w:rsidRDefault="00A05D2D" w:rsidP="006A4889">
            <w:pPr>
              <w:pStyle w:val="TableText0"/>
              <w:keepLines/>
            </w:pPr>
            <w:r w:rsidRPr="00855489">
              <w:t>Outcomes</w:t>
            </w:r>
          </w:p>
        </w:tc>
        <w:tc>
          <w:tcPr>
            <w:tcW w:w="4306" w:type="pct"/>
            <w:vAlign w:val="center"/>
          </w:tcPr>
          <w:p w14:paraId="6420B104" w14:textId="77777777" w:rsidR="00A05D2D" w:rsidRPr="00855489" w:rsidRDefault="00A05D2D" w:rsidP="006A4889">
            <w:pPr>
              <w:pStyle w:val="TableText0"/>
              <w:keepLines/>
            </w:pPr>
            <w:r w:rsidRPr="00855489">
              <w:t>Primary outcomes:</w:t>
            </w:r>
          </w:p>
          <w:p w14:paraId="5533C589" w14:textId="77777777" w:rsidR="00A05D2D" w:rsidRPr="00855489" w:rsidRDefault="00A05D2D" w:rsidP="006A4889">
            <w:pPr>
              <w:pStyle w:val="TableText0"/>
              <w:keepLines/>
            </w:pPr>
            <w:r w:rsidRPr="00855489">
              <w:t>• Morning pre-dose PEF</w:t>
            </w:r>
          </w:p>
          <w:p w14:paraId="3E2E05DE" w14:textId="77777777" w:rsidR="00A05D2D" w:rsidRPr="00855489" w:rsidRDefault="00A05D2D" w:rsidP="006A4889">
            <w:pPr>
              <w:pStyle w:val="TableText0"/>
              <w:keepLines/>
            </w:pPr>
            <w:r w:rsidRPr="00855489">
              <w:t>• Change from baseline in FEV1 at 5 min post-dose</w:t>
            </w:r>
          </w:p>
          <w:p w14:paraId="06A3DB1C" w14:textId="77777777" w:rsidR="00A05D2D" w:rsidRPr="00855489" w:rsidRDefault="00A05D2D" w:rsidP="006A4889">
            <w:pPr>
              <w:pStyle w:val="TableText0"/>
              <w:keepLines/>
            </w:pPr>
            <w:r w:rsidRPr="00855489">
              <w:t xml:space="preserve">Secondary outcomes (patient-relevant): </w:t>
            </w:r>
          </w:p>
          <w:p w14:paraId="57198342" w14:textId="77777777" w:rsidR="00A05D2D" w:rsidRPr="00855489" w:rsidRDefault="00A05D2D" w:rsidP="006A4889">
            <w:pPr>
              <w:pStyle w:val="TableText0"/>
              <w:keepLines/>
            </w:pPr>
            <w:r w:rsidRPr="00855489">
              <w:t>• Asthma control</w:t>
            </w:r>
          </w:p>
          <w:p w14:paraId="08CD5CC3" w14:textId="77777777" w:rsidR="00A05D2D" w:rsidRPr="00855489" w:rsidRDefault="00A05D2D" w:rsidP="006A4889">
            <w:pPr>
              <w:pStyle w:val="TableText0"/>
              <w:keepLines/>
            </w:pPr>
            <w:r w:rsidRPr="00855489">
              <w:t xml:space="preserve">• Day and night clinical symptoms </w:t>
            </w:r>
          </w:p>
          <w:p w14:paraId="496C59E4" w14:textId="77777777" w:rsidR="00A05D2D" w:rsidRPr="00855489" w:rsidRDefault="00A05D2D" w:rsidP="006A4889">
            <w:pPr>
              <w:pStyle w:val="TableText0"/>
              <w:keepLines/>
            </w:pPr>
            <w:r w:rsidRPr="00855489">
              <w:t>• Asthma exacerbations</w:t>
            </w:r>
          </w:p>
        </w:tc>
      </w:tr>
      <w:tr w:rsidR="00A05D2D" w:rsidRPr="00855489" w14:paraId="7F22AAA6" w14:textId="77777777" w:rsidTr="006A4889">
        <w:tc>
          <w:tcPr>
            <w:tcW w:w="694" w:type="pct"/>
            <w:vAlign w:val="center"/>
          </w:tcPr>
          <w:p w14:paraId="7E4F612C" w14:textId="77777777" w:rsidR="00A05D2D" w:rsidRPr="00855489" w:rsidRDefault="00A05D2D" w:rsidP="006A4889">
            <w:pPr>
              <w:pStyle w:val="TableText0"/>
              <w:keepLines/>
            </w:pPr>
            <w:r w:rsidRPr="00855489">
              <w:t>Clinical claim</w:t>
            </w:r>
          </w:p>
        </w:tc>
        <w:tc>
          <w:tcPr>
            <w:tcW w:w="4306" w:type="pct"/>
            <w:vAlign w:val="center"/>
          </w:tcPr>
          <w:p w14:paraId="464FD171" w14:textId="77777777" w:rsidR="00A05D2D" w:rsidRPr="00855489" w:rsidRDefault="00A05D2D" w:rsidP="006A4889">
            <w:pPr>
              <w:pStyle w:val="TableText0"/>
              <w:keepLines/>
            </w:pPr>
            <w:r w:rsidRPr="00855489">
              <w:rPr>
                <w:rFonts w:cs="Arial"/>
              </w:rPr>
              <w:t>BEC/FOR</w:t>
            </w:r>
            <w:r w:rsidRPr="00855489">
              <w:t xml:space="preserve"> is non-inferior in terms of efficacy and safety to all the proposed comparators in patients </w:t>
            </w:r>
            <w:r w:rsidRPr="00855489">
              <w:rPr>
                <w:rFonts w:cs="Arial"/>
              </w:rPr>
              <w:t>not adequately controlled with ICS and ‘as needed’ inhaled rapid-acting beta</w:t>
            </w:r>
            <w:r w:rsidRPr="00855489">
              <w:rPr>
                <w:rFonts w:cs="Arial"/>
                <w:vertAlign w:val="subscript"/>
              </w:rPr>
              <w:t>2</w:t>
            </w:r>
            <w:r w:rsidRPr="00855489">
              <w:rPr>
                <w:rFonts w:cs="Arial"/>
              </w:rPr>
              <w:t xml:space="preserve"> agonist, or patients already adequately controlled on both ICS and LABAs</w:t>
            </w:r>
          </w:p>
        </w:tc>
      </w:tr>
    </w:tbl>
    <w:p w14:paraId="6FF990E5" w14:textId="77777777" w:rsidR="00A05D2D" w:rsidRPr="00855489" w:rsidRDefault="00A05D2D" w:rsidP="006A4889">
      <w:pPr>
        <w:pStyle w:val="TableFooter"/>
        <w:keepNext/>
        <w:keepLines/>
      </w:pPr>
      <w:r w:rsidRPr="00855489">
        <w:t xml:space="preserve">Abbreviations: </w:t>
      </w:r>
      <w:r w:rsidR="00882177" w:rsidRPr="00855489">
        <w:t>BEC=Beclometasone diprop</w:t>
      </w:r>
      <w:r w:rsidR="002A11BD" w:rsidRPr="00855489">
        <w:t>ionate,</w:t>
      </w:r>
      <w:r w:rsidR="00351FBE" w:rsidRPr="00855489">
        <w:t xml:space="preserve"> </w:t>
      </w:r>
      <w:r w:rsidR="00BF165E" w:rsidRPr="00855489">
        <w:t>BUD=budesonide,</w:t>
      </w:r>
      <w:r w:rsidR="002A11BD" w:rsidRPr="00855489">
        <w:t xml:space="preserve"> </w:t>
      </w:r>
      <w:r w:rsidR="00C20517" w:rsidRPr="00855489">
        <w:t>DPI=</w:t>
      </w:r>
      <w:r w:rsidRPr="00855489">
        <w:t>dry-powder inhaler</w:t>
      </w:r>
      <w:r w:rsidR="00C20517" w:rsidRPr="00855489">
        <w:t>, FEV1=</w:t>
      </w:r>
      <w:r w:rsidRPr="00855489">
        <w:t xml:space="preserve">Forced Expiratory Volume in the first second of expiration, </w:t>
      </w:r>
      <w:r w:rsidR="00882177" w:rsidRPr="00855489">
        <w:t>FOR=formoterol fuma</w:t>
      </w:r>
      <w:r w:rsidR="002A11BD" w:rsidRPr="00855489">
        <w:t xml:space="preserve">rate dehydrate, </w:t>
      </w:r>
      <w:r w:rsidR="00C20517" w:rsidRPr="00855489">
        <w:t>ICS=inhaled corticosteroids, LABA=</w:t>
      </w:r>
      <w:r w:rsidRPr="00855489">
        <w:t xml:space="preserve"> </w:t>
      </w:r>
      <w:r w:rsidRPr="00855489">
        <w:rPr>
          <w:szCs w:val="22"/>
        </w:rPr>
        <w:t>long-acting β2-agonist</w:t>
      </w:r>
      <w:r w:rsidR="00C20517" w:rsidRPr="00855489">
        <w:t>, MDI=</w:t>
      </w:r>
      <w:r w:rsidRPr="00855489">
        <w:t xml:space="preserve"> me</w:t>
      </w:r>
      <w:r w:rsidR="00C20517" w:rsidRPr="00855489">
        <w:t>tered dose inhaler, PEF=</w:t>
      </w:r>
      <w:r w:rsidRPr="00855489">
        <w:t xml:space="preserve"> peak expiratory flow</w:t>
      </w:r>
    </w:p>
    <w:p w14:paraId="5438A54A" w14:textId="77777777" w:rsidR="00A05D2D" w:rsidRPr="00855489" w:rsidRDefault="00A05D2D" w:rsidP="00A05D2D">
      <w:pPr>
        <w:pStyle w:val="TableFooter"/>
      </w:pPr>
      <w:r w:rsidRPr="00855489">
        <w:t>Source: Table 10, pp 4-5 of the submission</w:t>
      </w:r>
    </w:p>
    <w:p w14:paraId="1C29EAB7" w14:textId="77777777" w:rsidR="006D441F" w:rsidRPr="00855489" w:rsidRDefault="006D441F" w:rsidP="006D441F">
      <w:pPr>
        <w:pStyle w:val="2-SectionHeading"/>
      </w:pPr>
      <w:bookmarkStart w:id="3" w:name="_Toc40775721"/>
      <w:bookmarkStart w:id="4" w:name="_Toc40775719"/>
      <w:r w:rsidRPr="00855489">
        <w:t>Background</w:t>
      </w:r>
    </w:p>
    <w:p w14:paraId="0F1E385D" w14:textId="77777777" w:rsidR="006D441F" w:rsidRPr="00855489" w:rsidRDefault="006D441F" w:rsidP="006D441F">
      <w:pPr>
        <w:pStyle w:val="4-SubsectionHeading"/>
      </w:pPr>
      <w:bookmarkStart w:id="5" w:name="_Toc22897638"/>
      <w:bookmarkStart w:id="6" w:name="_Toc40775720"/>
      <w:r w:rsidRPr="00855489">
        <w:t>Registration status</w:t>
      </w:r>
      <w:bookmarkEnd w:id="5"/>
      <w:bookmarkEnd w:id="6"/>
    </w:p>
    <w:p w14:paraId="1564FF03" w14:textId="77777777" w:rsidR="006D441F" w:rsidRPr="00855489" w:rsidRDefault="006D441F" w:rsidP="006D441F">
      <w:pPr>
        <w:pStyle w:val="3-BodyText"/>
      </w:pPr>
      <w:r w:rsidRPr="00855489">
        <w:t>BEC/FOR was TGA registered on 12th Feb 2020 for the following indications:</w:t>
      </w:r>
    </w:p>
    <w:p w14:paraId="5E97C48B" w14:textId="77777777" w:rsidR="00EB781B" w:rsidRPr="00855489" w:rsidRDefault="006D441F" w:rsidP="006D09ED">
      <w:pPr>
        <w:pStyle w:val="3-BodyText"/>
        <w:numPr>
          <w:ilvl w:val="0"/>
          <w:numId w:val="0"/>
        </w:numPr>
        <w:ind w:left="720"/>
      </w:pPr>
      <w:r w:rsidRPr="00855489">
        <w:t>‘In adults (18 years and older) in the regular treatment of asthma where use of a combination product (inhaled corticosteroid and long-acting beta2-agonist) is appropriate:</w:t>
      </w:r>
    </w:p>
    <w:p w14:paraId="7F5BFA02" w14:textId="77777777" w:rsidR="006D441F" w:rsidRPr="00855489" w:rsidRDefault="006D441F" w:rsidP="00C547B5">
      <w:pPr>
        <w:pStyle w:val="3-BodyText"/>
        <w:numPr>
          <w:ilvl w:val="0"/>
          <w:numId w:val="5"/>
        </w:numPr>
        <w:ind w:left="1134" w:hanging="425"/>
      </w:pPr>
      <w:r w:rsidRPr="00855489">
        <w:t>patients not adequately controlled with inhaled corticosteroids (ICS) and 'as needed' inhaled rapid-acting beta2-agonist or</w:t>
      </w:r>
    </w:p>
    <w:p w14:paraId="0693260D" w14:textId="77777777" w:rsidR="006D441F" w:rsidRPr="00855489" w:rsidRDefault="006D441F" w:rsidP="00C547B5">
      <w:pPr>
        <w:pStyle w:val="3-BodyText"/>
        <w:numPr>
          <w:ilvl w:val="0"/>
          <w:numId w:val="5"/>
        </w:numPr>
        <w:ind w:left="1134" w:hanging="425"/>
      </w:pPr>
      <w:r w:rsidRPr="00855489">
        <w:t>patients already adequately controlled on both ICS and long-acting beta2-agonists (LABA).</w:t>
      </w:r>
    </w:p>
    <w:p w14:paraId="562775FF" w14:textId="77777777" w:rsidR="006D441F" w:rsidRPr="00855489" w:rsidRDefault="006D441F" w:rsidP="006D441F">
      <w:pPr>
        <w:pStyle w:val="3-BodyText"/>
        <w:numPr>
          <w:ilvl w:val="0"/>
          <w:numId w:val="0"/>
        </w:numPr>
        <w:ind w:left="720"/>
      </w:pPr>
      <w:r w:rsidRPr="00855489">
        <w:t>Symptomatic treatment of adults with severe COPD (FEV1 &lt; 50% predicted normal) and a history of repeated exacerbations, who have significant symptoms despite regular therapy with long-acting bronchodilators.’</w:t>
      </w:r>
    </w:p>
    <w:p w14:paraId="42E69718" w14:textId="77777777" w:rsidR="00757084" w:rsidRPr="00855489" w:rsidRDefault="00757084" w:rsidP="00757084">
      <w:pPr>
        <w:pStyle w:val="2-SectionHeading"/>
      </w:pPr>
      <w:r w:rsidRPr="00855489">
        <w:lastRenderedPageBreak/>
        <w:t>Requested listing</w:t>
      </w:r>
      <w:bookmarkEnd w:id="3"/>
    </w:p>
    <w:p w14:paraId="233F5D4B" w14:textId="77777777" w:rsidR="00055C37" w:rsidRPr="00855489" w:rsidRDefault="00055C37" w:rsidP="008A3718">
      <w:pPr>
        <w:pStyle w:val="3-BodyText"/>
      </w:pPr>
      <w:r w:rsidRPr="00855489">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860"/>
        <w:gridCol w:w="858"/>
        <w:gridCol w:w="716"/>
        <w:gridCol w:w="716"/>
        <w:gridCol w:w="1145"/>
        <w:gridCol w:w="858"/>
        <w:gridCol w:w="860"/>
      </w:tblGrid>
      <w:tr w:rsidR="00D17D75" w:rsidRPr="00855489" w14:paraId="563FDAC7" w14:textId="77777777" w:rsidTr="006A4889">
        <w:trPr>
          <w:cantSplit/>
          <w:trHeight w:val="471"/>
        </w:trPr>
        <w:tc>
          <w:tcPr>
            <w:tcW w:w="1665" w:type="pct"/>
          </w:tcPr>
          <w:p w14:paraId="50EADD76" w14:textId="77777777" w:rsidR="00D17D75" w:rsidRPr="00855489" w:rsidRDefault="00D17D75" w:rsidP="00791F2E">
            <w:pPr>
              <w:keepNext/>
              <w:ind w:left="-108"/>
              <w:jc w:val="both"/>
              <w:rPr>
                <w:rFonts w:ascii="Arial Narrow" w:hAnsi="Arial Narrow"/>
                <w:b/>
                <w:color w:val="000000" w:themeColor="text1"/>
                <w:sz w:val="18"/>
                <w:szCs w:val="18"/>
              </w:rPr>
            </w:pPr>
            <w:r w:rsidRPr="00855489">
              <w:rPr>
                <w:rFonts w:ascii="Arial Narrow" w:hAnsi="Arial Narrow"/>
                <w:b/>
                <w:color w:val="000000" w:themeColor="text1"/>
                <w:sz w:val="18"/>
                <w:szCs w:val="18"/>
              </w:rPr>
              <w:t>Name, Restriction,</w:t>
            </w:r>
          </w:p>
          <w:p w14:paraId="5D3EE230" w14:textId="77777777" w:rsidR="00D17D75" w:rsidRPr="00855489" w:rsidRDefault="00D17D75" w:rsidP="00791F2E">
            <w:pPr>
              <w:keepNext/>
              <w:ind w:left="-108"/>
              <w:jc w:val="both"/>
              <w:rPr>
                <w:rFonts w:ascii="Arial Narrow" w:hAnsi="Arial Narrow"/>
                <w:b/>
                <w:color w:val="000000" w:themeColor="text1"/>
                <w:sz w:val="18"/>
                <w:szCs w:val="18"/>
              </w:rPr>
            </w:pPr>
            <w:r w:rsidRPr="00855489">
              <w:rPr>
                <w:rFonts w:ascii="Arial Narrow" w:hAnsi="Arial Narrow"/>
                <w:b/>
                <w:color w:val="000000" w:themeColor="text1"/>
                <w:sz w:val="18"/>
                <w:szCs w:val="18"/>
              </w:rPr>
              <w:t>Manner of administration and form</w:t>
            </w:r>
          </w:p>
        </w:tc>
        <w:tc>
          <w:tcPr>
            <w:tcW w:w="477" w:type="pct"/>
          </w:tcPr>
          <w:p w14:paraId="507841F9" w14:textId="77777777" w:rsidR="00D17D75" w:rsidRPr="00855489" w:rsidRDefault="00D17D75" w:rsidP="00791F2E">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PBS item code</w:t>
            </w:r>
          </w:p>
        </w:tc>
        <w:tc>
          <w:tcPr>
            <w:tcW w:w="476" w:type="pct"/>
          </w:tcPr>
          <w:p w14:paraId="3087D4EF" w14:textId="77777777" w:rsidR="00D17D75" w:rsidRPr="00855489" w:rsidRDefault="00D17D75" w:rsidP="00791F2E">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Max. qty packs</w:t>
            </w:r>
          </w:p>
        </w:tc>
        <w:tc>
          <w:tcPr>
            <w:tcW w:w="397" w:type="pct"/>
          </w:tcPr>
          <w:p w14:paraId="6600A8BE" w14:textId="77777777" w:rsidR="00D17D75" w:rsidRPr="00855489" w:rsidRDefault="00D17D75" w:rsidP="00791F2E">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Max. qty units</w:t>
            </w:r>
          </w:p>
        </w:tc>
        <w:tc>
          <w:tcPr>
            <w:tcW w:w="397" w:type="pct"/>
          </w:tcPr>
          <w:p w14:paraId="42566BA6" w14:textId="77777777" w:rsidR="00D17D75" w:rsidRPr="00855489" w:rsidRDefault="00D17D75" w:rsidP="00791F2E">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№.of</w:t>
            </w:r>
          </w:p>
          <w:p w14:paraId="086C84FE" w14:textId="77777777" w:rsidR="00D17D75" w:rsidRPr="00855489" w:rsidRDefault="00D17D75" w:rsidP="00791F2E">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Rpts</w:t>
            </w:r>
          </w:p>
        </w:tc>
        <w:tc>
          <w:tcPr>
            <w:tcW w:w="635" w:type="pct"/>
          </w:tcPr>
          <w:p w14:paraId="4636B4E7" w14:textId="77777777" w:rsidR="00D17D75" w:rsidRPr="00855489" w:rsidRDefault="00D17D75" w:rsidP="00791F2E">
            <w:pPr>
              <w:keepNext/>
              <w:rPr>
                <w:rFonts w:ascii="Arial Narrow" w:hAnsi="Arial Narrow"/>
                <w:b/>
                <w:color w:val="000000" w:themeColor="text1"/>
                <w:sz w:val="18"/>
                <w:szCs w:val="18"/>
              </w:rPr>
            </w:pPr>
            <w:r w:rsidRPr="00855489">
              <w:rPr>
                <w:rFonts w:ascii="Arial Narrow" w:hAnsi="Arial Narrow"/>
                <w:b/>
                <w:color w:val="000000" w:themeColor="text1"/>
                <w:sz w:val="18"/>
                <w:szCs w:val="18"/>
              </w:rPr>
              <w:t>Dispensed Price for max. qty</w:t>
            </w:r>
          </w:p>
        </w:tc>
        <w:tc>
          <w:tcPr>
            <w:tcW w:w="953" w:type="pct"/>
            <w:gridSpan w:val="2"/>
          </w:tcPr>
          <w:p w14:paraId="3BC6D756" w14:textId="77777777" w:rsidR="00D17D75" w:rsidRPr="00855489" w:rsidRDefault="00D17D75" w:rsidP="00791F2E">
            <w:pPr>
              <w:keepNext/>
              <w:rPr>
                <w:rFonts w:ascii="Arial Narrow" w:hAnsi="Arial Narrow"/>
                <w:b/>
                <w:color w:val="000000" w:themeColor="text1"/>
                <w:sz w:val="18"/>
                <w:szCs w:val="18"/>
              </w:rPr>
            </w:pPr>
            <w:r w:rsidRPr="00855489">
              <w:rPr>
                <w:rFonts w:ascii="Arial Narrow" w:hAnsi="Arial Narrow"/>
                <w:b/>
                <w:color w:val="000000" w:themeColor="text1"/>
                <w:sz w:val="18"/>
                <w:szCs w:val="18"/>
              </w:rPr>
              <w:t>Proprietary Name and Manufacturer</w:t>
            </w:r>
          </w:p>
        </w:tc>
      </w:tr>
      <w:tr w:rsidR="00D17D75" w:rsidRPr="00855489" w14:paraId="49664F7B" w14:textId="77777777" w:rsidTr="006A4889">
        <w:trPr>
          <w:cantSplit/>
          <w:trHeight w:val="761"/>
        </w:trPr>
        <w:tc>
          <w:tcPr>
            <w:tcW w:w="1665" w:type="pct"/>
          </w:tcPr>
          <w:p w14:paraId="6AB8EAA5" w14:textId="77777777" w:rsidR="00D17D75" w:rsidRPr="00855489" w:rsidRDefault="00D17D75" w:rsidP="00791F2E">
            <w:pPr>
              <w:keepNext/>
              <w:ind w:left="-108"/>
              <w:rPr>
                <w:rFonts w:ascii="Arial Narrow" w:hAnsi="Arial Narrow"/>
                <w:caps/>
                <w:color w:val="000000" w:themeColor="text1"/>
                <w:sz w:val="18"/>
                <w:szCs w:val="18"/>
              </w:rPr>
            </w:pPr>
            <w:r w:rsidRPr="00855489">
              <w:rPr>
                <w:rFonts w:ascii="Arial Narrow" w:hAnsi="Arial Narrow"/>
                <w:caps/>
                <w:color w:val="000000" w:themeColor="text1"/>
                <w:sz w:val="18"/>
                <w:szCs w:val="18"/>
              </w:rPr>
              <w:t xml:space="preserve">Beclometasone </w:t>
            </w:r>
            <w:r w:rsidRPr="00855489">
              <w:rPr>
                <w:rFonts w:ascii="Arial Narrow" w:hAnsi="Arial Narrow"/>
                <w:caps/>
                <w:strike/>
                <w:color w:val="000000" w:themeColor="text1"/>
                <w:sz w:val="18"/>
                <w:szCs w:val="18"/>
              </w:rPr>
              <w:t>diproprionate</w:t>
            </w:r>
            <w:r w:rsidRPr="00855489">
              <w:rPr>
                <w:rFonts w:ascii="Arial Narrow" w:hAnsi="Arial Narrow"/>
                <w:caps/>
                <w:color w:val="000000" w:themeColor="text1"/>
                <w:sz w:val="18"/>
                <w:szCs w:val="18"/>
              </w:rPr>
              <w:t xml:space="preserve"> + formoterol </w:t>
            </w:r>
            <w:r w:rsidRPr="00855489">
              <w:rPr>
                <w:rFonts w:ascii="Arial Narrow" w:hAnsi="Arial Narrow"/>
                <w:caps/>
                <w:strike/>
                <w:color w:val="000000" w:themeColor="text1"/>
                <w:sz w:val="18"/>
                <w:szCs w:val="18"/>
              </w:rPr>
              <w:t>fumarate DIHYDRATE</w:t>
            </w:r>
            <w:r w:rsidRPr="00855489">
              <w:rPr>
                <w:rFonts w:ascii="Arial Narrow" w:hAnsi="Arial Narrow"/>
                <w:caps/>
                <w:color w:val="000000" w:themeColor="text1"/>
                <w:sz w:val="18"/>
                <w:szCs w:val="18"/>
              </w:rPr>
              <w:t xml:space="preserve"> </w:t>
            </w:r>
            <w:r w:rsidRPr="00855489">
              <w:rPr>
                <w:rFonts w:ascii="Arial Narrow" w:hAnsi="Arial Narrow"/>
                <w:i/>
                <w:caps/>
                <w:color w:val="000000" w:themeColor="text1"/>
                <w:sz w:val="18"/>
                <w:szCs w:val="18"/>
              </w:rPr>
              <w:t>(EFORMOTEROL)</w:t>
            </w:r>
          </w:p>
          <w:p w14:paraId="530E9A6D" w14:textId="77777777" w:rsidR="00D17D75" w:rsidRPr="00855489" w:rsidRDefault="00D17D75" w:rsidP="00791F2E">
            <w:pPr>
              <w:keepNext/>
              <w:ind w:left="-108"/>
              <w:rPr>
                <w:rFonts w:ascii="Arial Narrow" w:hAnsi="Arial Narrow"/>
                <w:color w:val="000000" w:themeColor="text1"/>
                <w:sz w:val="18"/>
                <w:szCs w:val="18"/>
              </w:rPr>
            </w:pPr>
            <w:r w:rsidRPr="00855489">
              <w:rPr>
                <w:rFonts w:ascii="Arial Narrow" w:hAnsi="Arial Narrow"/>
                <w:color w:val="000000" w:themeColor="text1"/>
                <w:sz w:val="18"/>
                <w:szCs w:val="18"/>
              </w:rPr>
              <w:t>beclometasone dipropionate 100 microgram/actuation + formoterol (eformoterol) fumarate dihydrate 6 microgram/actuation inhalation, 120 actuations</w:t>
            </w:r>
          </w:p>
        </w:tc>
        <w:tc>
          <w:tcPr>
            <w:tcW w:w="477" w:type="pct"/>
          </w:tcPr>
          <w:p w14:paraId="7247234F" w14:textId="77777777" w:rsidR="00D17D75" w:rsidRPr="00855489" w:rsidRDefault="00D17D75" w:rsidP="00791F2E">
            <w:pPr>
              <w:keepNext/>
              <w:ind w:left="-108"/>
              <w:jc w:val="center"/>
              <w:rPr>
                <w:rFonts w:ascii="Arial Narrow" w:hAnsi="Arial Narrow"/>
                <w:color w:val="000000" w:themeColor="text1"/>
                <w:sz w:val="18"/>
                <w:szCs w:val="18"/>
              </w:rPr>
            </w:pPr>
          </w:p>
          <w:p w14:paraId="2E227421" w14:textId="77777777" w:rsidR="00D17D75" w:rsidRPr="00855489" w:rsidRDefault="00D17D75" w:rsidP="00791F2E">
            <w:pPr>
              <w:keepNext/>
              <w:ind w:left="-108"/>
              <w:jc w:val="center"/>
              <w:rPr>
                <w:rFonts w:ascii="Arial Narrow" w:hAnsi="Arial Narrow"/>
                <w:color w:val="000000" w:themeColor="text1"/>
                <w:sz w:val="18"/>
                <w:szCs w:val="18"/>
              </w:rPr>
            </w:pPr>
          </w:p>
          <w:p w14:paraId="7ACDD526" w14:textId="77777777" w:rsidR="00D17D75" w:rsidRPr="00855489" w:rsidRDefault="00D17D75" w:rsidP="00791F2E">
            <w:pPr>
              <w:keepNext/>
              <w:ind w:left="-108"/>
              <w:jc w:val="center"/>
              <w:rPr>
                <w:rFonts w:ascii="Arial Narrow" w:hAnsi="Arial Narrow"/>
                <w:color w:val="000000" w:themeColor="text1"/>
                <w:sz w:val="18"/>
                <w:szCs w:val="18"/>
              </w:rPr>
            </w:pPr>
            <w:r w:rsidRPr="00855489">
              <w:rPr>
                <w:rFonts w:ascii="Arial Narrow" w:hAnsi="Arial Narrow"/>
                <w:color w:val="000000" w:themeColor="text1"/>
                <w:sz w:val="18"/>
                <w:szCs w:val="18"/>
              </w:rPr>
              <w:t>NEW</w:t>
            </w:r>
          </w:p>
        </w:tc>
        <w:tc>
          <w:tcPr>
            <w:tcW w:w="476" w:type="pct"/>
          </w:tcPr>
          <w:p w14:paraId="457717BA" w14:textId="77777777" w:rsidR="00D17D75" w:rsidRPr="00855489" w:rsidRDefault="00D17D75" w:rsidP="00791F2E">
            <w:pPr>
              <w:keepNext/>
              <w:jc w:val="center"/>
              <w:rPr>
                <w:rFonts w:ascii="Arial Narrow" w:hAnsi="Arial Narrow"/>
                <w:color w:val="000000" w:themeColor="text1"/>
                <w:sz w:val="18"/>
                <w:szCs w:val="18"/>
              </w:rPr>
            </w:pPr>
          </w:p>
          <w:p w14:paraId="04D61D68" w14:textId="77777777" w:rsidR="00D17D75" w:rsidRPr="00855489" w:rsidRDefault="00D17D75" w:rsidP="00791F2E">
            <w:pPr>
              <w:keepNext/>
              <w:ind w:left="-108"/>
              <w:jc w:val="center"/>
              <w:rPr>
                <w:rFonts w:ascii="Arial Narrow" w:hAnsi="Arial Narrow"/>
                <w:color w:val="000000" w:themeColor="text1"/>
                <w:sz w:val="18"/>
                <w:szCs w:val="18"/>
              </w:rPr>
            </w:pPr>
          </w:p>
          <w:p w14:paraId="2532C24D" w14:textId="77777777" w:rsidR="00D17D75" w:rsidRPr="00855489" w:rsidRDefault="00D17D75" w:rsidP="00791F2E">
            <w:pPr>
              <w:keepNext/>
              <w:jc w:val="center"/>
              <w:rPr>
                <w:rFonts w:ascii="Arial Narrow" w:hAnsi="Arial Narrow"/>
                <w:color w:val="000000" w:themeColor="text1"/>
                <w:sz w:val="18"/>
                <w:szCs w:val="18"/>
              </w:rPr>
            </w:pPr>
            <w:r w:rsidRPr="00855489">
              <w:rPr>
                <w:rFonts w:ascii="Arial Narrow" w:hAnsi="Arial Narrow"/>
                <w:color w:val="000000" w:themeColor="text1"/>
                <w:sz w:val="18"/>
                <w:szCs w:val="18"/>
              </w:rPr>
              <w:t>1</w:t>
            </w:r>
          </w:p>
        </w:tc>
        <w:tc>
          <w:tcPr>
            <w:tcW w:w="397" w:type="pct"/>
          </w:tcPr>
          <w:p w14:paraId="2754BB32" w14:textId="77777777" w:rsidR="00D17D75" w:rsidRPr="00855489" w:rsidRDefault="00D17D75" w:rsidP="00791F2E">
            <w:pPr>
              <w:keepNext/>
              <w:ind w:left="-108"/>
              <w:jc w:val="center"/>
              <w:rPr>
                <w:rFonts w:ascii="Arial Narrow" w:hAnsi="Arial Narrow"/>
                <w:color w:val="000000" w:themeColor="text1"/>
                <w:sz w:val="18"/>
                <w:szCs w:val="18"/>
              </w:rPr>
            </w:pPr>
          </w:p>
          <w:p w14:paraId="789E41FB" w14:textId="77777777" w:rsidR="00D17D75" w:rsidRPr="00855489" w:rsidRDefault="00D17D75" w:rsidP="00791F2E">
            <w:pPr>
              <w:keepNext/>
              <w:rPr>
                <w:rFonts w:ascii="Arial Narrow" w:hAnsi="Arial Narrow"/>
                <w:color w:val="000000" w:themeColor="text1"/>
                <w:sz w:val="18"/>
                <w:szCs w:val="18"/>
              </w:rPr>
            </w:pPr>
          </w:p>
          <w:p w14:paraId="6A562BB3" w14:textId="77777777" w:rsidR="00D17D75" w:rsidRPr="00855489" w:rsidRDefault="00D17D75" w:rsidP="00791F2E">
            <w:pPr>
              <w:keepNext/>
              <w:ind w:left="-108"/>
              <w:jc w:val="center"/>
              <w:rPr>
                <w:rFonts w:ascii="Arial Narrow" w:hAnsi="Arial Narrow"/>
                <w:color w:val="000000" w:themeColor="text1"/>
                <w:sz w:val="18"/>
                <w:szCs w:val="18"/>
              </w:rPr>
            </w:pPr>
            <w:r w:rsidRPr="00855489">
              <w:rPr>
                <w:rFonts w:ascii="Arial Narrow" w:hAnsi="Arial Narrow"/>
                <w:color w:val="000000" w:themeColor="text1"/>
                <w:sz w:val="18"/>
                <w:szCs w:val="18"/>
              </w:rPr>
              <w:t>1</w:t>
            </w:r>
          </w:p>
        </w:tc>
        <w:tc>
          <w:tcPr>
            <w:tcW w:w="397" w:type="pct"/>
          </w:tcPr>
          <w:p w14:paraId="06D75310" w14:textId="77777777" w:rsidR="00D17D75" w:rsidRPr="00855489" w:rsidRDefault="00D17D75" w:rsidP="00791F2E">
            <w:pPr>
              <w:keepNext/>
              <w:ind w:left="-108"/>
              <w:jc w:val="center"/>
              <w:rPr>
                <w:rFonts w:ascii="Arial Narrow" w:hAnsi="Arial Narrow"/>
                <w:color w:val="000000" w:themeColor="text1"/>
                <w:sz w:val="18"/>
                <w:szCs w:val="18"/>
              </w:rPr>
            </w:pPr>
          </w:p>
          <w:p w14:paraId="0D9A48E9" w14:textId="77777777" w:rsidR="00D17D75" w:rsidRPr="00855489" w:rsidRDefault="00D17D75" w:rsidP="00791F2E">
            <w:pPr>
              <w:keepNext/>
              <w:ind w:left="-108"/>
              <w:jc w:val="center"/>
              <w:rPr>
                <w:rFonts w:ascii="Arial Narrow" w:hAnsi="Arial Narrow"/>
                <w:color w:val="000000" w:themeColor="text1"/>
                <w:sz w:val="18"/>
                <w:szCs w:val="18"/>
              </w:rPr>
            </w:pPr>
          </w:p>
          <w:p w14:paraId="72EBB9AE" w14:textId="77777777" w:rsidR="00D17D75" w:rsidRPr="00855489" w:rsidRDefault="00D17D75" w:rsidP="00791F2E">
            <w:pPr>
              <w:keepNext/>
              <w:ind w:left="-108"/>
              <w:jc w:val="center"/>
              <w:rPr>
                <w:rFonts w:ascii="Arial Narrow" w:hAnsi="Arial Narrow"/>
                <w:color w:val="000000" w:themeColor="text1"/>
                <w:sz w:val="18"/>
                <w:szCs w:val="18"/>
              </w:rPr>
            </w:pPr>
            <w:r w:rsidRPr="00855489">
              <w:rPr>
                <w:rFonts w:ascii="Arial Narrow" w:hAnsi="Arial Narrow"/>
                <w:color w:val="000000" w:themeColor="text1"/>
                <w:sz w:val="18"/>
                <w:szCs w:val="18"/>
              </w:rPr>
              <w:t>5</w:t>
            </w:r>
          </w:p>
          <w:p w14:paraId="583F3A67" w14:textId="77777777" w:rsidR="00D17D75" w:rsidRPr="00855489" w:rsidRDefault="00D17D75" w:rsidP="00791F2E">
            <w:pPr>
              <w:keepNext/>
              <w:rPr>
                <w:rFonts w:ascii="Arial Narrow" w:hAnsi="Arial Narrow"/>
                <w:color w:val="000000" w:themeColor="text1"/>
                <w:sz w:val="18"/>
                <w:szCs w:val="18"/>
              </w:rPr>
            </w:pPr>
          </w:p>
        </w:tc>
        <w:tc>
          <w:tcPr>
            <w:tcW w:w="635" w:type="pct"/>
          </w:tcPr>
          <w:p w14:paraId="0CB0545E" w14:textId="77777777" w:rsidR="00D17D75" w:rsidRPr="00855489" w:rsidRDefault="00D17D75" w:rsidP="00791F2E">
            <w:pPr>
              <w:keepNext/>
              <w:jc w:val="both"/>
              <w:rPr>
                <w:rFonts w:ascii="Arial Narrow" w:hAnsi="Arial Narrow"/>
                <w:color w:val="000000" w:themeColor="text1"/>
                <w:sz w:val="18"/>
                <w:szCs w:val="18"/>
              </w:rPr>
            </w:pPr>
          </w:p>
          <w:p w14:paraId="63A1508B" w14:textId="77777777" w:rsidR="00D17D75" w:rsidRPr="00855489" w:rsidRDefault="00D17D75" w:rsidP="00791F2E">
            <w:pPr>
              <w:keepNext/>
              <w:jc w:val="both"/>
              <w:rPr>
                <w:rFonts w:ascii="Arial Narrow" w:hAnsi="Arial Narrow"/>
                <w:color w:val="000000" w:themeColor="text1"/>
                <w:sz w:val="18"/>
                <w:szCs w:val="18"/>
              </w:rPr>
            </w:pPr>
          </w:p>
          <w:p w14:paraId="3E9BDFC1" w14:textId="77777777" w:rsidR="00D17D75" w:rsidRPr="00855489" w:rsidRDefault="00D17D75" w:rsidP="00791F2E">
            <w:pPr>
              <w:keepNext/>
              <w:jc w:val="both"/>
              <w:rPr>
                <w:rFonts w:ascii="Arial Narrow" w:hAnsi="Arial Narrow"/>
                <w:color w:val="000000" w:themeColor="text1"/>
                <w:sz w:val="18"/>
                <w:szCs w:val="18"/>
              </w:rPr>
            </w:pPr>
            <w:r w:rsidRPr="00855489">
              <w:rPr>
                <w:rFonts w:ascii="Arial Narrow" w:hAnsi="Arial Narrow"/>
                <w:color w:val="000000" w:themeColor="text1"/>
                <w:sz w:val="18"/>
                <w:szCs w:val="18"/>
              </w:rPr>
              <w:t>$48.64</w:t>
            </w:r>
          </w:p>
        </w:tc>
        <w:tc>
          <w:tcPr>
            <w:tcW w:w="476" w:type="pct"/>
          </w:tcPr>
          <w:p w14:paraId="7CE3C13B" w14:textId="77777777" w:rsidR="00D17D75" w:rsidRPr="00855489" w:rsidRDefault="00D17D75" w:rsidP="00791F2E">
            <w:pPr>
              <w:keepNext/>
              <w:jc w:val="both"/>
              <w:rPr>
                <w:rFonts w:ascii="Arial Narrow" w:hAnsi="Arial Narrow"/>
                <w:color w:val="000000" w:themeColor="text1"/>
                <w:sz w:val="18"/>
                <w:szCs w:val="18"/>
              </w:rPr>
            </w:pPr>
          </w:p>
          <w:p w14:paraId="4878F7A2" w14:textId="77777777" w:rsidR="00D17D75" w:rsidRPr="00855489" w:rsidRDefault="00D17D75" w:rsidP="00791F2E">
            <w:pPr>
              <w:keepNext/>
              <w:jc w:val="both"/>
              <w:rPr>
                <w:rFonts w:ascii="Arial Narrow" w:hAnsi="Arial Narrow"/>
                <w:color w:val="000000" w:themeColor="text1"/>
                <w:sz w:val="18"/>
                <w:szCs w:val="18"/>
              </w:rPr>
            </w:pPr>
          </w:p>
          <w:p w14:paraId="63C0DDC9" w14:textId="77777777" w:rsidR="00D17D75" w:rsidRPr="00855489" w:rsidRDefault="00D17D75" w:rsidP="00791F2E">
            <w:pPr>
              <w:keepNext/>
              <w:jc w:val="both"/>
              <w:rPr>
                <w:rFonts w:ascii="Arial Narrow" w:hAnsi="Arial Narrow"/>
                <w:color w:val="000000" w:themeColor="text1"/>
                <w:sz w:val="18"/>
                <w:szCs w:val="18"/>
              </w:rPr>
            </w:pPr>
            <w:r w:rsidRPr="00855489">
              <w:rPr>
                <w:rFonts w:ascii="Arial Narrow" w:hAnsi="Arial Narrow"/>
                <w:color w:val="000000" w:themeColor="text1"/>
                <w:sz w:val="18"/>
                <w:szCs w:val="18"/>
              </w:rPr>
              <w:t>Fostair</w:t>
            </w:r>
            <w:r w:rsidRPr="00855489">
              <w:rPr>
                <w:rFonts w:ascii="Arial Narrow" w:hAnsi="Arial Narrow"/>
                <w:color w:val="000000" w:themeColor="text1"/>
                <w:sz w:val="18"/>
                <w:szCs w:val="18"/>
                <w:vertAlign w:val="superscript"/>
              </w:rPr>
              <w:t>®</w:t>
            </w:r>
          </w:p>
        </w:tc>
        <w:tc>
          <w:tcPr>
            <w:tcW w:w="477" w:type="pct"/>
          </w:tcPr>
          <w:p w14:paraId="79096359" w14:textId="77777777" w:rsidR="00D17D75" w:rsidRPr="00855489" w:rsidRDefault="00D17D75" w:rsidP="00791F2E">
            <w:pPr>
              <w:keepNext/>
              <w:rPr>
                <w:rFonts w:ascii="Arial Narrow" w:hAnsi="Arial Narrow"/>
                <w:color w:val="000000" w:themeColor="text1"/>
                <w:sz w:val="18"/>
                <w:szCs w:val="18"/>
              </w:rPr>
            </w:pPr>
          </w:p>
          <w:p w14:paraId="78354CC8" w14:textId="77777777" w:rsidR="00D17D75" w:rsidRPr="00855489" w:rsidRDefault="00D17D75" w:rsidP="00791F2E">
            <w:pPr>
              <w:keepNext/>
              <w:rPr>
                <w:rFonts w:ascii="Arial Narrow" w:hAnsi="Arial Narrow"/>
                <w:color w:val="000000" w:themeColor="text1"/>
                <w:sz w:val="18"/>
                <w:szCs w:val="18"/>
              </w:rPr>
            </w:pPr>
          </w:p>
          <w:p w14:paraId="2FCF93D0" w14:textId="77777777" w:rsidR="00D17D75" w:rsidRPr="00855489" w:rsidRDefault="00D17D75" w:rsidP="00791F2E">
            <w:pPr>
              <w:keepNext/>
              <w:rPr>
                <w:rFonts w:ascii="Arial Narrow" w:hAnsi="Arial Narrow"/>
                <w:color w:val="000000" w:themeColor="text1"/>
                <w:sz w:val="18"/>
                <w:szCs w:val="18"/>
              </w:rPr>
            </w:pPr>
            <w:r w:rsidRPr="00855489">
              <w:rPr>
                <w:rFonts w:ascii="Arial Narrow" w:hAnsi="Arial Narrow"/>
                <w:color w:val="000000" w:themeColor="text1"/>
                <w:sz w:val="18"/>
                <w:szCs w:val="18"/>
              </w:rPr>
              <w:t>Emerge Health Pty Ltd</w:t>
            </w:r>
          </w:p>
        </w:tc>
      </w:tr>
    </w:tbl>
    <w:p w14:paraId="7503EF02" w14:textId="77777777" w:rsidR="00055C37" w:rsidRPr="00855489" w:rsidRDefault="00055C37" w:rsidP="00055C37">
      <w:pPr>
        <w:rPr>
          <w:rFonts w:ascii="Arial Narrow" w:hAnsi="Arial Narrow"/>
          <w:b/>
          <w:color w:val="000000" w:themeColor="text1"/>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BA1CCB" w:rsidRPr="00855489" w14:paraId="7DB1E36A" w14:textId="77777777" w:rsidTr="00BA1CCB">
        <w:tc>
          <w:tcPr>
            <w:tcW w:w="5000" w:type="pct"/>
            <w:tcBorders>
              <w:top w:val="single" w:sz="4" w:space="0" w:color="auto"/>
              <w:left w:val="single" w:sz="4" w:space="0" w:color="auto"/>
              <w:bottom w:val="single" w:sz="4" w:space="0" w:color="auto"/>
              <w:right w:val="single" w:sz="4" w:space="0" w:color="auto"/>
            </w:tcBorders>
          </w:tcPr>
          <w:p w14:paraId="32F50AF3" w14:textId="2A9863C8" w:rsidR="00BA1CCB" w:rsidRPr="00855489" w:rsidRDefault="00BA1CCB" w:rsidP="004753F9">
            <w:pPr>
              <w:jc w:val="both"/>
              <w:rPr>
                <w:rFonts w:ascii="Arial Narrow" w:hAnsi="Arial Narrow"/>
                <w:color w:val="000000" w:themeColor="text1"/>
                <w:sz w:val="18"/>
                <w:szCs w:val="18"/>
              </w:rPr>
            </w:pPr>
            <w:r w:rsidRPr="00855489">
              <w:rPr>
                <w:rFonts w:ascii="Arial Narrow" w:hAnsi="Arial Narrow"/>
                <w:b/>
                <w:color w:val="000000" w:themeColor="text1"/>
                <w:sz w:val="18"/>
                <w:szCs w:val="18"/>
              </w:rPr>
              <w:t xml:space="preserve">Category / Program:   </w:t>
            </w:r>
            <w:r w:rsidRPr="00855489">
              <w:rPr>
                <w:rFonts w:ascii="Arial Narrow" w:hAnsi="Arial Narrow"/>
                <w:color w:val="000000" w:themeColor="text1"/>
                <w:sz w:val="18"/>
                <w:szCs w:val="18"/>
              </w:rPr>
              <w:t xml:space="preserve">GENERAL – General Schedule (Code GE) </w:t>
            </w:r>
          </w:p>
        </w:tc>
      </w:tr>
      <w:tr w:rsidR="00BA1CCB" w:rsidRPr="00855489" w14:paraId="21E17C84" w14:textId="77777777" w:rsidTr="00BA1CCB">
        <w:trPr>
          <w:trHeight w:val="144"/>
        </w:trPr>
        <w:tc>
          <w:tcPr>
            <w:tcW w:w="5000" w:type="pct"/>
            <w:tcBorders>
              <w:top w:val="single" w:sz="4" w:space="0" w:color="auto"/>
              <w:left w:val="single" w:sz="4" w:space="0" w:color="auto"/>
              <w:bottom w:val="single" w:sz="4" w:space="0" w:color="auto"/>
              <w:right w:val="single" w:sz="4" w:space="0" w:color="auto"/>
            </w:tcBorders>
          </w:tcPr>
          <w:p w14:paraId="2C6E633A" w14:textId="77777777" w:rsidR="00BA1CCB" w:rsidRPr="00855489" w:rsidRDefault="00BA1CCB" w:rsidP="00BA1CCB">
            <w:pPr>
              <w:jc w:val="both"/>
              <w:rPr>
                <w:rFonts w:ascii="Arial Narrow" w:hAnsi="Arial Narrow"/>
                <w:color w:val="000000" w:themeColor="text1"/>
                <w:sz w:val="18"/>
                <w:szCs w:val="18"/>
              </w:rPr>
            </w:pPr>
            <w:r w:rsidRPr="00855489">
              <w:rPr>
                <w:rFonts w:ascii="Arial Narrow" w:hAnsi="Arial Narrow"/>
                <w:b/>
                <w:color w:val="000000" w:themeColor="text1"/>
                <w:sz w:val="18"/>
                <w:szCs w:val="18"/>
              </w:rPr>
              <w:t xml:space="preserve">Prescriber type:  </w:t>
            </w:r>
            <w:r w:rsidRPr="00855489">
              <w:rPr>
                <w:rFonts w:ascii="Arial Narrow" w:hAnsi="Arial Narrow"/>
                <w:color w:val="000000" w:themeColor="text1"/>
                <w:sz w:val="18"/>
                <w:szCs w:val="18"/>
              </w:rPr>
              <w:t xml:space="preserve">  </w:t>
            </w:r>
            <w:r w:rsidRPr="00855489">
              <w:rPr>
                <w:rFonts w:ascii="Arial Narrow" w:hAnsi="Arial Narrow"/>
                <w:color w:val="000000" w:themeColor="text1"/>
                <w:sz w:val="18"/>
                <w:szCs w:val="18"/>
              </w:rPr>
              <w:fldChar w:fldCharType="begin">
                <w:ffData>
                  <w:name w:val=""/>
                  <w:enabled/>
                  <w:calcOnExit w:val="0"/>
                  <w:checkBox>
                    <w:sizeAuto/>
                    <w:default w:val="1"/>
                  </w:checkBox>
                </w:ffData>
              </w:fldChar>
            </w:r>
            <w:r w:rsidRPr="00855489">
              <w:rPr>
                <w:rFonts w:ascii="Arial Narrow" w:hAnsi="Arial Narrow"/>
                <w:color w:val="000000" w:themeColor="text1"/>
                <w:sz w:val="18"/>
                <w:szCs w:val="18"/>
              </w:rPr>
              <w:instrText xml:space="preserve"> FORMCHECKBOX </w:instrText>
            </w:r>
            <w:r w:rsidR="00F273E4">
              <w:rPr>
                <w:rFonts w:ascii="Arial Narrow" w:hAnsi="Arial Narrow"/>
                <w:color w:val="000000" w:themeColor="text1"/>
                <w:sz w:val="18"/>
                <w:szCs w:val="18"/>
              </w:rPr>
            </w:r>
            <w:r w:rsidR="00F273E4">
              <w:rPr>
                <w:rFonts w:ascii="Arial Narrow" w:hAnsi="Arial Narrow"/>
                <w:color w:val="000000" w:themeColor="text1"/>
                <w:sz w:val="18"/>
                <w:szCs w:val="18"/>
              </w:rPr>
              <w:fldChar w:fldCharType="separate"/>
            </w:r>
            <w:r w:rsidRPr="00855489">
              <w:rPr>
                <w:rFonts w:ascii="Arial Narrow" w:hAnsi="Arial Narrow"/>
                <w:color w:val="000000" w:themeColor="text1"/>
                <w:sz w:val="18"/>
                <w:szCs w:val="18"/>
              </w:rPr>
              <w:fldChar w:fldCharType="end"/>
            </w:r>
            <w:r w:rsidRPr="00855489">
              <w:rPr>
                <w:rFonts w:ascii="Arial Narrow" w:hAnsi="Arial Narrow"/>
                <w:color w:val="000000" w:themeColor="text1"/>
                <w:sz w:val="18"/>
                <w:szCs w:val="18"/>
              </w:rPr>
              <w:t xml:space="preserve">Medical Practitioners  </w:t>
            </w:r>
            <w:r w:rsidRPr="00855489">
              <w:rPr>
                <w:rFonts w:ascii="Arial Narrow" w:hAnsi="Arial Narrow"/>
                <w:i/>
                <w:color w:val="000000" w:themeColor="text1"/>
                <w:sz w:val="18"/>
                <w:szCs w:val="18"/>
              </w:rPr>
              <w:fldChar w:fldCharType="begin">
                <w:ffData>
                  <w:name w:val="Check3"/>
                  <w:enabled/>
                  <w:calcOnExit w:val="0"/>
                  <w:checkBox>
                    <w:sizeAuto/>
                    <w:default w:val="1"/>
                  </w:checkBox>
                </w:ffData>
              </w:fldChar>
            </w:r>
            <w:r w:rsidRPr="00855489">
              <w:rPr>
                <w:rFonts w:ascii="Arial Narrow" w:hAnsi="Arial Narrow"/>
                <w:i/>
                <w:color w:val="000000" w:themeColor="text1"/>
                <w:sz w:val="18"/>
                <w:szCs w:val="18"/>
              </w:rPr>
              <w:instrText xml:space="preserve"> FORMCHECKBOX </w:instrText>
            </w:r>
            <w:r w:rsidR="00F273E4">
              <w:rPr>
                <w:rFonts w:ascii="Arial Narrow" w:hAnsi="Arial Narrow"/>
                <w:i/>
                <w:color w:val="000000" w:themeColor="text1"/>
                <w:sz w:val="18"/>
                <w:szCs w:val="18"/>
              </w:rPr>
            </w:r>
            <w:r w:rsidR="00F273E4">
              <w:rPr>
                <w:rFonts w:ascii="Arial Narrow" w:hAnsi="Arial Narrow"/>
                <w:i/>
                <w:color w:val="000000" w:themeColor="text1"/>
                <w:sz w:val="18"/>
                <w:szCs w:val="18"/>
              </w:rPr>
              <w:fldChar w:fldCharType="separate"/>
            </w:r>
            <w:r w:rsidRPr="00855489">
              <w:rPr>
                <w:rFonts w:ascii="Arial Narrow" w:hAnsi="Arial Narrow"/>
                <w:i/>
                <w:color w:val="000000" w:themeColor="text1"/>
                <w:sz w:val="18"/>
                <w:szCs w:val="18"/>
              </w:rPr>
              <w:fldChar w:fldCharType="end"/>
            </w:r>
            <w:r w:rsidRPr="00855489">
              <w:rPr>
                <w:rFonts w:ascii="Arial Narrow" w:hAnsi="Arial Narrow"/>
                <w:i/>
                <w:color w:val="000000" w:themeColor="text1"/>
                <w:sz w:val="18"/>
                <w:szCs w:val="18"/>
              </w:rPr>
              <w:t>Nurse practitioners</w:t>
            </w:r>
            <w:r w:rsidRPr="00855489">
              <w:rPr>
                <w:rFonts w:ascii="Arial Narrow" w:hAnsi="Arial Narrow"/>
                <w:color w:val="000000" w:themeColor="text1"/>
                <w:sz w:val="18"/>
                <w:szCs w:val="18"/>
              </w:rPr>
              <w:t xml:space="preserve">  </w:t>
            </w:r>
          </w:p>
        </w:tc>
      </w:tr>
      <w:tr w:rsidR="00BA1CCB" w:rsidRPr="00855489" w14:paraId="62D5C9B0" w14:textId="77777777" w:rsidTr="00BA1CCB">
        <w:tc>
          <w:tcPr>
            <w:tcW w:w="5000" w:type="pct"/>
            <w:tcBorders>
              <w:top w:val="single" w:sz="4" w:space="0" w:color="auto"/>
              <w:left w:val="single" w:sz="4" w:space="0" w:color="auto"/>
              <w:bottom w:val="single" w:sz="4" w:space="0" w:color="auto"/>
              <w:right w:val="single" w:sz="4" w:space="0" w:color="auto"/>
            </w:tcBorders>
          </w:tcPr>
          <w:p w14:paraId="6272A2A0" w14:textId="77777777" w:rsidR="00BA1CCB" w:rsidRPr="00855489" w:rsidRDefault="00BA1CCB" w:rsidP="00BA1CCB">
            <w:pPr>
              <w:jc w:val="both"/>
              <w:rPr>
                <w:rFonts w:ascii="Arial Narrow" w:hAnsi="Arial Narrow"/>
                <w:b/>
                <w:color w:val="000000" w:themeColor="text1"/>
                <w:sz w:val="18"/>
                <w:szCs w:val="18"/>
              </w:rPr>
            </w:pPr>
            <w:r w:rsidRPr="00855489">
              <w:rPr>
                <w:rFonts w:ascii="Arial Narrow" w:hAnsi="Arial Narrow"/>
                <w:b/>
                <w:color w:val="000000" w:themeColor="text1"/>
                <w:sz w:val="18"/>
                <w:szCs w:val="18"/>
              </w:rPr>
              <w:t xml:space="preserve">Restriction Type / Method: </w:t>
            </w:r>
            <w:r w:rsidRPr="00855489">
              <w:rPr>
                <w:rFonts w:ascii="Arial Narrow" w:hAnsi="Arial Narrow"/>
                <w:color w:val="000000" w:themeColor="text1"/>
                <w:sz w:val="18"/>
                <w:szCs w:val="18"/>
              </w:rPr>
              <w:fldChar w:fldCharType="begin">
                <w:ffData>
                  <w:name w:val=""/>
                  <w:enabled/>
                  <w:calcOnExit w:val="0"/>
                  <w:checkBox>
                    <w:sizeAuto/>
                    <w:default w:val="1"/>
                  </w:checkBox>
                </w:ffData>
              </w:fldChar>
            </w:r>
            <w:r w:rsidRPr="00855489">
              <w:rPr>
                <w:rFonts w:ascii="Arial Narrow" w:hAnsi="Arial Narrow"/>
                <w:color w:val="000000" w:themeColor="text1"/>
                <w:sz w:val="18"/>
                <w:szCs w:val="18"/>
              </w:rPr>
              <w:instrText xml:space="preserve"> FORMCHECKBOX </w:instrText>
            </w:r>
            <w:r w:rsidR="00F273E4">
              <w:rPr>
                <w:rFonts w:ascii="Arial Narrow" w:hAnsi="Arial Narrow"/>
                <w:color w:val="000000" w:themeColor="text1"/>
                <w:sz w:val="18"/>
                <w:szCs w:val="18"/>
              </w:rPr>
            </w:r>
            <w:r w:rsidR="00F273E4">
              <w:rPr>
                <w:rFonts w:ascii="Arial Narrow" w:hAnsi="Arial Narrow"/>
                <w:color w:val="000000" w:themeColor="text1"/>
                <w:sz w:val="18"/>
                <w:szCs w:val="18"/>
              </w:rPr>
              <w:fldChar w:fldCharType="separate"/>
            </w:r>
            <w:r w:rsidRPr="00855489">
              <w:rPr>
                <w:rFonts w:ascii="Arial Narrow" w:hAnsi="Arial Narrow"/>
                <w:color w:val="000000" w:themeColor="text1"/>
                <w:sz w:val="18"/>
                <w:szCs w:val="18"/>
              </w:rPr>
              <w:fldChar w:fldCharType="end"/>
            </w:r>
            <w:r w:rsidRPr="00855489">
              <w:rPr>
                <w:rFonts w:ascii="Arial Narrow" w:hAnsi="Arial Narrow"/>
                <w:color w:val="000000" w:themeColor="text1"/>
                <w:sz w:val="18"/>
                <w:szCs w:val="18"/>
              </w:rPr>
              <w:t xml:space="preserve"> Authority Required – Streamlined (</w:t>
            </w:r>
            <w:r w:rsidRPr="00855489">
              <w:rPr>
                <w:rFonts w:ascii="Arial Narrow" w:hAnsi="Arial Narrow"/>
                <w:i/>
                <w:color w:val="000000" w:themeColor="text1"/>
                <w:sz w:val="18"/>
                <w:szCs w:val="18"/>
              </w:rPr>
              <w:t>7970</w:t>
            </w:r>
            <w:r w:rsidRPr="00855489">
              <w:rPr>
                <w:rFonts w:ascii="Arial Narrow" w:hAnsi="Arial Narrow"/>
                <w:color w:val="000000" w:themeColor="text1"/>
                <w:sz w:val="18"/>
                <w:szCs w:val="18"/>
              </w:rPr>
              <w:t>)</w:t>
            </w:r>
          </w:p>
        </w:tc>
      </w:tr>
      <w:tr w:rsidR="00BA1CCB" w:rsidRPr="00855489" w14:paraId="31178A5B" w14:textId="77777777" w:rsidTr="00BA1CCB">
        <w:tc>
          <w:tcPr>
            <w:tcW w:w="5000" w:type="pct"/>
            <w:vAlign w:val="center"/>
            <w:hideMark/>
          </w:tcPr>
          <w:p w14:paraId="3EA73E8D" w14:textId="77777777" w:rsidR="00BA1CCB" w:rsidRPr="00855489" w:rsidRDefault="00BA1CCB" w:rsidP="00791F2E">
            <w:pPr>
              <w:rPr>
                <w:rFonts w:ascii="Arial Narrow" w:hAnsi="Arial Narrow"/>
                <w:color w:val="000000" w:themeColor="text1"/>
                <w:sz w:val="18"/>
                <w:szCs w:val="18"/>
              </w:rPr>
            </w:pPr>
            <w:r w:rsidRPr="00855489">
              <w:rPr>
                <w:rFonts w:ascii="Arial Narrow" w:hAnsi="Arial Narrow"/>
                <w:b/>
                <w:bCs/>
                <w:color w:val="000000" w:themeColor="text1"/>
                <w:sz w:val="18"/>
                <w:szCs w:val="18"/>
              </w:rPr>
              <w:t>Indication:</w:t>
            </w:r>
            <w:r w:rsidRPr="00855489">
              <w:rPr>
                <w:rFonts w:ascii="Arial Narrow" w:hAnsi="Arial Narrow"/>
                <w:color w:val="000000" w:themeColor="text1"/>
                <w:sz w:val="18"/>
                <w:szCs w:val="18"/>
              </w:rPr>
              <w:t xml:space="preserve"> Asthma</w:t>
            </w:r>
          </w:p>
        </w:tc>
      </w:tr>
      <w:tr w:rsidR="00BA1CCB" w:rsidRPr="00855489" w14:paraId="409CFCE1" w14:textId="77777777" w:rsidTr="00BA1CCB">
        <w:tc>
          <w:tcPr>
            <w:tcW w:w="5000" w:type="pct"/>
            <w:vAlign w:val="center"/>
            <w:hideMark/>
          </w:tcPr>
          <w:p w14:paraId="6F238472" w14:textId="77777777" w:rsidR="00BA1CCB" w:rsidRPr="00855489" w:rsidRDefault="00BA1CCB" w:rsidP="00791F2E">
            <w:pPr>
              <w:rPr>
                <w:rFonts w:ascii="Arial Narrow" w:hAnsi="Arial Narrow"/>
                <w:i/>
                <w:strike/>
                <w:color w:val="000000" w:themeColor="text1"/>
                <w:sz w:val="18"/>
                <w:szCs w:val="18"/>
              </w:rPr>
            </w:pPr>
            <w:r w:rsidRPr="00855489">
              <w:rPr>
                <w:rFonts w:ascii="Arial Narrow" w:hAnsi="Arial Narrow"/>
                <w:b/>
                <w:bCs/>
                <w:color w:val="000000" w:themeColor="text1"/>
                <w:sz w:val="18"/>
                <w:szCs w:val="18"/>
              </w:rPr>
              <w:t>Treatment Phase</w:t>
            </w:r>
            <w:r w:rsidRPr="00855489">
              <w:rPr>
                <w:rFonts w:ascii="Arial Narrow" w:hAnsi="Arial Narrow"/>
                <w:b/>
                <w:bCs/>
                <w:strike/>
                <w:color w:val="000000" w:themeColor="text1"/>
                <w:sz w:val="18"/>
                <w:szCs w:val="18"/>
              </w:rPr>
              <w:t>:</w:t>
            </w:r>
            <w:r w:rsidRPr="00855489">
              <w:rPr>
                <w:rFonts w:ascii="Arial Narrow" w:hAnsi="Arial Narrow"/>
                <w:strike/>
                <w:color w:val="000000" w:themeColor="text1"/>
                <w:sz w:val="18"/>
                <w:szCs w:val="18"/>
              </w:rPr>
              <w:t xml:space="preserve"> Initial and continuing </w:t>
            </w:r>
            <w:r w:rsidRPr="00855489">
              <w:rPr>
                <w:rFonts w:ascii="Arial Narrow" w:hAnsi="Arial Narrow"/>
                <w:i/>
                <w:color w:val="000000" w:themeColor="text1"/>
                <w:sz w:val="18"/>
                <w:szCs w:val="18"/>
              </w:rPr>
              <w:t>[blank]</w:t>
            </w:r>
          </w:p>
        </w:tc>
      </w:tr>
      <w:tr w:rsidR="00BA1CCB" w:rsidRPr="00855489" w14:paraId="095D4E64" w14:textId="77777777" w:rsidTr="00BA1CCB">
        <w:tc>
          <w:tcPr>
            <w:tcW w:w="5000" w:type="pct"/>
            <w:vAlign w:val="center"/>
            <w:hideMark/>
          </w:tcPr>
          <w:p w14:paraId="619E1A21" w14:textId="77777777" w:rsidR="00BA1CCB" w:rsidRPr="00855489" w:rsidRDefault="00BA1CCB" w:rsidP="00791F2E">
            <w:pPr>
              <w:rPr>
                <w:rFonts w:ascii="Arial Narrow" w:hAnsi="Arial Narrow"/>
                <w:color w:val="000000" w:themeColor="text1"/>
                <w:sz w:val="18"/>
                <w:szCs w:val="18"/>
              </w:rPr>
            </w:pPr>
            <w:r w:rsidRPr="00855489">
              <w:rPr>
                <w:rFonts w:ascii="Arial Narrow" w:hAnsi="Arial Narrow"/>
                <w:b/>
                <w:bCs/>
                <w:color w:val="000000" w:themeColor="text1"/>
                <w:sz w:val="18"/>
                <w:szCs w:val="18"/>
              </w:rPr>
              <w:t>Clinical criteria:</w:t>
            </w:r>
          </w:p>
        </w:tc>
      </w:tr>
      <w:tr w:rsidR="00BA1CCB" w:rsidRPr="00855489" w14:paraId="7EA50629" w14:textId="77777777" w:rsidTr="00BA1CCB">
        <w:tc>
          <w:tcPr>
            <w:tcW w:w="5000" w:type="pct"/>
            <w:vAlign w:val="center"/>
            <w:hideMark/>
          </w:tcPr>
          <w:p w14:paraId="5B95031B" w14:textId="77777777" w:rsidR="00BA1CCB" w:rsidRPr="00855489" w:rsidRDefault="00BA1CCB" w:rsidP="00791F2E">
            <w:pPr>
              <w:rPr>
                <w:rFonts w:ascii="Arial Narrow" w:hAnsi="Arial Narrow"/>
                <w:color w:val="000000" w:themeColor="text1"/>
                <w:sz w:val="18"/>
                <w:szCs w:val="18"/>
              </w:rPr>
            </w:pPr>
            <w:r w:rsidRPr="00855489">
              <w:rPr>
                <w:rFonts w:ascii="Arial Narrow" w:hAnsi="Arial Narrow"/>
                <w:color w:val="000000" w:themeColor="text1"/>
                <w:sz w:val="18"/>
                <w:szCs w:val="18"/>
              </w:rPr>
              <w:t>Patient must have previously had frequent episodes of asthma while receiving treatment with oral corticosteroids or optimal doses of inhaled corticosteroids; OR</w:t>
            </w:r>
          </w:p>
        </w:tc>
      </w:tr>
      <w:tr w:rsidR="00BA1CCB" w:rsidRPr="00855489" w14:paraId="06AE0167" w14:textId="77777777" w:rsidTr="00BA1CCB">
        <w:tc>
          <w:tcPr>
            <w:tcW w:w="5000" w:type="pct"/>
            <w:vAlign w:val="center"/>
          </w:tcPr>
          <w:p w14:paraId="1BEA4D8E" w14:textId="77777777" w:rsidR="00BA1CCB" w:rsidRPr="00855489" w:rsidRDefault="00BA1CCB" w:rsidP="00791F2E">
            <w:pPr>
              <w:rPr>
                <w:rFonts w:ascii="Arial Narrow" w:hAnsi="Arial Narrow"/>
                <w:b/>
                <w:color w:val="000000" w:themeColor="text1"/>
                <w:sz w:val="18"/>
                <w:szCs w:val="18"/>
              </w:rPr>
            </w:pPr>
            <w:r w:rsidRPr="00855489">
              <w:rPr>
                <w:rFonts w:ascii="Arial Narrow" w:hAnsi="Arial Narrow"/>
                <w:color w:val="000000" w:themeColor="text1"/>
                <w:sz w:val="18"/>
                <w:szCs w:val="18"/>
              </w:rPr>
              <w:t>Patient must have experienced frequent asthma symptoms while receiving treatment with oral or inhaled corticosteroids and require single maintenance and reliever therapy; OR</w:t>
            </w:r>
          </w:p>
        </w:tc>
      </w:tr>
      <w:tr w:rsidR="00BA1CCB" w:rsidRPr="00855489" w14:paraId="167E9DFA" w14:textId="77777777" w:rsidTr="00BA1CCB">
        <w:tc>
          <w:tcPr>
            <w:tcW w:w="5000" w:type="pct"/>
            <w:vAlign w:val="center"/>
          </w:tcPr>
          <w:p w14:paraId="5C788477" w14:textId="77777777" w:rsidR="00BA1CCB" w:rsidRPr="00855489" w:rsidRDefault="00BA1CCB" w:rsidP="00791F2E">
            <w:pPr>
              <w:rPr>
                <w:rFonts w:ascii="Arial Narrow" w:hAnsi="Arial Narrow"/>
                <w:b/>
                <w:bCs/>
                <w:i/>
                <w:color w:val="000000" w:themeColor="text1"/>
                <w:sz w:val="18"/>
                <w:szCs w:val="18"/>
              </w:rPr>
            </w:pPr>
            <w:r w:rsidRPr="00855489">
              <w:rPr>
                <w:rFonts w:ascii="Arial Narrow" w:hAnsi="Arial Narrow"/>
                <w:i/>
                <w:color w:val="000000" w:themeColor="text1"/>
                <w:sz w:val="18"/>
                <w:szCs w:val="18"/>
              </w:rPr>
              <w:t>Patient must have experienced frequent asthma symptoms while receiving treatment with a combination of an inhaled corticosteroid and long acting beta-2 agonist and require single maintenance and reliever therapy.</w:t>
            </w:r>
          </w:p>
        </w:tc>
      </w:tr>
      <w:tr w:rsidR="00BA1CCB" w:rsidRPr="00855489" w14:paraId="3760BF71" w14:textId="77777777" w:rsidTr="00BA1CCB">
        <w:tc>
          <w:tcPr>
            <w:tcW w:w="5000" w:type="pct"/>
            <w:vAlign w:val="center"/>
            <w:hideMark/>
          </w:tcPr>
          <w:p w14:paraId="127F4402" w14:textId="77777777" w:rsidR="00BA1CCB" w:rsidRPr="00855489" w:rsidRDefault="00BA1CCB" w:rsidP="00791F2E">
            <w:pPr>
              <w:rPr>
                <w:rFonts w:ascii="Arial Narrow" w:hAnsi="Arial Narrow"/>
                <w:strike/>
                <w:color w:val="000000" w:themeColor="text1"/>
                <w:sz w:val="18"/>
                <w:szCs w:val="18"/>
              </w:rPr>
            </w:pPr>
            <w:r w:rsidRPr="00855489">
              <w:rPr>
                <w:rFonts w:ascii="Arial Narrow" w:hAnsi="Arial Narrow"/>
                <w:b/>
                <w:bCs/>
                <w:strike/>
                <w:color w:val="000000" w:themeColor="text1"/>
                <w:sz w:val="18"/>
                <w:szCs w:val="18"/>
              </w:rPr>
              <w:t>Treatment criteria:</w:t>
            </w:r>
          </w:p>
        </w:tc>
      </w:tr>
      <w:tr w:rsidR="00BA1CCB" w:rsidRPr="00855489" w14:paraId="5D6C5F07" w14:textId="77777777" w:rsidTr="00BA1CCB">
        <w:tc>
          <w:tcPr>
            <w:tcW w:w="5000" w:type="pct"/>
            <w:vAlign w:val="center"/>
            <w:hideMark/>
          </w:tcPr>
          <w:p w14:paraId="159D2D2B" w14:textId="77777777" w:rsidR="00BA1CCB" w:rsidRPr="00855489" w:rsidRDefault="00BA1CCB" w:rsidP="00791F2E">
            <w:pPr>
              <w:autoSpaceDE w:val="0"/>
              <w:autoSpaceDN w:val="0"/>
              <w:adjustRightInd w:val="0"/>
              <w:rPr>
                <w:rFonts w:ascii="Arial Narrow" w:hAnsi="Arial Narrow" w:cs="Arial Narrow"/>
                <w:iCs/>
                <w:color w:val="000000" w:themeColor="text1"/>
                <w:sz w:val="18"/>
                <w:szCs w:val="18"/>
              </w:rPr>
            </w:pPr>
            <w:r w:rsidRPr="00855489">
              <w:rPr>
                <w:rFonts w:ascii="Arial Narrow" w:hAnsi="Arial Narrow" w:cs="Arial Narrow"/>
                <w:iCs/>
                <w:strike/>
                <w:color w:val="000000" w:themeColor="text1"/>
                <w:sz w:val="18"/>
                <w:szCs w:val="18"/>
              </w:rPr>
              <w:t>Patient must not be on a concomitant single agent long-acting-beta-2-agonist (LABA)</w:t>
            </w:r>
          </w:p>
          <w:p w14:paraId="49DA794D" w14:textId="77777777" w:rsidR="00BA1CCB" w:rsidRPr="00855489" w:rsidRDefault="00BA1CCB" w:rsidP="00791F2E">
            <w:pPr>
              <w:autoSpaceDE w:val="0"/>
              <w:autoSpaceDN w:val="0"/>
              <w:adjustRightInd w:val="0"/>
              <w:rPr>
                <w:rFonts w:ascii="Arial Narrow" w:hAnsi="Arial Narrow" w:cs="Arial Narrow"/>
                <w:i/>
                <w:iCs/>
                <w:strike/>
                <w:color w:val="000000" w:themeColor="text1"/>
                <w:sz w:val="18"/>
                <w:szCs w:val="18"/>
              </w:rPr>
            </w:pPr>
            <w:r w:rsidRPr="00855489">
              <w:rPr>
                <w:rFonts w:ascii="Arial Narrow" w:hAnsi="Arial Narrow" w:cs="Arial Narrow"/>
                <w:iCs/>
                <w:strike/>
                <w:color w:val="000000" w:themeColor="text1"/>
                <w:sz w:val="18"/>
                <w:szCs w:val="18"/>
              </w:rPr>
              <w:t>A LABA includes olodaterol, indacaterol, salmeterol, formoterol or vilanterol.</w:t>
            </w:r>
          </w:p>
        </w:tc>
      </w:tr>
      <w:tr w:rsidR="00BA1CCB" w:rsidRPr="00855489" w14:paraId="417C2D1D" w14:textId="77777777" w:rsidTr="00BA1CCB">
        <w:tc>
          <w:tcPr>
            <w:tcW w:w="5000" w:type="pct"/>
            <w:vAlign w:val="center"/>
            <w:hideMark/>
          </w:tcPr>
          <w:p w14:paraId="21868A81" w14:textId="77777777" w:rsidR="00BA1CCB" w:rsidRPr="00855489" w:rsidRDefault="00BA1CCB" w:rsidP="00791F2E">
            <w:pPr>
              <w:rPr>
                <w:rFonts w:ascii="Arial Narrow" w:hAnsi="Arial Narrow"/>
                <w:color w:val="000000" w:themeColor="text1"/>
                <w:sz w:val="18"/>
                <w:szCs w:val="18"/>
              </w:rPr>
            </w:pPr>
            <w:r w:rsidRPr="00855489">
              <w:rPr>
                <w:rFonts w:ascii="Arial Narrow" w:hAnsi="Arial Narrow"/>
                <w:b/>
                <w:bCs/>
                <w:i/>
                <w:color w:val="000000" w:themeColor="text1"/>
                <w:sz w:val="18"/>
                <w:szCs w:val="18"/>
              </w:rPr>
              <w:t xml:space="preserve">Administrative Advice: </w:t>
            </w:r>
            <w:r w:rsidRPr="00855489">
              <w:rPr>
                <w:rFonts w:ascii="Arial Narrow" w:hAnsi="Arial Narrow"/>
                <w:color w:val="000000" w:themeColor="text1"/>
                <w:sz w:val="18"/>
                <w:szCs w:val="18"/>
              </w:rPr>
              <w:t xml:space="preserve">Patient must be aged 18 years or </w:t>
            </w:r>
            <w:r w:rsidRPr="00855489">
              <w:rPr>
                <w:rFonts w:ascii="Arial Narrow" w:hAnsi="Arial Narrow"/>
                <w:i/>
                <w:color w:val="000000" w:themeColor="text1"/>
                <w:sz w:val="18"/>
                <w:szCs w:val="18"/>
              </w:rPr>
              <w:t>older</w:t>
            </w:r>
            <w:r w:rsidRPr="00855489">
              <w:rPr>
                <w:rFonts w:ascii="Arial Narrow" w:hAnsi="Arial Narrow"/>
                <w:color w:val="000000" w:themeColor="text1"/>
                <w:sz w:val="18"/>
                <w:szCs w:val="18"/>
              </w:rPr>
              <w:t xml:space="preserve"> </w:t>
            </w:r>
            <w:r w:rsidRPr="00855489">
              <w:rPr>
                <w:rFonts w:ascii="Arial Narrow" w:hAnsi="Arial Narrow"/>
                <w:strike/>
                <w:color w:val="000000" w:themeColor="text1"/>
                <w:sz w:val="18"/>
                <w:szCs w:val="18"/>
              </w:rPr>
              <w:t>over</w:t>
            </w:r>
            <w:r w:rsidRPr="00855489">
              <w:rPr>
                <w:rFonts w:ascii="Arial Narrow" w:hAnsi="Arial Narrow"/>
                <w:color w:val="000000" w:themeColor="text1"/>
                <w:sz w:val="18"/>
                <w:szCs w:val="18"/>
              </w:rPr>
              <w:t>.</w:t>
            </w:r>
          </w:p>
        </w:tc>
      </w:tr>
      <w:tr w:rsidR="00BA1CCB" w:rsidRPr="00855489" w14:paraId="25AA5424" w14:textId="77777777" w:rsidTr="00BA1CCB">
        <w:tc>
          <w:tcPr>
            <w:tcW w:w="5000" w:type="pct"/>
            <w:vAlign w:val="center"/>
            <w:hideMark/>
          </w:tcPr>
          <w:p w14:paraId="53DB787E" w14:textId="77777777" w:rsidR="00BA1CCB" w:rsidRPr="00855489" w:rsidRDefault="00BA1CCB" w:rsidP="00791F2E">
            <w:pPr>
              <w:rPr>
                <w:rFonts w:ascii="Arial Narrow" w:hAnsi="Arial Narrow"/>
                <w:color w:val="000000" w:themeColor="text1"/>
                <w:sz w:val="18"/>
                <w:szCs w:val="18"/>
              </w:rPr>
            </w:pPr>
            <w:r w:rsidRPr="00855489">
              <w:rPr>
                <w:rFonts w:ascii="Arial Narrow" w:hAnsi="Arial Narrow"/>
                <w:b/>
                <w:bCs/>
                <w:color w:val="000000" w:themeColor="text1"/>
                <w:sz w:val="18"/>
                <w:szCs w:val="18"/>
              </w:rPr>
              <w:t>Administrative Advice:</w:t>
            </w:r>
            <w:r w:rsidRPr="00855489">
              <w:rPr>
                <w:rFonts w:ascii="Arial Narrow" w:hAnsi="Arial Narrow"/>
                <w:bCs/>
                <w:color w:val="000000" w:themeColor="text1"/>
                <w:sz w:val="18"/>
                <w:szCs w:val="18"/>
              </w:rPr>
              <w:t xml:space="preserve"> This product is not indicated for the initiation of treatment in asthma.</w:t>
            </w:r>
          </w:p>
        </w:tc>
      </w:tr>
      <w:tr w:rsidR="00BA1CCB" w:rsidRPr="00855489" w14:paraId="1F5B0161" w14:textId="77777777" w:rsidTr="00BA1CCB">
        <w:tc>
          <w:tcPr>
            <w:tcW w:w="5000" w:type="pct"/>
            <w:vAlign w:val="center"/>
          </w:tcPr>
          <w:p w14:paraId="126A9ECE" w14:textId="77777777" w:rsidR="00BA1CCB" w:rsidRPr="00855489" w:rsidRDefault="00BA1CCB" w:rsidP="00791F2E">
            <w:pPr>
              <w:rPr>
                <w:rFonts w:ascii="Arial Narrow" w:hAnsi="Arial Narrow"/>
                <w:b/>
                <w:bCs/>
                <w:i/>
                <w:color w:val="000000" w:themeColor="text1"/>
                <w:sz w:val="18"/>
                <w:szCs w:val="18"/>
              </w:rPr>
            </w:pPr>
            <w:r w:rsidRPr="00855489">
              <w:rPr>
                <w:rFonts w:ascii="Arial Narrow" w:hAnsi="Arial Narrow"/>
                <w:b/>
                <w:bCs/>
                <w:i/>
                <w:color w:val="000000" w:themeColor="text1"/>
                <w:sz w:val="18"/>
                <w:szCs w:val="18"/>
              </w:rPr>
              <w:t xml:space="preserve">Administrative Advice: </w:t>
            </w:r>
            <w:r w:rsidRPr="00855489">
              <w:rPr>
                <w:rFonts w:ascii="Arial Narrow" w:hAnsi="Arial Narrow"/>
                <w:bCs/>
                <w:i/>
                <w:color w:val="000000" w:themeColor="text1"/>
                <w:sz w:val="18"/>
                <w:szCs w:val="18"/>
              </w:rPr>
              <w:t>This drug is not PBS-subsidised for the treatment of chronic obstructive pulmonary disease (COPD)</w:t>
            </w:r>
          </w:p>
        </w:tc>
      </w:tr>
      <w:tr w:rsidR="00BA1CCB" w:rsidRPr="00855489" w14:paraId="108CA076" w14:textId="77777777" w:rsidTr="00BA1CCB">
        <w:tc>
          <w:tcPr>
            <w:tcW w:w="5000" w:type="pct"/>
            <w:vAlign w:val="center"/>
          </w:tcPr>
          <w:p w14:paraId="0150B717" w14:textId="77777777" w:rsidR="00BA1CCB" w:rsidRPr="00855489" w:rsidRDefault="00BA1CCB" w:rsidP="00791F2E">
            <w:pPr>
              <w:rPr>
                <w:rFonts w:ascii="Arial Narrow" w:hAnsi="Arial Narrow"/>
                <w:b/>
                <w:bCs/>
                <w:color w:val="000000" w:themeColor="text1"/>
                <w:sz w:val="18"/>
                <w:szCs w:val="18"/>
              </w:rPr>
            </w:pPr>
            <w:r w:rsidRPr="00855489">
              <w:rPr>
                <w:rFonts w:ascii="Arial Narrow" w:hAnsi="Arial Narrow"/>
                <w:b/>
                <w:bCs/>
                <w:i/>
                <w:color w:val="000000" w:themeColor="text1"/>
                <w:sz w:val="18"/>
                <w:szCs w:val="18"/>
              </w:rPr>
              <w:t>Administrative Advice:</w:t>
            </w:r>
            <w:r w:rsidRPr="00855489">
              <w:rPr>
                <w:rFonts w:ascii="Arial Narrow" w:hAnsi="Arial Narrow"/>
                <w:b/>
                <w:bCs/>
                <w:color w:val="000000" w:themeColor="text1"/>
                <w:sz w:val="18"/>
                <w:szCs w:val="18"/>
              </w:rPr>
              <w:t xml:space="preserve"> </w:t>
            </w:r>
            <w:r w:rsidRPr="00855489">
              <w:rPr>
                <w:rFonts w:ascii="Arial Narrow" w:hAnsi="Arial Narrow"/>
                <w:bCs/>
                <w:i/>
                <w:color w:val="000000" w:themeColor="text1"/>
                <w:sz w:val="18"/>
                <w:szCs w:val="18"/>
              </w:rPr>
              <w:t>Patient must not be on a concomitant single agent long-acting-beta-2-agonist (LABA)</w:t>
            </w:r>
          </w:p>
        </w:tc>
      </w:tr>
      <w:tr w:rsidR="00BA1CCB" w:rsidRPr="00855489" w14:paraId="27870F29" w14:textId="77777777" w:rsidTr="00BA1CCB">
        <w:tc>
          <w:tcPr>
            <w:tcW w:w="5000" w:type="pct"/>
            <w:vAlign w:val="center"/>
          </w:tcPr>
          <w:p w14:paraId="7DF47DB2" w14:textId="77777777" w:rsidR="00BA1CCB" w:rsidRPr="00855489" w:rsidRDefault="00BA1CCB" w:rsidP="00791F2E">
            <w:pPr>
              <w:rPr>
                <w:rFonts w:ascii="Arial Narrow" w:hAnsi="Arial Narrow"/>
                <w:b/>
                <w:bCs/>
                <w:color w:val="000000" w:themeColor="text1"/>
                <w:sz w:val="18"/>
                <w:szCs w:val="18"/>
              </w:rPr>
            </w:pPr>
            <w:r w:rsidRPr="00855489">
              <w:rPr>
                <w:rFonts w:ascii="Arial Narrow" w:hAnsi="Arial Narrow"/>
                <w:b/>
                <w:bCs/>
                <w:i/>
                <w:color w:val="000000" w:themeColor="text1"/>
                <w:sz w:val="18"/>
                <w:szCs w:val="18"/>
              </w:rPr>
              <w:t>Administrative Advice:</w:t>
            </w:r>
            <w:r w:rsidRPr="00855489">
              <w:rPr>
                <w:rFonts w:ascii="Arial Narrow" w:hAnsi="Arial Narrow"/>
                <w:b/>
                <w:bCs/>
                <w:color w:val="000000" w:themeColor="text1"/>
                <w:sz w:val="18"/>
                <w:szCs w:val="18"/>
              </w:rPr>
              <w:t xml:space="preserve"> </w:t>
            </w:r>
            <w:r w:rsidRPr="00855489">
              <w:rPr>
                <w:rFonts w:ascii="Arial Narrow" w:hAnsi="Arial Narrow"/>
                <w:bCs/>
                <w:i/>
                <w:color w:val="000000" w:themeColor="text1"/>
                <w:sz w:val="18"/>
                <w:szCs w:val="18"/>
              </w:rPr>
              <w:t>A LABA includes olodaterol, indacaterol, salmeterol, formoterol or vilanterol.</w:t>
            </w:r>
          </w:p>
        </w:tc>
      </w:tr>
      <w:tr w:rsidR="00BA1CCB" w:rsidRPr="00855489" w14:paraId="330F08E7" w14:textId="77777777" w:rsidTr="00BA1CCB">
        <w:tc>
          <w:tcPr>
            <w:tcW w:w="5000" w:type="pct"/>
            <w:vAlign w:val="center"/>
            <w:hideMark/>
          </w:tcPr>
          <w:p w14:paraId="035D72F0" w14:textId="77777777" w:rsidR="00BA1CCB" w:rsidRPr="00855489" w:rsidRDefault="00BA1CCB" w:rsidP="00791F2E">
            <w:pPr>
              <w:rPr>
                <w:rFonts w:ascii="Arial Narrow" w:hAnsi="Arial Narrow"/>
                <w:b/>
                <w:bCs/>
                <w:color w:val="000000" w:themeColor="text1"/>
                <w:sz w:val="18"/>
                <w:szCs w:val="18"/>
              </w:rPr>
            </w:pPr>
            <w:r w:rsidRPr="00855489">
              <w:rPr>
                <w:rFonts w:ascii="Arial Narrow" w:hAnsi="Arial Narrow"/>
                <w:b/>
                <w:bCs/>
                <w:color w:val="000000" w:themeColor="text1"/>
                <w:sz w:val="18"/>
                <w:szCs w:val="18"/>
              </w:rPr>
              <w:t xml:space="preserve">Administrative Advice: </w:t>
            </w:r>
            <w:r w:rsidRPr="00855489">
              <w:rPr>
                <w:rFonts w:ascii="Arial Narrow" w:hAnsi="Arial Narrow"/>
                <w:bCs/>
                <w:color w:val="000000" w:themeColor="text1"/>
                <w:sz w:val="18"/>
                <w:szCs w:val="18"/>
              </w:rPr>
              <w:t>Adherence to current treatment and device (inhaler) technique should be reviewed at each clinical visit and before "stepping up" a patient's medication regimen.</w:t>
            </w:r>
          </w:p>
        </w:tc>
      </w:tr>
    </w:tbl>
    <w:p w14:paraId="62D543BB" w14:textId="77777777" w:rsidR="00757084" w:rsidRPr="00855489" w:rsidRDefault="00757084" w:rsidP="006A4889">
      <w:pPr>
        <w:pStyle w:val="3-BodyText"/>
        <w:spacing w:before="120"/>
      </w:pPr>
      <w:r w:rsidRPr="00855489">
        <w:t>The sponsor requested an Authority Required (Streamlined) PBS listing for BEC/FOR, for (i) maintenance treatment of asthma and (ii) MART. No special pricing arrangement was proposed.</w:t>
      </w:r>
    </w:p>
    <w:p w14:paraId="2A945785" w14:textId="77777777" w:rsidR="00757084" w:rsidRPr="00855489" w:rsidRDefault="00757084" w:rsidP="006A4889">
      <w:pPr>
        <w:pStyle w:val="3-BodyText"/>
      </w:pPr>
      <w:r w:rsidRPr="00855489">
        <w:t>There are currently no ICS/LABA FDCs on the PBS containing the combination of BEC/FOR, but both of the individual components are available on the PBS for the treatment of asthma in separate inhalers. BEC is available as two MDI formulations with unrestricted listings (Qvar® and Qvar® Autohaler®) and FOR is available as two DPI formulations with restricted listings (Oxis® Turbuhaler® and Foradile® Aeroliser® single dose DPI capsules).</w:t>
      </w:r>
    </w:p>
    <w:p w14:paraId="17EE4317" w14:textId="77777777" w:rsidR="00757084" w:rsidRPr="00855489" w:rsidRDefault="00757084" w:rsidP="006A4889">
      <w:pPr>
        <w:pStyle w:val="3-BodyText"/>
        <w:rPr>
          <w:iCs/>
        </w:rPr>
      </w:pPr>
      <w:r w:rsidRPr="00855489">
        <w:rPr>
          <w:iCs/>
        </w:rPr>
        <w:t xml:space="preserve">For maintenance treatment, the recommended dose of BEC/FOR is one inhalation twice daily (STEP 3 in the treatment guidelines) or two inhalations twice daily (STEP 4 </w:t>
      </w:r>
      <w:r w:rsidRPr="00855489">
        <w:rPr>
          <w:iCs/>
        </w:rPr>
        <w:lastRenderedPageBreak/>
        <w:t>in the treatment guidelines), and the maximum daily dose for maintenance therapy is 4 inhalations. Therefore, the requested maximum quantities will provide for 60 days of treatment at STEP 3 and 30 days of treatment at STEP 4. The requested five repeats will provide for at least 6 months of treatment at the highest dose. This is consistent with the current PBS listings of alternative ICS/LABA FDC products treatment for asthma.</w:t>
      </w:r>
    </w:p>
    <w:p w14:paraId="2A907E8E" w14:textId="77777777" w:rsidR="00757084" w:rsidRPr="00855489" w:rsidRDefault="00757084" w:rsidP="006A4889">
      <w:pPr>
        <w:pStyle w:val="3-BodyText"/>
        <w:rPr>
          <w:iCs/>
        </w:rPr>
      </w:pPr>
      <w:r w:rsidRPr="00855489">
        <w:rPr>
          <w:iCs/>
        </w:rPr>
        <w:t>For MART, the recommended dose of BEC/FOR is one inhalation twice daily for maintenance and one inhalation as needed in response to symptoms, with a maximum of 8 inhalations per day. The duration of treatment provided by the requested maximum quantities and requested repeats depends on the number of doses used as needed for relief of symptoms. This is consistent with other ICS/LABA FDCs available on the PBS for MART.</w:t>
      </w:r>
    </w:p>
    <w:p w14:paraId="0453E615" w14:textId="77777777" w:rsidR="00757084" w:rsidRPr="00855489" w:rsidRDefault="00757084" w:rsidP="00757084">
      <w:pPr>
        <w:pStyle w:val="3-BodyText"/>
      </w:pPr>
      <w:r w:rsidRPr="00855489">
        <w:t>The requested DPMQ was based on a cost-minimisation analysis to FP/SAL 125/25 MDI but is higher than other relevant comparators (see Economic analysis). T</w:t>
      </w:r>
      <w:r w:rsidRPr="00855489">
        <w:rPr>
          <w:bCs/>
        </w:rPr>
        <w:t>he submission did not provide any justification to support a higher price compared to alternative therapies</w:t>
      </w:r>
      <w:r w:rsidR="00855489">
        <w:rPr>
          <w:bCs/>
        </w:rPr>
        <w:t xml:space="preserve">. </w:t>
      </w:r>
      <w:r w:rsidRPr="00855489">
        <w:rPr>
          <w:bCs/>
        </w:rPr>
        <w:t>Under Section 101(3B) of the National Health Act (1953), the PBAC cannot recommend listing a therapy at a price that is substantially more costly than an alternative therapy unless it is satisfied that the therapy provides, for some patients, a significant improvement in efficacy or reduction in toxicity.</w:t>
      </w:r>
    </w:p>
    <w:p w14:paraId="21AE5499" w14:textId="77777777" w:rsidR="00757084" w:rsidRPr="00855489" w:rsidRDefault="00757084" w:rsidP="00757084">
      <w:pPr>
        <w:pStyle w:val="3-BodyText"/>
      </w:pPr>
      <w:r w:rsidRPr="00855489">
        <w:t>T</w:t>
      </w:r>
      <w:r w:rsidRPr="00855489">
        <w:rPr>
          <w:snapToGrid/>
        </w:rPr>
        <w:t>he requested restriction was based on the current restrictions for ICS/LABA FDCs.</w:t>
      </w:r>
      <w:r w:rsidRPr="00855489">
        <w:t xml:space="preserve"> The following key differences </w:t>
      </w:r>
      <w:r w:rsidR="00BA1CCB" w:rsidRPr="00855489">
        <w:t>we</w:t>
      </w:r>
      <w:r w:rsidRPr="00855489">
        <w:t>re noted:</w:t>
      </w:r>
    </w:p>
    <w:p w14:paraId="37F0486D" w14:textId="77777777" w:rsidR="00757084" w:rsidRPr="00855489" w:rsidRDefault="00757084" w:rsidP="00C547B5">
      <w:pPr>
        <w:pStyle w:val="3-BodyText"/>
        <w:numPr>
          <w:ilvl w:val="0"/>
          <w:numId w:val="5"/>
        </w:numPr>
        <w:ind w:left="1134" w:hanging="425"/>
      </w:pPr>
      <w:r w:rsidRPr="00855489">
        <w:t>Patients must be aged 18 years or over for treatment with BEC/FOR, compared to 4 years for FP/SAL and 12 to 18 years for BUD/FOR depending on the brand;</w:t>
      </w:r>
    </w:p>
    <w:p w14:paraId="18174515" w14:textId="77777777" w:rsidR="00757084" w:rsidRPr="00855489" w:rsidRDefault="00757084" w:rsidP="00C547B5">
      <w:pPr>
        <w:pStyle w:val="3-BodyText"/>
        <w:numPr>
          <w:ilvl w:val="0"/>
          <w:numId w:val="5"/>
        </w:numPr>
        <w:ind w:left="1134" w:hanging="425"/>
      </w:pPr>
      <w:r w:rsidRPr="00855489">
        <w:t>The requested restriction only included one of the two clinical criteria for MART that are included in the current restrictions for relevant ICS/LABA FDCs (e.g. Symbicort® Turbuhaler® 200/6):</w:t>
      </w:r>
    </w:p>
    <w:p w14:paraId="4FC1F50B" w14:textId="77777777" w:rsidR="00757084" w:rsidRPr="00855489" w:rsidRDefault="00757084" w:rsidP="00F417EC">
      <w:pPr>
        <w:pStyle w:val="3-BodyText"/>
        <w:numPr>
          <w:ilvl w:val="0"/>
          <w:numId w:val="0"/>
        </w:numPr>
        <w:ind w:left="1440"/>
      </w:pPr>
      <w:r w:rsidRPr="00855489">
        <w:t>‘Patient must have experienced frequent asthma symptoms while receiving treatment with oral or inhaled corticosteroids and require single maintenance and reliever therapy; OR</w:t>
      </w:r>
    </w:p>
    <w:p w14:paraId="5EE28C99" w14:textId="77777777" w:rsidR="00A830AF" w:rsidRPr="00855489" w:rsidRDefault="00757084" w:rsidP="00A830AF">
      <w:pPr>
        <w:pStyle w:val="3-BodyText"/>
        <w:numPr>
          <w:ilvl w:val="0"/>
          <w:numId w:val="0"/>
        </w:numPr>
        <w:ind w:left="1440"/>
      </w:pPr>
      <w:r w:rsidRPr="00855489">
        <w:t>Patient must have experienced frequent asthma symptoms while receiving treatment with a combination of an inhaled corticosteroid and long acting beta-2 agonist and require single maintenance and reliever therapy.’</w:t>
      </w:r>
    </w:p>
    <w:p w14:paraId="3438AF1C" w14:textId="77777777" w:rsidR="00CE6AE0" w:rsidRPr="00855489" w:rsidRDefault="00CE6AE0" w:rsidP="00CE6AE0">
      <w:pPr>
        <w:pStyle w:val="3-BodyText"/>
        <w:rPr>
          <w:bCs/>
        </w:rPr>
      </w:pPr>
      <w:r w:rsidRPr="00855489">
        <w:rPr>
          <w:bCs/>
        </w:rPr>
        <w:t xml:space="preserve">The PBAC noted that the two clinical criteria for MART listed in paragraph 3.7 would be removed from the restriction if BEC/FOR was not listed for MART. </w:t>
      </w:r>
    </w:p>
    <w:p w14:paraId="7DA2A3BA" w14:textId="77777777" w:rsidR="00055C37" w:rsidRPr="00855489" w:rsidRDefault="00385421" w:rsidP="00133F01">
      <w:pPr>
        <w:pStyle w:val="3-BodyText"/>
      </w:pPr>
      <w:r w:rsidRPr="00855489">
        <w:rPr>
          <w:iCs/>
        </w:rPr>
        <w:t xml:space="preserve">The PBAC noted that, despite being an ICS/LABA FDC containing FOR, BEC/FOR is not TGA approved for anti-inflammatory reliever therapy (see paragraph 4.5). </w:t>
      </w:r>
      <w:r w:rsidRPr="00855489">
        <w:rPr>
          <w:lang w:eastAsia="en-US"/>
        </w:rPr>
        <w:t xml:space="preserve">The PBAC recommended the administrative note ‘This product is not PBS-subsidised for use as </w:t>
      </w:r>
      <w:r w:rsidR="000B18AB" w:rsidRPr="00855489">
        <w:rPr>
          <w:lang w:eastAsia="en-US"/>
        </w:rPr>
        <w:t>“</w:t>
      </w:r>
      <w:r w:rsidRPr="00855489">
        <w:rPr>
          <w:lang w:eastAsia="en-US"/>
        </w:rPr>
        <w:t>anti-inflammatory reliever therapy</w:t>
      </w:r>
      <w:r w:rsidR="000B18AB" w:rsidRPr="00855489">
        <w:rPr>
          <w:lang w:eastAsia="en-US"/>
        </w:rPr>
        <w:t>”</w:t>
      </w:r>
      <w:r w:rsidRPr="00855489">
        <w:rPr>
          <w:lang w:eastAsia="en-US"/>
        </w:rPr>
        <w:t xml:space="preserve"> for mild asthma’ be added to the listing to reduce the risk of inappropriate use of BEC/FOR in mild asthma. </w:t>
      </w:r>
    </w:p>
    <w:p w14:paraId="63701F9D" w14:textId="77777777" w:rsidR="00166B09" w:rsidRPr="00855489" w:rsidRDefault="00166B09" w:rsidP="00166B09">
      <w:pPr>
        <w:pStyle w:val="ListParagraph"/>
        <w:ind w:left="709"/>
        <w:rPr>
          <w:i/>
        </w:rPr>
      </w:pPr>
      <w:r w:rsidRPr="00855489">
        <w:lastRenderedPageBreak/>
        <w:tab/>
      </w:r>
      <w:r w:rsidRPr="00855489">
        <w:rPr>
          <w:i/>
        </w:rPr>
        <w:t>For more detail on PBAC’s view, see section 7 PBAC outcome.</w:t>
      </w:r>
    </w:p>
    <w:p w14:paraId="5F79AC6A" w14:textId="77777777" w:rsidR="00B50DB8" w:rsidRPr="00855489" w:rsidRDefault="00203181" w:rsidP="004E18E9">
      <w:pPr>
        <w:pStyle w:val="2-SectionHeading"/>
      </w:pPr>
      <w:bookmarkStart w:id="7" w:name="_Toc40775722"/>
      <w:bookmarkEnd w:id="4"/>
      <w:r w:rsidRPr="00855489">
        <w:t xml:space="preserve">Population and </w:t>
      </w:r>
      <w:r w:rsidR="008E0D3C" w:rsidRPr="00855489">
        <w:t>d</w:t>
      </w:r>
      <w:r w:rsidRPr="00855489">
        <w:t>isease</w:t>
      </w:r>
      <w:bookmarkEnd w:id="7"/>
    </w:p>
    <w:p w14:paraId="59D84B4D" w14:textId="77777777" w:rsidR="009F31A3" w:rsidRPr="00855489" w:rsidRDefault="00697616" w:rsidP="009F31A3">
      <w:pPr>
        <w:pStyle w:val="3-BodyText"/>
      </w:pPr>
      <w:r w:rsidRPr="00855489">
        <w:t>Asthma is a chronic inflammatory disease of the airways that is defined clinically as the presence of airflow limitation and respiratory symptoms (e.g. wheeze, shortness of breath, cough</w:t>
      </w:r>
      <w:r w:rsidR="00855489">
        <w:t xml:space="preserve"> or</w:t>
      </w:r>
      <w:r w:rsidRPr="00855489">
        <w:t xml:space="preserve"> chest tightness) that vary over time</w:t>
      </w:r>
      <w:r w:rsidR="00A854F5" w:rsidRPr="00855489">
        <w:t xml:space="preserve">. </w:t>
      </w:r>
      <w:bookmarkStart w:id="8" w:name="_Hlk38226648"/>
      <w:r w:rsidR="009F31A3" w:rsidRPr="00855489">
        <w:t xml:space="preserve">The primary goal of asthma pharmacotherapy is to </w:t>
      </w:r>
      <w:r w:rsidR="00A854F5" w:rsidRPr="00855489">
        <w:t>reduce</w:t>
      </w:r>
      <w:r w:rsidR="009F31A3" w:rsidRPr="00855489">
        <w:t xml:space="preserve"> underlying inflammation and promote bronchodilation</w:t>
      </w:r>
      <w:r w:rsidR="00A854F5" w:rsidRPr="00855489">
        <w:t xml:space="preserve">. </w:t>
      </w:r>
      <w:bookmarkEnd w:id="8"/>
    </w:p>
    <w:p w14:paraId="59CDBF48" w14:textId="77777777" w:rsidR="00697616" w:rsidRPr="00855489" w:rsidRDefault="00212826" w:rsidP="00437EEA">
      <w:pPr>
        <w:pStyle w:val="3-BodyText"/>
      </w:pPr>
      <w:r w:rsidRPr="00855489">
        <w:t>Pharmacological management involves a stepwise approach. In the current Australian guidelines, p</w:t>
      </w:r>
      <w:r w:rsidR="00697616" w:rsidRPr="00855489">
        <w:t>atients who experience exacerbations or uncontrolled asthma despite ICS maintenance treatment would initiate low dose ICS/LABA</w:t>
      </w:r>
      <w:r w:rsidR="00D0044C" w:rsidRPr="00855489">
        <w:t xml:space="preserve"> (S</w:t>
      </w:r>
      <w:r w:rsidR="00437EEA" w:rsidRPr="00855489">
        <w:t>TEP</w:t>
      </w:r>
      <w:r w:rsidR="00D0044C" w:rsidRPr="00855489">
        <w:t xml:space="preserve"> 3)</w:t>
      </w:r>
      <w:r w:rsidR="00697616" w:rsidRPr="00855489">
        <w:t>, progressing to medium and high dose ICS/LABA if asthma remains uncontrolled</w:t>
      </w:r>
      <w:r w:rsidR="00D0044C" w:rsidRPr="00855489">
        <w:t xml:space="preserve"> (S</w:t>
      </w:r>
      <w:r w:rsidR="00437EEA" w:rsidRPr="00855489">
        <w:t>TEP</w:t>
      </w:r>
      <w:r w:rsidR="00D0044C" w:rsidRPr="00855489">
        <w:t xml:space="preserve"> 4)</w:t>
      </w:r>
      <w:r w:rsidR="00697616" w:rsidRPr="00855489">
        <w:t>. In addition to regular maintenance treatment to prevent symptoms, patients use as-needed rapid acting bronchodilators,</w:t>
      </w:r>
      <w:r w:rsidR="00EA0032" w:rsidRPr="00855489">
        <w:t xml:space="preserve"> </w:t>
      </w:r>
      <w:r w:rsidR="00697616" w:rsidRPr="00855489">
        <w:t xml:space="preserve">such as short-acting </w:t>
      </w:r>
      <w:r w:rsidR="00EA0032" w:rsidRPr="00855489">
        <w:t>beta2 agonist</w:t>
      </w:r>
      <w:r w:rsidR="00697616" w:rsidRPr="00855489">
        <w:t xml:space="preserve"> (SABA), for relief of symptoms. Under the MART regimen, instead of using a SABA, patients use a low dose ICS/LABA FDC</w:t>
      </w:r>
      <w:r w:rsidR="009929C5" w:rsidRPr="00855489">
        <w:t xml:space="preserve"> (containing FOR)</w:t>
      </w:r>
      <w:r w:rsidR="00697616" w:rsidRPr="00855489">
        <w:t xml:space="preserve"> </w:t>
      </w:r>
      <w:r w:rsidR="00EA0032" w:rsidRPr="00855489">
        <w:t>for</w:t>
      </w:r>
      <w:r w:rsidR="00697616" w:rsidRPr="00855489">
        <w:t xml:space="preserve"> both for maintenance treatment and as-needed for relief of symptoms.</w:t>
      </w:r>
    </w:p>
    <w:p w14:paraId="45302617" w14:textId="77777777" w:rsidR="0011368B" w:rsidRPr="00855489" w:rsidRDefault="00A854F5" w:rsidP="004C6C55">
      <w:pPr>
        <w:pStyle w:val="3-BodyText"/>
      </w:pPr>
      <w:r w:rsidRPr="00855489">
        <w:t xml:space="preserve">BEC/FOR </w:t>
      </w:r>
      <w:r w:rsidR="00B5230B" w:rsidRPr="00855489">
        <w:t xml:space="preserve">is a low dose ICS/LABA </w:t>
      </w:r>
      <w:r w:rsidRPr="00855489">
        <w:t xml:space="preserve">FDC </w:t>
      </w:r>
      <w:r w:rsidRPr="00855489">
        <w:rPr>
          <w:szCs w:val="22"/>
        </w:rPr>
        <w:t xml:space="preserve">delivered via a hydrofluoroalkane pressurised MDI, with a total of 120 actuations. </w:t>
      </w:r>
      <w:r w:rsidR="00B5230B" w:rsidRPr="00855489">
        <w:rPr>
          <w:szCs w:val="22"/>
        </w:rPr>
        <w:t xml:space="preserve">It </w:t>
      </w:r>
      <w:r w:rsidR="0011368B" w:rsidRPr="00855489">
        <w:t xml:space="preserve">contains an extrafine particle size formulation of BEC, which produces a more potent effect than non-extrafine formulations of BEC. </w:t>
      </w:r>
      <w:r w:rsidR="001975C9" w:rsidRPr="00855489">
        <w:rPr>
          <w:iCs/>
        </w:rPr>
        <w:t>The PBAC has accepted that a</w:t>
      </w:r>
      <w:r w:rsidR="00B5230B" w:rsidRPr="00855489">
        <w:rPr>
          <w:iCs/>
        </w:rPr>
        <w:t xml:space="preserve"> dose of</w:t>
      </w:r>
      <w:r w:rsidR="0011368B" w:rsidRPr="00855489">
        <w:rPr>
          <w:iCs/>
        </w:rPr>
        <w:t xml:space="preserve"> 100 </w:t>
      </w:r>
      <w:r w:rsidR="008C0C95" w:rsidRPr="00855489">
        <w:rPr>
          <w:iCs/>
        </w:rPr>
        <w:t>mcg</w:t>
      </w:r>
      <w:r w:rsidR="0011368B" w:rsidRPr="00855489">
        <w:rPr>
          <w:iCs/>
        </w:rPr>
        <w:t xml:space="preserve"> extrafine BEC is equivalent to 250 </w:t>
      </w:r>
      <w:r w:rsidR="008C0C95" w:rsidRPr="00855489">
        <w:rPr>
          <w:iCs/>
        </w:rPr>
        <w:t>mcg</w:t>
      </w:r>
      <w:r w:rsidR="0011368B" w:rsidRPr="00855489">
        <w:rPr>
          <w:iCs/>
        </w:rPr>
        <w:t xml:space="preserve"> non-extrafine BEC</w:t>
      </w:r>
      <w:r w:rsidR="00855489">
        <w:rPr>
          <w:iCs/>
        </w:rPr>
        <w:t xml:space="preserve">. </w:t>
      </w:r>
      <w:r w:rsidR="00E70C6F" w:rsidRPr="00855489">
        <w:t xml:space="preserve">All BEC inhalers available on the PBS are extrafine formulations (Qvar® 50 or 100 and </w:t>
      </w:r>
      <w:r w:rsidR="00882177" w:rsidRPr="00855489">
        <w:t>Qvar® Auto</w:t>
      </w:r>
      <w:r w:rsidR="004C6C55" w:rsidRPr="00855489">
        <w:t>haler® 50 or 100</w:t>
      </w:r>
      <w:r w:rsidR="00E70C6F" w:rsidRPr="00855489">
        <w:t xml:space="preserve">); non-extrafine </w:t>
      </w:r>
      <w:r w:rsidR="00E845B5" w:rsidRPr="00855489">
        <w:t xml:space="preserve">inhalers </w:t>
      </w:r>
      <w:r w:rsidR="00E70C6F" w:rsidRPr="00855489">
        <w:t>were delisted in 2002.</w:t>
      </w:r>
    </w:p>
    <w:p w14:paraId="633220A3" w14:textId="77777777" w:rsidR="00D72B4A" w:rsidRPr="00855489" w:rsidRDefault="00D72B4A" w:rsidP="006C373B">
      <w:pPr>
        <w:pStyle w:val="3-BodyText"/>
      </w:pPr>
      <w:r w:rsidRPr="00855489">
        <w:t xml:space="preserve">At a dose of one inhalation twice daily, </w:t>
      </w:r>
      <w:r w:rsidR="006B7606" w:rsidRPr="00855489">
        <w:t>BEC/FOR</w:t>
      </w:r>
      <w:r w:rsidRPr="00855489">
        <w:t xml:space="preserve"> </w:t>
      </w:r>
      <w:r w:rsidR="00E845B5" w:rsidRPr="00855489">
        <w:t xml:space="preserve">is an alternative </w:t>
      </w:r>
      <w:r w:rsidRPr="00855489">
        <w:t xml:space="preserve">low dose ICS/LABA </w:t>
      </w:r>
      <w:r w:rsidR="001975C9" w:rsidRPr="00855489">
        <w:t xml:space="preserve">FDC </w:t>
      </w:r>
      <w:r w:rsidRPr="00855489">
        <w:t>in S</w:t>
      </w:r>
      <w:r w:rsidR="00437EEA" w:rsidRPr="00855489">
        <w:t>TEP</w:t>
      </w:r>
      <w:r w:rsidRPr="00855489">
        <w:t xml:space="preserve"> 3 </w:t>
      </w:r>
      <w:r w:rsidR="00E845B5" w:rsidRPr="00855489">
        <w:t xml:space="preserve">of the treatment algorithm </w:t>
      </w:r>
      <w:r w:rsidRPr="00855489">
        <w:t>(which includes MART with low dose BUD/FOR)</w:t>
      </w:r>
      <w:r w:rsidR="00E845B5" w:rsidRPr="00855489">
        <w:t xml:space="preserve">. </w:t>
      </w:r>
      <w:r w:rsidR="006B7606" w:rsidRPr="00855489">
        <w:t>BEC/FOR</w:t>
      </w:r>
      <w:r w:rsidR="00E845B5" w:rsidRPr="00855489">
        <w:t xml:space="preserve"> may </w:t>
      </w:r>
      <w:r w:rsidR="00042074" w:rsidRPr="00855489">
        <w:t xml:space="preserve">also </w:t>
      </w:r>
      <w:r w:rsidR="00E845B5" w:rsidRPr="00855489">
        <w:t xml:space="preserve">substitute for </w:t>
      </w:r>
      <w:r w:rsidRPr="00855489">
        <w:t>medium</w:t>
      </w:r>
      <w:r w:rsidR="00E845B5" w:rsidRPr="00855489">
        <w:t xml:space="preserve"> </w:t>
      </w:r>
      <w:r w:rsidRPr="00855489">
        <w:t xml:space="preserve">dose ICS/LABA </w:t>
      </w:r>
      <w:r w:rsidR="001975C9" w:rsidRPr="00855489">
        <w:t xml:space="preserve">FDCs </w:t>
      </w:r>
      <w:r w:rsidRPr="00855489">
        <w:t>in S</w:t>
      </w:r>
      <w:r w:rsidR="00437EEA" w:rsidRPr="00855489">
        <w:t>TEP</w:t>
      </w:r>
      <w:r w:rsidRPr="00855489">
        <w:t xml:space="preserve"> 4</w:t>
      </w:r>
      <w:r w:rsidR="00E845B5" w:rsidRPr="00855489">
        <w:t xml:space="preserve"> of the treatment algorithm</w:t>
      </w:r>
      <w:r w:rsidR="00042074" w:rsidRPr="00855489">
        <w:t xml:space="preserve"> at a dose of two inhalations twice daily</w:t>
      </w:r>
      <w:r w:rsidRPr="00855489">
        <w:t>.</w:t>
      </w:r>
      <w:r w:rsidR="00E845B5" w:rsidRPr="00855489">
        <w:t xml:space="preserve"> </w:t>
      </w:r>
      <w:r w:rsidR="003C7AA6" w:rsidRPr="00855489">
        <w:rPr>
          <w:iCs/>
        </w:rPr>
        <w:t xml:space="preserve">The Australian </w:t>
      </w:r>
      <w:r w:rsidR="0016206E" w:rsidRPr="00855489">
        <w:rPr>
          <w:iCs/>
        </w:rPr>
        <w:t xml:space="preserve">Asthma Handbook </w:t>
      </w:r>
      <w:r w:rsidR="003C7AA6" w:rsidRPr="00855489">
        <w:rPr>
          <w:iCs/>
        </w:rPr>
        <w:t xml:space="preserve">and </w:t>
      </w:r>
      <w:r w:rsidR="0016206E" w:rsidRPr="00855489">
        <w:rPr>
          <w:iCs/>
        </w:rPr>
        <w:t xml:space="preserve">Global Initiative for Asthma (GINA) </w:t>
      </w:r>
      <w:r w:rsidR="003C7AA6" w:rsidRPr="00855489">
        <w:rPr>
          <w:iCs/>
        </w:rPr>
        <w:t>guidelines cla</w:t>
      </w:r>
      <w:r w:rsidR="0016206E" w:rsidRPr="00855489">
        <w:rPr>
          <w:iCs/>
        </w:rPr>
        <w:t>ssify BEC 200 mcg per day as a ‘low’</w:t>
      </w:r>
      <w:r w:rsidR="003C7AA6" w:rsidRPr="00855489">
        <w:rPr>
          <w:iCs/>
        </w:rPr>
        <w:t xml:space="preserve"> dose IC</w:t>
      </w:r>
      <w:r w:rsidR="0016206E" w:rsidRPr="00855489">
        <w:rPr>
          <w:iCs/>
        </w:rPr>
        <w:t>S and BEC 400 mcg per day as a ‘medium’</w:t>
      </w:r>
      <w:r w:rsidR="003C7AA6" w:rsidRPr="00855489">
        <w:rPr>
          <w:iCs/>
        </w:rPr>
        <w:t xml:space="preserve"> dose ICS (at the upper dosage range). </w:t>
      </w:r>
      <w:r w:rsidR="00E845B5" w:rsidRPr="00855489">
        <w:rPr>
          <w:iCs/>
        </w:rPr>
        <w:t xml:space="preserve">The equi-effective doses presented in the submission are based on </w:t>
      </w:r>
      <w:r w:rsidR="00914021" w:rsidRPr="00855489">
        <w:rPr>
          <w:iCs/>
        </w:rPr>
        <w:t xml:space="preserve">medium dose </w:t>
      </w:r>
      <w:r w:rsidR="00E845B5" w:rsidRPr="00855489">
        <w:rPr>
          <w:iCs/>
        </w:rPr>
        <w:t xml:space="preserve">BEC/FOR </w:t>
      </w:r>
      <w:r w:rsidR="00914021" w:rsidRPr="00855489">
        <w:rPr>
          <w:iCs/>
        </w:rPr>
        <w:t>(</w:t>
      </w:r>
      <w:r w:rsidR="000B1185" w:rsidRPr="00855489">
        <w:rPr>
          <w:iCs/>
        </w:rPr>
        <w:t xml:space="preserve">i.e. </w:t>
      </w:r>
      <w:r w:rsidR="000D306F" w:rsidRPr="00855489">
        <w:rPr>
          <w:iCs/>
        </w:rPr>
        <w:t xml:space="preserve">BEC/FOR </w:t>
      </w:r>
      <w:r w:rsidR="00E845B5" w:rsidRPr="00855489">
        <w:rPr>
          <w:iCs/>
        </w:rPr>
        <w:t>100/6 two inhalations twice daily</w:t>
      </w:r>
      <w:r w:rsidR="00914021" w:rsidRPr="00855489">
        <w:rPr>
          <w:iCs/>
        </w:rPr>
        <w:t>)</w:t>
      </w:r>
      <w:r w:rsidR="00E845B5" w:rsidRPr="00855489">
        <w:rPr>
          <w:iCs/>
        </w:rPr>
        <w:t xml:space="preserve"> versus medium doses of the nominated comparators</w:t>
      </w:r>
      <w:r w:rsidR="0016206E" w:rsidRPr="00855489">
        <w:rPr>
          <w:iCs/>
        </w:rPr>
        <w:t>, corresponding to STEP 4 in the treatment algorithm</w:t>
      </w:r>
      <w:r w:rsidR="00E845B5" w:rsidRPr="00855489">
        <w:rPr>
          <w:iCs/>
        </w:rPr>
        <w:t>.</w:t>
      </w:r>
    </w:p>
    <w:p w14:paraId="151AF6B8" w14:textId="77777777" w:rsidR="002A7092" w:rsidRPr="00855489" w:rsidRDefault="002A7092" w:rsidP="00BC629F">
      <w:pPr>
        <w:pStyle w:val="3-BodyText"/>
      </w:pPr>
      <w:r w:rsidRPr="00855489">
        <w:t>The</w:t>
      </w:r>
      <w:r w:rsidR="00D0044C" w:rsidRPr="00855489">
        <w:t xml:space="preserve">re was a recent change </w:t>
      </w:r>
      <w:r w:rsidRPr="00855489">
        <w:t xml:space="preserve">to the stepwise approach in the </w:t>
      </w:r>
      <w:r w:rsidR="0016206E" w:rsidRPr="00855489">
        <w:t>GINA</w:t>
      </w:r>
      <w:r w:rsidRPr="00855489">
        <w:t xml:space="preserve"> </w:t>
      </w:r>
      <w:r w:rsidR="00CD401D" w:rsidRPr="00855489">
        <w:t>guideline</w:t>
      </w:r>
      <w:r w:rsidR="0016206E" w:rsidRPr="00855489">
        <w:t>s</w:t>
      </w:r>
      <w:r w:rsidR="00CD401D" w:rsidRPr="00855489">
        <w:t xml:space="preserve"> </w:t>
      </w:r>
      <w:r w:rsidRPr="00855489">
        <w:t xml:space="preserve">(2019), with relevance to the current submission. The guidelines now recommend that patients can initiate asthma treatment with as-needed low dose ICS/LABA FDCs containing FOR. </w:t>
      </w:r>
      <w:r w:rsidR="00D47949" w:rsidRPr="00855489">
        <w:rPr>
          <w:iCs/>
        </w:rPr>
        <w:t xml:space="preserve">The </w:t>
      </w:r>
      <w:r w:rsidR="00DF680E" w:rsidRPr="00855489">
        <w:rPr>
          <w:iCs/>
        </w:rPr>
        <w:t xml:space="preserve">product information (PI) of BEC/FOR states that </w:t>
      </w:r>
      <w:r w:rsidR="00BC629F" w:rsidRPr="00855489">
        <w:rPr>
          <w:iCs/>
        </w:rPr>
        <w:t>“</w:t>
      </w:r>
      <w:r w:rsidR="00DF680E" w:rsidRPr="00855489">
        <w:rPr>
          <w:iCs/>
        </w:rPr>
        <w:t>FOSTAIR is not intended for the initial management of asthma</w:t>
      </w:r>
      <w:r w:rsidR="00BC629F" w:rsidRPr="00855489">
        <w:rPr>
          <w:iCs/>
        </w:rPr>
        <w:t>”</w:t>
      </w:r>
      <w:r w:rsidR="00DF680E" w:rsidRPr="00855489">
        <w:rPr>
          <w:iCs/>
        </w:rPr>
        <w:t xml:space="preserve">, </w:t>
      </w:r>
      <w:r w:rsidR="00412326" w:rsidRPr="00855489">
        <w:rPr>
          <w:iCs/>
        </w:rPr>
        <w:t xml:space="preserve">which is consistent with the requested indication. In contrast, the PI of </w:t>
      </w:r>
      <w:r w:rsidR="00DF680E" w:rsidRPr="00855489">
        <w:rPr>
          <w:iCs/>
        </w:rPr>
        <w:t>BUD/FOR (Symbicort®</w:t>
      </w:r>
      <w:r w:rsidR="00E51ED0" w:rsidRPr="00855489">
        <w:rPr>
          <w:iCs/>
        </w:rPr>
        <w:t xml:space="preserve"> Turbuhaler® 200/6 and Symbicort® Rapihaler® 100/3 only)</w:t>
      </w:r>
      <w:r w:rsidR="00DF680E" w:rsidRPr="00855489">
        <w:rPr>
          <w:iCs/>
        </w:rPr>
        <w:t xml:space="preserve"> </w:t>
      </w:r>
      <w:r w:rsidR="00412326" w:rsidRPr="00855489">
        <w:rPr>
          <w:iCs/>
        </w:rPr>
        <w:t xml:space="preserve">includes use </w:t>
      </w:r>
      <w:r w:rsidR="00BC629F" w:rsidRPr="00855489">
        <w:rPr>
          <w:iCs/>
        </w:rPr>
        <w:t>as</w:t>
      </w:r>
      <w:r w:rsidR="00412326" w:rsidRPr="00855489">
        <w:rPr>
          <w:iCs/>
        </w:rPr>
        <w:t xml:space="preserve"> </w:t>
      </w:r>
      <w:r w:rsidR="00E51ED0" w:rsidRPr="00855489">
        <w:rPr>
          <w:iCs/>
        </w:rPr>
        <w:t>anti-inflammatory reliever therapy</w:t>
      </w:r>
      <w:r w:rsidR="00412326" w:rsidRPr="00855489">
        <w:rPr>
          <w:iCs/>
        </w:rPr>
        <w:t xml:space="preserve"> in patients with mild asthma. In November 2019, the PBAC recommended </w:t>
      </w:r>
      <w:r w:rsidR="00412326" w:rsidRPr="00855489">
        <w:rPr>
          <w:iCs/>
        </w:rPr>
        <w:lastRenderedPageBreak/>
        <w:t xml:space="preserve">listing of BUD/FOR (Symbicort® Turbuhaler® 200/6 and Symbicort® Rapihaler® 100/3 only) for use as an anti-inflammatory reliever therapy </w:t>
      </w:r>
      <w:r w:rsidR="00BF30EE" w:rsidRPr="00855489">
        <w:rPr>
          <w:iCs/>
        </w:rPr>
        <w:t>for the</w:t>
      </w:r>
      <w:r w:rsidR="00412326" w:rsidRPr="00855489">
        <w:rPr>
          <w:iCs/>
        </w:rPr>
        <w:t xml:space="preserve"> </w:t>
      </w:r>
      <w:r w:rsidR="00BF30EE" w:rsidRPr="00855489">
        <w:rPr>
          <w:iCs/>
        </w:rPr>
        <w:t>(</w:t>
      </w:r>
      <w:r w:rsidR="00412326" w:rsidRPr="00855489">
        <w:rPr>
          <w:iCs/>
        </w:rPr>
        <w:t>initial</w:t>
      </w:r>
      <w:r w:rsidR="00BF30EE" w:rsidRPr="00855489">
        <w:rPr>
          <w:iCs/>
        </w:rPr>
        <w:t>)</w:t>
      </w:r>
      <w:r w:rsidR="00412326" w:rsidRPr="00855489">
        <w:rPr>
          <w:iCs/>
        </w:rPr>
        <w:t xml:space="preserve"> mana</w:t>
      </w:r>
      <w:r w:rsidR="00BF30EE" w:rsidRPr="00855489">
        <w:rPr>
          <w:iCs/>
        </w:rPr>
        <w:t>gem</w:t>
      </w:r>
      <w:r w:rsidR="00412326" w:rsidRPr="00855489">
        <w:rPr>
          <w:iCs/>
        </w:rPr>
        <w:t xml:space="preserve">ent of </w:t>
      </w:r>
      <w:r w:rsidR="00BF30EE" w:rsidRPr="00855489">
        <w:rPr>
          <w:iCs/>
        </w:rPr>
        <w:t xml:space="preserve">mild </w:t>
      </w:r>
      <w:r w:rsidR="00412326" w:rsidRPr="00855489">
        <w:rPr>
          <w:iCs/>
        </w:rPr>
        <w:t>asthma</w:t>
      </w:r>
      <w:r w:rsidR="00BF30EE" w:rsidRPr="00855489">
        <w:rPr>
          <w:iCs/>
        </w:rPr>
        <w:t xml:space="preserve"> in adolescents and adults (paragraph 5.1, BUD/FOR FDC, Public Summary Document, November 2019 PBAC meeting)</w:t>
      </w:r>
      <w:r w:rsidR="00412326" w:rsidRPr="00855489">
        <w:rPr>
          <w:iCs/>
        </w:rPr>
        <w:t>.</w:t>
      </w:r>
      <w:r w:rsidR="00CE6AE0" w:rsidRPr="00855489">
        <w:rPr>
          <w:iCs/>
        </w:rPr>
        <w:t xml:space="preserve"> </w:t>
      </w:r>
      <w:r w:rsidR="00AB6A54" w:rsidRPr="00855489">
        <w:rPr>
          <w:iCs/>
        </w:rPr>
        <w:t xml:space="preserve">The PBAC noted that the </w:t>
      </w:r>
      <w:r w:rsidR="00AB6A54" w:rsidRPr="00855489">
        <w:rPr>
          <w:snapToGrid/>
        </w:rPr>
        <w:t>updated Australian Asthma Handbook to be published in July 2020 will include BUD/FOR use as anti-inflammatory reliever therapy in patients with mild asthma.</w:t>
      </w:r>
      <w:r w:rsidR="00AB6A54" w:rsidRPr="00855489">
        <w:rPr>
          <w:rStyle w:val="FootnoteReference"/>
          <w:snapToGrid/>
        </w:rPr>
        <w:footnoteReference w:id="1"/>
      </w:r>
      <w:r w:rsidR="00AB6A54" w:rsidRPr="00855489">
        <w:rPr>
          <w:snapToGrid/>
        </w:rPr>
        <w:t xml:space="preserve"> </w:t>
      </w:r>
    </w:p>
    <w:p w14:paraId="46779ABB" w14:textId="77777777" w:rsidR="00166B09" w:rsidRPr="00855489" w:rsidRDefault="00166B09" w:rsidP="00166B09">
      <w:pPr>
        <w:pStyle w:val="ListParagraph"/>
        <w:ind w:left="709"/>
        <w:rPr>
          <w:i/>
        </w:rPr>
      </w:pPr>
      <w:r w:rsidRPr="00855489">
        <w:rPr>
          <w:i/>
        </w:rPr>
        <w:t>For more detail on PBAC’s view, see section 7 PBAC outcome.</w:t>
      </w:r>
    </w:p>
    <w:p w14:paraId="7577C003" w14:textId="77777777" w:rsidR="00B50DB8" w:rsidRPr="00855489" w:rsidRDefault="00B50DB8" w:rsidP="004E18E9">
      <w:pPr>
        <w:pStyle w:val="2-SectionHeading"/>
      </w:pPr>
      <w:bookmarkStart w:id="9" w:name="_Toc40775723"/>
      <w:r w:rsidRPr="00855489">
        <w:t>Comparator</w:t>
      </w:r>
      <w:bookmarkEnd w:id="9"/>
    </w:p>
    <w:p w14:paraId="0E0E2941" w14:textId="77777777" w:rsidR="00CF567C" w:rsidRPr="00855489" w:rsidRDefault="00CF567C" w:rsidP="009C78FD">
      <w:pPr>
        <w:pStyle w:val="3-BodyText"/>
      </w:pPr>
      <w:r w:rsidRPr="00855489">
        <w:t xml:space="preserve">The submission </w:t>
      </w:r>
      <w:r w:rsidRPr="00855489">
        <w:rPr>
          <w:iCs/>
        </w:rPr>
        <w:t>appropriately</w:t>
      </w:r>
      <w:r w:rsidRPr="00855489">
        <w:t xml:space="preserve"> acknowledged that BEC/FOR</w:t>
      </w:r>
      <w:r w:rsidR="00E80C02" w:rsidRPr="00855489">
        <w:t xml:space="preserve"> </w:t>
      </w:r>
      <w:r w:rsidR="00D975A5" w:rsidRPr="00855489">
        <w:t>would</w:t>
      </w:r>
      <w:r w:rsidRPr="00855489">
        <w:t xml:space="preserve"> substitute for all available ICS/LABA FDCs on the PBS at </w:t>
      </w:r>
      <w:r w:rsidR="00D975A5" w:rsidRPr="00855489">
        <w:t xml:space="preserve">comparable </w:t>
      </w:r>
      <w:r w:rsidRPr="00855489">
        <w:t>doses, including both MDI and DPI formulations. For the clinical comparison, the submission nominated the following relevant comparators</w:t>
      </w:r>
      <w:r w:rsidR="00FF3D1A" w:rsidRPr="00855489">
        <w:t xml:space="preserve"> in the following </w:t>
      </w:r>
      <w:r w:rsidR="003E46C8" w:rsidRPr="00855489">
        <w:t xml:space="preserve">preferred </w:t>
      </w:r>
      <w:r w:rsidR="00FF3D1A" w:rsidRPr="00855489">
        <w:t>order:</w:t>
      </w:r>
    </w:p>
    <w:p w14:paraId="50516752" w14:textId="77777777" w:rsidR="00CF567C" w:rsidRPr="00855489" w:rsidRDefault="009C78FD" w:rsidP="00C547B5">
      <w:pPr>
        <w:pStyle w:val="3-BodyText"/>
        <w:numPr>
          <w:ilvl w:val="0"/>
          <w:numId w:val="5"/>
        </w:numPr>
        <w:ind w:left="1134" w:hanging="425"/>
      </w:pPr>
      <w:r w:rsidRPr="00855489">
        <w:t>FP/SAL FDC</w:t>
      </w:r>
      <w:r w:rsidR="00CF567C" w:rsidRPr="00855489">
        <w:t xml:space="preserve"> </w:t>
      </w:r>
      <w:r w:rsidRPr="00855489">
        <w:t xml:space="preserve">including </w:t>
      </w:r>
      <w:r w:rsidR="00CF567C" w:rsidRPr="00855489">
        <w:t>FP/SAL 125/25 MDI</w:t>
      </w:r>
      <w:r w:rsidR="00AE3D22" w:rsidRPr="00855489">
        <w:t xml:space="preserve"> </w:t>
      </w:r>
      <w:r w:rsidRPr="00855489">
        <w:t xml:space="preserve">in the trial evidence, and </w:t>
      </w:r>
      <w:r w:rsidR="00CF567C" w:rsidRPr="00855489">
        <w:t>FP/SAL 250/50 DPI</w:t>
      </w:r>
      <w:r w:rsidRPr="00855489">
        <w:t xml:space="preserve"> in practice.</w:t>
      </w:r>
    </w:p>
    <w:p w14:paraId="5DF5A448" w14:textId="77777777" w:rsidR="00CF567C" w:rsidRPr="00855489" w:rsidRDefault="009C78FD" w:rsidP="00C547B5">
      <w:pPr>
        <w:pStyle w:val="3-BodyText"/>
        <w:numPr>
          <w:ilvl w:val="0"/>
          <w:numId w:val="5"/>
        </w:numPr>
        <w:ind w:left="1134" w:hanging="425"/>
      </w:pPr>
      <w:r w:rsidRPr="00855489">
        <w:t>BUD/FOR FDC</w:t>
      </w:r>
      <w:r w:rsidR="00CF567C" w:rsidRPr="00855489">
        <w:t xml:space="preserve"> </w:t>
      </w:r>
      <w:r w:rsidRPr="00855489">
        <w:t xml:space="preserve">including </w:t>
      </w:r>
      <w:r w:rsidR="00CF567C" w:rsidRPr="00855489">
        <w:t>BUD/FOR 200/6 DPI</w:t>
      </w:r>
      <w:r w:rsidR="00AE3D22" w:rsidRPr="00855489">
        <w:t xml:space="preserve"> </w:t>
      </w:r>
      <w:r w:rsidRPr="00855489">
        <w:t>in the trial evidence and BUD/FOR 200/6 MDI in practice</w:t>
      </w:r>
      <w:r w:rsidR="00CF567C" w:rsidRPr="00855489">
        <w:t>.</w:t>
      </w:r>
      <w:r w:rsidR="009870C3" w:rsidRPr="00855489">
        <w:t xml:space="preserve"> </w:t>
      </w:r>
    </w:p>
    <w:p w14:paraId="33AC42C9" w14:textId="77777777" w:rsidR="009C78FD" w:rsidRPr="00855489" w:rsidRDefault="009C78FD" w:rsidP="00C547B5">
      <w:pPr>
        <w:pStyle w:val="3-BodyText"/>
        <w:numPr>
          <w:ilvl w:val="0"/>
          <w:numId w:val="5"/>
        </w:numPr>
        <w:ind w:left="1134" w:hanging="425"/>
      </w:pPr>
      <w:r w:rsidRPr="00855489">
        <w:t xml:space="preserve">BEC + FOR administered concomitantly via separate inhalers. </w:t>
      </w:r>
      <w:r w:rsidRPr="00855489">
        <w:rPr>
          <w:iCs/>
        </w:rPr>
        <w:t xml:space="preserve">This comparison was informed by BEC 250 </w:t>
      </w:r>
      <w:r w:rsidR="00B82603" w:rsidRPr="00855489">
        <w:rPr>
          <w:iCs/>
        </w:rPr>
        <w:t xml:space="preserve">MDI </w:t>
      </w:r>
      <w:r w:rsidRPr="00855489">
        <w:rPr>
          <w:iCs/>
        </w:rPr>
        <w:t>(</w:t>
      </w:r>
      <w:r w:rsidR="005A6F05" w:rsidRPr="00855489">
        <w:rPr>
          <w:iCs/>
        </w:rPr>
        <w:t xml:space="preserve">Becloforte®, </w:t>
      </w:r>
      <w:r w:rsidRPr="00855489">
        <w:rPr>
          <w:iCs/>
        </w:rPr>
        <w:t xml:space="preserve">non-extrafine formulation, not PBS listed) + FOR 12 DPI capsules </w:t>
      </w:r>
      <w:r w:rsidR="005A6F05" w:rsidRPr="00855489">
        <w:rPr>
          <w:iCs/>
        </w:rPr>
        <w:t>(Foradil</w:t>
      </w:r>
      <w:r w:rsidR="00882177" w:rsidRPr="00855489">
        <w:rPr>
          <w:iCs/>
        </w:rPr>
        <w:t>e</w:t>
      </w:r>
      <w:r w:rsidR="005A6F05" w:rsidRPr="00855489">
        <w:rPr>
          <w:iCs/>
        </w:rPr>
        <w:t xml:space="preserve">® Aerolizer®) </w:t>
      </w:r>
      <w:r w:rsidRPr="00855489">
        <w:rPr>
          <w:iCs/>
        </w:rPr>
        <w:t xml:space="preserve">in the clinical evidence, but assumed as BEC 100 </w:t>
      </w:r>
      <w:r w:rsidR="005A6F05" w:rsidRPr="00855489">
        <w:rPr>
          <w:iCs/>
        </w:rPr>
        <w:t xml:space="preserve">(Qvar® Autohaler®) </w:t>
      </w:r>
      <w:r w:rsidRPr="00855489">
        <w:rPr>
          <w:iCs/>
        </w:rPr>
        <w:t xml:space="preserve">+ FOR 6 </w:t>
      </w:r>
      <w:r w:rsidR="005A6F05" w:rsidRPr="00855489">
        <w:rPr>
          <w:iCs/>
        </w:rPr>
        <w:t xml:space="preserve">(Oxis® Turbuhaler®) </w:t>
      </w:r>
      <w:r w:rsidRPr="00855489">
        <w:rPr>
          <w:iCs/>
        </w:rPr>
        <w:t>in the cost-minimisation analysis.</w:t>
      </w:r>
    </w:p>
    <w:p w14:paraId="728AF0AF" w14:textId="77777777" w:rsidR="00CF567C" w:rsidRPr="00855489" w:rsidRDefault="00CF567C" w:rsidP="00CD32A8">
      <w:pPr>
        <w:pStyle w:val="3-BodyText"/>
        <w:rPr>
          <w:iCs/>
        </w:rPr>
      </w:pPr>
      <w:r w:rsidRPr="00855489">
        <w:t xml:space="preserve">Other relevant comparisons identified by the submission included (i) FP/FOR </w:t>
      </w:r>
      <w:r w:rsidR="00AF2360" w:rsidRPr="00855489">
        <w:t>125/5</w:t>
      </w:r>
      <w:r w:rsidRPr="00855489">
        <w:t xml:space="preserve"> and (ii) fluticasone furoate (FF)/vilanterol (VIL) 100/25. </w:t>
      </w:r>
      <w:r w:rsidRPr="00855489">
        <w:rPr>
          <w:iCs/>
        </w:rPr>
        <w:t xml:space="preserve">The submission referred to </w:t>
      </w:r>
      <w:r w:rsidR="005A6F05" w:rsidRPr="00855489">
        <w:rPr>
          <w:iCs/>
        </w:rPr>
        <w:t>FP/FOR and FF/VIL</w:t>
      </w:r>
      <w:r w:rsidRPr="00855489">
        <w:rPr>
          <w:iCs/>
        </w:rPr>
        <w:t xml:space="preserve"> as </w:t>
      </w:r>
      <w:r w:rsidR="006B4D21" w:rsidRPr="00855489">
        <w:rPr>
          <w:iCs/>
        </w:rPr>
        <w:t>‘</w:t>
      </w:r>
      <w:r w:rsidRPr="00855489">
        <w:rPr>
          <w:iCs/>
        </w:rPr>
        <w:t>not eligible comparators</w:t>
      </w:r>
      <w:r w:rsidR="006B4D21" w:rsidRPr="00855489">
        <w:rPr>
          <w:iCs/>
        </w:rPr>
        <w:t>’</w:t>
      </w:r>
      <w:r w:rsidR="009D39CB" w:rsidRPr="00855489">
        <w:rPr>
          <w:iCs/>
        </w:rPr>
        <w:t xml:space="preserve"> without providing any justification</w:t>
      </w:r>
      <w:r w:rsidRPr="00855489">
        <w:rPr>
          <w:iCs/>
        </w:rPr>
        <w:t>, but nominated equi-effective doses via the Therapeutic Relativities and included them in the financial estimates.</w:t>
      </w:r>
    </w:p>
    <w:p w14:paraId="57405758" w14:textId="77777777" w:rsidR="00FF3D1A" w:rsidRPr="00855489" w:rsidRDefault="009C78FD" w:rsidP="00426777">
      <w:pPr>
        <w:pStyle w:val="3-BodyText"/>
        <w:rPr>
          <w:iCs/>
        </w:rPr>
      </w:pPr>
      <w:r w:rsidRPr="00855489">
        <w:rPr>
          <w:iCs/>
        </w:rPr>
        <w:t>T</w:t>
      </w:r>
      <w:r w:rsidR="00FF3D1A" w:rsidRPr="00855489">
        <w:rPr>
          <w:iCs/>
        </w:rPr>
        <w:t xml:space="preserve">he </w:t>
      </w:r>
      <w:r w:rsidRPr="00855489">
        <w:rPr>
          <w:iCs/>
        </w:rPr>
        <w:t xml:space="preserve">nominated comparators are appropriate, however FP/SAL </w:t>
      </w:r>
      <w:r w:rsidR="00426777" w:rsidRPr="00855489">
        <w:rPr>
          <w:iCs/>
        </w:rPr>
        <w:t>a</w:t>
      </w:r>
      <w:r w:rsidRPr="00855489">
        <w:rPr>
          <w:iCs/>
        </w:rPr>
        <w:t xml:space="preserve">s the preferred main comparator </w:t>
      </w:r>
      <w:r w:rsidR="00FF3D1A" w:rsidRPr="00855489">
        <w:rPr>
          <w:iCs/>
        </w:rPr>
        <w:t>was poorly justified for the following reasons:</w:t>
      </w:r>
    </w:p>
    <w:p w14:paraId="5A63A8DA" w14:textId="77777777" w:rsidR="00FF3D1A" w:rsidRPr="00855489" w:rsidRDefault="00FF3D1A" w:rsidP="00C547B5">
      <w:pPr>
        <w:pStyle w:val="3-BodyText"/>
        <w:numPr>
          <w:ilvl w:val="0"/>
          <w:numId w:val="5"/>
        </w:numPr>
        <w:ind w:left="1134" w:hanging="425"/>
        <w:rPr>
          <w:iCs/>
        </w:rPr>
      </w:pPr>
      <w:r w:rsidRPr="00855489">
        <w:rPr>
          <w:iCs/>
        </w:rPr>
        <w:lastRenderedPageBreak/>
        <w:t xml:space="preserve">The </w:t>
      </w:r>
      <w:r w:rsidR="005A6F05" w:rsidRPr="00855489">
        <w:rPr>
          <w:iCs/>
        </w:rPr>
        <w:t>BUD/FOR</w:t>
      </w:r>
      <w:r w:rsidRPr="00855489">
        <w:rPr>
          <w:iCs/>
        </w:rPr>
        <w:t xml:space="preserve"> inhalers are more similar to </w:t>
      </w:r>
      <w:r w:rsidR="005A6F05" w:rsidRPr="00855489">
        <w:rPr>
          <w:iCs/>
        </w:rPr>
        <w:t>BEC/FOR</w:t>
      </w:r>
      <w:r w:rsidRPr="00855489">
        <w:rPr>
          <w:iCs/>
        </w:rPr>
        <w:t xml:space="preserve"> than the </w:t>
      </w:r>
      <w:r w:rsidR="005A6F05" w:rsidRPr="00855489">
        <w:rPr>
          <w:iCs/>
        </w:rPr>
        <w:t>FP/SAL</w:t>
      </w:r>
      <w:r w:rsidRPr="00855489">
        <w:rPr>
          <w:iCs/>
        </w:rPr>
        <w:t xml:space="preserve"> inhalers because (i) they contain the same LABA component (i.e. FOR) and (ii) share the same proposed PBS listing. Unlike </w:t>
      </w:r>
      <w:r w:rsidR="005A6F05" w:rsidRPr="00855489">
        <w:rPr>
          <w:iCs/>
        </w:rPr>
        <w:t xml:space="preserve">FP/SAL, certain formulations of BUD/FOR </w:t>
      </w:r>
      <w:r w:rsidRPr="00855489">
        <w:rPr>
          <w:iCs/>
        </w:rPr>
        <w:t xml:space="preserve">are listed for both maintenance treatment of asthma and MART, which is consistent with the requested listing for </w:t>
      </w:r>
      <w:r w:rsidR="0058617D" w:rsidRPr="00855489">
        <w:rPr>
          <w:iCs/>
        </w:rPr>
        <w:t>BEC/FOR</w:t>
      </w:r>
      <w:r w:rsidRPr="00855489">
        <w:rPr>
          <w:iCs/>
        </w:rPr>
        <w:t>; and</w:t>
      </w:r>
    </w:p>
    <w:p w14:paraId="3C51A3E3" w14:textId="77777777" w:rsidR="00FF3D1A" w:rsidRPr="00855489" w:rsidRDefault="00426777" w:rsidP="00C547B5">
      <w:pPr>
        <w:pStyle w:val="3-BodyText"/>
        <w:numPr>
          <w:ilvl w:val="0"/>
          <w:numId w:val="5"/>
        </w:numPr>
        <w:ind w:left="1134" w:hanging="425"/>
        <w:rPr>
          <w:iCs/>
        </w:rPr>
      </w:pPr>
      <w:r w:rsidRPr="00855489">
        <w:rPr>
          <w:iCs/>
        </w:rPr>
        <w:t xml:space="preserve">The submission argued that </w:t>
      </w:r>
      <w:r w:rsidR="00FF3D1A" w:rsidRPr="00855489">
        <w:rPr>
          <w:iCs/>
        </w:rPr>
        <w:t xml:space="preserve">the </w:t>
      </w:r>
      <w:r w:rsidRPr="00855489">
        <w:rPr>
          <w:iCs/>
        </w:rPr>
        <w:t>individual component inhalers are</w:t>
      </w:r>
      <w:r w:rsidR="00FF3D1A" w:rsidRPr="00855489">
        <w:rPr>
          <w:iCs/>
        </w:rPr>
        <w:t xml:space="preserve"> costlier than </w:t>
      </w:r>
      <w:r w:rsidRPr="00855489">
        <w:rPr>
          <w:iCs/>
        </w:rPr>
        <w:t>most</w:t>
      </w:r>
      <w:r w:rsidR="00FF3D1A" w:rsidRPr="00855489">
        <w:rPr>
          <w:iCs/>
        </w:rPr>
        <w:t xml:space="preserve"> ICS/LABA FDCs</w:t>
      </w:r>
      <w:r w:rsidRPr="00855489">
        <w:rPr>
          <w:iCs/>
        </w:rPr>
        <w:t>, but this</w:t>
      </w:r>
      <w:r w:rsidR="00FF3D1A" w:rsidRPr="00855489">
        <w:rPr>
          <w:iCs/>
        </w:rPr>
        <w:t xml:space="preserve"> assumes the costliest combination of th</w:t>
      </w:r>
      <w:r w:rsidRPr="00855489">
        <w:rPr>
          <w:iCs/>
        </w:rPr>
        <w:t xml:space="preserve">e individual component inhalers and </w:t>
      </w:r>
      <w:r w:rsidR="00FF3D1A" w:rsidRPr="00855489">
        <w:rPr>
          <w:iCs/>
        </w:rPr>
        <w:t>only provides for 15 days of treatmen</w:t>
      </w:r>
      <w:r w:rsidRPr="00855489">
        <w:rPr>
          <w:iCs/>
        </w:rPr>
        <w:t>t</w:t>
      </w:r>
      <w:r w:rsidR="00FF3D1A" w:rsidRPr="00855489">
        <w:rPr>
          <w:iCs/>
        </w:rPr>
        <w:t xml:space="preserve">. In contrast, the least costly combination of individual components that provides 30 days of treatment (the same duration as </w:t>
      </w:r>
      <w:r w:rsidR="0058617D" w:rsidRPr="00855489">
        <w:rPr>
          <w:iCs/>
        </w:rPr>
        <w:t>BEC/FOR</w:t>
      </w:r>
      <w:r w:rsidR="00FF3D1A" w:rsidRPr="00855489">
        <w:rPr>
          <w:iCs/>
        </w:rPr>
        <w:t xml:space="preserve"> at the nominated equi-effective dose) is cheaper than most of the other ICS/LABA FDCs (</w:t>
      </w:r>
      <w:r w:rsidR="00AE3D22" w:rsidRPr="00855489">
        <w:rPr>
          <w:iCs/>
        </w:rPr>
        <w:t>s</w:t>
      </w:r>
      <w:r w:rsidR="00FF3D1A" w:rsidRPr="00855489">
        <w:rPr>
          <w:iCs/>
        </w:rPr>
        <w:t xml:space="preserve">ee </w:t>
      </w:r>
      <w:r w:rsidRPr="00855489">
        <w:rPr>
          <w:iCs/>
        </w:rPr>
        <w:t>Economic analysis</w:t>
      </w:r>
      <w:r w:rsidR="00FF3D1A" w:rsidRPr="00855489">
        <w:rPr>
          <w:iCs/>
        </w:rPr>
        <w:t>).</w:t>
      </w:r>
    </w:p>
    <w:p w14:paraId="23091C80" w14:textId="77777777" w:rsidR="00A50871" w:rsidRPr="00855489" w:rsidRDefault="006F061F" w:rsidP="00A50871">
      <w:pPr>
        <w:pStyle w:val="3-BodyText"/>
        <w:numPr>
          <w:ilvl w:val="0"/>
          <w:numId w:val="0"/>
        </w:numPr>
        <w:ind w:left="720"/>
      </w:pPr>
      <w:r w:rsidRPr="00855489">
        <w:t>The pre-PBAC response (p1</w:t>
      </w:r>
      <w:r w:rsidR="00A50871" w:rsidRPr="00855489">
        <w:t xml:space="preserve">) agreed with the evaluator that BUD/FOR may be the appropriate clinical and pricing comparator for BEC/FOR. </w:t>
      </w:r>
    </w:p>
    <w:p w14:paraId="2F971698" w14:textId="77777777" w:rsidR="00FF3D1A" w:rsidRPr="00855489" w:rsidRDefault="00FF3D1A" w:rsidP="00CD32A8">
      <w:pPr>
        <w:pStyle w:val="3-BodyText"/>
        <w:rPr>
          <w:iCs/>
          <w:snapToGrid/>
        </w:rPr>
      </w:pPr>
      <w:r w:rsidRPr="00855489">
        <w:rPr>
          <w:iCs/>
          <w:snapToGrid/>
        </w:rPr>
        <w:t xml:space="preserve">BUD/FOR 200/6 MDI may not be the relevant strength comparator at the nominated equi-effective dose, given the submission ignores the stated Therapeutic Relativities of </w:t>
      </w:r>
      <w:r w:rsidR="001A5467" w:rsidRPr="00855489">
        <w:rPr>
          <w:iCs/>
          <w:snapToGrid/>
        </w:rPr>
        <w:t>BUD/FOR</w:t>
      </w:r>
      <w:r w:rsidRPr="00855489">
        <w:rPr>
          <w:iCs/>
          <w:snapToGrid/>
        </w:rPr>
        <w:t xml:space="preserve"> MDI (240 actuations) and </w:t>
      </w:r>
      <w:r w:rsidR="000D0440" w:rsidRPr="00855489">
        <w:rPr>
          <w:iCs/>
          <w:snapToGrid/>
        </w:rPr>
        <w:t xml:space="preserve">BUD/FOR DPI </w:t>
      </w:r>
      <w:r w:rsidRPr="00855489">
        <w:rPr>
          <w:iCs/>
          <w:snapToGrid/>
        </w:rPr>
        <w:t>(120 actuations). Instead, the lower strength BUD/FOR 100/3 MDI</w:t>
      </w:r>
      <w:r w:rsidR="001A5467" w:rsidRPr="00855489">
        <w:rPr>
          <w:iCs/>
          <w:snapToGrid/>
        </w:rPr>
        <w:t xml:space="preserve"> </w:t>
      </w:r>
      <w:r w:rsidRPr="00855489">
        <w:rPr>
          <w:iCs/>
          <w:snapToGrid/>
        </w:rPr>
        <w:t>may be a more appropriate comparator given:</w:t>
      </w:r>
    </w:p>
    <w:p w14:paraId="524A929E" w14:textId="77777777" w:rsidR="00FF3D1A" w:rsidRPr="00855489" w:rsidRDefault="00FF3D1A" w:rsidP="00C547B5">
      <w:pPr>
        <w:pStyle w:val="3-BodyText"/>
        <w:numPr>
          <w:ilvl w:val="0"/>
          <w:numId w:val="5"/>
        </w:numPr>
        <w:ind w:left="1134" w:hanging="425"/>
        <w:rPr>
          <w:iCs/>
          <w:snapToGrid/>
        </w:rPr>
      </w:pPr>
      <w:r w:rsidRPr="00855489">
        <w:rPr>
          <w:iCs/>
          <w:snapToGrid/>
        </w:rPr>
        <w:t xml:space="preserve">It was PBS listed on the basis of cost-minimisation to BUD/FOR 200/6 DPI, assuming 2 actuations of the MDI are equivalent to 1 actuation of the DPI formulation. That is, the Therapeutic Relativities assume the same duration of treatment by accounting for the fact that one script of </w:t>
      </w:r>
      <w:r w:rsidR="001A5467" w:rsidRPr="00855489">
        <w:rPr>
          <w:iCs/>
          <w:snapToGrid/>
        </w:rPr>
        <w:t>BUD/FOR</w:t>
      </w:r>
      <w:r w:rsidRPr="00855489">
        <w:rPr>
          <w:iCs/>
          <w:snapToGrid/>
        </w:rPr>
        <w:t xml:space="preserve"> MDI provides twice as many actuations compared to </w:t>
      </w:r>
      <w:r w:rsidR="001A5467" w:rsidRPr="00855489">
        <w:rPr>
          <w:iCs/>
          <w:snapToGrid/>
        </w:rPr>
        <w:t>BUD/FOR</w:t>
      </w:r>
      <w:r w:rsidRPr="00855489">
        <w:rPr>
          <w:iCs/>
          <w:snapToGrid/>
        </w:rPr>
        <w:t xml:space="preserve"> DPI (240 vs 120 actuations).</w:t>
      </w:r>
    </w:p>
    <w:p w14:paraId="11E7A998" w14:textId="77777777" w:rsidR="00FF3D1A" w:rsidRPr="00855489" w:rsidRDefault="00B651E2" w:rsidP="00C547B5">
      <w:pPr>
        <w:pStyle w:val="3-BodyText"/>
        <w:numPr>
          <w:ilvl w:val="0"/>
          <w:numId w:val="5"/>
        </w:numPr>
        <w:ind w:left="1134" w:hanging="425"/>
        <w:rPr>
          <w:iCs/>
          <w:snapToGrid/>
        </w:rPr>
      </w:pPr>
      <w:r w:rsidRPr="00855489">
        <w:rPr>
          <w:iCs/>
          <w:snapToGrid/>
        </w:rPr>
        <w:t>Unlike BUD/FOR 200/6 MDI, the lower strength BUD/FOR 100/3 MDI</w:t>
      </w:r>
      <w:r w:rsidR="00FF3D1A" w:rsidRPr="00855489">
        <w:rPr>
          <w:iCs/>
          <w:snapToGrid/>
        </w:rPr>
        <w:t xml:space="preserve"> </w:t>
      </w:r>
      <w:r w:rsidR="00686C10" w:rsidRPr="00855489">
        <w:rPr>
          <w:iCs/>
          <w:snapToGrid/>
        </w:rPr>
        <w:t xml:space="preserve">and BUD/FOR 200/6 DPI are </w:t>
      </w:r>
      <w:r w:rsidR="00FF3D1A" w:rsidRPr="00855489">
        <w:rPr>
          <w:iCs/>
          <w:snapToGrid/>
        </w:rPr>
        <w:t>PBS listed for MART</w:t>
      </w:r>
      <w:r w:rsidRPr="00855489">
        <w:rPr>
          <w:iCs/>
          <w:snapToGrid/>
        </w:rPr>
        <w:t>.</w:t>
      </w:r>
    </w:p>
    <w:p w14:paraId="7F61D8CC" w14:textId="77777777" w:rsidR="00FD7B12" w:rsidRPr="00855489" w:rsidRDefault="00B651E2" w:rsidP="000D0440">
      <w:pPr>
        <w:pStyle w:val="3-BodyText"/>
        <w:numPr>
          <w:ilvl w:val="0"/>
          <w:numId w:val="0"/>
        </w:numPr>
        <w:ind w:left="720"/>
      </w:pPr>
      <w:r w:rsidRPr="00855489">
        <w:t>T</w:t>
      </w:r>
      <w:r w:rsidR="00FF3D1A" w:rsidRPr="00855489">
        <w:t xml:space="preserve">here are cost implications depending on which strength formulation of </w:t>
      </w:r>
      <w:r w:rsidR="001A5467" w:rsidRPr="00855489">
        <w:t xml:space="preserve">BUD/FOR </w:t>
      </w:r>
      <w:r w:rsidR="00FF3D1A" w:rsidRPr="00855489">
        <w:t>MDI is included in the cost minimisation analysis.</w:t>
      </w:r>
      <w:r w:rsidR="006F061F" w:rsidRPr="00855489">
        <w:t xml:space="preserve"> The pre-PBAC response (p1</w:t>
      </w:r>
      <w:r w:rsidR="006F320F" w:rsidRPr="00855489">
        <w:t>) acknowledged that BUD/FOR 200/6 MDI may not be the relevant strength comparator as it provides treatment for 60 days.</w:t>
      </w:r>
    </w:p>
    <w:p w14:paraId="67C70D3B" w14:textId="77777777" w:rsidR="00FD7B12" w:rsidRPr="00855489" w:rsidRDefault="00FD7B12" w:rsidP="000D0440">
      <w:pPr>
        <w:pStyle w:val="3-BodyText"/>
        <w:rPr>
          <w:iCs/>
        </w:rPr>
      </w:pPr>
      <w:r w:rsidRPr="00855489">
        <w:rPr>
          <w:iCs/>
        </w:rPr>
        <w:t>A different sponsor is requesting listing of Atectura® Breezhaler® dry powder capsules for inhalation, which is an ICS/LABA FDC containing mometasone furoate (MF) with indac</w:t>
      </w:r>
      <w:r w:rsidR="00882177" w:rsidRPr="00855489">
        <w:rPr>
          <w:iCs/>
        </w:rPr>
        <w:t>a</w:t>
      </w:r>
      <w:r w:rsidRPr="00855489">
        <w:rPr>
          <w:iCs/>
        </w:rPr>
        <w:t>terol (IND)</w:t>
      </w:r>
      <w:r w:rsidR="000D0440" w:rsidRPr="00855489">
        <w:rPr>
          <w:iCs/>
        </w:rPr>
        <w:t xml:space="preserve"> at the July 2020 PBAC meeting</w:t>
      </w:r>
      <w:r w:rsidRPr="00855489">
        <w:rPr>
          <w:iCs/>
        </w:rPr>
        <w:t xml:space="preserve">. </w:t>
      </w:r>
      <w:r w:rsidR="000D0440" w:rsidRPr="00855489">
        <w:rPr>
          <w:iCs/>
        </w:rPr>
        <w:t xml:space="preserve">Hence, MF/IND FDC may be a potential </w:t>
      </w:r>
      <w:r w:rsidRPr="00855489">
        <w:rPr>
          <w:iCs/>
        </w:rPr>
        <w:t>near-</w:t>
      </w:r>
      <w:r w:rsidR="000D0440" w:rsidRPr="00855489">
        <w:rPr>
          <w:iCs/>
        </w:rPr>
        <w:t>market comparator for BEC/FOR</w:t>
      </w:r>
      <w:r w:rsidRPr="00855489">
        <w:rPr>
          <w:iCs/>
        </w:rPr>
        <w:t>.</w:t>
      </w:r>
    </w:p>
    <w:p w14:paraId="5A538BD7" w14:textId="77777777" w:rsidR="00166B09" w:rsidRPr="00855489" w:rsidRDefault="00166B09" w:rsidP="00166B09">
      <w:pPr>
        <w:pStyle w:val="ListParagraph"/>
        <w:ind w:left="709"/>
        <w:rPr>
          <w:i/>
        </w:rPr>
      </w:pPr>
      <w:r w:rsidRPr="00855489">
        <w:rPr>
          <w:i/>
        </w:rPr>
        <w:t>For more detail on PBAC’s view, see section 7 PBAC outcome.</w:t>
      </w:r>
    </w:p>
    <w:p w14:paraId="5228972A" w14:textId="77777777" w:rsidR="00223D5A" w:rsidRPr="00855489" w:rsidRDefault="00223D5A" w:rsidP="00223D5A">
      <w:pPr>
        <w:pStyle w:val="2-SectionHeading"/>
      </w:pPr>
      <w:bookmarkStart w:id="10" w:name="_Toc40775724"/>
      <w:bookmarkStart w:id="11" w:name="_Toc22897640"/>
      <w:r w:rsidRPr="00855489">
        <w:t>Consideration of the evidence</w:t>
      </w:r>
      <w:bookmarkEnd w:id="10"/>
    </w:p>
    <w:p w14:paraId="7A3BFAD9" w14:textId="77777777" w:rsidR="00166B09" w:rsidRPr="00855489" w:rsidRDefault="00166B09" w:rsidP="006D09ED">
      <w:pPr>
        <w:pStyle w:val="4-SubsectionHeading"/>
      </w:pPr>
      <w:bookmarkStart w:id="12" w:name="_Toc40775725"/>
      <w:r w:rsidRPr="00855489">
        <w:t>Sponsor hearing</w:t>
      </w:r>
    </w:p>
    <w:p w14:paraId="6A1359CE" w14:textId="77777777" w:rsidR="00166B09" w:rsidRPr="00855489" w:rsidRDefault="00166B09" w:rsidP="006A4889">
      <w:pPr>
        <w:pStyle w:val="3-BodyText"/>
        <w:rPr>
          <w:lang w:eastAsia="en-US"/>
        </w:rPr>
      </w:pPr>
      <w:r w:rsidRPr="00855489">
        <w:rPr>
          <w:lang w:eastAsia="en-US"/>
        </w:rPr>
        <w:t>There was no hearing for this item.</w:t>
      </w:r>
    </w:p>
    <w:p w14:paraId="03692129" w14:textId="77777777" w:rsidR="00166B09" w:rsidRPr="00855489" w:rsidRDefault="00166B09" w:rsidP="006D09ED">
      <w:pPr>
        <w:pStyle w:val="4-SubsectionHeading"/>
      </w:pPr>
      <w:r w:rsidRPr="00855489">
        <w:lastRenderedPageBreak/>
        <w:t>Consumer comments</w:t>
      </w:r>
    </w:p>
    <w:p w14:paraId="7329D5E4" w14:textId="77777777" w:rsidR="00166B09" w:rsidRPr="00855489" w:rsidRDefault="006C098D" w:rsidP="00340CC7">
      <w:pPr>
        <w:pStyle w:val="3-BodyText"/>
        <w:rPr>
          <w:snapToGrid/>
        </w:rPr>
      </w:pPr>
      <w:r w:rsidRPr="00855489">
        <w:rPr>
          <w:snapToGrid/>
        </w:rPr>
        <w:t>The PBAC noted and welcomed the input from organisations (2) via the Consumer Comments facility on the PBS website</w:t>
      </w:r>
      <w:r w:rsidR="00855489">
        <w:rPr>
          <w:snapToGrid/>
        </w:rPr>
        <w:t xml:space="preserve">. </w:t>
      </w:r>
      <w:r w:rsidRPr="00855489">
        <w:rPr>
          <w:snapToGrid/>
        </w:rPr>
        <w:t xml:space="preserve">The comments </w:t>
      </w:r>
      <w:r w:rsidR="005F64F2" w:rsidRPr="00855489">
        <w:rPr>
          <w:snapToGrid/>
        </w:rPr>
        <w:t>from the National Asthma Council of Australia</w:t>
      </w:r>
      <w:r w:rsidR="00CF1B10" w:rsidRPr="00855489">
        <w:rPr>
          <w:snapToGrid/>
        </w:rPr>
        <w:t xml:space="preserve"> (NAC)</w:t>
      </w:r>
      <w:r w:rsidR="005F64F2" w:rsidRPr="00855489">
        <w:rPr>
          <w:snapToGrid/>
        </w:rPr>
        <w:t xml:space="preserve"> and Asthma Australia </w:t>
      </w:r>
      <w:r w:rsidRPr="00855489">
        <w:rPr>
          <w:snapToGrid/>
        </w:rPr>
        <w:t xml:space="preserve">described a range of benefits of treatment with BEC/FOR </w:t>
      </w:r>
      <w:r w:rsidR="005F64F2" w:rsidRPr="00855489">
        <w:rPr>
          <w:snapToGrid/>
        </w:rPr>
        <w:t xml:space="preserve">and supported the addition of another ICS/LABA FDC product to provide greater choice for consumers and prescribers. </w:t>
      </w:r>
      <w:r w:rsidR="00340CC7" w:rsidRPr="00855489">
        <w:rPr>
          <w:snapToGrid/>
        </w:rPr>
        <w:t xml:space="preserve">The comments from </w:t>
      </w:r>
      <w:r w:rsidR="00CF1B10" w:rsidRPr="00855489">
        <w:rPr>
          <w:snapToGrid/>
        </w:rPr>
        <w:t xml:space="preserve">NAC </w:t>
      </w:r>
      <w:r w:rsidR="00665EC2" w:rsidRPr="00855489">
        <w:rPr>
          <w:snapToGrid/>
        </w:rPr>
        <w:t xml:space="preserve">noted that the </w:t>
      </w:r>
      <w:r w:rsidR="004C4605" w:rsidRPr="00855489">
        <w:rPr>
          <w:snapToGrid/>
        </w:rPr>
        <w:t xml:space="preserve">updated </w:t>
      </w:r>
      <w:r w:rsidR="00665EC2" w:rsidRPr="00855489">
        <w:rPr>
          <w:snapToGrid/>
        </w:rPr>
        <w:t xml:space="preserve">Australian Asthma Handbook </w:t>
      </w:r>
      <w:r w:rsidR="00AB6A54" w:rsidRPr="00855489">
        <w:rPr>
          <w:snapToGrid/>
        </w:rPr>
        <w:t xml:space="preserve">to be </w:t>
      </w:r>
      <w:r w:rsidR="004C4605" w:rsidRPr="00855489">
        <w:rPr>
          <w:snapToGrid/>
        </w:rPr>
        <w:t xml:space="preserve">published in July 2020 </w:t>
      </w:r>
      <w:r w:rsidR="00665EC2" w:rsidRPr="00855489">
        <w:rPr>
          <w:snapToGrid/>
        </w:rPr>
        <w:t xml:space="preserve">will recommend BEC/FOR be used as per its TGA-approved indication (see paragraph 2.1). The NAC comments </w:t>
      </w:r>
      <w:r w:rsidR="00CF1B10" w:rsidRPr="00855489">
        <w:rPr>
          <w:snapToGrid/>
        </w:rPr>
        <w:t xml:space="preserve">supported the listing of BEC/FOR as maintenance treatment of asthma in </w:t>
      </w:r>
      <w:r w:rsidR="00CF1B10" w:rsidRPr="00B06256">
        <w:rPr>
          <w:snapToGrid/>
        </w:rPr>
        <w:t xml:space="preserve">adults </w:t>
      </w:r>
      <w:r w:rsidR="008A7ADB">
        <w:rPr>
          <w:noProof/>
          <w:snapToGrid/>
          <w:color w:val="000000"/>
          <w:highlight w:val="black"/>
        </w:rPr>
        <w:t>'''''' '''''''''''' '''''''' '''' '''''' ''''''''''''' ''''''''' ''''''''' '''''' '''' '''''''''''''''''''''''' '''''' ''' '''' ''''' '''''''''''''''''''''' '''''' '''''' '''' '''''''''''' ''''' ''''''''''''''</w:t>
      </w:r>
      <w:r w:rsidR="00EA5798" w:rsidRPr="00B06256">
        <w:rPr>
          <w:snapToGrid/>
        </w:rPr>
        <w:t>.</w:t>
      </w:r>
      <w:r w:rsidR="00CF1B10" w:rsidRPr="00B06256">
        <w:rPr>
          <w:snapToGrid/>
        </w:rPr>
        <w:t xml:space="preserve"> The NAC comments also noted the differenc</w:t>
      </w:r>
      <w:r w:rsidR="008718B1" w:rsidRPr="00B06256">
        <w:rPr>
          <w:snapToGrid/>
        </w:rPr>
        <w:t>es in the daily maximum dose of</w:t>
      </w:r>
      <w:r w:rsidR="00CF1B10" w:rsidRPr="00B06256">
        <w:rPr>
          <w:snapToGrid/>
        </w:rPr>
        <w:t xml:space="preserve"> FOR </w:t>
      </w:r>
      <w:r w:rsidR="00013127" w:rsidRPr="00B06256">
        <w:rPr>
          <w:snapToGrid/>
        </w:rPr>
        <w:t>between</w:t>
      </w:r>
      <w:r w:rsidR="00CF1B10" w:rsidRPr="00855489">
        <w:rPr>
          <w:snapToGrid/>
        </w:rPr>
        <w:t xml:space="preserve"> </w:t>
      </w:r>
      <w:r w:rsidR="00CD429B" w:rsidRPr="00855489">
        <w:rPr>
          <w:snapToGrid/>
        </w:rPr>
        <w:t>BEC/FOR</w:t>
      </w:r>
      <w:r w:rsidR="00EA5798" w:rsidRPr="00855489">
        <w:rPr>
          <w:snapToGrid/>
        </w:rPr>
        <w:t xml:space="preserve"> </w:t>
      </w:r>
      <w:r w:rsidR="00CF1B10" w:rsidRPr="00855489">
        <w:rPr>
          <w:snapToGrid/>
        </w:rPr>
        <w:t xml:space="preserve">and BUD/FOR regimens (daily maximum of </w:t>
      </w:r>
      <w:r w:rsidR="00EA5798" w:rsidRPr="00855489">
        <w:rPr>
          <w:snapToGrid/>
        </w:rPr>
        <w:t xml:space="preserve">48 micrograms </w:t>
      </w:r>
      <w:r w:rsidR="00CF1B10" w:rsidRPr="00855489">
        <w:rPr>
          <w:snapToGrid/>
        </w:rPr>
        <w:t>and 72 micrograms respectively).</w:t>
      </w:r>
    </w:p>
    <w:p w14:paraId="26FF8E48" w14:textId="77777777" w:rsidR="00B60939" w:rsidRPr="00855489" w:rsidRDefault="00B60939" w:rsidP="002E4F02">
      <w:pPr>
        <w:pStyle w:val="4-SubsectionHeading"/>
      </w:pPr>
      <w:r w:rsidRPr="00855489">
        <w:t>Clinical trials</w:t>
      </w:r>
      <w:bookmarkEnd w:id="11"/>
      <w:bookmarkEnd w:id="12"/>
    </w:p>
    <w:p w14:paraId="35021CC6" w14:textId="77777777" w:rsidR="00613D5A" w:rsidRPr="00855489" w:rsidRDefault="00BE1796" w:rsidP="00A34753">
      <w:pPr>
        <w:pStyle w:val="3-BodyText"/>
      </w:pPr>
      <w:r w:rsidRPr="00855489">
        <w:rPr>
          <w:snapToGrid/>
        </w:rPr>
        <w:t>The submission was based on four head-to-head randomised trials comparing BEC/FOR</w:t>
      </w:r>
      <w:r w:rsidR="004E7C82" w:rsidRPr="00855489">
        <w:rPr>
          <w:snapToGrid/>
        </w:rPr>
        <w:t xml:space="preserve"> </w:t>
      </w:r>
      <w:r w:rsidRPr="00855489">
        <w:rPr>
          <w:snapToGrid/>
        </w:rPr>
        <w:t>as maintenance treatment to FP/SAL</w:t>
      </w:r>
      <w:r w:rsidR="004E7C82" w:rsidRPr="00855489">
        <w:rPr>
          <w:snapToGrid/>
        </w:rPr>
        <w:t xml:space="preserve"> </w:t>
      </w:r>
      <w:r w:rsidRPr="00855489">
        <w:rPr>
          <w:snapToGrid/>
        </w:rPr>
        <w:t>(Papi 2007a, Hsieh 2017), BUD/FOR</w:t>
      </w:r>
      <w:r w:rsidR="004E7C82" w:rsidRPr="00855489">
        <w:rPr>
          <w:snapToGrid/>
        </w:rPr>
        <w:t xml:space="preserve"> </w:t>
      </w:r>
      <w:r w:rsidRPr="00855489">
        <w:rPr>
          <w:snapToGrid/>
        </w:rPr>
        <w:t xml:space="preserve">(Papi 2007b), and BEC </w:t>
      </w:r>
      <w:r w:rsidR="004E7C82" w:rsidRPr="00855489">
        <w:rPr>
          <w:snapToGrid/>
        </w:rPr>
        <w:t>+</w:t>
      </w:r>
      <w:r w:rsidRPr="00855489">
        <w:rPr>
          <w:snapToGrid/>
        </w:rPr>
        <w:t xml:space="preserve"> FOR administered via s</w:t>
      </w:r>
      <w:r w:rsidR="0039582C" w:rsidRPr="00855489">
        <w:rPr>
          <w:snapToGrid/>
        </w:rPr>
        <w:t>eparate inhalers (Huchon 2009).</w:t>
      </w:r>
    </w:p>
    <w:p w14:paraId="2D16AFBF" w14:textId="77777777" w:rsidR="007A072E" w:rsidRPr="00855489" w:rsidRDefault="00A34753" w:rsidP="007A072E">
      <w:pPr>
        <w:pStyle w:val="3-BodyText"/>
      </w:pPr>
      <w:r w:rsidRPr="00855489">
        <w:rPr>
          <w:snapToGrid/>
        </w:rPr>
        <w:t xml:space="preserve">The submission identified three </w:t>
      </w:r>
      <w:r w:rsidR="007A072E" w:rsidRPr="00855489">
        <w:rPr>
          <w:snapToGrid/>
        </w:rPr>
        <w:t>supplementary</w:t>
      </w:r>
      <w:r w:rsidRPr="00855489">
        <w:rPr>
          <w:snapToGrid/>
        </w:rPr>
        <w:t xml:space="preserve"> trials (Barnes 2013, Papi 2012 and Papi 2013) but </w:t>
      </w:r>
      <w:r w:rsidR="007A072E" w:rsidRPr="00855489">
        <w:rPr>
          <w:snapToGrid/>
        </w:rPr>
        <w:t>excluded them from the main</w:t>
      </w:r>
      <w:r w:rsidRPr="00855489">
        <w:rPr>
          <w:snapToGrid/>
        </w:rPr>
        <w:t xml:space="preserve"> clinical evidence</w:t>
      </w:r>
      <w:r w:rsidR="00AD75A2" w:rsidRPr="00855489">
        <w:rPr>
          <w:snapToGrid/>
        </w:rPr>
        <w:t>.</w:t>
      </w:r>
    </w:p>
    <w:p w14:paraId="5A6107BB" w14:textId="77777777" w:rsidR="007A072E" w:rsidRPr="00855489" w:rsidRDefault="00A34753" w:rsidP="00C547B5">
      <w:pPr>
        <w:pStyle w:val="3-BodyText"/>
        <w:numPr>
          <w:ilvl w:val="0"/>
          <w:numId w:val="5"/>
        </w:numPr>
        <w:ind w:left="1134" w:hanging="425"/>
      </w:pPr>
      <w:r w:rsidRPr="00855489">
        <w:rPr>
          <w:snapToGrid/>
        </w:rPr>
        <w:t xml:space="preserve">Barnes 2013 and Papi 2012 </w:t>
      </w:r>
      <w:r w:rsidR="00E138AD" w:rsidRPr="00855489">
        <w:rPr>
          <w:snapToGrid/>
        </w:rPr>
        <w:t>compar</w:t>
      </w:r>
      <w:r w:rsidRPr="00855489">
        <w:rPr>
          <w:snapToGrid/>
        </w:rPr>
        <w:t>ed</w:t>
      </w:r>
      <w:r w:rsidR="00E138AD" w:rsidRPr="00855489">
        <w:rPr>
          <w:snapToGrid/>
        </w:rPr>
        <w:t xml:space="preserve"> BEC/FOR versus FP/SAL </w:t>
      </w:r>
      <w:r w:rsidRPr="00855489">
        <w:rPr>
          <w:snapToGrid/>
        </w:rPr>
        <w:t>in patients with</w:t>
      </w:r>
      <w:r w:rsidR="00E138AD" w:rsidRPr="00855489">
        <w:rPr>
          <w:snapToGrid/>
        </w:rPr>
        <w:t xml:space="preserve"> controlled asthma </w:t>
      </w:r>
      <w:r w:rsidRPr="00855489">
        <w:rPr>
          <w:snapToGrid/>
        </w:rPr>
        <w:t xml:space="preserve">on </w:t>
      </w:r>
      <w:r w:rsidR="00E138AD" w:rsidRPr="00855489">
        <w:rPr>
          <w:snapToGrid/>
        </w:rPr>
        <w:t>FP/SAL</w:t>
      </w:r>
      <w:r w:rsidR="00A83BE9" w:rsidRPr="00855489">
        <w:rPr>
          <w:snapToGrid/>
        </w:rPr>
        <w:t xml:space="preserve"> </w:t>
      </w:r>
      <w:r w:rsidR="00E138AD" w:rsidRPr="00855489">
        <w:rPr>
          <w:snapToGrid/>
        </w:rPr>
        <w:t>at baseline</w:t>
      </w:r>
      <w:r w:rsidR="008C2F94" w:rsidRPr="00855489">
        <w:rPr>
          <w:snapToGrid/>
        </w:rPr>
        <w:t xml:space="preserve">. The submission excluded the trials because the trial design likely favoured </w:t>
      </w:r>
      <w:r w:rsidR="00392D79" w:rsidRPr="00855489">
        <w:rPr>
          <w:snapToGrid/>
        </w:rPr>
        <w:t xml:space="preserve">FP/SAL. </w:t>
      </w:r>
      <w:r w:rsidR="00392D79" w:rsidRPr="00855489">
        <w:rPr>
          <w:iCs/>
          <w:snapToGrid/>
        </w:rPr>
        <w:t xml:space="preserve">Potential for bias is not a reasonable exclusion criteria but </w:t>
      </w:r>
      <w:r w:rsidR="00BB3C4B" w:rsidRPr="00855489">
        <w:rPr>
          <w:iCs/>
          <w:snapToGrid/>
        </w:rPr>
        <w:t xml:space="preserve">the </w:t>
      </w:r>
      <w:r w:rsidR="00392D79" w:rsidRPr="00855489">
        <w:rPr>
          <w:iCs/>
          <w:snapToGrid/>
        </w:rPr>
        <w:t xml:space="preserve">exclusion of these trials was </w:t>
      </w:r>
      <w:r w:rsidR="006F685A" w:rsidRPr="00855489">
        <w:rPr>
          <w:iCs/>
          <w:snapToGrid/>
        </w:rPr>
        <w:t xml:space="preserve">generally reasonable given </w:t>
      </w:r>
      <w:r w:rsidR="00392D79" w:rsidRPr="00855489">
        <w:rPr>
          <w:iCs/>
          <w:snapToGrid/>
        </w:rPr>
        <w:t>the population was not directly applicable to the requested listing. P</w:t>
      </w:r>
      <w:r w:rsidR="006F685A" w:rsidRPr="00855489">
        <w:rPr>
          <w:iCs/>
          <w:snapToGrid/>
        </w:rPr>
        <w:t xml:space="preserve">atients with controlled asthma are unlikely to switch </w:t>
      </w:r>
      <w:r w:rsidR="00BB15FA" w:rsidRPr="00855489">
        <w:rPr>
          <w:iCs/>
          <w:snapToGrid/>
        </w:rPr>
        <w:t>ICS/LABA treatments</w:t>
      </w:r>
      <w:r w:rsidR="00DE3436" w:rsidRPr="00855489">
        <w:rPr>
          <w:iCs/>
          <w:snapToGrid/>
        </w:rPr>
        <w:t>, even if stepping down</w:t>
      </w:r>
      <w:r w:rsidR="00BB15FA" w:rsidRPr="00855489">
        <w:rPr>
          <w:iCs/>
          <w:snapToGrid/>
        </w:rPr>
        <w:t xml:space="preserve"> from a higher dose formulation</w:t>
      </w:r>
      <w:r w:rsidR="006F685A" w:rsidRPr="00855489">
        <w:rPr>
          <w:iCs/>
          <w:snapToGrid/>
        </w:rPr>
        <w:t>. The</w:t>
      </w:r>
      <w:r w:rsidR="00BB15FA" w:rsidRPr="00855489">
        <w:rPr>
          <w:iCs/>
          <w:snapToGrid/>
        </w:rPr>
        <w:t xml:space="preserve"> </w:t>
      </w:r>
      <w:r w:rsidR="00F87A50" w:rsidRPr="00855489">
        <w:rPr>
          <w:iCs/>
          <w:snapToGrid/>
        </w:rPr>
        <w:t>e</w:t>
      </w:r>
      <w:r w:rsidR="000950FD" w:rsidRPr="00855489">
        <w:rPr>
          <w:iCs/>
          <w:snapToGrid/>
        </w:rPr>
        <w:t xml:space="preserve">valuation </w:t>
      </w:r>
      <w:r w:rsidR="00BB15FA" w:rsidRPr="00855489">
        <w:rPr>
          <w:iCs/>
          <w:snapToGrid/>
        </w:rPr>
        <w:t>d</w:t>
      </w:r>
      <w:r w:rsidR="000950FD" w:rsidRPr="00855489">
        <w:rPr>
          <w:iCs/>
          <w:snapToGrid/>
        </w:rPr>
        <w:t>id</w:t>
      </w:r>
      <w:r w:rsidR="006F685A" w:rsidRPr="00855489">
        <w:rPr>
          <w:iCs/>
          <w:snapToGrid/>
        </w:rPr>
        <w:t xml:space="preserve"> not include data from these trials, </w:t>
      </w:r>
      <w:r w:rsidR="00020ED0" w:rsidRPr="00855489">
        <w:rPr>
          <w:iCs/>
          <w:snapToGrid/>
        </w:rPr>
        <w:t>which</w:t>
      </w:r>
      <w:r w:rsidR="00BB15FA" w:rsidRPr="00855489">
        <w:rPr>
          <w:iCs/>
          <w:snapToGrid/>
        </w:rPr>
        <w:t xml:space="preserve"> nevertheless</w:t>
      </w:r>
      <w:r w:rsidR="006F685A" w:rsidRPr="00855489">
        <w:rPr>
          <w:iCs/>
          <w:snapToGrid/>
        </w:rPr>
        <w:t xml:space="preserve"> found similar </w:t>
      </w:r>
      <w:r w:rsidR="00BC71F9" w:rsidRPr="00855489">
        <w:rPr>
          <w:iCs/>
          <w:snapToGrid/>
        </w:rPr>
        <w:t xml:space="preserve">results </w:t>
      </w:r>
      <w:r w:rsidR="006F685A" w:rsidRPr="00855489">
        <w:rPr>
          <w:iCs/>
          <w:snapToGrid/>
        </w:rPr>
        <w:t>with BEC/FOR and FP/SAL.</w:t>
      </w:r>
    </w:p>
    <w:p w14:paraId="57726680" w14:textId="77777777" w:rsidR="00A34753" w:rsidRPr="00855489" w:rsidRDefault="00A34753" w:rsidP="00C547B5">
      <w:pPr>
        <w:pStyle w:val="3-BodyText"/>
        <w:numPr>
          <w:ilvl w:val="0"/>
          <w:numId w:val="5"/>
        </w:numPr>
        <w:ind w:left="1134" w:hanging="425"/>
      </w:pPr>
      <w:r w:rsidRPr="00855489">
        <w:rPr>
          <w:snapToGrid/>
        </w:rPr>
        <w:t xml:space="preserve">Papi 2013 compared </w:t>
      </w:r>
      <w:r w:rsidR="00E138AD" w:rsidRPr="00855489">
        <w:t xml:space="preserve">BEC/FOR </w:t>
      </w:r>
      <w:r w:rsidRPr="00855489">
        <w:t xml:space="preserve">as </w:t>
      </w:r>
      <w:r w:rsidR="00E138AD" w:rsidRPr="00855489">
        <w:t xml:space="preserve">MART versus BEC/FOR </w:t>
      </w:r>
      <w:r w:rsidR="00A851E5" w:rsidRPr="00855489">
        <w:t>plus</w:t>
      </w:r>
      <w:r w:rsidR="00E138AD" w:rsidRPr="00855489">
        <w:t xml:space="preserve"> as needed SABA</w:t>
      </w:r>
      <w:r w:rsidR="008C2F94" w:rsidRPr="00855489">
        <w:t xml:space="preserve">. The submission </w:t>
      </w:r>
      <w:r w:rsidR="00BB3C4B" w:rsidRPr="00855489">
        <w:rPr>
          <w:iCs/>
        </w:rPr>
        <w:t xml:space="preserve">inappropriately </w:t>
      </w:r>
      <w:r w:rsidR="008C2F94" w:rsidRPr="00855489">
        <w:t xml:space="preserve">excluded the trial because the circumstances of use </w:t>
      </w:r>
      <w:r w:rsidR="00DE3436" w:rsidRPr="00855489">
        <w:t xml:space="preserve">differed </w:t>
      </w:r>
      <w:r w:rsidR="008C2F94" w:rsidRPr="00855489">
        <w:t xml:space="preserve">from </w:t>
      </w:r>
      <w:r w:rsidR="00DE3436" w:rsidRPr="00855489">
        <w:t>the main</w:t>
      </w:r>
      <w:r w:rsidR="008C2F94" w:rsidRPr="00855489">
        <w:t>tenance</w:t>
      </w:r>
      <w:r w:rsidR="00DE3436" w:rsidRPr="00855489">
        <w:t xml:space="preserve"> trials</w:t>
      </w:r>
      <w:r w:rsidR="00E138AD" w:rsidRPr="00855489">
        <w:t>.</w:t>
      </w:r>
      <w:r w:rsidR="006F685A" w:rsidRPr="00855489">
        <w:t xml:space="preserve"> </w:t>
      </w:r>
      <w:r w:rsidR="00F14C3F" w:rsidRPr="00855489">
        <w:rPr>
          <w:iCs/>
        </w:rPr>
        <w:t xml:space="preserve">The </w:t>
      </w:r>
      <w:r w:rsidR="00F87A50" w:rsidRPr="00855489">
        <w:rPr>
          <w:iCs/>
        </w:rPr>
        <w:t>e</w:t>
      </w:r>
      <w:r w:rsidR="000950FD" w:rsidRPr="00855489">
        <w:rPr>
          <w:iCs/>
        </w:rPr>
        <w:t xml:space="preserve">valuation </w:t>
      </w:r>
      <w:r w:rsidR="00F14C3F" w:rsidRPr="00855489">
        <w:rPr>
          <w:iCs/>
        </w:rPr>
        <w:t xml:space="preserve">included data from this trial given </w:t>
      </w:r>
      <w:r w:rsidR="007A072E" w:rsidRPr="00855489">
        <w:rPr>
          <w:iCs/>
        </w:rPr>
        <w:t xml:space="preserve">the requested </w:t>
      </w:r>
      <w:r w:rsidR="00BB3C4B" w:rsidRPr="00855489">
        <w:rPr>
          <w:iCs/>
        </w:rPr>
        <w:t xml:space="preserve">restriction </w:t>
      </w:r>
      <w:r w:rsidR="007A072E" w:rsidRPr="00855489">
        <w:rPr>
          <w:iCs/>
        </w:rPr>
        <w:t>include</w:t>
      </w:r>
      <w:r w:rsidR="00BB3C4B" w:rsidRPr="00855489">
        <w:rPr>
          <w:iCs/>
        </w:rPr>
        <w:t xml:space="preserve">s </w:t>
      </w:r>
      <w:r w:rsidR="007A072E" w:rsidRPr="00855489">
        <w:rPr>
          <w:iCs/>
        </w:rPr>
        <w:t xml:space="preserve">MART and none of the </w:t>
      </w:r>
      <w:r w:rsidR="00BB3C4B" w:rsidRPr="00855489">
        <w:rPr>
          <w:iCs/>
        </w:rPr>
        <w:t xml:space="preserve">other </w:t>
      </w:r>
      <w:r w:rsidR="007A072E" w:rsidRPr="00855489">
        <w:rPr>
          <w:iCs/>
        </w:rPr>
        <w:t xml:space="preserve">included trials provided evidence for </w:t>
      </w:r>
      <w:r w:rsidR="007F1AE2" w:rsidRPr="00855489">
        <w:rPr>
          <w:iCs/>
        </w:rPr>
        <w:t xml:space="preserve">use </w:t>
      </w:r>
      <w:r w:rsidR="004B1375" w:rsidRPr="00855489">
        <w:rPr>
          <w:iCs/>
        </w:rPr>
        <w:t>in</w:t>
      </w:r>
      <w:r w:rsidR="007A072E" w:rsidRPr="00855489">
        <w:rPr>
          <w:iCs/>
        </w:rPr>
        <w:t xml:space="preserve"> MART.</w:t>
      </w:r>
    </w:p>
    <w:p w14:paraId="5AD326F9" w14:textId="7B6385D5" w:rsidR="008E0D3C" w:rsidRPr="00855489" w:rsidRDefault="008E0D3C" w:rsidP="00613D5A">
      <w:pPr>
        <w:pStyle w:val="TableFigureHeading"/>
        <w:keepLines/>
        <w:rPr>
          <w:rStyle w:val="CommentReference"/>
          <w:b/>
          <w:szCs w:val="24"/>
        </w:rPr>
      </w:pPr>
      <w:r w:rsidRPr="00855489">
        <w:rPr>
          <w:rStyle w:val="CommentReference"/>
          <w:b/>
          <w:szCs w:val="24"/>
        </w:rPr>
        <w:t>Table</w:t>
      </w:r>
      <w:r w:rsidR="004E7C82" w:rsidRPr="00855489">
        <w:rPr>
          <w:rStyle w:val="CommentReference"/>
          <w:b/>
          <w:szCs w:val="24"/>
        </w:rPr>
        <w:t xml:space="preserve"> 2:</w:t>
      </w:r>
      <w:r w:rsidR="00613D5A" w:rsidRPr="00855489">
        <w:rPr>
          <w:rStyle w:val="CommentReference"/>
          <w:b/>
          <w:szCs w:val="24"/>
        </w:rPr>
        <w:t xml:space="preserve"> </w:t>
      </w:r>
      <w:r w:rsidRPr="00855489">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458"/>
        <w:gridCol w:w="2122"/>
      </w:tblGrid>
      <w:tr w:rsidR="00613D5A" w:rsidRPr="006A4889" w14:paraId="12843097" w14:textId="77777777" w:rsidTr="00EA2C38">
        <w:trPr>
          <w:cantSplit/>
          <w:tblHeader/>
        </w:trPr>
        <w:tc>
          <w:tcPr>
            <w:tcW w:w="796" w:type="pct"/>
            <w:vAlign w:val="center"/>
          </w:tcPr>
          <w:p w14:paraId="718AFC90" w14:textId="77777777" w:rsidR="00613D5A" w:rsidRPr="006A4889" w:rsidRDefault="00613D5A" w:rsidP="004463C2">
            <w:pPr>
              <w:pStyle w:val="In-tableHeading"/>
              <w:keepNext w:val="0"/>
              <w:rPr>
                <w:szCs w:val="20"/>
                <w:lang w:val="en-AU"/>
              </w:rPr>
            </w:pPr>
            <w:r w:rsidRPr="006A4889">
              <w:rPr>
                <w:szCs w:val="20"/>
                <w:lang w:val="en-AU"/>
              </w:rPr>
              <w:t>Trial ID</w:t>
            </w:r>
          </w:p>
        </w:tc>
        <w:tc>
          <w:tcPr>
            <w:tcW w:w="3027" w:type="pct"/>
            <w:vAlign w:val="center"/>
          </w:tcPr>
          <w:p w14:paraId="7C0825E8" w14:textId="77777777" w:rsidR="00613D5A" w:rsidRPr="006A4889" w:rsidRDefault="00613D5A" w:rsidP="004463C2">
            <w:pPr>
              <w:pStyle w:val="In-tableHeading"/>
              <w:keepNext w:val="0"/>
              <w:rPr>
                <w:szCs w:val="20"/>
                <w:lang w:val="en-AU"/>
              </w:rPr>
            </w:pPr>
            <w:r w:rsidRPr="006A4889">
              <w:rPr>
                <w:szCs w:val="20"/>
                <w:lang w:val="en-AU"/>
              </w:rPr>
              <w:t>Protocol title/ Publication title</w:t>
            </w:r>
          </w:p>
        </w:tc>
        <w:tc>
          <w:tcPr>
            <w:tcW w:w="1177" w:type="pct"/>
            <w:vAlign w:val="center"/>
          </w:tcPr>
          <w:p w14:paraId="5FA33063" w14:textId="77777777" w:rsidR="00613D5A" w:rsidRPr="006A4889" w:rsidRDefault="00613D5A" w:rsidP="004463C2">
            <w:pPr>
              <w:pStyle w:val="In-tableHeading"/>
              <w:keepNext w:val="0"/>
              <w:rPr>
                <w:szCs w:val="20"/>
                <w:lang w:val="en-AU"/>
              </w:rPr>
            </w:pPr>
            <w:r w:rsidRPr="006A4889">
              <w:rPr>
                <w:szCs w:val="20"/>
                <w:lang w:val="en-AU"/>
              </w:rPr>
              <w:t>Publication citation</w:t>
            </w:r>
          </w:p>
        </w:tc>
      </w:tr>
      <w:tr w:rsidR="00613D5A" w:rsidRPr="006A4889" w14:paraId="295B4320" w14:textId="77777777" w:rsidTr="00EA2C38">
        <w:trPr>
          <w:cantSplit/>
        </w:trPr>
        <w:tc>
          <w:tcPr>
            <w:tcW w:w="5000" w:type="pct"/>
            <w:gridSpan w:val="3"/>
            <w:tcBorders>
              <w:bottom w:val="nil"/>
            </w:tcBorders>
            <w:vAlign w:val="center"/>
          </w:tcPr>
          <w:p w14:paraId="7448D689" w14:textId="77777777" w:rsidR="00613D5A" w:rsidRPr="006A4889" w:rsidRDefault="00F31E25" w:rsidP="007A072E">
            <w:pPr>
              <w:pStyle w:val="TableText0"/>
              <w:keepNext w:val="0"/>
              <w:rPr>
                <w:b/>
                <w:bCs w:val="0"/>
                <w:szCs w:val="20"/>
              </w:rPr>
            </w:pPr>
            <w:r w:rsidRPr="006A4889">
              <w:rPr>
                <w:b/>
                <w:bCs w:val="0"/>
                <w:szCs w:val="20"/>
              </w:rPr>
              <w:t>Direct randomised trials</w:t>
            </w:r>
          </w:p>
        </w:tc>
      </w:tr>
      <w:tr w:rsidR="00F31E25" w:rsidRPr="006A4889" w14:paraId="647D7A67" w14:textId="77777777" w:rsidTr="00EA2C38">
        <w:trPr>
          <w:cantSplit/>
        </w:trPr>
        <w:tc>
          <w:tcPr>
            <w:tcW w:w="5000" w:type="pct"/>
            <w:gridSpan w:val="3"/>
            <w:vAlign w:val="center"/>
          </w:tcPr>
          <w:p w14:paraId="2D2AF81F" w14:textId="77777777" w:rsidR="00F31E25" w:rsidRPr="006A4889" w:rsidRDefault="00F31E25" w:rsidP="004463C2">
            <w:pPr>
              <w:pStyle w:val="TableText0"/>
              <w:keepNext w:val="0"/>
              <w:rPr>
                <w:szCs w:val="20"/>
                <w:u w:val="single"/>
              </w:rPr>
            </w:pPr>
            <w:r w:rsidRPr="006A4889">
              <w:rPr>
                <w:b/>
                <w:szCs w:val="20"/>
              </w:rPr>
              <w:tab/>
            </w:r>
            <w:r w:rsidRPr="006A4889">
              <w:rPr>
                <w:szCs w:val="20"/>
                <w:u w:val="single"/>
              </w:rPr>
              <w:t>Main trials</w:t>
            </w:r>
          </w:p>
        </w:tc>
      </w:tr>
      <w:tr w:rsidR="00C871C2" w:rsidRPr="006A4889" w14:paraId="1D45D6E9" w14:textId="77777777" w:rsidTr="00EA2C38">
        <w:trPr>
          <w:cantSplit/>
        </w:trPr>
        <w:tc>
          <w:tcPr>
            <w:tcW w:w="796" w:type="pct"/>
            <w:vMerge w:val="restart"/>
            <w:vAlign w:val="center"/>
          </w:tcPr>
          <w:p w14:paraId="3CCDA3A6" w14:textId="77777777" w:rsidR="00C871C2" w:rsidRPr="006A4889" w:rsidRDefault="00C871C2" w:rsidP="004463C2">
            <w:pPr>
              <w:pStyle w:val="TableText0"/>
              <w:keepNext w:val="0"/>
              <w:rPr>
                <w:szCs w:val="20"/>
              </w:rPr>
            </w:pPr>
            <w:r w:rsidRPr="006A4889">
              <w:rPr>
                <w:szCs w:val="20"/>
              </w:rPr>
              <w:t xml:space="preserve">Papi 2007a </w:t>
            </w:r>
          </w:p>
          <w:p w14:paraId="380BF62A" w14:textId="77777777" w:rsidR="00C871C2" w:rsidRPr="006A4889" w:rsidRDefault="00C871C2" w:rsidP="004463C2">
            <w:pPr>
              <w:pStyle w:val="TableText0"/>
              <w:keepNext w:val="0"/>
              <w:rPr>
                <w:szCs w:val="20"/>
              </w:rPr>
            </w:pPr>
            <w:r w:rsidRPr="006A4889">
              <w:rPr>
                <w:szCs w:val="20"/>
              </w:rPr>
              <w:t>(ICAT SE study)</w:t>
            </w:r>
          </w:p>
        </w:tc>
        <w:tc>
          <w:tcPr>
            <w:tcW w:w="3027" w:type="pct"/>
            <w:tcBorders>
              <w:bottom w:val="nil"/>
            </w:tcBorders>
            <w:vAlign w:val="center"/>
          </w:tcPr>
          <w:p w14:paraId="3DEF8173" w14:textId="77777777" w:rsidR="00C871C2" w:rsidRPr="006A4889" w:rsidRDefault="00C871C2" w:rsidP="004463C2">
            <w:pPr>
              <w:pStyle w:val="TableText0"/>
              <w:keepNext w:val="0"/>
              <w:rPr>
                <w:szCs w:val="20"/>
              </w:rPr>
            </w:pPr>
            <w:r w:rsidRPr="006A4889">
              <w:rPr>
                <w:szCs w:val="20"/>
              </w:rPr>
              <w:t>Double blind, multinational, multicentre, parallel-group design clinical trial of the efficacy and tolerability of CHF 1565 (beclomethasone dipropio</w:t>
            </w:r>
            <w:r w:rsidR="00C7503B" w:rsidRPr="006A4889">
              <w:rPr>
                <w:szCs w:val="20"/>
              </w:rPr>
              <w:t xml:space="preserve">nate 100mcg + formoterol 6mcg) </w:t>
            </w:r>
            <w:r w:rsidRPr="006A4889">
              <w:rPr>
                <w:szCs w:val="20"/>
              </w:rPr>
              <w:t>MDI via HFA-134a vs. fluticas</w:t>
            </w:r>
            <w:r w:rsidR="00C7503B" w:rsidRPr="006A4889">
              <w:rPr>
                <w:szCs w:val="20"/>
              </w:rPr>
              <w:t xml:space="preserve">one 125mcg + salmeterol 25mcg </w:t>
            </w:r>
            <w:r w:rsidRPr="006A4889">
              <w:rPr>
                <w:szCs w:val="20"/>
              </w:rPr>
              <w:t>MDI (Seretide®) in the 12-week treatment of adult patients with moderate to severe persistent asthma.</w:t>
            </w:r>
          </w:p>
        </w:tc>
        <w:tc>
          <w:tcPr>
            <w:tcW w:w="1177" w:type="pct"/>
            <w:tcBorders>
              <w:bottom w:val="nil"/>
            </w:tcBorders>
            <w:vAlign w:val="center"/>
          </w:tcPr>
          <w:p w14:paraId="2845EA9A" w14:textId="77777777" w:rsidR="00C871C2" w:rsidRPr="006A4889" w:rsidRDefault="00C871C2" w:rsidP="004463C2">
            <w:pPr>
              <w:pStyle w:val="TableText0"/>
              <w:keepNext w:val="0"/>
              <w:rPr>
                <w:szCs w:val="20"/>
              </w:rPr>
            </w:pPr>
            <w:r w:rsidRPr="006A4889">
              <w:rPr>
                <w:szCs w:val="20"/>
              </w:rPr>
              <w:t>CSR, May 2006</w:t>
            </w:r>
          </w:p>
        </w:tc>
      </w:tr>
      <w:tr w:rsidR="00C871C2" w:rsidRPr="006A4889" w14:paraId="46EFA24A" w14:textId="77777777" w:rsidTr="00EA2C38">
        <w:trPr>
          <w:cantSplit/>
        </w:trPr>
        <w:tc>
          <w:tcPr>
            <w:tcW w:w="796" w:type="pct"/>
            <w:vMerge/>
            <w:tcBorders>
              <w:bottom w:val="single" w:sz="4" w:space="0" w:color="auto"/>
            </w:tcBorders>
            <w:vAlign w:val="center"/>
          </w:tcPr>
          <w:p w14:paraId="1B526EA1" w14:textId="77777777" w:rsidR="00C871C2" w:rsidRPr="006A4889" w:rsidRDefault="00C871C2" w:rsidP="004463C2">
            <w:pPr>
              <w:pStyle w:val="TableText0"/>
              <w:keepNext w:val="0"/>
              <w:rPr>
                <w:szCs w:val="20"/>
              </w:rPr>
            </w:pPr>
          </w:p>
        </w:tc>
        <w:tc>
          <w:tcPr>
            <w:tcW w:w="3027" w:type="pct"/>
            <w:tcBorders>
              <w:top w:val="nil"/>
              <w:bottom w:val="single" w:sz="4" w:space="0" w:color="auto"/>
            </w:tcBorders>
            <w:vAlign w:val="center"/>
          </w:tcPr>
          <w:p w14:paraId="446AE2FD" w14:textId="77777777" w:rsidR="00C871C2" w:rsidRPr="006A4889" w:rsidRDefault="00C871C2" w:rsidP="004463C2">
            <w:pPr>
              <w:pStyle w:val="TableText0"/>
              <w:keepNext w:val="0"/>
              <w:rPr>
                <w:szCs w:val="20"/>
              </w:rPr>
            </w:pPr>
            <w:r w:rsidRPr="006A4889">
              <w:rPr>
                <w:szCs w:val="20"/>
              </w:rPr>
              <w:t>Papi, A. et al. Beclomethasone/formoterol vs fluticasone/salmeterol inhaled combination in moderate to severe asthma.</w:t>
            </w:r>
          </w:p>
        </w:tc>
        <w:tc>
          <w:tcPr>
            <w:tcW w:w="1177" w:type="pct"/>
            <w:tcBorders>
              <w:top w:val="nil"/>
              <w:bottom w:val="single" w:sz="4" w:space="0" w:color="auto"/>
            </w:tcBorders>
            <w:vAlign w:val="center"/>
          </w:tcPr>
          <w:p w14:paraId="5392EF35" w14:textId="77777777" w:rsidR="00C871C2" w:rsidRPr="006A4889" w:rsidRDefault="00C871C2" w:rsidP="004463C2">
            <w:pPr>
              <w:pStyle w:val="TableText0"/>
              <w:keepNext w:val="0"/>
              <w:rPr>
                <w:szCs w:val="20"/>
              </w:rPr>
            </w:pPr>
            <w:r w:rsidRPr="006A4889">
              <w:rPr>
                <w:szCs w:val="20"/>
              </w:rPr>
              <w:t>Allergy 2007; 62(10): 1182-1188.</w:t>
            </w:r>
          </w:p>
        </w:tc>
      </w:tr>
      <w:tr w:rsidR="00C871C2" w:rsidRPr="006A4889" w14:paraId="74C204E6" w14:textId="77777777" w:rsidTr="00EA2C38">
        <w:trPr>
          <w:cantSplit/>
        </w:trPr>
        <w:tc>
          <w:tcPr>
            <w:tcW w:w="796" w:type="pct"/>
            <w:vMerge w:val="restart"/>
            <w:tcBorders>
              <w:bottom w:val="nil"/>
            </w:tcBorders>
            <w:vAlign w:val="center"/>
          </w:tcPr>
          <w:p w14:paraId="7231C925" w14:textId="77777777" w:rsidR="00C871C2" w:rsidRPr="006A4889" w:rsidRDefault="00C871C2" w:rsidP="004463C2">
            <w:pPr>
              <w:pStyle w:val="TableText0"/>
              <w:keepNext w:val="0"/>
              <w:rPr>
                <w:szCs w:val="20"/>
              </w:rPr>
            </w:pPr>
            <w:r w:rsidRPr="006A4889">
              <w:rPr>
                <w:szCs w:val="20"/>
              </w:rPr>
              <w:t>Hsieh 2017</w:t>
            </w:r>
          </w:p>
        </w:tc>
        <w:tc>
          <w:tcPr>
            <w:tcW w:w="3027" w:type="pct"/>
            <w:tcBorders>
              <w:bottom w:val="nil"/>
            </w:tcBorders>
            <w:vAlign w:val="center"/>
          </w:tcPr>
          <w:p w14:paraId="7AFE8F97" w14:textId="77777777" w:rsidR="00C871C2" w:rsidRPr="006A4889" w:rsidRDefault="00C871C2" w:rsidP="004463C2">
            <w:pPr>
              <w:rPr>
                <w:rFonts w:ascii="Arial Narrow" w:eastAsiaTheme="majorEastAsia" w:hAnsi="Arial Narrow" w:cstheme="majorBidi"/>
                <w:bCs/>
                <w:sz w:val="20"/>
                <w:szCs w:val="20"/>
              </w:rPr>
            </w:pPr>
            <w:r w:rsidRPr="006A4889">
              <w:rPr>
                <w:rFonts w:ascii="Arial Narrow" w:eastAsiaTheme="majorEastAsia" w:hAnsi="Arial Narrow" w:cstheme="majorBidi"/>
                <w:bCs/>
                <w:sz w:val="20"/>
                <w:szCs w:val="20"/>
              </w:rPr>
              <w:t>A double-blind, double dummy, randomized, 2-arm paral</w:t>
            </w:r>
            <w:r w:rsidR="00C7503B" w:rsidRPr="006A4889">
              <w:rPr>
                <w:rFonts w:ascii="Arial Narrow" w:eastAsiaTheme="majorEastAsia" w:hAnsi="Arial Narrow" w:cstheme="majorBidi"/>
                <w:bCs/>
                <w:sz w:val="20"/>
                <w:szCs w:val="20"/>
              </w:rPr>
              <w:t xml:space="preserve">lel-controlled study of Foster MDI HFA and Seretide </w:t>
            </w:r>
            <w:r w:rsidRPr="006A4889">
              <w:rPr>
                <w:rFonts w:ascii="Arial Narrow" w:eastAsiaTheme="majorEastAsia" w:hAnsi="Arial Narrow" w:cstheme="majorBidi"/>
                <w:bCs/>
                <w:sz w:val="20"/>
                <w:szCs w:val="20"/>
              </w:rPr>
              <w:t>MDI HFA in treatment of moderate to severe asthma in Taiwan.</w:t>
            </w:r>
          </w:p>
        </w:tc>
        <w:tc>
          <w:tcPr>
            <w:tcW w:w="1177" w:type="pct"/>
            <w:tcBorders>
              <w:bottom w:val="nil"/>
            </w:tcBorders>
            <w:vAlign w:val="center"/>
          </w:tcPr>
          <w:p w14:paraId="12D79D80" w14:textId="77777777" w:rsidR="00C871C2" w:rsidRPr="006A4889" w:rsidRDefault="00C871C2" w:rsidP="004463C2">
            <w:pPr>
              <w:pStyle w:val="TableText0"/>
              <w:keepNext w:val="0"/>
              <w:rPr>
                <w:szCs w:val="20"/>
              </w:rPr>
            </w:pPr>
            <w:r w:rsidRPr="006A4889">
              <w:rPr>
                <w:szCs w:val="20"/>
              </w:rPr>
              <w:t>CSR, April 2013</w:t>
            </w:r>
          </w:p>
        </w:tc>
      </w:tr>
      <w:tr w:rsidR="00C871C2" w:rsidRPr="006A4889" w14:paraId="39D2D079" w14:textId="77777777" w:rsidTr="00EA2C38">
        <w:trPr>
          <w:cantSplit/>
        </w:trPr>
        <w:tc>
          <w:tcPr>
            <w:tcW w:w="796" w:type="pct"/>
            <w:vMerge/>
            <w:tcBorders>
              <w:bottom w:val="single" w:sz="4" w:space="0" w:color="auto"/>
            </w:tcBorders>
            <w:vAlign w:val="center"/>
          </w:tcPr>
          <w:p w14:paraId="5242DDBF" w14:textId="77777777" w:rsidR="00C871C2" w:rsidRPr="006A4889" w:rsidRDefault="00C871C2" w:rsidP="004463C2">
            <w:pPr>
              <w:pStyle w:val="TableText0"/>
              <w:keepNext w:val="0"/>
              <w:rPr>
                <w:szCs w:val="20"/>
              </w:rPr>
            </w:pPr>
          </w:p>
        </w:tc>
        <w:tc>
          <w:tcPr>
            <w:tcW w:w="3027" w:type="pct"/>
            <w:tcBorders>
              <w:top w:val="nil"/>
              <w:bottom w:val="single" w:sz="4" w:space="0" w:color="auto"/>
            </w:tcBorders>
            <w:vAlign w:val="center"/>
          </w:tcPr>
          <w:p w14:paraId="6A41BB55" w14:textId="77777777" w:rsidR="00C871C2" w:rsidRPr="006A4889" w:rsidRDefault="00C871C2" w:rsidP="004463C2">
            <w:pPr>
              <w:pStyle w:val="TableText0"/>
              <w:keepNext w:val="0"/>
              <w:rPr>
                <w:szCs w:val="20"/>
              </w:rPr>
            </w:pPr>
            <w:r w:rsidRPr="006A4889">
              <w:rPr>
                <w:szCs w:val="20"/>
              </w:rPr>
              <w:t>Hsieh, M.J.</w:t>
            </w:r>
            <w:r w:rsidR="001B19A1" w:rsidRPr="006A4889">
              <w:rPr>
                <w:szCs w:val="20"/>
              </w:rPr>
              <w:t>, et</w:t>
            </w:r>
            <w:r w:rsidRPr="006A4889">
              <w:rPr>
                <w:szCs w:val="20"/>
              </w:rPr>
              <w:t xml:space="preserve"> al. Comparative efficacy and tolerability of beclomethasone/formoterol and fluticasone/salmeterol fixed combination </w:t>
            </w:r>
            <w:r w:rsidRPr="00576CEC">
              <w:rPr>
                <w:szCs w:val="20"/>
              </w:rPr>
              <w:t>in Taiwanese asthmatic patients.</w:t>
            </w:r>
            <w:r w:rsidRPr="006A4889">
              <w:rPr>
                <w:szCs w:val="20"/>
              </w:rPr>
              <w:t xml:space="preserve"> </w:t>
            </w:r>
          </w:p>
        </w:tc>
        <w:tc>
          <w:tcPr>
            <w:tcW w:w="1177" w:type="pct"/>
            <w:tcBorders>
              <w:top w:val="nil"/>
              <w:bottom w:val="single" w:sz="4" w:space="0" w:color="auto"/>
            </w:tcBorders>
            <w:vAlign w:val="center"/>
          </w:tcPr>
          <w:p w14:paraId="76BC88A3" w14:textId="77777777" w:rsidR="00C871C2" w:rsidRPr="00576CEC" w:rsidRDefault="00C871C2" w:rsidP="004463C2">
            <w:pPr>
              <w:pStyle w:val="TableText0"/>
              <w:keepNext w:val="0"/>
              <w:rPr>
                <w:szCs w:val="20"/>
              </w:rPr>
            </w:pPr>
            <w:r w:rsidRPr="00576CEC">
              <w:rPr>
                <w:szCs w:val="20"/>
              </w:rPr>
              <w:t>J Formos Med Assoc. 2018</w:t>
            </w:r>
            <w:r w:rsidRPr="006A4889">
              <w:rPr>
                <w:szCs w:val="20"/>
              </w:rPr>
              <w:t xml:space="preserve"> Dec;117(12):1078-1085.</w:t>
            </w:r>
          </w:p>
        </w:tc>
      </w:tr>
      <w:tr w:rsidR="00C871C2" w:rsidRPr="006A4889" w14:paraId="5043B49B" w14:textId="77777777" w:rsidTr="00EA2C38">
        <w:trPr>
          <w:cantSplit/>
        </w:trPr>
        <w:tc>
          <w:tcPr>
            <w:tcW w:w="796" w:type="pct"/>
            <w:vMerge w:val="restart"/>
            <w:tcBorders>
              <w:top w:val="single" w:sz="4" w:space="0" w:color="auto"/>
            </w:tcBorders>
            <w:vAlign w:val="center"/>
          </w:tcPr>
          <w:p w14:paraId="67948427" w14:textId="77777777" w:rsidR="00C871C2" w:rsidRPr="006A4889" w:rsidRDefault="00C871C2" w:rsidP="004463C2">
            <w:pPr>
              <w:pStyle w:val="TableText0"/>
              <w:keepNext w:val="0"/>
              <w:rPr>
                <w:szCs w:val="20"/>
              </w:rPr>
            </w:pPr>
            <w:r w:rsidRPr="006A4889">
              <w:rPr>
                <w:szCs w:val="20"/>
              </w:rPr>
              <w:t xml:space="preserve">Papi 2007b </w:t>
            </w:r>
          </w:p>
          <w:p w14:paraId="479EAFF9" w14:textId="77777777" w:rsidR="00C871C2" w:rsidRPr="006A4889" w:rsidRDefault="00C871C2" w:rsidP="004463C2">
            <w:pPr>
              <w:pStyle w:val="TableText0"/>
              <w:keepNext w:val="0"/>
              <w:rPr>
                <w:szCs w:val="20"/>
              </w:rPr>
            </w:pPr>
            <w:r w:rsidRPr="006A4889">
              <w:rPr>
                <w:szCs w:val="20"/>
              </w:rPr>
              <w:t>(ICAT SY study)</w:t>
            </w:r>
          </w:p>
        </w:tc>
        <w:tc>
          <w:tcPr>
            <w:tcW w:w="3027" w:type="pct"/>
            <w:tcBorders>
              <w:top w:val="single" w:sz="4" w:space="0" w:color="auto"/>
              <w:bottom w:val="nil"/>
            </w:tcBorders>
            <w:vAlign w:val="center"/>
          </w:tcPr>
          <w:p w14:paraId="2DD1BB33" w14:textId="77777777" w:rsidR="00C871C2" w:rsidRPr="006A4889" w:rsidRDefault="00C871C2" w:rsidP="004463C2">
            <w:pPr>
              <w:pStyle w:val="TableText0"/>
              <w:keepNext w:val="0"/>
              <w:rPr>
                <w:szCs w:val="20"/>
              </w:rPr>
            </w:pPr>
            <w:r w:rsidRPr="006A4889">
              <w:rPr>
                <w:szCs w:val="20"/>
              </w:rPr>
              <w:t>Double blind, multinational, multicentre, parallel-group design clinical trial of the efficacy and tolerability of CHF 1565 (beclomethasone dipropio</w:t>
            </w:r>
            <w:r w:rsidR="00C7503B" w:rsidRPr="006A4889">
              <w:rPr>
                <w:szCs w:val="20"/>
              </w:rPr>
              <w:t xml:space="preserve">nate 100mcg + formoterol 6mcg) </w:t>
            </w:r>
            <w:r w:rsidRPr="006A4889">
              <w:rPr>
                <w:szCs w:val="20"/>
              </w:rPr>
              <w:t>MDI via HFA-134a vs. budesonide 160mcg + formoterol 4.5mcg dry powder via Turbuhaler® (Symbicort®) in the 12-week treatment of adult patients with moderate to severe persistent asthma.</w:t>
            </w:r>
          </w:p>
        </w:tc>
        <w:tc>
          <w:tcPr>
            <w:tcW w:w="1177" w:type="pct"/>
            <w:tcBorders>
              <w:top w:val="single" w:sz="4" w:space="0" w:color="auto"/>
              <w:bottom w:val="nil"/>
            </w:tcBorders>
            <w:vAlign w:val="center"/>
          </w:tcPr>
          <w:p w14:paraId="620761E7" w14:textId="77777777" w:rsidR="00C871C2" w:rsidRPr="006A4889" w:rsidRDefault="00C871C2" w:rsidP="004463C2">
            <w:pPr>
              <w:pStyle w:val="TableText0"/>
              <w:keepNext w:val="0"/>
              <w:rPr>
                <w:szCs w:val="20"/>
              </w:rPr>
            </w:pPr>
            <w:r w:rsidRPr="006A4889">
              <w:rPr>
                <w:szCs w:val="20"/>
              </w:rPr>
              <w:t>CSR, May 2006</w:t>
            </w:r>
          </w:p>
        </w:tc>
      </w:tr>
      <w:tr w:rsidR="00C871C2" w:rsidRPr="006A4889" w14:paraId="01534059" w14:textId="77777777" w:rsidTr="00EA2C38">
        <w:trPr>
          <w:cantSplit/>
        </w:trPr>
        <w:tc>
          <w:tcPr>
            <w:tcW w:w="796" w:type="pct"/>
            <w:vMerge/>
            <w:tcBorders>
              <w:bottom w:val="single" w:sz="4" w:space="0" w:color="auto"/>
            </w:tcBorders>
            <w:vAlign w:val="center"/>
          </w:tcPr>
          <w:p w14:paraId="50748868" w14:textId="77777777" w:rsidR="00C871C2" w:rsidRPr="006A4889" w:rsidRDefault="00C871C2" w:rsidP="004463C2">
            <w:pPr>
              <w:pStyle w:val="TableText0"/>
              <w:keepNext w:val="0"/>
              <w:rPr>
                <w:szCs w:val="20"/>
              </w:rPr>
            </w:pPr>
          </w:p>
        </w:tc>
        <w:tc>
          <w:tcPr>
            <w:tcW w:w="3027" w:type="pct"/>
            <w:tcBorders>
              <w:top w:val="nil"/>
              <w:bottom w:val="single" w:sz="4" w:space="0" w:color="auto"/>
            </w:tcBorders>
            <w:vAlign w:val="center"/>
          </w:tcPr>
          <w:p w14:paraId="21A1DF6A" w14:textId="77777777" w:rsidR="00C871C2" w:rsidRPr="006A4889" w:rsidRDefault="00C871C2" w:rsidP="004463C2">
            <w:pPr>
              <w:pStyle w:val="TableText0"/>
              <w:keepNext w:val="0"/>
              <w:rPr>
                <w:szCs w:val="20"/>
              </w:rPr>
            </w:pPr>
            <w:r w:rsidRPr="006A4889">
              <w:rPr>
                <w:szCs w:val="20"/>
              </w:rPr>
              <w:t xml:space="preserve">Papi et al. Beclomethasone/formoterol versus budesonide/formoterol combination therapy in asthma. </w:t>
            </w:r>
          </w:p>
        </w:tc>
        <w:tc>
          <w:tcPr>
            <w:tcW w:w="1177" w:type="pct"/>
            <w:tcBorders>
              <w:top w:val="nil"/>
              <w:bottom w:val="single" w:sz="4" w:space="0" w:color="auto"/>
            </w:tcBorders>
            <w:vAlign w:val="center"/>
          </w:tcPr>
          <w:p w14:paraId="5A04B2FB" w14:textId="77777777" w:rsidR="00C871C2" w:rsidRPr="006A4889" w:rsidRDefault="00C871C2" w:rsidP="004463C2">
            <w:pPr>
              <w:pStyle w:val="TableText0"/>
              <w:keepNext w:val="0"/>
              <w:rPr>
                <w:szCs w:val="20"/>
              </w:rPr>
            </w:pPr>
            <w:r w:rsidRPr="006A4889">
              <w:rPr>
                <w:szCs w:val="20"/>
              </w:rPr>
              <w:t>Eur Respir J 2007; 29(4): 682-689.</w:t>
            </w:r>
          </w:p>
        </w:tc>
      </w:tr>
      <w:tr w:rsidR="00C871C2" w:rsidRPr="006A4889" w14:paraId="2F98E2CB" w14:textId="77777777" w:rsidTr="00EA2C38">
        <w:trPr>
          <w:cantSplit/>
        </w:trPr>
        <w:tc>
          <w:tcPr>
            <w:tcW w:w="796" w:type="pct"/>
            <w:vMerge w:val="restart"/>
            <w:tcBorders>
              <w:top w:val="single" w:sz="4" w:space="0" w:color="auto"/>
              <w:left w:val="single" w:sz="4" w:space="0" w:color="auto"/>
              <w:right w:val="single" w:sz="4" w:space="0" w:color="auto"/>
            </w:tcBorders>
            <w:vAlign w:val="center"/>
          </w:tcPr>
          <w:p w14:paraId="71D83ECA" w14:textId="77777777" w:rsidR="00C871C2" w:rsidRPr="006A4889" w:rsidRDefault="00C871C2" w:rsidP="004463C2">
            <w:pPr>
              <w:pStyle w:val="TableText0"/>
              <w:keepNext w:val="0"/>
              <w:rPr>
                <w:szCs w:val="20"/>
              </w:rPr>
            </w:pPr>
            <w:r w:rsidRPr="006A4889">
              <w:rPr>
                <w:szCs w:val="20"/>
              </w:rPr>
              <w:t>Huchon 2009</w:t>
            </w:r>
          </w:p>
        </w:tc>
        <w:tc>
          <w:tcPr>
            <w:tcW w:w="3027" w:type="pct"/>
            <w:tcBorders>
              <w:top w:val="single" w:sz="4" w:space="0" w:color="auto"/>
              <w:left w:val="single" w:sz="4" w:space="0" w:color="auto"/>
              <w:bottom w:val="nil"/>
              <w:right w:val="single" w:sz="4" w:space="0" w:color="auto"/>
            </w:tcBorders>
            <w:vAlign w:val="center"/>
          </w:tcPr>
          <w:p w14:paraId="0FEDCEE3" w14:textId="77777777" w:rsidR="00C871C2" w:rsidRPr="006A4889" w:rsidRDefault="00C871C2" w:rsidP="004463C2">
            <w:pPr>
              <w:pStyle w:val="TableText0"/>
              <w:keepNext w:val="0"/>
              <w:rPr>
                <w:szCs w:val="20"/>
              </w:rPr>
            </w:pPr>
            <w:r w:rsidRPr="006A4889">
              <w:rPr>
                <w:szCs w:val="20"/>
              </w:rPr>
              <w:t>Double blind, multinational, multicentre, parallel-group design clinical trial of the efficacy and tolerability of CHF 1565 (fixed association of beclomethasone dipropionate 100mcg + formoterol 6mcg) (two puffs BID) vs. beclomethasone dipropionate CFC (two puffs BID) + formoterol powder 12mcg (one capsule BID) given separately vs. beclomethasone dipropionate CFC 250mcg (two puffs BID) in a 24-week treatment of adult patients with moderate to severe persistent asthma.</w:t>
            </w:r>
          </w:p>
        </w:tc>
        <w:tc>
          <w:tcPr>
            <w:tcW w:w="1177" w:type="pct"/>
            <w:tcBorders>
              <w:top w:val="single" w:sz="4" w:space="0" w:color="auto"/>
              <w:left w:val="single" w:sz="4" w:space="0" w:color="auto"/>
              <w:bottom w:val="nil"/>
              <w:right w:val="single" w:sz="4" w:space="0" w:color="auto"/>
            </w:tcBorders>
            <w:vAlign w:val="center"/>
          </w:tcPr>
          <w:p w14:paraId="31269117" w14:textId="77777777" w:rsidR="00C871C2" w:rsidRPr="006A4889" w:rsidRDefault="00C871C2" w:rsidP="004463C2">
            <w:pPr>
              <w:pStyle w:val="TableText0"/>
              <w:keepNext w:val="0"/>
              <w:rPr>
                <w:szCs w:val="20"/>
              </w:rPr>
            </w:pPr>
            <w:r w:rsidRPr="006A4889">
              <w:rPr>
                <w:szCs w:val="20"/>
              </w:rPr>
              <w:t>CSR, September 2005</w:t>
            </w:r>
          </w:p>
        </w:tc>
      </w:tr>
      <w:tr w:rsidR="00C871C2" w:rsidRPr="006A4889" w14:paraId="39DF5330" w14:textId="77777777" w:rsidTr="00EA2C38">
        <w:trPr>
          <w:cantSplit/>
        </w:trPr>
        <w:tc>
          <w:tcPr>
            <w:tcW w:w="796" w:type="pct"/>
            <w:vMerge/>
            <w:tcBorders>
              <w:left w:val="single" w:sz="4" w:space="0" w:color="auto"/>
              <w:bottom w:val="single" w:sz="4" w:space="0" w:color="auto"/>
              <w:right w:val="single" w:sz="4" w:space="0" w:color="auto"/>
            </w:tcBorders>
            <w:vAlign w:val="center"/>
          </w:tcPr>
          <w:p w14:paraId="17414B82" w14:textId="77777777" w:rsidR="00C871C2" w:rsidRPr="006A4889" w:rsidRDefault="00C871C2" w:rsidP="004463C2">
            <w:pPr>
              <w:pStyle w:val="TableText0"/>
              <w:keepNext w:val="0"/>
              <w:rPr>
                <w:szCs w:val="20"/>
              </w:rPr>
            </w:pPr>
          </w:p>
        </w:tc>
        <w:tc>
          <w:tcPr>
            <w:tcW w:w="3027" w:type="pct"/>
            <w:tcBorders>
              <w:top w:val="nil"/>
              <w:left w:val="single" w:sz="4" w:space="0" w:color="auto"/>
              <w:bottom w:val="single" w:sz="4" w:space="0" w:color="auto"/>
              <w:right w:val="single" w:sz="4" w:space="0" w:color="auto"/>
            </w:tcBorders>
            <w:vAlign w:val="center"/>
          </w:tcPr>
          <w:p w14:paraId="3EFA71D3" w14:textId="77777777" w:rsidR="00C871C2" w:rsidRPr="006A4889" w:rsidRDefault="00C871C2" w:rsidP="004463C2">
            <w:pPr>
              <w:pStyle w:val="TableText0"/>
              <w:keepNext w:val="0"/>
              <w:rPr>
                <w:szCs w:val="20"/>
              </w:rPr>
            </w:pPr>
            <w:r w:rsidRPr="006A4889">
              <w:rPr>
                <w:szCs w:val="20"/>
              </w:rPr>
              <w:t>Huchon, G., et al. Lung function and asthma control with beclomethasone and formoterol in a single inhaler</w:t>
            </w:r>
          </w:p>
        </w:tc>
        <w:tc>
          <w:tcPr>
            <w:tcW w:w="1177" w:type="pct"/>
            <w:tcBorders>
              <w:top w:val="nil"/>
              <w:left w:val="single" w:sz="4" w:space="0" w:color="auto"/>
              <w:bottom w:val="single" w:sz="4" w:space="0" w:color="auto"/>
              <w:right w:val="single" w:sz="4" w:space="0" w:color="auto"/>
            </w:tcBorders>
            <w:vAlign w:val="center"/>
          </w:tcPr>
          <w:p w14:paraId="28ED7CF4" w14:textId="77777777" w:rsidR="00C871C2" w:rsidRPr="006A4889" w:rsidRDefault="00C871C2" w:rsidP="004463C2">
            <w:pPr>
              <w:pStyle w:val="TableText0"/>
              <w:keepNext w:val="0"/>
              <w:rPr>
                <w:szCs w:val="20"/>
              </w:rPr>
            </w:pPr>
            <w:r w:rsidRPr="006A4889">
              <w:rPr>
                <w:szCs w:val="20"/>
              </w:rPr>
              <w:t>Respiratory medicine 2009; 103(1): 41-49.</w:t>
            </w:r>
          </w:p>
        </w:tc>
      </w:tr>
      <w:tr w:rsidR="00613D5A" w:rsidRPr="006A4889" w14:paraId="29F98FF3" w14:textId="77777777" w:rsidTr="00EA2C38">
        <w:trPr>
          <w:cantSplit/>
          <w:trHeight w:val="12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7873B45" w14:textId="77777777" w:rsidR="00613D5A" w:rsidRPr="006A4889" w:rsidRDefault="00F31E25" w:rsidP="007A072E">
            <w:pPr>
              <w:pStyle w:val="TableText0"/>
              <w:keepNext w:val="0"/>
              <w:rPr>
                <w:bCs w:val="0"/>
                <w:szCs w:val="20"/>
                <w:u w:val="single"/>
              </w:rPr>
            </w:pPr>
            <w:r w:rsidRPr="006A4889">
              <w:rPr>
                <w:b/>
                <w:bCs w:val="0"/>
                <w:szCs w:val="20"/>
              </w:rPr>
              <w:tab/>
            </w:r>
            <w:r w:rsidR="007A072E" w:rsidRPr="006A4889">
              <w:rPr>
                <w:bCs w:val="0"/>
                <w:szCs w:val="20"/>
                <w:u w:val="single"/>
              </w:rPr>
              <w:t>Supplementary trials</w:t>
            </w:r>
          </w:p>
        </w:tc>
      </w:tr>
      <w:tr w:rsidR="00C871C2" w:rsidRPr="006A4889" w14:paraId="22644501" w14:textId="77777777" w:rsidTr="00EA2C38">
        <w:trPr>
          <w:cantSplit/>
        </w:trPr>
        <w:tc>
          <w:tcPr>
            <w:tcW w:w="796" w:type="pct"/>
            <w:vMerge w:val="restart"/>
            <w:tcBorders>
              <w:top w:val="single" w:sz="4" w:space="0" w:color="auto"/>
              <w:left w:val="single" w:sz="4" w:space="0" w:color="auto"/>
              <w:right w:val="single" w:sz="4" w:space="0" w:color="auto"/>
            </w:tcBorders>
            <w:vAlign w:val="center"/>
          </w:tcPr>
          <w:p w14:paraId="6614147F" w14:textId="77777777" w:rsidR="00C871C2" w:rsidRPr="006A4889" w:rsidRDefault="00C871C2" w:rsidP="004463C2">
            <w:pPr>
              <w:pStyle w:val="TableText0"/>
              <w:keepNext w:val="0"/>
              <w:rPr>
                <w:szCs w:val="20"/>
              </w:rPr>
            </w:pPr>
            <w:r w:rsidRPr="006A4889">
              <w:rPr>
                <w:szCs w:val="20"/>
              </w:rPr>
              <w:t>Papi 2012</w:t>
            </w:r>
          </w:p>
        </w:tc>
        <w:tc>
          <w:tcPr>
            <w:tcW w:w="3027" w:type="pct"/>
            <w:tcBorders>
              <w:top w:val="single" w:sz="4" w:space="0" w:color="auto"/>
              <w:left w:val="single" w:sz="4" w:space="0" w:color="auto"/>
              <w:bottom w:val="nil"/>
              <w:right w:val="single" w:sz="4" w:space="0" w:color="auto"/>
            </w:tcBorders>
            <w:vAlign w:val="center"/>
          </w:tcPr>
          <w:p w14:paraId="2B634752" w14:textId="77777777" w:rsidR="00C871C2" w:rsidRPr="006A4889" w:rsidRDefault="00C871C2" w:rsidP="004463C2">
            <w:pPr>
              <w:pStyle w:val="TableText0"/>
              <w:keepNext w:val="0"/>
              <w:rPr>
                <w:szCs w:val="20"/>
              </w:rPr>
            </w:pPr>
            <w:r w:rsidRPr="006A4889">
              <w:rPr>
                <w:szCs w:val="20"/>
              </w:rPr>
              <w:t>Prospective randomized, open-label, multicentre, active drug controlled,</w:t>
            </w:r>
          </w:p>
          <w:p w14:paraId="1AB3DFF2" w14:textId="77777777" w:rsidR="00C871C2" w:rsidRPr="006A4889" w:rsidRDefault="00C871C2" w:rsidP="004463C2">
            <w:pPr>
              <w:pStyle w:val="TableText0"/>
              <w:keepNext w:val="0"/>
              <w:rPr>
                <w:szCs w:val="20"/>
              </w:rPr>
            </w:pPr>
            <w:r w:rsidRPr="006A4889">
              <w:rPr>
                <w:szCs w:val="20"/>
              </w:rPr>
              <w:t>parallel group design clinical trial of the efficacy and safety of beclomethasone dipropionate 400 mcg + f</w:t>
            </w:r>
            <w:r w:rsidR="00C7503B" w:rsidRPr="006A4889">
              <w:rPr>
                <w:szCs w:val="20"/>
              </w:rPr>
              <w:t xml:space="preserve">ormoterol 24 mcg </w:t>
            </w:r>
            <w:r w:rsidRPr="006A4889">
              <w:rPr>
                <w:szCs w:val="20"/>
              </w:rPr>
              <w:t>MDI via</w:t>
            </w:r>
          </w:p>
          <w:p w14:paraId="01A30183" w14:textId="77777777" w:rsidR="00C871C2" w:rsidRPr="006A4889" w:rsidRDefault="00C871C2" w:rsidP="004463C2">
            <w:pPr>
              <w:pStyle w:val="TableText0"/>
              <w:keepNext w:val="0"/>
              <w:rPr>
                <w:szCs w:val="20"/>
              </w:rPr>
            </w:pPr>
            <w:r w:rsidRPr="006A4889">
              <w:rPr>
                <w:szCs w:val="20"/>
              </w:rPr>
              <w:t>HFA-134 A (FOSTERTM) vs. Fluticasone propionate 500 mcg + Salmeterol xinafoate 100 mcg (Seretide Diskus®) in the 6 months step-down treatment of adult patients with controlled asthma.</w:t>
            </w:r>
          </w:p>
        </w:tc>
        <w:tc>
          <w:tcPr>
            <w:tcW w:w="1177" w:type="pct"/>
            <w:tcBorders>
              <w:top w:val="single" w:sz="4" w:space="0" w:color="auto"/>
              <w:left w:val="single" w:sz="4" w:space="0" w:color="auto"/>
              <w:bottom w:val="nil"/>
              <w:right w:val="single" w:sz="4" w:space="0" w:color="auto"/>
            </w:tcBorders>
            <w:vAlign w:val="center"/>
          </w:tcPr>
          <w:p w14:paraId="657DB3B6" w14:textId="77777777" w:rsidR="00C871C2" w:rsidRPr="006A4889" w:rsidRDefault="00C871C2" w:rsidP="004463C2">
            <w:pPr>
              <w:pStyle w:val="TableText0"/>
              <w:keepNext w:val="0"/>
              <w:rPr>
                <w:szCs w:val="20"/>
              </w:rPr>
            </w:pPr>
            <w:r w:rsidRPr="006A4889">
              <w:rPr>
                <w:szCs w:val="20"/>
              </w:rPr>
              <w:t>CSR, January 2011</w:t>
            </w:r>
          </w:p>
        </w:tc>
      </w:tr>
      <w:tr w:rsidR="00C871C2" w:rsidRPr="006A4889" w14:paraId="2B74D995" w14:textId="77777777" w:rsidTr="00EA2C38">
        <w:trPr>
          <w:cantSplit/>
        </w:trPr>
        <w:tc>
          <w:tcPr>
            <w:tcW w:w="796" w:type="pct"/>
            <w:vMerge/>
            <w:tcBorders>
              <w:left w:val="single" w:sz="4" w:space="0" w:color="auto"/>
              <w:bottom w:val="single" w:sz="4" w:space="0" w:color="auto"/>
              <w:right w:val="single" w:sz="4" w:space="0" w:color="auto"/>
            </w:tcBorders>
            <w:vAlign w:val="center"/>
          </w:tcPr>
          <w:p w14:paraId="7BB80E47" w14:textId="77777777" w:rsidR="00C871C2" w:rsidRPr="006A4889" w:rsidRDefault="00C871C2" w:rsidP="004463C2">
            <w:pPr>
              <w:pStyle w:val="TableText0"/>
              <w:keepNext w:val="0"/>
              <w:rPr>
                <w:szCs w:val="20"/>
              </w:rPr>
            </w:pPr>
          </w:p>
        </w:tc>
        <w:tc>
          <w:tcPr>
            <w:tcW w:w="3027" w:type="pct"/>
            <w:tcBorders>
              <w:top w:val="nil"/>
              <w:left w:val="single" w:sz="4" w:space="0" w:color="auto"/>
              <w:bottom w:val="single" w:sz="4" w:space="0" w:color="auto"/>
              <w:right w:val="single" w:sz="4" w:space="0" w:color="auto"/>
            </w:tcBorders>
            <w:vAlign w:val="center"/>
          </w:tcPr>
          <w:p w14:paraId="5F08AE9B" w14:textId="77777777" w:rsidR="00C871C2" w:rsidRPr="006A4889" w:rsidRDefault="00C871C2" w:rsidP="004463C2">
            <w:pPr>
              <w:pStyle w:val="TableText0"/>
              <w:keepNext w:val="0"/>
              <w:rPr>
                <w:szCs w:val="20"/>
              </w:rPr>
            </w:pPr>
            <w:r w:rsidRPr="006A4889">
              <w:rPr>
                <w:rFonts w:cs="Segoe UI"/>
                <w:szCs w:val="20"/>
              </w:rPr>
              <w:t>Papi, A. et al. Step-down from high dose fixed combination therapy in asthma patients: a randomized controlled trial.</w:t>
            </w:r>
          </w:p>
        </w:tc>
        <w:tc>
          <w:tcPr>
            <w:tcW w:w="1177" w:type="pct"/>
            <w:tcBorders>
              <w:top w:val="nil"/>
              <w:left w:val="single" w:sz="4" w:space="0" w:color="auto"/>
              <w:bottom w:val="single" w:sz="4" w:space="0" w:color="auto"/>
              <w:right w:val="single" w:sz="4" w:space="0" w:color="auto"/>
            </w:tcBorders>
            <w:vAlign w:val="center"/>
          </w:tcPr>
          <w:p w14:paraId="6B1F510A" w14:textId="77777777" w:rsidR="00C871C2" w:rsidRPr="006A4889" w:rsidRDefault="00C871C2" w:rsidP="004463C2">
            <w:pPr>
              <w:pStyle w:val="TableText0"/>
              <w:keepNext w:val="0"/>
              <w:rPr>
                <w:szCs w:val="20"/>
              </w:rPr>
            </w:pPr>
            <w:r w:rsidRPr="006A4889">
              <w:rPr>
                <w:szCs w:val="20"/>
              </w:rPr>
              <w:t>Respiratory research 2012; 13(1): 54</w:t>
            </w:r>
          </w:p>
        </w:tc>
      </w:tr>
      <w:tr w:rsidR="00C871C2" w:rsidRPr="006A4889" w14:paraId="1AF42E0F" w14:textId="77777777" w:rsidTr="00EA2C38">
        <w:trPr>
          <w:cantSplit/>
        </w:trPr>
        <w:tc>
          <w:tcPr>
            <w:tcW w:w="796" w:type="pct"/>
            <w:vMerge w:val="restart"/>
            <w:tcBorders>
              <w:top w:val="single" w:sz="4" w:space="0" w:color="auto"/>
              <w:left w:val="single" w:sz="4" w:space="0" w:color="auto"/>
              <w:right w:val="single" w:sz="4" w:space="0" w:color="auto"/>
            </w:tcBorders>
            <w:vAlign w:val="center"/>
          </w:tcPr>
          <w:p w14:paraId="3CCBE0CD" w14:textId="77777777" w:rsidR="00C871C2" w:rsidRPr="006A4889" w:rsidRDefault="00C871C2" w:rsidP="004463C2">
            <w:pPr>
              <w:pStyle w:val="TableText0"/>
              <w:keepNext w:val="0"/>
              <w:rPr>
                <w:szCs w:val="20"/>
              </w:rPr>
            </w:pPr>
            <w:r w:rsidRPr="006A4889">
              <w:rPr>
                <w:szCs w:val="20"/>
              </w:rPr>
              <w:t>Barnes 2013 (FACTO study)</w:t>
            </w:r>
          </w:p>
        </w:tc>
        <w:tc>
          <w:tcPr>
            <w:tcW w:w="3027" w:type="pct"/>
            <w:tcBorders>
              <w:top w:val="single" w:sz="4" w:space="0" w:color="auto"/>
              <w:left w:val="single" w:sz="4" w:space="0" w:color="auto"/>
              <w:bottom w:val="nil"/>
              <w:right w:val="single" w:sz="4" w:space="0" w:color="auto"/>
            </w:tcBorders>
            <w:vAlign w:val="center"/>
          </w:tcPr>
          <w:p w14:paraId="747BF0BC" w14:textId="77777777" w:rsidR="00C871C2" w:rsidRPr="006A4889" w:rsidRDefault="00C871C2" w:rsidP="004463C2">
            <w:pPr>
              <w:pStyle w:val="TableText0"/>
              <w:keepNext w:val="0"/>
              <w:rPr>
                <w:szCs w:val="20"/>
              </w:rPr>
            </w:pPr>
            <w:r w:rsidRPr="006A4889">
              <w:rPr>
                <w:szCs w:val="20"/>
              </w:rPr>
              <w:t>A Phase IV, multinational, multicentre, double blind, double dummy, randomised, parallel group, controlled clinical study of fixed combination beclomethasone dipropionate 100mcg</w:t>
            </w:r>
            <w:r w:rsidR="00C7503B" w:rsidRPr="006A4889">
              <w:rPr>
                <w:szCs w:val="20"/>
              </w:rPr>
              <w:t xml:space="preserve"> plus formoterol fumarate 6mcg </w:t>
            </w:r>
            <w:r w:rsidRPr="006A4889">
              <w:rPr>
                <w:szCs w:val="20"/>
              </w:rPr>
              <w:t>MDI with HFA-134a propellant (CHF1535 Foster®) versus fluticasone 2050mcg plus salmeterol 50mcg DPI (Seretide® Diskus®) as maintenance treatment in controlled asthmatic patients.</w:t>
            </w:r>
          </w:p>
        </w:tc>
        <w:tc>
          <w:tcPr>
            <w:tcW w:w="1177" w:type="pct"/>
            <w:tcBorders>
              <w:top w:val="single" w:sz="4" w:space="0" w:color="auto"/>
              <w:left w:val="single" w:sz="4" w:space="0" w:color="auto"/>
              <w:bottom w:val="nil"/>
              <w:right w:val="single" w:sz="4" w:space="0" w:color="auto"/>
            </w:tcBorders>
            <w:vAlign w:val="center"/>
          </w:tcPr>
          <w:p w14:paraId="51CF5B73" w14:textId="77777777" w:rsidR="00C871C2" w:rsidRPr="006A4889" w:rsidRDefault="00C871C2" w:rsidP="004463C2">
            <w:pPr>
              <w:pStyle w:val="TableText0"/>
              <w:keepNext w:val="0"/>
              <w:rPr>
                <w:szCs w:val="20"/>
              </w:rPr>
            </w:pPr>
            <w:r w:rsidRPr="006A4889">
              <w:rPr>
                <w:szCs w:val="20"/>
              </w:rPr>
              <w:t>CSR, December 2011</w:t>
            </w:r>
          </w:p>
        </w:tc>
      </w:tr>
      <w:tr w:rsidR="00C871C2" w:rsidRPr="006A4889" w14:paraId="524BC655" w14:textId="77777777" w:rsidTr="00EA2C38">
        <w:trPr>
          <w:cantSplit/>
        </w:trPr>
        <w:tc>
          <w:tcPr>
            <w:tcW w:w="796" w:type="pct"/>
            <w:vMerge/>
            <w:tcBorders>
              <w:left w:val="single" w:sz="4" w:space="0" w:color="auto"/>
              <w:bottom w:val="single" w:sz="4" w:space="0" w:color="auto"/>
              <w:right w:val="single" w:sz="4" w:space="0" w:color="auto"/>
            </w:tcBorders>
            <w:vAlign w:val="center"/>
          </w:tcPr>
          <w:p w14:paraId="2497C2C7" w14:textId="77777777" w:rsidR="00C871C2" w:rsidRPr="006A4889" w:rsidRDefault="00C871C2" w:rsidP="004463C2">
            <w:pPr>
              <w:pStyle w:val="TableText0"/>
              <w:keepNext w:val="0"/>
              <w:rPr>
                <w:szCs w:val="20"/>
              </w:rPr>
            </w:pPr>
          </w:p>
        </w:tc>
        <w:tc>
          <w:tcPr>
            <w:tcW w:w="3027" w:type="pct"/>
            <w:tcBorders>
              <w:top w:val="nil"/>
              <w:left w:val="single" w:sz="4" w:space="0" w:color="auto"/>
              <w:bottom w:val="single" w:sz="4" w:space="0" w:color="auto"/>
              <w:right w:val="single" w:sz="4" w:space="0" w:color="auto"/>
            </w:tcBorders>
            <w:vAlign w:val="center"/>
          </w:tcPr>
          <w:p w14:paraId="6D181126" w14:textId="77777777" w:rsidR="00C871C2" w:rsidRPr="006A4889" w:rsidRDefault="00C871C2" w:rsidP="004463C2">
            <w:pPr>
              <w:pStyle w:val="TableText0"/>
              <w:keepNext w:val="0"/>
              <w:rPr>
                <w:szCs w:val="20"/>
              </w:rPr>
            </w:pPr>
            <w:r w:rsidRPr="006A4889">
              <w:rPr>
                <w:szCs w:val="20"/>
              </w:rPr>
              <w:t>Barnes, N. et al. Stepping-across controlled asthmatic patients to extrafine beclometasone/formoterol combination.</w:t>
            </w:r>
          </w:p>
        </w:tc>
        <w:tc>
          <w:tcPr>
            <w:tcW w:w="1177" w:type="pct"/>
            <w:tcBorders>
              <w:top w:val="nil"/>
              <w:left w:val="single" w:sz="4" w:space="0" w:color="auto"/>
              <w:bottom w:val="single" w:sz="4" w:space="0" w:color="auto"/>
              <w:right w:val="single" w:sz="4" w:space="0" w:color="auto"/>
            </w:tcBorders>
            <w:vAlign w:val="center"/>
          </w:tcPr>
          <w:p w14:paraId="4F56DC3C" w14:textId="77777777" w:rsidR="00C871C2" w:rsidRPr="006A4889" w:rsidRDefault="00C871C2" w:rsidP="004463C2">
            <w:pPr>
              <w:pStyle w:val="TableText0"/>
              <w:keepNext w:val="0"/>
              <w:rPr>
                <w:szCs w:val="20"/>
              </w:rPr>
            </w:pPr>
            <w:r w:rsidRPr="006A4889">
              <w:rPr>
                <w:szCs w:val="20"/>
              </w:rPr>
              <w:t>Pulmonary pharmacology &amp; therapeutics 2013; 26(5): 555-561</w:t>
            </w:r>
          </w:p>
        </w:tc>
      </w:tr>
      <w:tr w:rsidR="00C871C2" w:rsidRPr="006A4889" w14:paraId="4863E50E" w14:textId="77777777" w:rsidTr="00EA2C38">
        <w:trPr>
          <w:cantSplit/>
        </w:trPr>
        <w:tc>
          <w:tcPr>
            <w:tcW w:w="796" w:type="pct"/>
            <w:vMerge w:val="restart"/>
            <w:tcBorders>
              <w:top w:val="single" w:sz="4" w:space="0" w:color="auto"/>
              <w:left w:val="single" w:sz="4" w:space="0" w:color="auto"/>
              <w:right w:val="single" w:sz="4" w:space="0" w:color="auto"/>
            </w:tcBorders>
            <w:vAlign w:val="center"/>
          </w:tcPr>
          <w:p w14:paraId="4004913B" w14:textId="77777777" w:rsidR="00C871C2" w:rsidRPr="006A4889" w:rsidRDefault="00C871C2" w:rsidP="004463C2">
            <w:pPr>
              <w:pStyle w:val="TableText0"/>
              <w:keepNext w:val="0"/>
              <w:rPr>
                <w:szCs w:val="20"/>
              </w:rPr>
            </w:pPr>
            <w:r w:rsidRPr="006A4889">
              <w:rPr>
                <w:szCs w:val="20"/>
              </w:rPr>
              <w:t>Papi 2013</w:t>
            </w:r>
          </w:p>
        </w:tc>
        <w:tc>
          <w:tcPr>
            <w:tcW w:w="3027" w:type="pct"/>
            <w:tcBorders>
              <w:top w:val="single" w:sz="4" w:space="0" w:color="auto"/>
              <w:left w:val="single" w:sz="4" w:space="0" w:color="auto"/>
              <w:bottom w:val="nil"/>
              <w:right w:val="single" w:sz="4" w:space="0" w:color="auto"/>
            </w:tcBorders>
            <w:vAlign w:val="center"/>
          </w:tcPr>
          <w:p w14:paraId="0A4462EC" w14:textId="77777777" w:rsidR="00C871C2" w:rsidRPr="006A4889" w:rsidRDefault="00C871C2" w:rsidP="004463C2">
            <w:pPr>
              <w:pStyle w:val="TableText0"/>
              <w:keepNext w:val="0"/>
              <w:rPr>
                <w:szCs w:val="20"/>
              </w:rPr>
            </w:pPr>
            <w:r w:rsidRPr="006A4889">
              <w:rPr>
                <w:szCs w:val="20"/>
              </w:rPr>
              <w:t>A 48-week, multicentre, multinational, randomized, double blind, 2-arm parallel group study, comparing the efficacy of FOSTER® for maintenance and reliever versus fixed-dose FOSTER® for maintenance + salbutamol as reliever in asthmatics ≥18 years of age.</w:t>
            </w:r>
          </w:p>
        </w:tc>
        <w:tc>
          <w:tcPr>
            <w:tcW w:w="1177" w:type="pct"/>
            <w:tcBorders>
              <w:top w:val="single" w:sz="4" w:space="0" w:color="auto"/>
              <w:left w:val="single" w:sz="4" w:space="0" w:color="auto"/>
              <w:bottom w:val="nil"/>
              <w:right w:val="single" w:sz="4" w:space="0" w:color="auto"/>
            </w:tcBorders>
            <w:vAlign w:val="center"/>
          </w:tcPr>
          <w:p w14:paraId="7C93AD14" w14:textId="77777777" w:rsidR="00C871C2" w:rsidRPr="006A4889" w:rsidRDefault="00C871C2" w:rsidP="004463C2">
            <w:pPr>
              <w:pStyle w:val="TableText0"/>
              <w:keepNext w:val="0"/>
              <w:rPr>
                <w:szCs w:val="20"/>
              </w:rPr>
            </w:pPr>
            <w:r w:rsidRPr="006A4889">
              <w:rPr>
                <w:szCs w:val="20"/>
              </w:rPr>
              <w:t>CSR, July 2011</w:t>
            </w:r>
          </w:p>
        </w:tc>
      </w:tr>
      <w:tr w:rsidR="00C871C2" w:rsidRPr="006A4889" w14:paraId="4DC9F6DC" w14:textId="77777777" w:rsidTr="00EA2C38">
        <w:trPr>
          <w:cantSplit/>
        </w:trPr>
        <w:tc>
          <w:tcPr>
            <w:tcW w:w="796" w:type="pct"/>
            <w:vMerge/>
            <w:tcBorders>
              <w:left w:val="single" w:sz="4" w:space="0" w:color="auto"/>
              <w:bottom w:val="single" w:sz="4" w:space="0" w:color="auto"/>
              <w:right w:val="single" w:sz="4" w:space="0" w:color="auto"/>
            </w:tcBorders>
            <w:vAlign w:val="center"/>
          </w:tcPr>
          <w:p w14:paraId="3B572F9D" w14:textId="77777777" w:rsidR="00C871C2" w:rsidRPr="006A4889" w:rsidRDefault="00C871C2" w:rsidP="004463C2">
            <w:pPr>
              <w:pStyle w:val="TableText0"/>
              <w:keepNext w:val="0"/>
              <w:rPr>
                <w:szCs w:val="20"/>
              </w:rPr>
            </w:pPr>
          </w:p>
        </w:tc>
        <w:tc>
          <w:tcPr>
            <w:tcW w:w="3027" w:type="pct"/>
            <w:tcBorders>
              <w:top w:val="nil"/>
              <w:left w:val="single" w:sz="4" w:space="0" w:color="auto"/>
              <w:bottom w:val="single" w:sz="4" w:space="0" w:color="auto"/>
              <w:right w:val="single" w:sz="4" w:space="0" w:color="auto"/>
            </w:tcBorders>
            <w:vAlign w:val="center"/>
          </w:tcPr>
          <w:p w14:paraId="1ACA7899" w14:textId="77777777" w:rsidR="00C871C2" w:rsidRPr="006A4889" w:rsidRDefault="00C871C2" w:rsidP="004463C2">
            <w:pPr>
              <w:pStyle w:val="TableText0"/>
              <w:keepNext w:val="0"/>
              <w:rPr>
                <w:szCs w:val="20"/>
              </w:rPr>
            </w:pPr>
            <w:r w:rsidRPr="006A4889">
              <w:rPr>
                <w:szCs w:val="20"/>
              </w:rPr>
              <w:t>Papi, A., et al. Beclometasone–formoterol as maintenance and reliever treatment in patients with asthma: a double-blind, randomised controlled trial.</w:t>
            </w:r>
          </w:p>
        </w:tc>
        <w:tc>
          <w:tcPr>
            <w:tcW w:w="1177" w:type="pct"/>
            <w:tcBorders>
              <w:top w:val="nil"/>
              <w:left w:val="single" w:sz="4" w:space="0" w:color="auto"/>
              <w:bottom w:val="single" w:sz="4" w:space="0" w:color="auto"/>
              <w:right w:val="single" w:sz="4" w:space="0" w:color="auto"/>
            </w:tcBorders>
            <w:vAlign w:val="center"/>
          </w:tcPr>
          <w:p w14:paraId="648141E6" w14:textId="77777777" w:rsidR="00C871C2" w:rsidRPr="006A4889" w:rsidRDefault="00C871C2" w:rsidP="004463C2">
            <w:pPr>
              <w:pStyle w:val="TableText0"/>
              <w:keepNext w:val="0"/>
              <w:rPr>
                <w:szCs w:val="20"/>
              </w:rPr>
            </w:pPr>
            <w:r w:rsidRPr="006A4889">
              <w:rPr>
                <w:szCs w:val="20"/>
              </w:rPr>
              <w:t>Lancet Respir Med 2013; 1(1): 23-31.</w:t>
            </w:r>
          </w:p>
        </w:tc>
      </w:tr>
    </w:tbl>
    <w:p w14:paraId="58103BC0" w14:textId="77777777" w:rsidR="00264C32" w:rsidRPr="00855489" w:rsidRDefault="00264C32" w:rsidP="00264C32">
      <w:pPr>
        <w:pStyle w:val="TableFigureFooter"/>
      </w:pPr>
      <w:r w:rsidRPr="00855489">
        <w:t>Source: Table 27, p46 of the submission.</w:t>
      </w:r>
    </w:p>
    <w:p w14:paraId="01D108D3" w14:textId="77777777" w:rsidR="007F1017" w:rsidRPr="00855489" w:rsidRDefault="008F120A" w:rsidP="009106A7">
      <w:pPr>
        <w:pStyle w:val="3-BodyText"/>
        <w:rPr>
          <w:iCs/>
        </w:rPr>
      </w:pPr>
      <w:r w:rsidRPr="00855489">
        <w:t>The key features of the direct randomised trials are summarised in the table below.</w:t>
      </w:r>
      <w:r w:rsidR="0001368E" w:rsidRPr="00855489">
        <w:t xml:space="preserve"> </w:t>
      </w:r>
      <w:r w:rsidR="00DF7D86" w:rsidRPr="00855489">
        <w:t xml:space="preserve">Patients enrolled in Huchon 2009 were also randomised to treatment with BEC alone, </w:t>
      </w:r>
      <w:r w:rsidR="00DF7D86" w:rsidRPr="00855489">
        <w:lastRenderedPageBreak/>
        <w:t xml:space="preserve">however data from this arm of the trial was not presented </w:t>
      </w:r>
      <w:r w:rsidR="000950FD" w:rsidRPr="00855489">
        <w:t xml:space="preserve">by the </w:t>
      </w:r>
      <w:r w:rsidR="00F87A50" w:rsidRPr="00855489">
        <w:t>e</w:t>
      </w:r>
      <w:r w:rsidR="000950FD" w:rsidRPr="00855489">
        <w:t>valuation</w:t>
      </w:r>
      <w:r w:rsidR="00DF7D86" w:rsidRPr="00855489">
        <w:t>. Despite informing the benefit of adding FOR to BEC, BEC alone did not match one of the nominated comparators and was considered less relevant than alternative ICS/LABA comparators.</w:t>
      </w:r>
    </w:p>
    <w:p w14:paraId="4B4C327C" w14:textId="77777777" w:rsidR="007F1017" w:rsidRPr="00855489" w:rsidRDefault="007F1017" w:rsidP="00EC5836">
      <w:pPr>
        <w:pStyle w:val="TableFigureHeading"/>
        <w:rPr>
          <w:rStyle w:val="CommentReference"/>
          <w:b/>
          <w:szCs w:val="24"/>
        </w:rPr>
      </w:pPr>
      <w:r w:rsidRPr="00855489">
        <w:rPr>
          <w:rStyle w:val="CommentReference"/>
          <w:b/>
          <w:szCs w:val="24"/>
        </w:rPr>
        <w:t xml:space="preserve">Table </w:t>
      </w:r>
      <w:r w:rsidR="00F14C3F" w:rsidRPr="00855489">
        <w:rPr>
          <w:rStyle w:val="CommentReference"/>
          <w:b/>
          <w:szCs w:val="24"/>
        </w:rPr>
        <w:t>3</w:t>
      </w:r>
      <w:r w:rsidRPr="00855489">
        <w:rPr>
          <w:rStyle w:val="CommentReference"/>
          <w:b/>
          <w:szCs w:val="24"/>
        </w:rPr>
        <w:t>: Key features of the included evidence</w:t>
      </w:r>
    </w:p>
    <w:tbl>
      <w:tblPr>
        <w:tblStyle w:val="TableGrid"/>
        <w:tblW w:w="5000" w:type="pct"/>
        <w:tblCellMar>
          <w:left w:w="28" w:type="dxa"/>
          <w:right w:w="28" w:type="dxa"/>
        </w:tblCellMar>
        <w:tblLook w:val="04A0" w:firstRow="1" w:lastRow="0" w:firstColumn="1" w:lastColumn="0" w:noHBand="0" w:noVBand="1"/>
        <w:tblCaption w:val="Table 3"/>
      </w:tblPr>
      <w:tblGrid>
        <w:gridCol w:w="1079"/>
        <w:gridCol w:w="611"/>
        <w:gridCol w:w="1636"/>
        <w:gridCol w:w="1814"/>
        <w:gridCol w:w="563"/>
        <w:gridCol w:w="1818"/>
        <w:gridCol w:w="1495"/>
      </w:tblGrid>
      <w:tr w:rsidR="00A7104D" w:rsidRPr="006A4889" w14:paraId="335F0B38" w14:textId="77777777" w:rsidTr="006A4889">
        <w:trPr>
          <w:tblHeader/>
        </w:trPr>
        <w:tc>
          <w:tcPr>
            <w:tcW w:w="599" w:type="pct"/>
            <w:vAlign w:val="center"/>
          </w:tcPr>
          <w:p w14:paraId="4539A2DB" w14:textId="77777777" w:rsidR="00A7104D" w:rsidRPr="006A4889" w:rsidRDefault="00A7104D" w:rsidP="004463C2">
            <w:pPr>
              <w:pStyle w:val="TableText0"/>
              <w:keepNext w:val="0"/>
              <w:rPr>
                <w:b/>
                <w:bCs w:val="0"/>
                <w:szCs w:val="20"/>
              </w:rPr>
            </w:pPr>
            <w:r w:rsidRPr="006A4889">
              <w:rPr>
                <w:b/>
                <w:bCs w:val="0"/>
                <w:szCs w:val="20"/>
              </w:rPr>
              <w:t>Trial</w:t>
            </w:r>
          </w:p>
        </w:tc>
        <w:tc>
          <w:tcPr>
            <w:tcW w:w="339" w:type="pct"/>
            <w:vAlign w:val="center"/>
          </w:tcPr>
          <w:p w14:paraId="4F2973F0" w14:textId="77777777" w:rsidR="00A7104D" w:rsidRPr="006A4889" w:rsidRDefault="00A7104D" w:rsidP="004463C2">
            <w:pPr>
              <w:pStyle w:val="TableText0"/>
              <w:keepNext w:val="0"/>
              <w:rPr>
                <w:b/>
                <w:bCs w:val="0"/>
                <w:szCs w:val="20"/>
              </w:rPr>
            </w:pPr>
            <w:r w:rsidRPr="006A4889">
              <w:rPr>
                <w:b/>
                <w:bCs w:val="0"/>
                <w:szCs w:val="20"/>
              </w:rPr>
              <w:t>N</w:t>
            </w:r>
          </w:p>
        </w:tc>
        <w:tc>
          <w:tcPr>
            <w:tcW w:w="907" w:type="pct"/>
            <w:vAlign w:val="center"/>
          </w:tcPr>
          <w:p w14:paraId="0451A9DD" w14:textId="77777777" w:rsidR="00A7104D" w:rsidRPr="006A4889" w:rsidRDefault="00A7104D" w:rsidP="004463C2">
            <w:pPr>
              <w:pStyle w:val="TableText0"/>
              <w:keepNext w:val="0"/>
              <w:rPr>
                <w:b/>
                <w:bCs w:val="0"/>
                <w:szCs w:val="20"/>
              </w:rPr>
            </w:pPr>
            <w:r w:rsidRPr="006A4889">
              <w:rPr>
                <w:b/>
                <w:bCs w:val="0"/>
                <w:szCs w:val="20"/>
              </w:rPr>
              <w:t>Design / duration</w:t>
            </w:r>
          </w:p>
        </w:tc>
        <w:tc>
          <w:tcPr>
            <w:tcW w:w="1006" w:type="pct"/>
            <w:vAlign w:val="center"/>
          </w:tcPr>
          <w:p w14:paraId="4BEE376F" w14:textId="77777777" w:rsidR="00A7104D" w:rsidRPr="006A4889" w:rsidRDefault="00A7104D" w:rsidP="004463C2">
            <w:pPr>
              <w:pStyle w:val="TableText0"/>
              <w:keepNext w:val="0"/>
              <w:rPr>
                <w:b/>
                <w:bCs w:val="0"/>
                <w:szCs w:val="20"/>
              </w:rPr>
            </w:pPr>
            <w:r w:rsidRPr="006A4889">
              <w:rPr>
                <w:b/>
                <w:bCs w:val="0"/>
                <w:szCs w:val="20"/>
              </w:rPr>
              <w:t>Relevant comparison</w:t>
            </w:r>
          </w:p>
        </w:tc>
        <w:tc>
          <w:tcPr>
            <w:tcW w:w="312" w:type="pct"/>
            <w:vAlign w:val="center"/>
          </w:tcPr>
          <w:p w14:paraId="0CD1875A" w14:textId="77777777" w:rsidR="00A7104D" w:rsidRPr="006A4889" w:rsidRDefault="00A7104D" w:rsidP="004463C2">
            <w:pPr>
              <w:pStyle w:val="TableText0"/>
              <w:keepNext w:val="0"/>
              <w:rPr>
                <w:b/>
                <w:bCs w:val="0"/>
                <w:szCs w:val="20"/>
              </w:rPr>
            </w:pPr>
            <w:r w:rsidRPr="006A4889">
              <w:rPr>
                <w:b/>
                <w:bCs w:val="0"/>
                <w:szCs w:val="20"/>
              </w:rPr>
              <w:t>Bias</w:t>
            </w:r>
          </w:p>
        </w:tc>
        <w:tc>
          <w:tcPr>
            <w:tcW w:w="1008" w:type="pct"/>
            <w:vAlign w:val="center"/>
          </w:tcPr>
          <w:p w14:paraId="5D423BFE" w14:textId="77777777" w:rsidR="00A7104D" w:rsidRPr="006A4889" w:rsidRDefault="00A7104D" w:rsidP="004463C2">
            <w:pPr>
              <w:pStyle w:val="TableText0"/>
              <w:keepNext w:val="0"/>
              <w:rPr>
                <w:b/>
                <w:bCs w:val="0"/>
                <w:szCs w:val="20"/>
              </w:rPr>
            </w:pPr>
            <w:r w:rsidRPr="006A4889">
              <w:rPr>
                <w:b/>
                <w:bCs w:val="0"/>
                <w:szCs w:val="20"/>
              </w:rPr>
              <w:t>Patient population</w:t>
            </w:r>
          </w:p>
        </w:tc>
        <w:tc>
          <w:tcPr>
            <w:tcW w:w="829" w:type="pct"/>
            <w:vAlign w:val="center"/>
          </w:tcPr>
          <w:p w14:paraId="5104773C" w14:textId="77777777" w:rsidR="00A7104D" w:rsidRPr="006A4889" w:rsidRDefault="00A7104D" w:rsidP="004463C2">
            <w:pPr>
              <w:pStyle w:val="TableText0"/>
              <w:keepNext w:val="0"/>
              <w:rPr>
                <w:b/>
                <w:bCs w:val="0"/>
                <w:szCs w:val="20"/>
              </w:rPr>
            </w:pPr>
            <w:r w:rsidRPr="006A4889">
              <w:rPr>
                <w:b/>
                <w:bCs w:val="0"/>
                <w:szCs w:val="20"/>
              </w:rPr>
              <w:t>Key Outcomes</w:t>
            </w:r>
          </w:p>
        </w:tc>
      </w:tr>
      <w:tr w:rsidR="00A7104D" w:rsidRPr="006A4889" w14:paraId="4D9E92AE" w14:textId="77777777" w:rsidTr="006A4889">
        <w:tc>
          <w:tcPr>
            <w:tcW w:w="5000" w:type="pct"/>
            <w:gridSpan w:val="7"/>
            <w:vAlign w:val="center"/>
          </w:tcPr>
          <w:p w14:paraId="603E35B0" w14:textId="77777777" w:rsidR="00A7104D" w:rsidRPr="006A4889" w:rsidRDefault="00A7104D" w:rsidP="004463C2">
            <w:pPr>
              <w:pStyle w:val="TableText0"/>
              <w:keepNext w:val="0"/>
              <w:rPr>
                <w:b/>
                <w:bCs w:val="0"/>
                <w:szCs w:val="20"/>
              </w:rPr>
            </w:pPr>
            <w:r w:rsidRPr="006A4889">
              <w:rPr>
                <w:b/>
                <w:bCs w:val="0"/>
                <w:szCs w:val="20"/>
              </w:rPr>
              <w:t>Maintenance</w:t>
            </w:r>
          </w:p>
        </w:tc>
      </w:tr>
      <w:tr w:rsidR="009C21E4" w:rsidRPr="006A4889" w14:paraId="07173BA7" w14:textId="77777777" w:rsidTr="006A4889">
        <w:tc>
          <w:tcPr>
            <w:tcW w:w="599" w:type="pct"/>
            <w:vAlign w:val="center"/>
          </w:tcPr>
          <w:p w14:paraId="576DECB5" w14:textId="77777777" w:rsidR="009C21E4" w:rsidRPr="006A4889" w:rsidRDefault="009C21E4" w:rsidP="009C21E4">
            <w:pPr>
              <w:pStyle w:val="TableText0"/>
              <w:keepNext w:val="0"/>
              <w:rPr>
                <w:szCs w:val="20"/>
              </w:rPr>
            </w:pPr>
            <w:r w:rsidRPr="006A4889">
              <w:rPr>
                <w:szCs w:val="20"/>
              </w:rPr>
              <w:t>Papi 2007a</w:t>
            </w:r>
          </w:p>
        </w:tc>
        <w:tc>
          <w:tcPr>
            <w:tcW w:w="339" w:type="pct"/>
            <w:vAlign w:val="center"/>
          </w:tcPr>
          <w:p w14:paraId="2F1ED13E" w14:textId="77777777" w:rsidR="009C21E4" w:rsidRPr="006A4889" w:rsidRDefault="009C21E4" w:rsidP="009C21E4">
            <w:pPr>
              <w:pStyle w:val="TableText0"/>
              <w:keepNext w:val="0"/>
              <w:rPr>
                <w:szCs w:val="20"/>
              </w:rPr>
            </w:pPr>
            <w:r w:rsidRPr="006A4889">
              <w:rPr>
                <w:szCs w:val="20"/>
              </w:rPr>
              <w:t>228</w:t>
            </w:r>
          </w:p>
        </w:tc>
        <w:tc>
          <w:tcPr>
            <w:tcW w:w="907" w:type="pct"/>
            <w:vAlign w:val="center"/>
          </w:tcPr>
          <w:p w14:paraId="4C4E0A2B" w14:textId="77777777" w:rsidR="009C21E4" w:rsidRPr="006A4889" w:rsidRDefault="009C21E4" w:rsidP="009C21E4">
            <w:pPr>
              <w:pStyle w:val="TableText0"/>
              <w:keepNext w:val="0"/>
              <w:rPr>
                <w:szCs w:val="20"/>
              </w:rPr>
            </w:pPr>
            <w:r w:rsidRPr="006A4889">
              <w:rPr>
                <w:szCs w:val="20"/>
              </w:rPr>
              <w:t xml:space="preserve">P3,MC,R, DB </w:t>
            </w:r>
          </w:p>
          <w:p w14:paraId="68E8FADF" w14:textId="77777777" w:rsidR="009C21E4" w:rsidRPr="006A4889" w:rsidRDefault="009C21E4" w:rsidP="009C21E4">
            <w:pPr>
              <w:pStyle w:val="TableText0"/>
              <w:keepNext w:val="0"/>
              <w:rPr>
                <w:szCs w:val="20"/>
                <w:vertAlign w:val="superscript"/>
              </w:rPr>
            </w:pPr>
            <w:r w:rsidRPr="006A4889">
              <w:rPr>
                <w:szCs w:val="20"/>
              </w:rPr>
              <w:t>2wk run-in + 12wk tx</w:t>
            </w:r>
          </w:p>
        </w:tc>
        <w:tc>
          <w:tcPr>
            <w:tcW w:w="1006" w:type="pct"/>
            <w:vAlign w:val="center"/>
          </w:tcPr>
          <w:p w14:paraId="4CED2264" w14:textId="77777777" w:rsidR="009C21E4" w:rsidRPr="006A4889" w:rsidRDefault="00C7503B" w:rsidP="009C21E4">
            <w:pPr>
              <w:pStyle w:val="TableText0"/>
              <w:keepNext w:val="0"/>
              <w:rPr>
                <w:szCs w:val="20"/>
              </w:rPr>
            </w:pPr>
            <w:r w:rsidRPr="006A4889">
              <w:rPr>
                <w:szCs w:val="20"/>
              </w:rPr>
              <w:t xml:space="preserve">BEC/FOR 100/6mcg </w:t>
            </w:r>
            <w:r w:rsidR="009C21E4" w:rsidRPr="006A4889">
              <w:rPr>
                <w:szCs w:val="20"/>
              </w:rPr>
              <w:t>MDI</w:t>
            </w:r>
            <w:r w:rsidRPr="006A4889">
              <w:rPr>
                <w:szCs w:val="20"/>
              </w:rPr>
              <w:t xml:space="preserve"> vs. FP/SAL 125/25mcg </w:t>
            </w:r>
            <w:r w:rsidR="009C21E4" w:rsidRPr="006A4889">
              <w:rPr>
                <w:szCs w:val="20"/>
              </w:rPr>
              <w:t>MDI</w:t>
            </w:r>
          </w:p>
        </w:tc>
        <w:tc>
          <w:tcPr>
            <w:tcW w:w="312" w:type="pct"/>
            <w:vAlign w:val="center"/>
          </w:tcPr>
          <w:p w14:paraId="404D26F4" w14:textId="77777777" w:rsidR="009C21E4" w:rsidRPr="006A4889" w:rsidRDefault="009C21E4" w:rsidP="009C21E4">
            <w:pPr>
              <w:pStyle w:val="TableText0"/>
              <w:keepNext w:val="0"/>
              <w:rPr>
                <w:szCs w:val="20"/>
              </w:rPr>
            </w:pPr>
            <w:r w:rsidRPr="006A4889">
              <w:rPr>
                <w:szCs w:val="20"/>
              </w:rPr>
              <w:t>Low</w:t>
            </w:r>
          </w:p>
        </w:tc>
        <w:tc>
          <w:tcPr>
            <w:tcW w:w="1008" w:type="pct"/>
            <w:vAlign w:val="center"/>
          </w:tcPr>
          <w:p w14:paraId="6ADC2333" w14:textId="77777777" w:rsidR="009C21E4" w:rsidRPr="006A4889" w:rsidRDefault="009C21E4" w:rsidP="009C21E4">
            <w:pPr>
              <w:pStyle w:val="TableText0"/>
              <w:keepNext w:val="0"/>
              <w:rPr>
                <w:szCs w:val="20"/>
              </w:rPr>
            </w:pPr>
            <w:r w:rsidRPr="006A4889">
              <w:rPr>
                <w:szCs w:val="20"/>
              </w:rPr>
              <w:t xml:space="preserve">Moderate to severe persistent asthma (aged 18-65y) treated with ICS </w:t>
            </w:r>
          </w:p>
        </w:tc>
        <w:tc>
          <w:tcPr>
            <w:tcW w:w="829" w:type="pct"/>
          </w:tcPr>
          <w:p w14:paraId="1A3F3D16" w14:textId="77777777" w:rsidR="009C21E4" w:rsidRPr="006A4889" w:rsidRDefault="009C21E4" w:rsidP="009C21E4">
            <w:pPr>
              <w:pStyle w:val="TableText0"/>
              <w:keepNext w:val="0"/>
              <w:rPr>
                <w:szCs w:val="20"/>
              </w:rPr>
            </w:pPr>
            <w:r w:rsidRPr="006A4889">
              <w:rPr>
                <w:szCs w:val="20"/>
              </w:rPr>
              <w:t>Lung function (PEF, FEV1), symptom scores, exacerbations.</w:t>
            </w:r>
          </w:p>
        </w:tc>
      </w:tr>
      <w:tr w:rsidR="009C21E4" w:rsidRPr="006A4889" w14:paraId="0F68D0FA" w14:textId="77777777" w:rsidTr="006A4889">
        <w:tc>
          <w:tcPr>
            <w:tcW w:w="599" w:type="pct"/>
            <w:vAlign w:val="center"/>
          </w:tcPr>
          <w:p w14:paraId="21583429" w14:textId="77777777" w:rsidR="009C21E4" w:rsidRPr="006A4889" w:rsidRDefault="009C21E4" w:rsidP="009C21E4">
            <w:pPr>
              <w:pStyle w:val="TableText0"/>
              <w:keepNext w:val="0"/>
              <w:rPr>
                <w:szCs w:val="20"/>
              </w:rPr>
            </w:pPr>
            <w:r w:rsidRPr="006A4889">
              <w:rPr>
                <w:szCs w:val="20"/>
              </w:rPr>
              <w:t>Hsieh 2017</w:t>
            </w:r>
          </w:p>
        </w:tc>
        <w:tc>
          <w:tcPr>
            <w:tcW w:w="339" w:type="pct"/>
            <w:vAlign w:val="center"/>
          </w:tcPr>
          <w:p w14:paraId="4FD5CF1A" w14:textId="77777777" w:rsidR="009C21E4" w:rsidRPr="006A4889" w:rsidRDefault="009C21E4" w:rsidP="009C21E4">
            <w:pPr>
              <w:pStyle w:val="TableText0"/>
              <w:keepNext w:val="0"/>
              <w:rPr>
                <w:szCs w:val="20"/>
              </w:rPr>
            </w:pPr>
            <w:r w:rsidRPr="006A4889">
              <w:rPr>
                <w:szCs w:val="20"/>
              </w:rPr>
              <w:t>253</w:t>
            </w:r>
          </w:p>
        </w:tc>
        <w:tc>
          <w:tcPr>
            <w:tcW w:w="907" w:type="pct"/>
            <w:vAlign w:val="center"/>
          </w:tcPr>
          <w:p w14:paraId="5876F9DA" w14:textId="77777777" w:rsidR="009C21E4" w:rsidRPr="006A4889" w:rsidRDefault="009C21E4" w:rsidP="009C21E4">
            <w:pPr>
              <w:pStyle w:val="TableText0"/>
              <w:keepNext w:val="0"/>
              <w:rPr>
                <w:szCs w:val="20"/>
              </w:rPr>
            </w:pPr>
            <w:r w:rsidRPr="006A4889">
              <w:rPr>
                <w:szCs w:val="20"/>
              </w:rPr>
              <w:t xml:space="preserve">P3, R, DB </w:t>
            </w:r>
          </w:p>
          <w:p w14:paraId="675BFF21" w14:textId="77777777" w:rsidR="009C21E4" w:rsidRPr="006A4889" w:rsidRDefault="009C21E4" w:rsidP="009C21E4">
            <w:pPr>
              <w:pStyle w:val="TableText0"/>
              <w:keepNext w:val="0"/>
              <w:rPr>
                <w:szCs w:val="20"/>
              </w:rPr>
            </w:pPr>
            <w:r w:rsidRPr="006A4889">
              <w:rPr>
                <w:szCs w:val="20"/>
              </w:rPr>
              <w:t>2wk run-in + 12wk tx</w:t>
            </w:r>
          </w:p>
        </w:tc>
        <w:tc>
          <w:tcPr>
            <w:tcW w:w="1006" w:type="pct"/>
            <w:vAlign w:val="center"/>
          </w:tcPr>
          <w:p w14:paraId="4F577426" w14:textId="77777777" w:rsidR="009C21E4" w:rsidRPr="006A4889" w:rsidRDefault="009C21E4" w:rsidP="009C21E4">
            <w:pPr>
              <w:pStyle w:val="TableText0"/>
              <w:keepNext w:val="0"/>
              <w:rPr>
                <w:szCs w:val="20"/>
              </w:rPr>
            </w:pPr>
            <w:r w:rsidRPr="006A4889">
              <w:rPr>
                <w:szCs w:val="20"/>
              </w:rPr>
              <w:t>BEC/FOR</w:t>
            </w:r>
            <w:r w:rsidR="00C7503B" w:rsidRPr="006A4889">
              <w:rPr>
                <w:szCs w:val="20"/>
              </w:rPr>
              <w:t xml:space="preserve"> 100/6mcg MDI vs. FP/SAL 125/25mcg </w:t>
            </w:r>
            <w:r w:rsidRPr="006A4889">
              <w:rPr>
                <w:szCs w:val="20"/>
              </w:rPr>
              <w:t>MDI</w:t>
            </w:r>
          </w:p>
        </w:tc>
        <w:tc>
          <w:tcPr>
            <w:tcW w:w="312" w:type="pct"/>
            <w:vAlign w:val="center"/>
          </w:tcPr>
          <w:p w14:paraId="690FA381" w14:textId="77777777" w:rsidR="009C21E4" w:rsidRPr="006A4889" w:rsidRDefault="009C21E4" w:rsidP="009C21E4">
            <w:pPr>
              <w:pStyle w:val="TableText0"/>
              <w:keepNext w:val="0"/>
              <w:rPr>
                <w:szCs w:val="20"/>
              </w:rPr>
            </w:pPr>
            <w:r w:rsidRPr="006A4889">
              <w:rPr>
                <w:szCs w:val="20"/>
              </w:rPr>
              <w:t>Low</w:t>
            </w:r>
          </w:p>
        </w:tc>
        <w:tc>
          <w:tcPr>
            <w:tcW w:w="1008" w:type="pct"/>
            <w:vAlign w:val="center"/>
          </w:tcPr>
          <w:p w14:paraId="18007391" w14:textId="77777777" w:rsidR="009C21E4" w:rsidRPr="006A4889" w:rsidRDefault="009C21E4" w:rsidP="009C21E4">
            <w:pPr>
              <w:pStyle w:val="TableText0"/>
              <w:keepNext w:val="0"/>
              <w:rPr>
                <w:szCs w:val="20"/>
              </w:rPr>
            </w:pPr>
            <w:r w:rsidRPr="006A4889">
              <w:rPr>
                <w:szCs w:val="20"/>
              </w:rPr>
              <w:t xml:space="preserve">Moderate to severe asthma (aged 20-65y) treated with ICS </w:t>
            </w:r>
          </w:p>
        </w:tc>
        <w:tc>
          <w:tcPr>
            <w:tcW w:w="829" w:type="pct"/>
          </w:tcPr>
          <w:p w14:paraId="645E4423" w14:textId="77777777" w:rsidR="009C21E4" w:rsidRPr="006A4889" w:rsidRDefault="009C21E4" w:rsidP="009C21E4">
            <w:pPr>
              <w:pStyle w:val="TableText0"/>
              <w:keepNext w:val="0"/>
              <w:rPr>
                <w:szCs w:val="20"/>
              </w:rPr>
            </w:pPr>
            <w:r w:rsidRPr="006A4889">
              <w:rPr>
                <w:szCs w:val="20"/>
              </w:rPr>
              <w:t>Lung function (PEF, FEV1), asthma control test, exacerbations.</w:t>
            </w:r>
          </w:p>
        </w:tc>
      </w:tr>
      <w:tr w:rsidR="009C21E4" w:rsidRPr="006A4889" w14:paraId="0400A611" w14:textId="77777777" w:rsidTr="006A4889">
        <w:tc>
          <w:tcPr>
            <w:tcW w:w="599" w:type="pct"/>
            <w:vAlign w:val="center"/>
          </w:tcPr>
          <w:p w14:paraId="4325CDA1" w14:textId="77777777" w:rsidR="009C21E4" w:rsidRPr="006A4889" w:rsidRDefault="009C21E4" w:rsidP="009C21E4">
            <w:pPr>
              <w:pStyle w:val="TableText0"/>
              <w:keepNext w:val="0"/>
              <w:rPr>
                <w:szCs w:val="20"/>
              </w:rPr>
            </w:pPr>
            <w:r w:rsidRPr="006A4889">
              <w:rPr>
                <w:szCs w:val="20"/>
              </w:rPr>
              <w:t>Papi 2007b</w:t>
            </w:r>
          </w:p>
        </w:tc>
        <w:tc>
          <w:tcPr>
            <w:tcW w:w="339" w:type="pct"/>
            <w:vAlign w:val="center"/>
          </w:tcPr>
          <w:p w14:paraId="1C4E65EB" w14:textId="77777777" w:rsidR="009C21E4" w:rsidRPr="006A4889" w:rsidRDefault="009C21E4" w:rsidP="009C21E4">
            <w:pPr>
              <w:pStyle w:val="TableText0"/>
              <w:keepNext w:val="0"/>
              <w:rPr>
                <w:szCs w:val="20"/>
              </w:rPr>
            </w:pPr>
            <w:r w:rsidRPr="006A4889">
              <w:rPr>
                <w:szCs w:val="20"/>
              </w:rPr>
              <w:t>219</w:t>
            </w:r>
          </w:p>
        </w:tc>
        <w:tc>
          <w:tcPr>
            <w:tcW w:w="907" w:type="pct"/>
            <w:vAlign w:val="center"/>
          </w:tcPr>
          <w:p w14:paraId="06A8A657" w14:textId="77777777" w:rsidR="009C21E4" w:rsidRPr="006A4889" w:rsidRDefault="009C21E4" w:rsidP="009C21E4">
            <w:pPr>
              <w:pStyle w:val="TableText0"/>
              <w:keepNext w:val="0"/>
              <w:rPr>
                <w:szCs w:val="20"/>
              </w:rPr>
            </w:pPr>
            <w:r w:rsidRPr="006A4889">
              <w:rPr>
                <w:szCs w:val="20"/>
              </w:rPr>
              <w:t xml:space="preserve">P3,MC,R, DB </w:t>
            </w:r>
          </w:p>
          <w:p w14:paraId="0F021367" w14:textId="77777777" w:rsidR="009C21E4" w:rsidRPr="006A4889" w:rsidRDefault="009C21E4" w:rsidP="009C21E4">
            <w:pPr>
              <w:pStyle w:val="TableText0"/>
              <w:keepNext w:val="0"/>
              <w:rPr>
                <w:szCs w:val="20"/>
              </w:rPr>
            </w:pPr>
            <w:r w:rsidRPr="006A4889">
              <w:rPr>
                <w:szCs w:val="20"/>
              </w:rPr>
              <w:t>2wk run-in + 12wk tx</w:t>
            </w:r>
          </w:p>
        </w:tc>
        <w:tc>
          <w:tcPr>
            <w:tcW w:w="1006" w:type="pct"/>
            <w:vAlign w:val="center"/>
          </w:tcPr>
          <w:p w14:paraId="5DAF07F2" w14:textId="77777777" w:rsidR="009C21E4" w:rsidRPr="006A4889" w:rsidRDefault="009C21E4" w:rsidP="009C21E4">
            <w:pPr>
              <w:pStyle w:val="TableText0"/>
              <w:keepNext w:val="0"/>
              <w:rPr>
                <w:szCs w:val="20"/>
              </w:rPr>
            </w:pPr>
            <w:r w:rsidRPr="006A4889">
              <w:rPr>
                <w:szCs w:val="20"/>
              </w:rPr>
              <w:t>BEC/FOR</w:t>
            </w:r>
            <w:r w:rsidR="00C7503B" w:rsidRPr="006A4889">
              <w:rPr>
                <w:szCs w:val="20"/>
              </w:rPr>
              <w:t xml:space="preserve"> 100/6 mcg </w:t>
            </w:r>
            <w:r w:rsidRPr="006A4889">
              <w:rPr>
                <w:szCs w:val="20"/>
              </w:rPr>
              <w:t xml:space="preserve">MDI vs. BUD/FOR 200/6mcg DPI </w:t>
            </w:r>
          </w:p>
        </w:tc>
        <w:tc>
          <w:tcPr>
            <w:tcW w:w="312" w:type="pct"/>
            <w:vAlign w:val="center"/>
          </w:tcPr>
          <w:p w14:paraId="1ED0AB3A" w14:textId="77777777" w:rsidR="009C21E4" w:rsidRPr="006A4889" w:rsidRDefault="009C21E4" w:rsidP="009C21E4">
            <w:pPr>
              <w:pStyle w:val="TableText0"/>
              <w:keepNext w:val="0"/>
              <w:rPr>
                <w:szCs w:val="20"/>
              </w:rPr>
            </w:pPr>
            <w:r w:rsidRPr="006A4889">
              <w:rPr>
                <w:szCs w:val="20"/>
              </w:rPr>
              <w:t xml:space="preserve">Low </w:t>
            </w:r>
          </w:p>
        </w:tc>
        <w:tc>
          <w:tcPr>
            <w:tcW w:w="1008" w:type="pct"/>
            <w:vAlign w:val="center"/>
          </w:tcPr>
          <w:p w14:paraId="4645A184" w14:textId="77777777" w:rsidR="009C21E4" w:rsidRPr="006A4889" w:rsidRDefault="009C21E4" w:rsidP="009C21E4">
            <w:pPr>
              <w:pStyle w:val="TableText0"/>
              <w:keepNext w:val="0"/>
              <w:rPr>
                <w:szCs w:val="20"/>
              </w:rPr>
            </w:pPr>
            <w:r w:rsidRPr="006A4889">
              <w:rPr>
                <w:szCs w:val="20"/>
              </w:rPr>
              <w:t xml:space="preserve">Moderate to severe persistent asthma (aged 18-65y) treated with ICS </w:t>
            </w:r>
          </w:p>
        </w:tc>
        <w:tc>
          <w:tcPr>
            <w:tcW w:w="829" w:type="pct"/>
          </w:tcPr>
          <w:p w14:paraId="78522FCC" w14:textId="77777777" w:rsidR="009C21E4" w:rsidRPr="006A4889" w:rsidRDefault="009C21E4" w:rsidP="009C21E4">
            <w:pPr>
              <w:pStyle w:val="TableText0"/>
              <w:keepNext w:val="0"/>
              <w:rPr>
                <w:szCs w:val="20"/>
              </w:rPr>
            </w:pPr>
            <w:r w:rsidRPr="006A4889">
              <w:rPr>
                <w:szCs w:val="20"/>
              </w:rPr>
              <w:t>Lung function (PEF, FEV1), symptom scores, exacerbations.</w:t>
            </w:r>
          </w:p>
        </w:tc>
      </w:tr>
      <w:tr w:rsidR="009C21E4" w:rsidRPr="006A4889" w14:paraId="773B1E06" w14:textId="77777777" w:rsidTr="006A4889">
        <w:trPr>
          <w:trHeight w:val="1038"/>
        </w:trPr>
        <w:tc>
          <w:tcPr>
            <w:tcW w:w="599" w:type="pct"/>
            <w:vAlign w:val="center"/>
          </w:tcPr>
          <w:p w14:paraId="27EF7E85" w14:textId="77777777" w:rsidR="009C21E4" w:rsidRPr="006A4889" w:rsidRDefault="009C21E4" w:rsidP="009C21E4">
            <w:pPr>
              <w:pStyle w:val="TableText0"/>
              <w:keepNext w:val="0"/>
              <w:rPr>
                <w:szCs w:val="20"/>
              </w:rPr>
            </w:pPr>
            <w:r w:rsidRPr="006A4889">
              <w:rPr>
                <w:szCs w:val="20"/>
              </w:rPr>
              <w:t>Huchon 2009</w:t>
            </w:r>
          </w:p>
        </w:tc>
        <w:tc>
          <w:tcPr>
            <w:tcW w:w="339" w:type="pct"/>
            <w:vAlign w:val="center"/>
          </w:tcPr>
          <w:p w14:paraId="29D56B77" w14:textId="77777777" w:rsidR="009C21E4" w:rsidRPr="006A4889" w:rsidRDefault="009C21E4" w:rsidP="009C21E4">
            <w:pPr>
              <w:pStyle w:val="TableText0"/>
              <w:keepNext w:val="0"/>
              <w:rPr>
                <w:szCs w:val="20"/>
              </w:rPr>
            </w:pPr>
            <w:r w:rsidRPr="006A4889">
              <w:rPr>
                <w:szCs w:val="20"/>
              </w:rPr>
              <w:t>432*</w:t>
            </w:r>
          </w:p>
        </w:tc>
        <w:tc>
          <w:tcPr>
            <w:tcW w:w="907" w:type="pct"/>
            <w:vAlign w:val="center"/>
          </w:tcPr>
          <w:p w14:paraId="7B888214" w14:textId="77777777" w:rsidR="009C21E4" w:rsidRPr="006A4889" w:rsidRDefault="009C21E4" w:rsidP="009C21E4">
            <w:pPr>
              <w:pStyle w:val="TableText0"/>
              <w:keepNext w:val="0"/>
              <w:rPr>
                <w:szCs w:val="20"/>
              </w:rPr>
            </w:pPr>
            <w:r w:rsidRPr="006A4889">
              <w:rPr>
                <w:szCs w:val="20"/>
              </w:rPr>
              <w:t xml:space="preserve">P3, MC, R, DB </w:t>
            </w:r>
          </w:p>
          <w:p w14:paraId="3EF32EE7" w14:textId="77777777" w:rsidR="009C21E4" w:rsidRPr="006A4889" w:rsidRDefault="009C21E4" w:rsidP="009C21E4">
            <w:pPr>
              <w:pStyle w:val="TableText0"/>
              <w:keepNext w:val="0"/>
              <w:rPr>
                <w:szCs w:val="20"/>
              </w:rPr>
            </w:pPr>
            <w:r w:rsidRPr="006A4889">
              <w:rPr>
                <w:szCs w:val="20"/>
              </w:rPr>
              <w:t>2wk run-in + 24wk tx</w:t>
            </w:r>
          </w:p>
        </w:tc>
        <w:tc>
          <w:tcPr>
            <w:tcW w:w="1006" w:type="pct"/>
            <w:vAlign w:val="center"/>
          </w:tcPr>
          <w:p w14:paraId="125B34A7" w14:textId="77777777" w:rsidR="009C21E4" w:rsidRPr="006A4889" w:rsidRDefault="009C21E4" w:rsidP="009C21E4">
            <w:pPr>
              <w:pStyle w:val="TableText0"/>
              <w:keepNext w:val="0"/>
              <w:rPr>
                <w:szCs w:val="20"/>
              </w:rPr>
            </w:pPr>
            <w:r w:rsidRPr="006A4889">
              <w:rPr>
                <w:szCs w:val="20"/>
              </w:rPr>
              <w:t>BEC/FOR</w:t>
            </w:r>
            <w:r w:rsidR="00C7503B" w:rsidRPr="006A4889">
              <w:rPr>
                <w:szCs w:val="20"/>
              </w:rPr>
              <w:t xml:space="preserve"> 100/6 mcg MDI vs. BEC 250mcg </w:t>
            </w:r>
            <w:r w:rsidRPr="006A4889">
              <w:rPr>
                <w:szCs w:val="20"/>
              </w:rPr>
              <w:t xml:space="preserve">MDI + FOR 12mcg DPI </w:t>
            </w:r>
          </w:p>
        </w:tc>
        <w:tc>
          <w:tcPr>
            <w:tcW w:w="312" w:type="pct"/>
            <w:vAlign w:val="center"/>
          </w:tcPr>
          <w:p w14:paraId="4FFFB140" w14:textId="77777777" w:rsidR="009C21E4" w:rsidRPr="006A4889" w:rsidRDefault="009C21E4" w:rsidP="009C21E4">
            <w:pPr>
              <w:pStyle w:val="TableText0"/>
              <w:keepNext w:val="0"/>
              <w:rPr>
                <w:szCs w:val="20"/>
              </w:rPr>
            </w:pPr>
            <w:r w:rsidRPr="006A4889">
              <w:rPr>
                <w:szCs w:val="20"/>
              </w:rPr>
              <w:t>Low</w:t>
            </w:r>
          </w:p>
        </w:tc>
        <w:tc>
          <w:tcPr>
            <w:tcW w:w="1008" w:type="pct"/>
            <w:vAlign w:val="center"/>
          </w:tcPr>
          <w:p w14:paraId="1F3FC223" w14:textId="77777777" w:rsidR="009C21E4" w:rsidRPr="006A4889" w:rsidRDefault="009C21E4" w:rsidP="009C21E4">
            <w:pPr>
              <w:pStyle w:val="TableText0"/>
              <w:keepNext w:val="0"/>
              <w:rPr>
                <w:szCs w:val="20"/>
              </w:rPr>
            </w:pPr>
            <w:r w:rsidRPr="006A4889">
              <w:rPr>
                <w:szCs w:val="20"/>
              </w:rPr>
              <w:t>Moderate to severe persistent asthma (aged 18-70y) treated with ICS or ICS/LABA</w:t>
            </w:r>
          </w:p>
        </w:tc>
        <w:tc>
          <w:tcPr>
            <w:tcW w:w="829" w:type="pct"/>
          </w:tcPr>
          <w:p w14:paraId="6C07830B" w14:textId="77777777" w:rsidR="009C21E4" w:rsidRPr="006A4889" w:rsidRDefault="009C21E4" w:rsidP="009C21E4">
            <w:pPr>
              <w:pStyle w:val="TableText0"/>
              <w:keepNext w:val="0"/>
              <w:rPr>
                <w:szCs w:val="20"/>
              </w:rPr>
            </w:pPr>
            <w:r w:rsidRPr="006A4889">
              <w:rPr>
                <w:szCs w:val="20"/>
              </w:rPr>
              <w:t>Lung function (PEF, FEV1), symptoms, exacerbations.</w:t>
            </w:r>
          </w:p>
        </w:tc>
      </w:tr>
      <w:tr w:rsidR="00A7104D" w:rsidRPr="006A4889" w14:paraId="252A0E59" w14:textId="77777777" w:rsidTr="006A4889">
        <w:trPr>
          <w:trHeight w:val="50"/>
        </w:trPr>
        <w:tc>
          <w:tcPr>
            <w:tcW w:w="5000" w:type="pct"/>
            <w:gridSpan w:val="7"/>
            <w:vAlign w:val="center"/>
          </w:tcPr>
          <w:p w14:paraId="31FBD513" w14:textId="77777777" w:rsidR="00A7104D" w:rsidRPr="006A4889" w:rsidRDefault="00A7104D" w:rsidP="004463C2">
            <w:pPr>
              <w:pStyle w:val="TableText0"/>
              <w:keepNext w:val="0"/>
              <w:rPr>
                <w:b/>
                <w:bCs w:val="0"/>
                <w:szCs w:val="20"/>
              </w:rPr>
            </w:pPr>
            <w:r w:rsidRPr="006A4889">
              <w:rPr>
                <w:b/>
                <w:bCs w:val="0"/>
                <w:szCs w:val="20"/>
              </w:rPr>
              <w:t>MART</w:t>
            </w:r>
          </w:p>
        </w:tc>
      </w:tr>
      <w:tr w:rsidR="00A7104D" w:rsidRPr="006A4889" w14:paraId="4E160832" w14:textId="77777777" w:rsidTr="006A4889">
        <w:tc>
          <w:tcPr>
            <w:tcW w:w="599" w:type="pct"/>
            <w:vAlign w:val="center"/>
          </w:tcPr>
          <w:p w14:paraId="59753B01" w14:textId="77777777" w:rsidR="00A7104D" w:rsidRPr="006A4889" w:rsidRDefault="00A7104D" w:rsidP="004463C2">
            <w:pPr>
              <w:pStyle w:val="TableText0"/>
              <w:keepNext w:val="0"/>
              <w:rPr>
                <w:szCs w:val="20"/>
              </w:rPr>
            </w:pPr>
            <w:r w:rsidRPr="006A4889">
              <w:rPr>
                <w:szCs w:val="20"/>
              </w:rPr>
              <w:t>Papi 2013</w:t>
            </w:r>
          </w:p>
        </w:tc>
        <w:tc>
          <w:tcPr>
            <w:tcW w:w="339" w:type="pct"/>
            <w:vAlign w:val="center"/>
          </w:tcPr>
          <w:p w14:paraId="01658AEE" w14:textId="77777777" w:rsidR="00A7104D" w:rsidRPr="006A4889" w:rsidRDefault="0001368E" w:rsidP="004463C2">
            <w:pPr>
              <w:pStyle w:val="TableText0"/>
              <w:keepNext w:val="0"/>
              <w:rPr>
                <w:szCs w:val="20"/>
              </w:rPr>
            </w:pPr>
            <w:r w:rsidRPr="006A4889">
              <w:rPr>
                <w:szCs w:val="20"/>
              </w:rPr>
              <w:t>1714</w:t>
            </w:r>
          </w:p>
        </w:tc>
        <w:tc>
          <w:tcPr>
            <w:tcW w:w="907" w:type="pct"/>
            <w:vAlign w:val="center"/>
          </w:tcPr>
          <w:p w14:paraId="2F8F7FB7" w14:textId="77777777" w:rsidR="00A7104D" w:rsidRPr="006A4889" w:rsidRDefault="00A7104D" w:rsidP="004463C2">
            <w:pPr>
              <w:pStyle w:val="TableText0"/>
              <w:keepNext w:val="0"/>
              <w:rPr>
                <w:szCs w:val="20"/>
              </w:rPr>
            </w:pPr>
            <w:r w:rsidRPr="006A4889">
              <w:rPr>
                <w:szCs w:val="20"/>
              </w:rPr>
              <w:t xml:space="preserve">P3,MC,R, DB </w:t>
            </w:r>
          </w:p>
          <w:p w14:paraId="2F234C40" w14:textId="77777777" w:rsidR="00A7104D" w:rsidRPr="006A4889" w:rsidRDefault="00A7104D" w:rsidP="004463C2">
            <w:pPr>
              <w:pStyle w:val="TableText0"/>
              <w:keepNext w:val="0"/>
              <w:rPr>
                <w:szCs w:val="20"/>
              </w:rPr>
            </w:pPr>
            <w:r w:rsidRPr="006A4889">
              <w:rPr>
                <w:szCs w:val="20"/>
              </w:rPr>
              <w:t>2wk run-in + 12wk tx</w:t>
            </w:r>
          </w:p>
        </w:tc>
        <w:tc>
          <w:tcPr>
            <w:tcW w:w="1006" w:type="pct"/>
            <w:vAlign w:val="center"/>
          </w:tcPr>
          <w:p w14:paraId="7830FE23" w14:textId="77777777" w:rsidR="00A7104D" w:rsidRPr="006A4889" w:rsidRDefault="00A7104D" w:rsidP="004463C2">
            <w:pPr>
              <w:pStyle w:val="TableText0"/>
              <w:keepNext w:val="0"/>
              <w:rPr>
                <w:szCs w:val="20"/>
              </w:rPr>
            </w:pPr>
            <w:r w:rsidRPr="006A4889">
              <w:rPr>
                <w:szCs w:val="20"/>
              </w:rPr>
              <w:t>BEC/FOR</w:t>
            </w:r>
            <w:r w:rsidR="00C7503B" w:rsidRPr="006A4889">
              <w:rPr>
                <w:szCs w:val="20"/>
              </w:rPr>
              <w:t xml:space="preserve"> 100/6 mcg </w:t>
            </w:r>
            <w:r w:rsidRPr="006A4889">
              <w:rPr>
                <w:szCs w:val="20"/>
              </w:rPr>
              <w:t>MDI MART vs. BEC/FOR</w:t>
            </w:r>
            <w:r w:rsidR="00C7503B" w:rsidRPr="006A4889">
              <w:rPr>
                <w:szCs w:val="20"/>
              </w:rPr>
              <w:t xml:space="preserve"> 100/6 mcg </w:t>
            </w:r>
            <w:r w:rsidRPr="006A4889">
              <w:rPr>
                <w:szCs w:val="20"/>
              </w:rPr>
              <w:t>MDI maintenance + salbutamol as reliever</w:t>
            </w:r>
          </w:p>
        </w:tc>
        <w:tc>
          <w:tcPr>
            <w:tcW w:w="312" w:type="pct"/>
            <w:vAlign w:val="center"/>
          </w:tcPr>
          <w:p w14:paraId="0A9286D5" w14:textId="77777777" w:rsidR="00A7104D" w:rsidRPr="006A4889" w:rsidRDefault="00A7104D" w:rsidP="004463C2">
            <w:pPr>
              <w:pStyle w:val="TableText0"/>
              <w:keepNext w:val="0"/>
              <w:rPr>
                <w:szCs w:val="20"/>
              </w:rPr>
            </w:pPr>
            <w:r w:rsidRPr="006A4889">
              <w:rPr>
                <w:szCs w:val="20"/>
              </w:rPr>
              <w:t>Low</w:t>
            </w:r>
          </w:p>
        </w:tc>
        <w:tc>
          <w:tcPr>
            <w:tcW w:w="1008" w:type="pct"/>
            <w:vAlign w:val="center"/>
          </w:tcPr>
          <w:p w14:paraId="324B49DC" w14:textId="77777777" w:rsidR="00A7104D" w:rsidRPr="006A4889" w:rsidRDefault="00A7104D" w:rsidP="004463C2">
            <w:pPr>
              <w:pStyle w:val="TableText0"/>
              <w:keepNext w:val="0"/>
              <w:rPr>
                <w:szCs w:val="20"/>
              </w:rPr>
            </w:pPr>
            <w:r w:rsidRPr="006A4889">
              <w:rPr>
                <w:szCs w:val="20"/>
              </w:rPr>
              <w:t>Asthma for 6 months, FEV1≥60%, ≥1 severe exacerbations in the past year (aged ≥18y) treated with ICS or ICS/LABA</w:t>
            </w:r>
          </w:p>
        </w:tc>
        <w:tc>
          <w:tcPr>
            <w:tcW w:w="829" w:type="pct"/>
            <w:vAlign w:val="center"/>
          </w:tcPr>
          <w:p w14:paraId="0D5D4468" w14:textId="77777777" w:rsidR="00A7104D" w:rsidRPr="006A4889" w:rsidRDefault="009C21E4" w:rsidP="009C21E4">
            <w:pPr>
              <w:pStyle w:val="TableText0"/>
              <w:keepNext w:val="0"/>
              <w:rPr>
                <w:szCs w:val="20"/>
              </w:rPr>
            </w:pPr>
            <w:r w:rsidRPr="006A4889">
              <w:rPr>
                <w:szCs w:val="20"/>
              </w:rPr>
              <w:t>Time to severe exacerbations</w:t>
            </w:r>
          </w:p>
        </w:tc>
      </w:tr>
    </w:tbl>
    <w:p w14:paraId="3E454BC4" w14:textId="77777777" w:rsidR="00A7104D" w:rsidRPr="00855489" w:rsidRDefault="00882177" w:rsidP="006A4889">
      <w:pPr>
        <w:pStyle w:val="TableFigureFooter"/>
      </w:pPr>
      <w:r w:rsidRPr="00855489">
        <w:t>Abbreviations: BEC=beclomet</w:t>
      </w:r>
      <w:r w:rsidR="00A7104D" w:rsidRPr="00855489">
        <w:t xml:space="preserve">asone, DB=double blind; DPI=dry powder inhaler, FOR= formoterol, FEV1= forced expiratory volume in the first second of </w:t>
      </w:r>
      <w:r w:rsidRPr="00855489">
        <w:t>expiration, FP=fluticasone prop</w:t>
      </w:r>
      <w:r w:rsidR="00A7104D" w:rsidRPr="00855489">
        <w:t>ionate, FVC= forced vital capacity, ICS=inhaled corticosteroid, LABA= long-acting β2-agonist , MC=multicentre, MEF50= Maximal Expiratory Flow at 50% of Vital Flow Capacity, PEF= peak expiratory flow;</w:t>
      </w:r>
      <w:r w:rsidR="00C7503B" w:rsidRPr="00855489">
        <w:t xml:space="preserve"> </w:t>
      </w:r>
      <w:r w:rsidR="00A7104D" w:rsidRPr="00855489">
        <w:t xml:space="preserve">MDI=metered dose inhaler, SAL=salbutamol, tx=treatment, wk=week; y=year </w:t>
      </w:r>
    </w:p>
    <w:p w14:paraId="037883BC" w14:textId="77777777" w:rsidR="00A7104D" w:rsidRPr="00855489" w:rsidRDefault="00A7104D" w:rsidP="006A4889">
      <w:pPr>
        <w:pStyle w:val="TableFigureFooter"/>
      </w:pPr>
      <w:r w:rsidRPr="00855489">
        <w:t>*Comparison of BEC/FOR FDC vs. BEC + FOR via separate inhalers</w:t>
      </w:r>
    </w:p>
    <w:p w14:paraId="41627B7E" w14:textId="77777777" w:rsidR="00A7104D" w:rsidRPr="00855489" w:rsidRDefault="00A7104D" w:rsidP="006A4889">
      <w:pPr>
        <w:pStyle w:val="TableFigureFooter"/>
      </w:pPr>
      <w:r w:rsidRPr="00855489">
        <w:t xml:space="preserve">Source: Table 32, p59 of the submission, and trial publications </w:t>
      </w:r>
    </w:p>
    <w:p w14:paraId="7A287373" w14:textId="77777777" w:rsidR="0001368E" w:rsidRPr="00855489" w:rsidRDefault="00415B7F" w:rsidP="000D306F">
      <w:pPr>
        <w:pStyle w:val="3-BodyText"/>
        <w:rPr>
          <w:iCs/>
        </w:rPr>
      </w:pPr>
      <w:r w:rsidRPr="00855489">
        <w:rPr>
          <w:iCs/>
        </w:rPr>
        <w:t xml:space="preserve">All </w:t>
      </w:r>
      <w:r w:rsidR="009106A7" w:rsidRPr="00855489">
        <w:rPr>
          <w:iCs/>
        </w:rPr>
        <w:t xml:space="preserve">of the </w:t>
      </w:r>
      <w:r w:rsidRPr="00855489">
        <w:rPr>
          <w:iCs/>
        </w:rPr>
        <w:t xml:space="preserve">trials were phase 3, multicentre, randomised, controlled, double-blind, with a 2-week run-in period and at least 12 weeks of treatment. </w:t>
      </w:r>
      <w:r w:rsidR="0001368E" w:rsidRPr="00855489">
        <w:rPr>
          <w:iCs/>
        </w:rPr>
        <w:t xml:space="preserve">The dosing regimens </w:t>
      </w:r>
      <w:r w:rsidR="009106A7" w:rsidRPr="00855489">
        <w:rPr>
          <w:iCs/>
        </w:rPr>
        <w:t>in the maintenance</w:t>
      </w:r>
      <w:r w:rsidR="0001368E" w:rsidRPr="00855489">
        <w:rPr>
          <w:iCs/>
        </w:rPr>
        <w:t xml:space="preserve"> trials were equivalent to those recommended for STEP 4 of the clinical management algorithm</w:t>
      </w:r>
      <w:r w:rsidR="000D306F" w:rsidRPr="00855489">
        <w:rPr>
          <w:iCs/>
        </w:rPr>
        <w:t xml:space="preserve"> (i.e. medium dose ICS)</w:t>
      </w:r>
      <w:r w:rsidR="0001368E" w:rsidRPr="00855489">
        <w:rPr>
          <w:iCs/>
        </w:rPr>
        <w:t xml:space="preserve">. </w:t>
      </w:r>
      <w:r w:rsidRPr="00855489">
        <w:rPr>
          <w:iCs/>
        </w:rPr>
        <w:t xml:space="preserve">The selection criteria were similar across the </w:t>
      </w:r>
      <w:r w:rsidR="009106A7" w:rsidRPr="00855489">
        <w:rPr>
          <w:iCs/>
        </w:rPr>
        <w:t xml:space="preserve">maintenance </w:t>
      </w:r>
      <w:r w:rsidRPr="00855489">
        <w:rPr>
          <w:iCs/>
        </w:rPr>
        <w:t xml:space="preserve">trials, including </w:t>
      </w:r>
      <w:r w:rsidR="00630ACC" w:rsidRPr="00855489">
        <w:rPr>
          <w:iCs/>
        </w:rPr>
        <w:t>adults with moderate to sever</w:t>
      </w:r>
      <w:bookmarkStart w:id="13" w:name="_GoBack"/>
      <w:bookmarkEnd w:id="13"/>
      <w:r w:rsidR="00630ACC" w:rsidRPr="00855489">
        <w:rPr>
          <w:iCs/>
        </w:rPr>
        <w:t>e asthma who experienced symptoms despite treatment with ICS.</w:t>
      </w:r>
    </w:p>
    <w:p w14:paraId="7CE20B71" w14:textId="77777777" w:rsidR="00F66126" w:rsidRPr="00855489" w:rsidRDefault="00AE6A3B" w:rsidP="00F66126">
      <w:pPr>
        <w:pStyle w:val="3-BodyText"/>
      </w:pPr>
      <w:r w:rsidRPr="00855489">
        <w:t>The clinically relevant outcomes in asthma are differences in lung function tests, rescue medication use, symptom free days, percentage of patients with asthma exacerbations and quality of life</w:t>
      </w:r>
      <w:r w:rsidR="00855489">
        <w:t xml:space="preserve">. </w:t>
      </w:r>
      <w:r w:rsidRPr="00855489">
        <w:rPr>
          <w:iCs/>
        </w:rPr>
        <w:t xml:space="preserve">In past decisions, </w:t>
      </w:r>
      <w:r w:rsidR="00F66126" w:rsidRPr="00855489">
        <w:rPr>
          <w:iCs/>
        </w:rPr>
        <w:t xml:space="preserve">the PBAC has commonly relied on </w:t>
      </w:r>
      <w:r w:rsidR="00F66126" w:rsidRPr="00855489">
        <w:t>change in lung function (</w:t>
      </w:r>
      <w:r w:rsidR="00F66126" w:rsidRPr="00855489">
        <w:rPr>
          <w:iCs/>
        </w:rPr>
        <w:t>including change in morning peak expiratory flow, PEF; and forced expiratory volume in the first second, FEV1</w:t>
      </w:r>
      <w:r w:rsidR="00F66126" w:rsidRPr="00855489">
        <w:t>) for maintenance therapy, and time to first severe exacerbation for MART</w:t>
      </w:r>
      <w:r w:rsidR="00855489">
        <w:t xml:space="preserve">. </w:t>
      </w:r>
      <w:r w:rsidR="00F66126" w:rsidRPr="00855489">
        <w:t>These outcomes are measured across the trials but not all relevant outcomes were reported in all of the trials.</w:t>
      </w:r>
    </w:p>
    <w:p w14:paraId="06DDFA3F" w14:textId="77777777" w:rsidR="009E3F70" w:rsidRPr="00855489" w:rsidRDefault="00F66126" w:rsidP="00CE1D04">
      <w:pPr>
        <w:pStyle w:val="3-BodyText"/>
        <w:rPr>
          <w:iCs/>
        </w:rPr>
      </w:pPr>
      <w:r w:rsidRPr="00855489">
        <w:lastRenderedPageBreak/>
        <w:t>The submission nominated a non-inferiority margin for the difference in morning pre-dose PEF of -20 L/min</w:t>
      </w:r>
      <w:r w:rsidR="009E3F70" w:rsidRPr="00855489">
        <w:t xml:space="preserve">, based on pre-specified margin in three of the maintenance trials designed to test non-inferiority </w:t>
      </w:r>
      <w:r w:rsidR="0069174E" w:rsidRPr="00855489">
        <w:t>on</w:t>
      </w:r>
      <w:r w:rsidRPr="00855489">
        <w:t xml:space="preserve"> the primary morning pre-dose PEF outcome. </w:t>
      </w:r>
      <w:r w:rsidRPr="00855489">
        <w:rPr>
          <w:iCs/>
        </w:rPr>
        <w:t>The nominated non-inferiority margin for the difference in PEF was reasonable</w:t>
      </w:r>
      <w:r w:rsidR="00F17097" w:rsidRPr="00855489">
        <w:rPr>
          <w:iCs/>
        </w:rPr>
        <w:t xml:space="preserve">. </w:t>
      </w:r>
      <w:r w:rsidR="00CE1D04" w:rsidRPr="00855489">
        <w:rPr>
          <w:iCs/>
        </w:rPr>
        <w:t>T</w:t>
      </w:r>
      <w:r w:rsidRPr="00855489">
        <w:rPr>
          <w:iCs/>
        </w:rPr>
        <w:t xml:space="preserve">he </w:t>
      </w:r>
      <w:r w:rsidR="0069174E" w:rsidRPr="00855489">
        <w:rPr>
          <w:iCs/>
        </w:rPr>
        <w:t xml:space="preserve">Australian </w:t>
      </w:r>
      <w:r w:rsidRPr="00855489">
        <w:rPr>
          <w:iCs/>
        </w:rPr>
        <w:t>guidelines</w:t>
      </w:r>
      <w:r w:rsidR="009106A7" w:rsidRPr="00855489">
        <w:rPr>
          <w:rStyle w:val="FootnoteReference"/>
        </w:rPr>
        <w:footnoteReference w:id="2"/>
      </w:r>
      <w:r w:rsidRPr="00855489">
        <w:rPr>
          <w:iCs/>
        </w:rPr>
        <w:t xml:space="preserve"> </w:t>
      </w:r>
      <w:r w:rsidR="00CE1D04" w:rsidRPr="00855489">
        <w:rPr>
          <w:iCs/>
        </w:rPr>
        <w:t>refer to a 10% variation in PEF as being clinically important, which is also consistent with previous PBAC considerations for ICS/LABA FDCs</w:t>
      </w:r>
      <w:r w:rsidRPr="00855489">
        <w:rPr>
          <w:iCs/>
        </w:rPr>
        <w:t>.</w:t>
      </w:r>
    </w:p>
    <w:p w14:paraId="0CD5F0AC" w14:textId="138099B1" w:rsidR="00166B09" w:rsidRPr="00855489" w:rsidRDefault="009E3F70" w:rsidP="008718B1">
      <w:pPr>
        <w:pStyle w:val="3-BodyText"/>
        <w:rPr>
          <w:iCs/>
        </w:rPr>
      </w:pPr>
      <w:r w:rsidRPr="00855489">
        <w:rPr>
          <w:iCs/>
        </w:rPr>
        <w:t>The submission did not explicitly nominate a non-inferiority margin for any other outcome, but</w:t>
      </w:r>
      <w:r w:rsidR="00161C73" w:rsidRPr="00855489">
        <w:rPr>
          <w:iCs/>
        </w:rPr>
        <w:t xml:space="preserve"> it was</w:t>
      </w:r>
      <w:r w:rsidRPr="00855489">
        <w:rPr>
          <w:iCs/>
        </w:rPr>
        <w:t xml:space="preserve"> noted that Huchon 2009 </w:t>
      </w:r>
      <w:r w:rsidR="0069174E" w:rsidRPr="00855489">
        <w:rPr>
          <w:iCs/>
        </w:rPr>
        <w:t xml:space="preserve">also tested </w:t>
      </w:r>
      <w:r w:rsidRPr="00855489">
        <w:rPr>
          <w:iCs/>
        </w:rPr>
        <w:t>non-inferiority using mean difference in FEV1 at the end of the treatment period</w:t>
      </w:r>
      <w:r w:rsidR="0069174E" w:rsidRPr="00855489">
        <w:rPr>
          <w:iCs/>
        </w:rPr>
        <w:t xml:space="preserve"> with a non-inferiority margin of </w:t>
      </w:r>
      <w:r w:rsidR="00161C73" w:rsidRPr="00855489">
        <w:rPr>
          <w:iCs/>
        </w:rPr>
        <w:t>- 0.</w:t>
      </w:r>
      <w:r w:rsidRPr="00855489">
        <w:rPr>
          <w:iCs/>
        </w:rPr>
        <w:t>20 L. The PBAC has previously accepted the non-inferiority margin of</w:t>
      </w:r>
      <w:r w:rsidR="0022078B" w:rsidRPr="00855489">
        <w:rPr>
          <w:iCs/>
        </w:rPr>
        <w:t xml:space="preserve"> -0</w:t>
      </w:r>
      <w:r w:rsidR="000144BA" w:rsidRPr="00855489">
        <w:rPr>
          <w:iCs/>
        </w:rPr>
        <w:t>.</w:t>
      </w:r>
      <w:r w:rsidR="0022078B" w:rsidRPr="00855489">
        <w:rPr>
          <w:iCs/>
        </w:rPr>
        <w:t>15 to</w:t>
      </w:r>
      <w:r w:rsidRPr="00855489">
        <w:rPr>
          <w:iCs/>
        </w:rPr>
        <w:t xml:space="preserve"> </w:t>
      </w:r>
      <w:r w:rsidR="008F29E4" w:rsidRPr="00855489">
        <w:rPr>
          <w:iCs/>
        </w:rPr>
        <w:br/>
      </w:r>
      <w:r w:rsidRPr="00855489">
        <w:rPr>
          <w:iCs/>
        </w:rPr>
        <w:t>-</w:t>
      </w:r>
      <w:r w:rsidR="000144BA" w:rsidRPr="00855489">
        <w:rPr>
          <w:iCs/>
        </w:rPr>
        <w:t>0.</w:t>
      </w:r>
      <w:r w:rsidRPr="00855489">
        <w:rPr>
          <w:iCs/>
        </w:rPr>
        <w:t>20 L for mean difference in pre-dose FEV1 (</w:t>
      </w:r>
      <w:r w:rsidR="0022078B" w:rsidRPr="00855489">
        <w:t xml:space="preserve">page 4, </w:t>
      </w:r>
      <w:r w:rsidR="00D26794" w:rsidRPr="00855489">
        <w:t>FP/FOR</w:t>
      </w:r>
      <w:r w:rsidR="0022078B" w:rsidRPr="00855489">
        <w:t xml:space="preserve"> FDC, </w:t>
      </w:r>
      <w:r w:rsidR="0097192C">
        <w:t>PSD</w:t>
      </w:r>
      <w:r w:rsidR="0022078B" w:rsidRPr="00855489">
        <w:t xml:space="preserve">, July 2013 PBAC meeting; paragraph 6.4, </w:t>
      </w:r>
      <w:r w:rsidR="00D26794" w:rsidRPr="00855489">
        <w:t>FF/VIL</w:t>
      </w:r>
      <w:r w:rsidR="0022078B" w:rsidRPr="00855489">
        <w:t xml:space="preserve"> FDC, </w:t>
      </w:r>
      <w:r w:rsidR="0097192C">
        <w:t>PSD</w:t>
      </w:r>
      <w:r w:rsidR="0022078B" w:rsidRPr="00855489">
        <w:t>, March 2014 PBAC meeting</w:t>
      </w:r>
      <w:r w:rsidRPr="00855489">
        <w:rPr>
          <w:iCs/>
        </w:rPr>
        <w:t xml:space="preserve">) and is consistent with the MCID specified in the </w:t>
      </w:r>
      <w:r w:rsidR="0069174E" w:rsidRPr="00855489">
        <w:rPr>
          <w:iCs/>
        </w:rPr>
        <w:t xml:space="preserve">Australian </w:t>
      </w:r>
      <w:r w:rsidRPr="00855489">
        <w:rPr>
          <w:iCs/>
        </w:rPr>
        <w:t>guidelines</w:t>
      </w:r>
      <w:r w:rsidR="009106A7" w:rsidRPr="00855489">
        <w:rPr>
          <w:rStyle w:val="FootnoteReference"/>
        </w:rPr>
        <w:footnoteReference w:id="3"/>
      </w:r>
      <w:r w:rsidRPr="00855489">
        <w:rPr>
          <w:iCs/>
        </w:rPr>
        <w:t>.</w:t>
      </w:r>
    </w:p>
    <w:p w14:paraId="067EA94A" w14:textId="77777777" w:rsidR="00B60939" w:rsidRPr="00855489" w:rsidRDefault="00B60939" w:rsidP="00EC5836">
      <w:pPr>
        <w:pStyle w:val="4-SubsectionHeading"/>
      </w:pPr>
      <w:bookmarkStart w:id="14" w:name="_Toc22897641"/>
      <w:bookmarkStart w:id="15" w:name="_Toc40775726"/>
      <w:r w:rsidRPr="00855489">
        <w:t>Comparative effectiveness</w:t>
      </w:r>
      <w:bookmarkEnd w:id="14"/>
      <w:bookmarkEnd w:id="15"/>
    </w:p>
    <w:p w14:paraId="44313534" w14:textId="77777777" w:rsidR="002C2775" w:rsidRPr="00855489" w:rsidRDefault="00494297" w:rsidP="009E3F70">
      <w:pPr>
        <w:pStyle w:val="3-BodyText"/>
      </w:pPr>
      <w:r w:rsidRPr="00855489">
        <w:t>Table</w:t>
      </w:r>
      <w:r w:rsidR="005862DA" w:rsidRPr="00855489">
        <w:t xml:space="preserve"> </w:t>
      </w:r>
      <w:r w:rsidR="009E3F70" w:rsidRPr="00855489">
        <w:t>4</w:t>
      </w:r>
      <w:r w:rsidR="00FF0234" w:rsidRPr="00855489">
        <w:t xml:space="preserve"> </w:t>
      </w:r>
      <w:r w:rsidRPr="00855489">
        <w:t>presents</w:t>
      </w:r>
      <w:r w:rsidR="005862DA" w:rsidRPr="00855489">
        <w:t xml:space="preserve"> the </w:t>
      </w:r>
      <w:r w:rsidRPr="00855489">
        <w:t xml:space="preserve">results for the </w:t>
      </w:r>
      <w:r w:rsidR="008B1EAC" w:rsidRPr="00855489">
        <w:t xml:space="preserve">key </w:t>
      </w:r>
      <w:r w:rsidRPr="00855489">
        <w:t xml:space="preserve">lung function outcomes reported across the direct </w:t>
      </w:r>
      <w:r w:rsidR="005862DA" w:rsidRPr="00855489">
        <w:t>randomised</w:t>
      </w:r>
      <w:r w:rsidR="008B1EAC" w:rsidRPr="00855489">
        <w:t xml:space="preserve"> </w:t>
      </w:r>
      <w:r w:rsidR="005862DA" w:rsidRPr="00855489">
        <w:t>trials</w:t>
      </w:r>
      <w:r w:rsidR="008B1EAC" w:rsidRPr="00855489">
        <w:t xml:space="preserve"> </w:t>
      </w:r>
      <w:r w:rsidR="009E3F70" w:rsidRPr="00855489">
        <w:t>of maintenance therapy</w:t>
      </w:r>
      <w:r w:rsidR="008B1EAC" w:rsidRPr="00855489">
        <w:t>.</w:t>
      </w:r>
    </w:p>
    <w:p w14:paraId="2ED2E402" w14:textId="77777777" w:rsidR="005862DA" w:rsidRPr="00855489" w:rsidRDefault="005862DA" w:rsidP="00AC0032">
      <w:pPr>
        <w:pStyle w:val="TableFigureHeading"/>
        <w:keepLines/>
      </w:pPr>
      <w:r w:rsidRPr="00855489">
        <w:lastRenderedPageBreak/>
        <w:t xml:space="preserve">Table </w:t>
      </w:r>
      <w:r w:rsidR="009E3F70" w:rsidRPr="00855489">
        <w:t>4</w:t>
      </w:r>
      <w:r w:rsidRPr="00855489">
        <w:t>: Key lung function outcomes (PEF, FEV1) across the trials – ITT population</w:t>
      </w:r>
    </w:p>
    <w:tbl>
      <w:tblPr>
        <w:tblStyle w:val="TableGrid"/>
        <w:tblW w:w="5000" w:type="pct"/>
        <w:tblCellMar>
          <w:left w:w="28" w:type="dxa"/>
          <w:right w:w="28" w:type="dxa"/>
        </w:tblCellMar>
        <w:tblLook w:val="04A0" w:firstRow="1" w:lastRow="0" w:firstColumn="1" w:lastColumn="0" w:noHBand="0" w:noVBand="1"/>
        <w:tblCaption w:val="Table 4"/>
      </w:tblPr>
      <w:tblGrid>
        <w:gridCol w:w="4248"/>
        <w:gridCol w:w="1589"/>
        <w:gridCol w:w="1589"/>
        <w:gridCol w:w="1590"/>
      </w:tblGrid>
      <w:tr w:rsidR="005862DA" w:rsidRPr="00855489" w14:paraId="12C9A7EF" w14:textId="77777777" w:rsidTr="006A4889">
        <w:trPr>
          <w:tblHeader/>
        </w:trPr>
        <w:tc>
          <w:tcPr>
            <w:tcW w:w="2356" w:type="pct"/>
            <w:tcBorders>
              <w:bottom w:val="single" w:sz="4" w:space="0" w:color="auto"/>
            </w:tcBorders>
          </w:tcPr>
          <w:p w14:paraId="6B81EB94" w14:textId="77777777" w:rsidR="005862DA" w:rsidRPr="006A4889" w:rsidRDefault="005862DA" w:rsidP="00AC0032">
            <w:pPr>
              <w:keepNext/>
              <w:keepLines/>
              <w:rPr>
                <w:rFonts w:ascii="Arial Narrow" w:hAnsi="Arial Narrow" w:cs="Times New Roman"/>
                <w:sz w:val="20"/>
                <w:szCs w:val="20"/>
              </w:rPr>
            </w:pPr>
          </w:p>
        </w:tc>
        <w:tc>
          <w:tcPr>
            <w:tcW w:w="881" w:type="pct"/>
            <w:tcBorders>
              <w:bottom w:val="single" w:sz="4" w:space="0" w:color="auto"/>
            </w:tcBorders>
            <w:vAlign w:val="center"/>
          </w:tcPr>
          <w:p w14:paraId="72377836" w14:textId="77777777" w:rsidR="005862DA" w:rsidRPr="006A4889" w:rsidRDefault="005862DA" w:rsidP="00AC0032">
            <w:pPr>
              <w:keepNext/>
              <w:keepLines/>
              <w:jc w:val="center"/>
              <w:rPr>
                <w:rFonts w:ascii="Arial Narrow" w:hAnsi="Arial Narrow" w:cs="Times New Roman"/>
                <w:b/>
                <w:sz w:val="20"/>
                <w:szCs w:val="20"/>
              </w:rPr>
            </w:pPr>
            <w:r w:rsidRPr="006A4889">
              <w:rPr>
                <w:rFonts w:ascii="Arial Narrow" w:hAnsi="Arial Narrow"/>
                <w:b/>
                <w:sz w:val="20"/>
                <w:szCs w:val="20"/>
              </w:rPr>
              <w:t>BEC/FOR</w:t>
            </w:r>
          </w:p>
        </w:tc>
        <w:tc>
          <w:tcPr>
            <w:tcW w:w="881" w:type="pct"/>
            <w:tcBorders>
              <w:bottom w:val="single" w:sz="4" w:space="0" w:color="auto"/>
            </w:tcBorders>
            <w:vAlign w:val="center"/>
          </w:tcPr>
          <w:p w14:paraId="550B9BBD" w14:textId="77777777" w:rsidR="005862DA" w:rsidRPr="006A4889" w:rsidRDefault="005862DA" w:rsidP="00AC0032">
            <w:pPr>
              <w:keepNext/>
              <w:keepLines/>
              <w:jc w:val="center"/>
              <w:rPr>
                <w:rFonts w:ascii="Arial Narrow" w:hAnsi="Arial Narrow" w:cs="Times New Roman"/>
                <w:b/>
                <w:sz w:val="20"/>
                <w:szCs w:val="20"/>
              </w:rPr>
            </w:pPr>
            <w:r w:rsidRPr="006A4889">
              <w:rPr>
                <w:rFonts w:ascii="Arial Narrow" w:hAnsi="Arial Narrow" w:cs="Times New Roman"/>
                <w:b/>
                <w:sz w:val="20"/>
                <w:szCs w:val="20"/>
              </w:rPr>
              <w:t>Comparator</w:t>
            </w:r>
          </w:p>
        </w:tc>
        <w:tc>
          <w:tcPr>
            <w:tcW w:w="882" w:type="pct"/>
            <w:tcBorders>
              <w:bottom w:val="single" w:sz="4" w:space="0" w:color="auto"/>
            </w:tcBorders>
            <w:vAlign w:val="center"/>
          </w:tcPr>
          <w:p w14:paraId="39627FB2" w14:textId="77777777" w:rsidR="005862DA" w:rsidRPr="006A4889" w:rsidRDefault="005862DA" w:rsidP="00AC0032">
            <w:pPr>
              <w:keepNext/>
              <w:keepLines/>
              <w:jc w:val="center"/>
              <w:rPr>
                <w:rFonts w:ascii="Arial Narrow" w:hAnsi="Arial Narrow" w:cs="Times New Roman"/>
                <w:b/>
                <w:sz w:val="20"/>
                <w:szCs w:val="20"/>
              </w:rPr>
            </w:pPr>
            <w:r w:rsidRPr="006A4889">
              <w:rPr>
                <w:rFonts w:ascii="Arial Narrow" w:hAnsi="Arial Narrow"/>
                <w:b/>
                <w:sz w:val="20"/>
                <w:szCs w:val="20"/>
              </w:rPr>
              <w:t>Mean diff. (95% CI)</w:t>
            </w:r>
          </w:p>
        </w:tc>
      </w:tr>
      <w:tr w:rsidR="005862DA" w:rsidRPr="00855489" w14:paraId="68C73074" w14:textId="77777777" w:rsidTr="006A4889">
        <w:tc>
          <w:tcPr>
            <w:tcW w:w="5000" w:type="pct"/>
            <w:gridSpan w:val="4"/>
            <w:tcBorders>
              <w:bottom w:val="single" w:sz="4" w:space="0" w:color="auto"/>
            </w:tcBorders>
            <w:vAlign w:val="center"/>
          </w:tcPr>
          <w:p w14:paraId="5D3C2E40" w14:textId="77777777" w:rsidR="005862DA" w:rsidRPr="006A4889" w:rsidRDefault="005862DA" w:rsidP="00037ADC">
            <w:pPr>
              <w:keepNext/>
              <w:keepLines/>
              <w:rPr>
                <w:rFonts w:ascii="Arial Narrow" w:hAnsi="Arial Narrow"/>
                <w:sz w:val="20"/>
                <w:szCs w:val="20"/>
              </w:rPr>
            </w:pPr>
            <w:r w:rsidRPr="006A4889">
              <w:rPr>
                <w:rFonts w:ascii="Arial Narrow" w:hAnsi="Arial Narrow"/>
                <w:b/>
                <w:sz w:val="20"/>
                <w:szCs w:val="20"/>
              </w:rPr>
              <w:t>Morning pre-dose PEF in L/min at end of treatment</w:t>
            </w:r>
          </w:p>
        </w:tc>
      </w:tr>
      <w:tr w:rsidR="005862DA" w:rsidRPr="00855489" w14:paraId="6100B49A" w14:textId="77777777" w:rsidTr="006A4889">
        <w:tc>
          <w:tcPr>
            <w:tcW w:w="2356" w:type="pct"/>
            <w:tcBorders>
              <w:bottom w:val="nil"/>
              <w:right w:val="single" w:sz="4" w:space="0" w:color="auto"/>
            </w:tcBorders>
          </w:tcPr>
          <w:p w14:paraId="3C9ABEDD" w14:textId="77777777" w:rsidR="005862DA" w:rsidRPr="006A4889" w:rsidRDefault="005862DA" w:rsidP="00AC0032">
            <w:pPr>
              <w:keepNext/>
              <w:keepLines/>
              <w:rPr>
                <w:rFonts w:ascii="Arial Narrow" w:hAnsi="Arial Narrow" w:cs="Times New Roman"/>
                <w:sz w:val="20"/>
                <w:szCs w:val="20"/>
              </w:rPr>
            </w:pPr>
            <w:r w:rsidRPr="006A4889">
              <w:rPr>
                <w:rFonts w:ascii="Arial Narrow" w:hAnsi="Arial Narrow"/>
                <w:sz w:val="20"/>
                <w:szCs w:val="20"/>
              </w:rPr>
              <w:t>BEC/FOR 100/6 2BD</w:t>
            </w:r>
          </w:p>
        </w:tc>
        <w:tc>
          <w:tcPr>
            <w:tcW w:w="881" w:type="pct"/>
            <w:tcBorders>
              <w:left w:val="single" w:sz="4" w:space="0" w:color="auto"/>
              <w:bottom w:val="nil"/>
              <w:right w:val="single" w:sz="4" w:space="0" w:color="auto"/>
            </w:tcBorders>
            <w:vAlign w:val="center"/>
          </w:tcPr>
          <w:p w14:paraId="1798ED45" w14:textId="77777777" w:rsidR="005862DA" w:rsidRPr="006A4889" w:rsidRDefault="005862DA" w:rsidP="00AC0032">
            <w:pPr>
              <w:keepNext/>
              <w:keepLines/>
              <w:jc w:val="center"/>
              <w:rPr>
                <w:rFonts w:ascii="Arial Narrow" w:hAnsi="Arial Narrow"/>
                <w:sz w:val="20"/>
                <w:szCs w:val="20"/>
              </w:rPr>
            </w:pPr>
          </w:p>
        </w:tc>
        <w:tc>
          <w:tcPr>
            <w:tcW w:w="881" w:type="pct"/>
            <w:tcBorders>
              <w:left w:val="single" w:sz="4" w:space="0" w:color="auto"/>
              <w:bottom w:val="nil"/>
              <w:right w:val="single" w:sz="4" w:space="0" w:color="auto"/>
            </w:tcBorders>
            <w:vAlign w:val="center"/>
          </w:tcPr>
          <w:p w14:paraId="60D32065" w14:textId="77777777" w:rsidR="005862DA" w:rsidRPr="006A4889" w:rsidRDefault="005862DA" w:rsidP="00AC0032">
            <w:pPr>
              <w:keepNext/>
              <w:keepLines/>
              <w:jc w:val="center"/>
              <w:rPr>
                <w:rFonts w:ascii="Arial Narrow" w:hAnsi="Arial Narrow" w:cs="Times New Roman"/>
                <w:sz w:val="20"/>
                <w:szCs w:val="20"/>
              </w:rPr>
            </w:pPr>
          </w:p>
        </w:tc>
        <w:tc>
          <w:tcPr>
            <w:tcW w:w="882" w:type="pct"/>
            <w:tcBorders>
              <w:left w:val="single" w:sz="4" w:space="0" w:color="auto"/>
              <w:bottom w:val="nil"/>
            </w:tcBorders>
            <w:vAlign w:val="center"/>
          </w:tcPr>
          <w:p w14:paraId="1E8EA29A" w14:textId="77777777" w:rsidR="005862DA" w:rsidRPr="006A4889" w:rsidRDefault="005862DA" w:rsidP="00AC0032">
            <w:pPr>
              <w:keepNext/>
              <w:keepLines/>
              <w:jc w:val="center"/>
              <w:rPr>
                <w:rFonts w:ascii="Arial Narrow" w:hAnsi="Arial Narrow"/>
                <w:sz w:val="20"/>
                <w:szCs w:val="20"/>
              </w:rPr>
            </w:pPr>
          </w:p>
        </w:tc>
      </w:tr>
      <w:tr w:rsidR="005862DA" w:rsidRPr="00855489" w14:paraId="196E07EE" w14:textId="77777777" w:rsidTr="006A4889">
        <w:tc>
          <w:tcPr>
            <w:tcW w:w="2356" w:type="pct"/>
            <w:tcBorders>
              <w:top w:val="nil"/>
              <w:bottom w:val="nil"/>
              <w:right w:val="single" w:sz="4" w:space="0" w:color="auto"/>
            </w:tcBorders>
          </w:tcPr>
          <w:p w14:paraId="731D5CCC"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 xml:space="preserve">vs FP/SAL 125/25 2BD (Papi 2007a) </w:t>
            </w:r>
            <w:r w:rsidRPr="006A4889">
              <w:rPr>
                <w:rFonts w:ascii="Arial Narrow" w:hAnsi="Arial Narrow"/>
                <w:sz w:val="20"/>
                <w:szCs w:val="20"/>
              </w:rPr>
              <w:t>– Wk11/12</w:t>
            </w:r>
          </w:p>
        </w:tc>
        <w:tc>
          <w:tcPr>
            <w:tcW w:w="881" w:type="pct"/>
            <w:tcBorders>
              <w:top w:val="nil"/>
              <w:left w:val="single" w:sz="4" w:space="0" w:color="auto"/>
              <w:bottom w:val="nil"/>
              <w:right w:val="single" w:sz="4" w:space="0" w:color="auto"/>
            </w:tcBorders>
            <w:vAlign w:val="center"/>
          </w:tcPr>
          <w:p w14:paraId="487DEAAE"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329.6^</w:t>
            </w:r>
          </w:p>
        </w:tc>
        <w:tc>
          <w:tcPr>
            <w:tcW w:w="881" w:type="pct"/>
            <w:tcBorders>
              <w:top w:val="nil"/>
              <w:left w:val="single" w:sz="4" w:space="0" w:color="auto"/>
              <w:bottom w:val="nil"/>
              <w:right w:val="single" w:sz="4" w:space="0" w:color="auto"/>
            </w:tcBorders>
            <w:vAlign w:val="center"/>
          </w:tcPr>
          <w:p w14:paraId="21A0F6B2"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333.0^</w:t>
            </w:r>
          </w:p>
        </w:tc>
        <w:tc>
          <w:tcPr>
            <w:tcW w:w="882" w:type="pct"/>
            <w:tcBorders>
              <w:top w:val="nil"/>
              <w:left w:val="single" w:sz="4" w:space="0" w:color="auto"/>
              <w:bottom w:val="nil"/>
            </w:tcBorders>
            <w:vAlign w:val="center"/>
          </w:tcPr>
          <w:p w14:paraId="3724CA34"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-3.32(-17.92,11.28)#</w:t>
            </w:r>
          </w:p>
        </w:tc>
      </w:tr>
      <w:tr w:rsidR="005862DA" w:rsidRPr="00855489" w14:paraId="49A7B2A1" w14:textId="77777777" w:rsidTr="006A4889">
        <w:tc>
          <w:tcPr>
            <w:tcW w:w="2356" w:type="pct"/>
            <w:tcBorders>
              <w:top w:val="nil"/>
              <w:bottom w:val="nil"/>
              <w:right w:val="single" w:sz="4" w:space="0" w:color="auto"/>
            </w:tcBorders>
          </w:tcPr>
          <w:p w14:paraId="2D33038A"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 xml:space="preserve">vs FP/SAL 125/25 2BD (Hsieh 2017) </w:t>
            </w:r>
            <w:r w:rsidRPr="006A4889">
              <w:rPr>
                <w:rFonts w:ascii="Arial Narrow" w:hAnsi="Arial Narrow"/>
                <w:sz w:val="20"/>
                <w:szCs w:val="20"/>
              </w:rPr>
              <w:t>– Wk12</w:t>
            </w:r>
          </w:p>
        </w:tc>
        <w:tc>
          <w:tcPr>
            <w:tcW w:w="881" w:type="pct"/>
            <w:tcBorders>
              <w:top w:val="nil"/>
              <w:left w:val="single" w:sz="4" w:space="0" w:color="auto"/>
              <w:bottom w:val="nil"/>
              <w:right w:val="single" w:sz="4" w:space="0" w:color="auto"/>
            </w:tcBorders>
            <w:vAlign w:val="center"/>
          </w:tcPr>
          <w:p w14:paraId="191B82F4"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398</w:t>
            </w:r>
          </w:p>
        </w:tc>
        <w:tc>
          <w:tcPr>
            <w:tcW w:w="881" w:type="pct"/>
            <w:tcBorders>
              <w:top w:val="nil"/>
              <w:left w:val="single" w:sz="4" w:space="0" w:color="auto"/>
              <w:bottom w:val="nil"/>
              <w:right w:val="single" w:sz="4" w:space="0" w:color="auto"/>
            </w:tcBorders>
            <w:vAlign w:val="center"/>
          </w:tcPr>
          <w:p w14:paraId="4F7B787F"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416</w:t>
            </w:r>
          </w:p>
        </w:tc>
        <w:tc>
          <w:tcPr>
            <w:tcW w:w="882" w:type="pct"/>
            <w:tcBorders>
              <w:top w:val="nil"/>
              <w:left w:val="single" w:sz="4" w:space="0" w:color="auto"/>
              <w:bottom w:val="nil"/>
            </w:tcBorders>
            <w:vAlign w:val="center"/>
          </w:tcPr>
          <w:p w14:paraId="4ECA8045"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p=0.2252+</w:t>
            </w:r>
          </w:p>
        </w:tc>
      </w:tr>
      <w:tr w:rsidR="005862DA" w:rsidRPr="00855489" w14:paraId="5A651EA2" w14:textId="77777777" w:rsidTr="006A4889">
        <w:tc>
          <w:tcPr>
            <w:tcW w:w="2356" w:type="pct"/>
            <w:tcBorders>
              <w:top w:val="nil"/>
              <w:bottom w:val="nil"/>
              <w:right w:val="single" w:sz="4" w:space="0" w:color="auto"/>
            </w:tcBorders>
          </w:tcPr>
          <w:p w14:paraId="417CA2FB"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 xml:space="preserve">vs BUD/FOR 200/6 2BD (Papi 2007b) </w:t>
            </w:r>
            <w:r w:rsidRPr="006A4889">
              <w:rPr>
                <w:rFonts w:ascii="Arial Narrow" w:hAnsi="Arial Narrow"/>
                <w:sz w:val="20"/>
                <w:szCs w:val="20"/>
              </w:rPr>
              <w:t>– Wk11/12</w:t>
            </w:r>
          </w:p>
        </w:tc>
        <w:tc>
          <w:tcPr>
            <w:tcW w:w="881" w:type="pct"/>
            <w:tcBorders>
              <w:top w:val="nil"/>
              <w:left w:val="single" w:sz="4" w:space="0" w:color="auto"/>
              <w:bottom w:val="nil"/>
              <w:right w:val="single" w:sz="4" w:space="0" w:color="auto"/>
            </w:tcBorders>
            <w:vAlign w:val="center"/>
          </w:tcPr>
          <w:p w14:paraId="65853E83"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338.3^</w:t>
            </w:r>
          </w:p>
        </w:tc>
        <w:tc>
          <w:tcPr>
            <w:tcW w:w="881" w:type="pct"/>
            <w:tcBorders>
              <w:top w:val="nil"/>
              <w:left w:val="single" w:sz="4" w:space="0" w:color="auto"/>
              <w:bottom w:val="nil"/>
              <w:right w:val="single" w:sz="4" w:space="0" w:color="auto"/>
            </w:tcBorders>
            <w:vAlign w:val="center"/>
          </w:tcPr>
          <w:p w14:paraId="43BC24CC"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337.8^</w:t>
            </w:r>
          </w:p>
        </w:tc>
        <w:tc>
          <w:tcPr>
            <w:tcW w:w="882" w:type="pct"/>
            <w:tcBorders>
              <w:top w:val="nil"/>
              <w:left w:val="single" w:sz="4" w:space="0" w:color="auto"/>
              <w:bottom w:val="nil"/>
            </w:tcBorders>
            <w:vAlign w:val="center"/>
          </w:tcPr>
          <w:p w14:paraId="23DC6D98"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0.49 (-11.97,12.95)#</w:t>
            </w:r>
          </w:p>
        </w:tc>
      </w:tr>
      <w:tr w:rsidR="005862DA" w:rsidRPr="00855489" w14:paraId="14FD5AE6" w14:textId="77777777" w:rsidTr="006A4889">
        <w:tc>
          <w:tcPr>
            <w:tcW w:w="2356" w:type="pct"/>
            <w:tcBorders>
              <w:top w:val="nil"/>
              <w:bottom w:val="nil"/>
              <w:right w:val="single" w:sz="4" w:space="0" w:color="auto"/>
            </w:tcBorders>
          </w:tcPr>
          <w:p w14:paraId="74551274"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vs BEC250 2BD+FOR12 BD (Huchon 2009) – Wk23/24</w:t>
            </w:r>
          </w:p>
        </w:tc>
        <w:tc>
          <w:tcPr>
            <w:tcW w:w="881" w:type="pct"/>
            <w:tcBorders>
              <w:top w:val="nil"/>
              <w:left w:val="single" w:sz="4" w:space="0" w:color="auto"/>
              <w:bottom w:val="nil"/>
              <w:right w:val="single" w:sz="4" w:space="0" w:color="auto"/>
            </w:tcBorders>
            <w:vAlign w:val="center"/>
          </w:tcPr>
          <w:p w14:paraId="7EB1D1AA"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339.64^</w:t>
            </w:r>
          </w:p>
        </w:tc>
        <w:tc>
          <w:tcPr>
            <w:tcW w:w="881" w:type="pct"/>
            <w:tcBorders>
              <w:top w:val="nil"/>
              <w:left w:val="single" w:sz="4" w:space="0" w:color="auto"/>
              <w:bottom w:val="nil"/>
              <w:right w:val="single" w:sz="4" w:space="0" w:color="auto"/>
            </w:tcBorders>
            <w:vAlign w:val="center"/>
          </w:tcPr>
          <w:p w14:paraId="06C56BC2"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332.37^</w:t>
            </w:r>
          </w:p>
        </w:tc>
        <w:tc>
          <w:tcPr>
            <w:tcW w:w="882" w:type="pct"/>
            <w:tcBorders>
              <w:top w:val="nil"/>
              <w:left w:val="single" w:sz="4" w:space="0" w:color="auto"/>
              <w:bottom w:val="nil"/>
            </w:tcBorders>
            <w:vAlign w:val="center"/>
          </w:tcPr>
          <w:p w14:paraId="5EC3B4D6"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7.27 (-6.29, 20.82)†</w:t>
            </w:r>
          </w:p>
        </w:tc>
      </w:tr>
      <w:tr w:rsidR="005862DA" w:rsidRPr="00855489" w14:paraId="292C7F5B" w14:textId="77777777" w:rsidTr="006A4889">
        <w:tc>
          <w:tcPr>
            <w:tcW w:w="5000" w:type="pct"/>
            <w:gridSpan w:val="4"/>
            <w:tcBorders>
              <w:bottom w:val="single" w:sz="4" w:space="0" w:color="auto"/>
            </w:tcBorders>
            <w:vAlign w:val="center"/>
          </w:tcPr>
          <w:p w14:paraId="5694E546" w14:textId="77777777" w:rsidR="005862DA" w:rsidRPr="006A4889" w:rsidRDefault="005862DA" w:rsidP="00037ADC">
            <w:pPr>
              <w:keepNext/>
              <w:keepLines/>
              <w:rPr>
                <w:rFonts w:ascii="Arial Narrow" w:hAnsi="Arial Narrow"/>
                <w:sz w:val="20"/>
                <w:szCs w:val="20"/>
              </w:rPr>
            </w:pPr>
            <w:r w:rsidRPr="006A4889">
              <w:rPr>
                <w:rFonts w:ascii="Arial Narrow" w:hAnsi="Arial Narrow"/>
                <w:b/>
                <w:sz w:val="20"/>
                <w:szCs w:val="20"/>
              </w:rPr>
              <w:t>Change in morning pre-dose PEF in L/min (95%CI) fro</w:t>
            </w:r>
            <w:r w:rsidR="00037ADC" w:rsidRPr="006A4889">
              <w:rPr>
                <w:rFonts w:ascii="Arial Narrow" w:hAnsi="Arial Narrow"/>
                <w:b/>
                <w:sz w:val="20"/>
                <w:szCs w:val="20"/>
              </w:rPr>
              <w:t>m baseline to end of treatment</w:t>
            </w:r>
          </w:p>
        </w:tc>
      </w:tr>
      <w:tr w:rsidR="005862DA" w:rsidRPr="00855489" w14:paraId="2C05AF05" w14:textId="77777777" w:rsidTr="006A4889">
        <w:tc>
          <w:tcPr>
            <w:tcW w:w="2356" w:type="pct"/>
            <w:tcBorders>
              <w:bottom w:val="nil"/>
              <w:right w:val="single" w:sz="4" w:space="0" w:color="auto"/>
            </w:tcBorders>
          </w:tcPr>
          <w:p w14:paraId="2B1E8021" w14:textId="77777777" w:rsidR="005862DA" w:rsidRPr="006A4889" w:rsidRDefault="005862DA" w:rsidP="00AC0032">
            <w:pPr>
              <w:keepNext/>
              <w:keepLines/>
              <w:rPr>
                <w:rFonts w:ascii="Arial Narrow" w:hAnsi="Arial Narrow" w:cs="Times New Roman"/>
                <w:sz w:val="20"/>
                <w:szCs w:val="20"/>
              </w:rPr>
            </w:pPr>
            <w:r w:rsidRPr="006A4889">
              <w:rPr>
                <w:rFonts w:ascii="Arial Narrow" w:hAnsi="Arial Narrow"/>
                <w:sz w:val="20"/>
                <w:szCs w:val="20"/>
              </w:rPr>
              <w:t>BEC/FOR 100/6 2BD</w:t>
            </w:r>
          </w:p>
        </w:tc>
        <w:tc>
          <w:tcPr>
            <w:tcW w:w="881" w:type="pct"/>
            <w:tcBorders>
              <w:left w:val="single" w:sz="4" w:space="0" w:color="auto"/>
              <w:bottom w:val="nil"/>
              <w:right w:val="single" w:sz="4" w:space="0" w:color="auto"/>
            </w:tcBorders>
            <w:vAlign w:val="center"/>
          </w:tcPr>
          <w:p w14:paraId="4C26430F" w14:textId="77777777" w:rsidR="005862DA" w:rsidRPr="006A4889" w:rsidRDefault="005862DA" w:rsidP="00AC0032">
            <w:pPr>
              <w:keepNext/>
              <w:keepLines/>
              <w:jc w:val="center"/>
              <w:rPr>
                <w:rFonts w:ascii="Arial Narrow" w:hAnsi="Arial Narrow"/>
                <w:sz w:val="20"/>
                <w:szCs w:val="20"/>
              </w:rPr>
            </w:pPr>
          </w:p>
        </w:tc>
        <w:tc>
          <w:tcPr>
            <w:tcW w:w="881" w:type="pct"/>
            <w:tcBorders>
              <w:left w:val="single" w:sz="4" w:space="0" w:color="auto"/>
              <w:bottom w:val="nil"/>
              <w:right w:val="single" w:sz="4" w:space="0" w:color="auto"/>
            </w:tcBorders>
            <w:vAlign w:val="center"/>
          </w:tcPr>
          <w:p w14:paraId="72E784D1" w14:textId="77777777" w:rsidR="005862DA" w:rsidRPr="006A4889" w:rsidRDefault="005862DA" w:rsidP="00AC0032">
            <w:pPr>
              <w:keepNext/>
              <w:keepLines/>
              <w:jc w:val="center"/>
              <w:rPr>
                <w:rFonts w:ascii="Arial Narrow" w:hAnsi="Arial Narrow" w:cs="Times New Roman"/>
                <w:sz w:val="20"/>
                <w:szCs w:val="20"/>
              </w:rPr>
            </w:pPr>
          </w:p>
        </w:tc>
        <w:tc>
          <w:tcPr>
            <w:tcW w:w="882" w:type="pct"/>
            <w:tcBorders>
              <w:left w:val="single" w:sz="4" w:space="0" w:color="auto"/>
              <w:bottom w:val="nil"/>
            </w:tcBorders>
            <w:vAlign w:val="center"/>
          </w:tcPr>
          <w:p w14:paraId="36DF351F" w14:textId="77777777" w:rsidR="005862DA" w:rsidRPr="006A4889" w:rsidRDefault="005862DA" w:rsidP="00AC0032">
            <w:pPr>
              <w:keepNext/>
              <w:keepLines/>
              <w:jc w:val="center"/>
              <w:rPr>
                <w:rFonts w:ascii="Arial Narrow" w:hAnsi="Arial Narrow"/>
                <w:sz w:val="20"/>
                <w:szCs w:val="20"/>
              </w:rPr>
            </w:pPr>
          </w:p>
        </w:tc>
      </w:tr>
      <w:tr w:rsidR="005862DA" w:rsidRPr="00855489" w14:paraId="76A0B84B" w14:textId="77777777" w:rsidTr="006A4889">
        <w:tc>
          <w:tcPr>
            <w:tcW w:w="2356" w:type="pct"/>
            <w:tcBorders>
              <w:top w:val="nil"/>
              <w:bottom w:val="nil"/>
              <w:right w:val="single" w:sz="4" w:space="0" w:color="auto"/>
            </w:tcBorders>
          </w:tcPr>
          <w:p w14:paraId="7118149A"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 xml:space="preserve">vs FP/SAL 125/25 2BD (Papi 2007a) </w:t>
            </w:r>
            <w:r w:rsidRPr="006A4889">
              <w:rPr>
                <w:rFonts w:ascii="Arial Narrow" w:hAnsi="Arial Narrow"/>
                <w:sz w:val="20"/>
                <w:szCs w:val="20"/>
              </w:rPr>
              <w:t>– Wk11/12</w:t>
            </w:r>
          </w:p>
        </w:tc>
        <w:tc>
          <w:tcPr>
            <w:tcW w:w="881" w:type="pct"/>
            <w:tcBorders>
              <w:top w:val="nil"/>
              <w:left w:val="single" w:sz="4" w:space="0" w:color="auto"/>
              <w:bottom w:val="nil"/>
              <w:right w:val="single" w:sz="4" w:space="0" w:color="auto"/>
            </w:tcBorders>
            <w:vAlign w:val="center"/>
          </w:tcPr>
          <w:p w14:paraId="43DB4437"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48.91 (38.54,59.27)</w:t>
            </w:r>
          </w:p>
        </w:tc>
        <w:tc>
          <w:tcPr>
            <w:tcW w:w="881" w:type="pct"/>
            <w:tcBorders>
              <w:top w:val="nil"/>
              <w:left w:val="single" w:sz="4" w:space="0" w:color="auto"/>
              <w:bottom w:val="nil"/>
              <w:right w:val="single" w:sz="4" w:space="0" w:color="auto"/>
            </w:tcBorders>
            <w:vAlign w:val="center"/>
          </w:tcPr>
          <w:p w14:paraId="4DD4DDF4"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52.76 (40.20,65.10)</w:t>
            </w:r>
          </w:p>
        </w:tc>
        <w:tc>
          <w:tcPr>
            <w:tcW w:w="882" w:type="pct"/>
            <w:tcBorders>
              <w:top w:val="nil"/>
              <w:left w:val="single" w:sz="4" w:space="0" w:color="auto"/>
              <w:bottom w:val="nil"/>
            </w:tcBorders>
            <w:vAlign w:val="center"/>
          </w:tcPr>
          <w:p w14:paraId="7A53A9A9"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NR</w:t>
            </w:r>
          </w:p>
        </w:tc>
      </w:tr>
      <w:tr w:rsidR="005862DA" w:rsidRPr="00855489" w14:paraId="71095298" w14:textId="77777777" w:rsidTr="006A4889">
        <w:tc>
          <w:tcPr>
            <w:tcW w:w="2356" w:type="pct"/>
            <w:tcBorders>
              <w:top w:val="nil"/>
              <w:bottom w:val="nil"/>
              <w:right w:val="single" w:sz="4" w:space="0" w:color="auto"/>
            </w:tcBorders>
          </w:tcPr>
          <w:p w14:paraId="0ECB17D9"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vs FP/SAL 125/25 2BD (Hsieh 2017) – Wk12</w:t>
            </w:r>
          </w:p>
        </w:tc>
        <w:tc>
          <w:tcPr>
            <w:tcW w:w="881" w:type="pct"/>
            <w:tcBorders>
              <w:top w:val="nil"/>
              <w:left w:val="single" w:sz="4" w:space="0" w:color="auto"/>
              <w:bottom w:val="nil"/>
              <w:right w:val="single" w:sz="4" w:space="0" w:color="auto"/>
            </w:tcBorders>
            <w:vAlign w:val="center"/>
          </w:tcPr>
          <w:p w14:paraId="205EAA63"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38 (28.4, 47.5)</w:t>
            </w:r>
          </w:p>
        </w:tc>
        <w:tc>
          <w:tcPr>
            <w:tcW w:w="881" w:type="pct"/>
            <w:tcBorders>
              <w:top w:val="nil"/>
              <w:left w:val="single" w:sz="4" w:space="0" w:color="auto"/>
              <w:bottom w:val="nil"/>
              <w:right w:val="single" w:sz="4" w:space="0" w:color="auto"/>
            </w:tcBorders>
            <w:vAlign w:val="center"/>
          </w:tcPr>
          <w:p w14:paraId="6ABB6789"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45 (34.4, 55.7)</w:t>
            </w:r>
          </w:p>
        </w:tc>
        <w:tc>
          <w:tcPr>
            <w:tcW w:w="882" w:type="pct"/>
            <w:tcBorders>
              <w:top w:val="nil"/>
              <w:left w:val="single" w:sz="4" w:space="0" w:color="auto"/>
              <w:bottom w:val="nil"/>
            </w:tcBorders>
            <w:vAlign w:val="center"/>
          </w:tcPr>
          <w:p w14:paraId="327FEF3A"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p=0.8247‡</w:t>
            </w:r>
          </w:p>
        </w:tc>
      </w:tr>
      <w:tr w:rsidR="005862DA" w:rsidRPr="00855489" w14:paraId="3057DB0B" w14:textId="77777777" w:rsidTr="006A4889">
        <w:tc>
          <w:tcPr>
            <w:tcW w:w="2356" w:type="pct"/>
            <w:tcBorders>
              <w:top w:val="nil"/>
              <w:bottom w:val="single" w:sz="4" w:space="0" w:color="auto"/>
              <w:right w:val="single" w:sz="4" w:space="0" w:color="auto"/>
            </w:tcBorders>
          </w:tcPr>
          <w:p w14:paraId="0DB278D9" w14:textId="77777777" w:rsidR="005862DA" w:rsidRPr="006A4889" w:rsidRDefault="005862DA" w:rsidP="00AC0032">
            <w:pPr>
              <w:keepNext/>
              <w:keepLines/>
              <w:ind w:left="106"/>
              <w:rPr>
                <w:rFonts w:ascii="Arial Narrow" w:hAnsi="Arial Narrow"/>
                <w:sz w:val="20"/>
                <w:szCs w:val="20"/>
              </w:rPr>
            </w:pPr>
            <w:r w:rsidRPr="006A4889">
              <w:rPr>
                <w:rFonts w:ascii="Arial Narrow" w:hAnsi="Arial Narrow" w:cs="Times New Roman"/>
                <w:sz w:val="20"/>
                <w:szCs w:val="20"/>
              </w:rPr>
              <w:t>vs BUD/FOR 200/6 2BD (Papi 2007b)</w:t>
            </w:r>
            <w:r w:rsidRPr="006A4889">
              <w:rPr>
                <w:rFonts w:ascii="Arial Narrow" w:hAnsi="Arial Narrow"/>
                <w:sz w:val="20"/>
                <w:szCs w:val="20"/>
              </w:rPr>
              <w:t xml:space="preserve"> – Wk11/12</w:t>
            </w:r>
          </w:p>
        </w:tc>
        <w:tc>
          <w:tcPr>
            <w:tcW w:w="881" w:type="pct"/>
            <w:tcBorders>
              <w:top w:val="nil"/>
              <w:left w:val="single" w:sz="4" w:space="0" w:color="auto"/>
              <w:bottom w:val="single" w:sz="4" w:space="0" w:color="auto"/>
              <w:right w:val="single" w:sz="4" w:space="0" w:color="auto"/>
            </w:tcBorders>
            <w:vAlign w:val="center"/>
          </w:tcPr>
          <w:p w14:paraId="12D2D867"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29.43 (19.31,39.54)</w:t>
            </w:r>
          </w:p>
        </w:tc>
        <w:tc>
          <w:tcPr>
            <w:tcW w:w="881" w:type="pct"/>
            <w:tcBorders>
              <w:top w:val="nil"/>
              <w:left w:val="single" w:sz="4" w:space="0" w:color="auto"/>
              <w:bottom w:val="single" w:sz="4" w:space="0" w:color="auto"/>
              <w:right w:val="single" w:sz="4" w:space="0" w:color="auto"/>
            </w:tcBorders>
            <w:vAlign w:val="center"/>
          </w:tcPr>
          <w:p w14:paraId="3DC4AA68"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28.63 (20.39,36.87)</w:t>
            </w:r>
          </w:p>
        </w:tc>
        <w:tc>
          <w:tcPr>
            <w:tcW w:w="882" w:type="pct"/>
            <w:tcBorders>
              <w:top w:val="nil"/>
              <w:left w:val="single" w:sz="4" w:space="0" w:color="auto"/>
              <w:bottom w:val="single" w:sz="4" w:space="0" w:color="auto"/>
            </w:tcBorders>
            <w:vAlign w:val="center"/>
          </w:tcPr>
          <w:p w14:paraId="3CCA1A18"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NR</w:t>
            </w:r>
          </w:p>
        </w:tc>
      </w:tr>
      <w:tr w:rsidR="005862DA" w:rsidRPr="00855489" w14:paraId="4B570C09" w14:textId="77777777" w:rsidTr="006A4889">
        <w:tc>
          <w:tcPr>
            <w:tcW w:w="5000" w:type="pct"/>
            <w:gridSpan w:val="4"/>
            <w:tcBorders>
              <w:bottom w:val="nil"/>
            </w:tcBorders>
            <w:vAlign w:val="center"/>
          </w:tcPr>
          <w:p w14:paraId="357B040C" w14:textId="77777777" w:rsidR="005862DA" w:rsidRPr="006A4889" w:rsidRDefault="005862DA" w:rsidP="00037ADC">
            <w:pPr>
              <w:keepNext/>
              <w:keepLines/>
              <w:rPr>
                <w:rFonts w:ascii="Arial Narrow" w:hAnsi="Arial Narrow" w:cs="Times New Roman"/>
                <w:sz w:val="20"/>
                <w:szCs w:val="20"/>
              </w:rPr>
            </w:pPr>
            <w:r w:rsidRPr="006A4889">
              <w:rPr>
                <w:rFonts w:ascii="Arial Narrow" w:hAnsi="Arial Narrow"/>
                <w:b/>
                <w:sz w:val="20"/>
                <w:szCs w:val="20"/>
              </w:rPr>
              <w:t>Morning pre-dose FEV1 in L at end of treatment</w:t>
            </w:r>
          </w:p>
        </w:tc>
      </w:tr>
      <w:tr w:rsidR="005862DA" w:rsidRPr="00855489" w14:paraId="626A24C5" w14:textId="77777777" w:rsidTr="006A4889">
        <w:tc>
          <w:tcPr>
            <w:tcW w:w="2356" w:type="pct"/>
            <w:tcBorders>
              <w:bottom w:val="nil"/>
            </w:tcBorders>
          </w:tcPr>
          <w:p w14:paraId="6575A0A4" w14:textId="77777777" w:rsidR="005862DA" w:rsidRPr="006A4889" w:rsidRDefault="005862DA" w:rsidP="00AC0032">
            <w:pPr>
              <w:keepNext/>
              <w:keepLines/>
              <w:rPr>
                <w:rFonts w:ascii="Arial Narrow" w:hAnsi="Arial Narrow" w:cs="Times New Roman"/>
                <w:sz w:val="20"/>
                <w:szCs w:val="20"/>
              </w:rPr>
            </w:pPr>
            <w:r w:rsidRPr="006A4889">
              <w:rPr>
                <w:rFonts w:ascii="Arial Narrow" w:hAnsi="Arial Narrow"/>
                <w:sz w:val="20"/>
                <w:szCs w:val="20"/>
              </w:rPr>
              <w:t>BEC/FOR 100/6 2BD</w:t>
            </w:r>
          </w:p>
        </w:tc>
        <w:tc>
          <w:tcPr>
            <w:tcW w:w="881" w:type="pct"/>
            <w:tcBorders>
              <w:bottom w:val="nil"/>
            </w:tcBorders>
            <w:vAlign w:val="center"/>
          </w:tcPr>
          <w:p w14:paraId="6CA09894" w14:textId="77777777" w:rsidR="005862DA" w:rsidRPr="006A4889" w:rsidRDefault="005862DA" w:rsidP="00AC0032">
            <w:pPr>
              <w:keepNext/>
              <w:keepLines/>
              <w:jc w:val="center"/>
              <w:rPr>
                <w:rFonts w:ascii="Arial Narrow" w:hAnsi="Arial Narrow" w:cs="Times New Roman"/>
                <w:sz w:val="20"/>
                <w:szCs w:val="20"/>
              </w:rPr>
            </w:pPr>
          </w:p>
        </w:tc>
        <w:tc>
          <w:tcPr>
            <w:tcW w:w="881" w:type="pct"/>
            <w:tcBorders>
              <w:bottom w:val="nil"/>
            </w:tcBorders>
            <w:vAlign w:val="center"/>
          </w:tcPr>
          <w:p w14:paraId="680A6045" w14:textId="77777777" w:rsidR="005862DA" w:rsidRPr="006A4889" w:rsidRDefault="005862DA" w:rsidP="00AC0032">
            <w:pPr>
              <w:keepNext/>
              <w:keepLines/>
              <w:jc w:val="center"/>
              <w:rPr>
                <w:rFonts w:ascii="Arial Narrow" w:hAnsi="Arial Narrow" w:cs="Times New Roman"/>
                <w:sz w:val="20"/>
                <w:szCs w:val="20"/>
              </w:rPr>
            </w:pPr>
          </w:p>
        </w:tc>
        <w:tc>
          <w:tcPr>
            <w:tcW w:w="882" w:type="pct"/>
            <w:tcBorders>
              <w:bottom w:val="nil"/>
            </w:tcBorders>
            <w:vAlign w:val="center"/>
          </w:tcPr>
          <w:p w14:paraId="711C36AB" w14:textId="77777777" w:rsidR="005862DA" w:rsidRPr="006A4889" w:rsidRDefault="005862DA" w:rsidP="00AC0032">
            <w:pPr>
              <w:keepNext/>
              <w:keepLines/>
              <w:jc w:val="center"/>
              <w:rPr>
                <w:rFonts w:ascii="Arial Narrow" w:hAnsi="Arial Narrow" w:cs="Times New Roman"/>
                <w:sz w:val="20"/>
                <w:szCs w:val="20"/>
              </w:rPr>
            </w:pPr>
          </w:p>
        </w:tc>
      </w:tr>
      <w:tr w:rsidR="005862DA" w:rsidRPr="00855489" w14:paraId="0BF12B7D" w14:textId="77777777" w:rsidTr="006A4889">
        <w:tc>
          <w:tcPr>
            <w:tcW w:w="2356" w:type="pct"/>
            <w:tcBorders>
              <w:top w:val="nil"/>
              <w:bottom w:val="nil"/>
            </w:tcBorders>
          </w:tcPr>
          <w:p w14:paraId="1D119414"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 xml:space="preserve">vs </w:t>
            </w:r>
            <w:r w:rsidRPr="006A4889">
              <w:rPr>
                <w:rFonts w:ascii="Arial Narrow" w:hAnsi="Arial Narrow"/>
                <w:sz w:val="20"/>
                <w:szCs w:val="20"/>
              </w:rPr>
              <w:t>FP/SAL 125/25 2BD (Papi 2007a)</w:t>
            </w:r>
            <w:r w:rsidRPr="006A4889">
              <w:rPr>
                <w:rFonts w:ascii="Arial Narrow" w:hAnsi="Arial Narrow" w:cs="Times New Roman"/>
                <w:sz w:val="20"/>
                <w:szCs w:val="20"/>
              </w:rPr>
              <w:t xml:space="preserve"> </w:t>
            </w:r>
            <w:r w:rsidRPr="006A4889">
              <w:rPr>
                <w:rFonts w:ascii="Arial Narrow" w:hAnsi="Arial Narrow"/>
                <w:sz w:val="20"/>
                <w:szCs w:val="20"/>
              </w:rPr>
              <w:t>– Wk11/12</w:t>
            </w:r>
          </w:p>
        </w:tc>
        <w:tc>
          <w:tcPr>
            <w:tcW w:w="881" w:type="pct"/>
            <w:tcBorders>
              <w:top w:val="nil"/>
              <w:bottom w:val="nil"/>
            </w:tcBorders>
            <w:vAlign w:val="center"/>
          </w:tcPr>
          <w:p w14:paraId="466A7611"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2.18^</w:t>
            </w:r>
          </w:p>
        </w:tc>
        <w:tc>
          <w:tcPr>
            <w:tcW w:w="881" w:type="pct"/>
            <w:tcBorders>
              <w:top w:val="nil"/>
              <w:bottom w:val="nil"/>
            </w:tcBorders>
            <w:vAlign w:val="center"/>
          </w:tcPr>
          <w:p w14:paraId="7D4049DB"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2.20^</w:t>
            </w:r>
          </w:p>
        </w:tc>
        <w:tc>
          <w:tcPr>
            <w:tcW w:w="882" w:type="pct"/>
            <w:tcBorders>
              <w:top w:val="nil"/>
              <w:bottom w:val="nil"/>
            </w:tcBorders>
            <w:vAlign w:val="center"/>
          </w:tcPr>
          <w:p w14:paraId="265E550A"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-0.02 (-0.13,0.09)#</w:t>
            </w:r>
          </w:p>
        </w:tc>
      </w:tr>
      <w:tr w:rsidR="005862DA" w:rsidRPr="00855489" w14:paraId="79F9ADBC" w14:textId="77777777" w:rsidTr="006A4889">
        <w:tc>
          <w:tcPr>
            <w:tcW w:w="2356" w:type="pct"/>
            <w:tcBorders>
              <w:top w:val="nil"/>
              <w:bottom w:val="nil"/>
            </w:tcBorders>
          </w:tcPr>
          <w:p w14:paraId="3E1E1F7F" w14:textId="77777777" w:rsidR="005862DA" w:rsidRPr="006A4889" w:rsidRDefault="005862DA" w:rsidP="00AC0032">
            <w:pPr>
              <w:keepNext/>
              <w:keepLines/>
              <w:ind w:left="106"/>
              <w:rPr>
                <w:rFonts w:ascii="Arial Narrow" w:hAnsi="Arial Narrow"/>
                <w:sz w:val="20"/>
                <w:szCs w:val="20"/>
              </w:rPr>
            </w:pPr>
            <w:r w:rsidRPr="006A4889">
              <w:rPr>
                <w:rFonts w:ascii="Arial Narrow" w:hAnsi="Arial Narrow" w:cs="Times New Roman"/>
                <w:sz w:val="20"/>
                <w:szCs w:val="20"/>
              </w:rPr>
              <w:t>vs</w:t>
            </w:r>
            <w:r w:rsidRPr="006A4889">
              <w:rPr>
                <w:rFonts w:ascii="Arial Narrow" w:hAnsi="Arial Narrow"/>
                <w:sz w:val="20"/>
                <w:szCs w:val="20"/>
              </w:rPr>
              <w:t xml:space="preserve"> BUD/FOR </w:t>
            </w:r>
            <w:r w:rsidRPr="006A4889">
              <w:rPr>
                <w:rFonts w:ascii="Arial Narrow" w:hAnsi="Arial Narrow" w:cs="Times New Roman"/>
                <w:sz w:val="20"/>
                <w:szCs w:val="20"/>
              </w:rPr>
              <w:t xml:space="preserve">200/6 </w:t>
            </w:r>
            <w:r w:rsidRPr="006A4889">
              <w:rPr>
                <w:rFonts w:ascii="Arial Narrow" w:hAnsi="Arial Narrow"/>
                <w:sz w:val="20"/>
                <w:szCs w:val="20"/>
              </w:rPr>
              <w:t xml:space="preserve"> 2BD (Papi 2007b)</w:t>
            </w:r>
            <w:r w:rsidRPr="006A4889">
              <w:rPr>
                <w:rFonts w:ascii="Arial Narrow" w:hAnsi="Arial Narrow" w:cs="Times New Roman"/>
                <w:sz w:val="20"/>
                <w:szCs w:val="20"/>
              </w:rPr>
              <w:t xml:space="preserve"> </w:t>
            </w:r>
            <w:r w:rsidRPr="006A4889">
              <w:rPr>
                <w:rFonts w:ascii="Arial Narrow" w:hAnsi="Arial Narrow"/>
                <w:sz w:val="20"/>
                <w:szCs w:val="20"/>
              </w:rPr>
              <w:t>– Wk11/12</w:t>
            </w:r>
          </w:p>
        </w:tc>
        <w:tc>
          <w:tcPr>
            <w:tcW w:w="881" w:type="pct"/>
            <w:tcBorders>
              <w:top w:val="nil"/>
              <w:bottom w:val="nil"/>
            </w:tcBorders>
            <w:vAlign w:val="center"/>
          </w:tcPr>
          <w:p w14:paraId="24AB10BF"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2.31^</w:t>
            </w:r>
          </w:p>
        </w:tc>
        <w:tc>
          <w:tcPr>
            <w:tcW w:w="881" w:type="pct"/>
            <w:tcBorders>
              <w:top w:val="nil"/>
              <w:bottom w:val="nil"/>
            </w:tcBorders>
            <w:vAlign w:val="center"/>
          </w:tcPr>
          <w:p w14:paraId="51AE3F69"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2.27^</w:t>
            </w:r>
          </w:p>
        </w:tc>
        <w:tc>
          <w:tcPr>
            <w:tcW w:w="882" w:type="pct"/>
            <w:tcBorders>
              <w:top w:val="nil"/>
              <w:bottom w:val="nil"/>
            </w:tcBorders>
            <w:vAlign w:val="center"/>
          </w:tcPr>
          <w:p w14:paraId="24C378B0"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0.04 (-0.07,0.15)#</w:t>
            </w:r>
          </w:p>
        </w:tc>
      </w:tr>
      <w:tr w:rsidR="005862DA" w:rsidRPr="00855489" w14:paraId="45625255" w14:textId="77777777" w:rsidTr="006A4889">
        <w:tc>
          <w:tcPr>
            <w:tcW w:w="2356" w:type="pct"/>
            <w:tcBorders>
              <w:top w:val="nil"/>
              <w:bottom w:val="nil"/>
            </w:tcBorders>
          </w:tcPr>
          <w:p w14:paraId="7A8AEF2B"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vs</w:t>
            </w:r>
            <w:r w:rsidRPr="006A4889">
              <w:rPr>
                <w:rFonts w:ascii="Arial Narrow" w:hAnsi="Arial Narrow"/>
                <w:sz w:val="20"/>
                <w:szCs w:val="20"/>
              </w:rPr>
              <w:t xml:space="preserve"> BEC250 2BD+FOR12 BD (Huchon 2009)</w:t>
            </w:r>
            <w:r w:rsidRPr="006A4889">
              <w:rPr>
                <w:rFonts w:ascii="Arial Narrow" w:hAnsi="Arial Narrow" w:cs="Times New Roman"/>
                <w:sz w:val="20"/>
                <w:szCs w:val="20"/>
              </w:rPr>
              <w:t xml:space="preserve"> – Wk23/24</w:t>
            </w:r>
          </w:p>
        </w:tc>
        <w:tc>
          <w:tcPr>
            <w:tcW w:w="881" w:type="pct"/>
            <w:tcBorders>
              <w:top w:val="nil"/>
              <w:bottom w:val="nil"/>
            </w:tcBorders>
            <w:vAlign w:val="center"/>
          </w:tcPr>
          <w:p w14:paraId="3F0637C9"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2.06^</w:t>
            </w:r>
          </w:p>
        </w:tc>
        <w:tc>
          <w:tcPr>
            <w:tcW w:w="881" w:type="pct"/>
            <w:tcBorders>
              <w:top w:val="nil"/>
              <w:bottom w:val="nil"/>
            </w:tcBorders>
            <w:vAlign w:val="center"/>
          </w:tcPr>
          <w:p w14:paraId="6C96FAE6"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2.02^</w:t>
            </w:r>
          </w:p>
        </w:tc>
        <w:tc>
          <w:tcPr>
            <w:tcW w:w="882" w:type="pct"/>
            <w:tcBorders>
              <w:top w:val="nil"/>
              <w:bottom w:val="nil"/>
            </w:tcBorders>
            <w:vAlign w:val="center"/>
          </w:tcPr>
          <w:p w14:paraId="7724446F" w14:textId="77777777" w:rsidR="005862DA" w:rsidRPr="006A4889" w:rsidRDefault="005862DA" w:rsidP="00AC0032">
            <w:pPr>
              <w:keepNext/>
              <w:keepLines/>
              <w:jc w:val="center"/>
              <w:rPr>
                <w:rFonts w:ascii="Arial Narrow" w:hAnsi="Arial Narrow"/>
                <w:sz w:val="20"/>
                <w:szCs w:val="20"/>
              </w:rPr>
            </w:pPr>
            <w:r w:rsidRPr="006A4889">
              <w:rPr>
                <w:rFonts w:ascii="Arial Narrow" w:hAnsi="Arial Narrow"/>
                <w:sz w:val="20"/>
                <w:szCs w:val="20"/>
              </w:rPr>
              <w:t>0.04 (-0.04,0.12)†</w:t>
            </w:r>
          </w:p>
        </w:tc>
      </w:tr>
      <w:tr w:rsidR="005862DA" w:rsidRPr="00855489" w14:paraId="7C40DDDC" w14:textId="77777777" w:rsidTr="006A4889">
        <w:tc>
          <w:tcPr>
            <w:tcW w:w="5000" w:type="pct"/>
            <w:gridSpan w:val="4"/>
            <w:tcBorders>
              <w:top w:val="single" w:sz="4" w:space="0" w:color="auto"/>
              <w:bottom w:val="single" w:sz="4" w:space="0" w:color="auto"/>
            </w:tcBorders>
            <w:vAlign w:val="center"/>
          </w:tcPr>
          <w:p w14:paraId="67FD5208" w14:textId="77777777" w:rsidR="005862DA" w:rsidRPr="006A4889" w:rsidRDefault="005862DA" w:rsidP="00037ADC">
            <w:pPr>
              <w:keepNext/>
              <w:keepLines/>
              <w:rPr>
                <w:rFonts w:ascii="Arial Narrow" w:hAnsi="Arial Narrow" w:cs="Times New Roman"/>
                <w:sz w:val="20"/>
                <w:szCs w:val="20"/>
              </w:rPr>
            </w:pPr>
            <w:r w:rsidRPr="006A4889">
              <w:rPr>
                <w:rFonts w:ascii="Arial Narrow" w:hAnsi="Arial Narrow"/>
                <w:b/>
                <w:sz w:val="20"/>
                <w:szCs w:val="20"/>
              </w:rPr>
              <w:t>Change in morning pre-dose FEV1 in L (95%CI) from baseline to end of treatment</w:t>
            </w:r>
          </w:p>
        </w:tc>
      </w:tr>
      <w:tr w:rsidR="005862DA" w:rsidRPr="00855489" w14:paraId="59282C24" w14:textId="77777777" w:rsidTr="006A4889">
        <w:tc>
          <w:tcPr>
            <w:tcW w:w="2356" w:type="pct"/>
            <w:tcBorders>
              <w:top w:val="single" w:sz="4" w:space="0" w:color="auto"/>
              <w:bottom w:val="nil"/>
              <w:right w:val="single" w:sz="4" w:space="0" w:color="auto"/>
            </w:tcBorders>
          </w:tcPr>
          <w:p w14:paraId="5F8C42C5" w14:textId="77777777" w:rsidR="005862DA" w:rsidRPr="006A4889" w:rsidRDefault="005862DA" w:rsidP="00AC0032">
            <w:pPr>
              <w:keepNext/>
              <w:keepLines/>
              <w:rPr>
                <w:rFonts w:ascii="Arial Narrow" w:hAnsi="Arial Narrow" w:cs="Times New Roman"/>
                <w:sz w:val="20"/>
                <w:szCs w:val="20"/>
              </w:rPr>
            </w:pPr>
            <w:r w:rsidRPr="006A4889">
              <w:rPr>
                <w:rFonts w:ascii="Arial Narrow" w:hAnsi="Arial Narrow"/>
                <w:sz w:val="20"/>
                <w:szCs w:val="20"/>
              </w:rPr>
              <w:t>BEC/FOR 100/6 2BD</w:t>
            </w:r>
          </w:p>
        </w:tc>
        <w:tc>
          <w:tcPr>
            <w:tcW w:w="881" w:type="pct"/>
            <w:tcBorders>
              <w:top w:val="single" w:sz="4" w:space="0" w:color="auto"/>
              <w:left w:val="single" w:sz="4" w:space="0" w:color="auto"/>
              <w:bottom w:val="nil"/>
              <w:right w:val="single" w:sz="4" w:space="0" w:color="auto"/>
            </w:tcBorders>
            <w:vAlign w:val="center"/>
          </w:tcPr>
          <w:p w14:paraId="22EA7787" w14:textId="77777777" w:rsidR="005862DA" w:rsidRPr="006A4889" w:rsidRDefault="005862DA" w:rsidP="00AC0032">
            <w:pPr>
              <w:keepNext/>
              <w:keepLines/>
              <w:jc w:val="center"/>
              <w:rPr>
                <w:rFonts w:ascii="Arial Narrow" w:hAnsi="Arial Narrow" w:cs="Times New Roman"/>
                <w:sz w:val="20"/>
                <w:szCs w:val="20"/>
              </w:rPr>
            </w:pPr>
          </w:p>
        </w:tc>
        <w:tc>
          <w:tcPr>
            <w:tcW w:w="881" w:type="pct"/>
            <w:tcBorders>
              <w:top w:val="single" w:sz="4" w:space="0" w:color="auto"/>
              <w:left w:val="single" w:sz="4" w:space="0" w:color="auto"/>
              <w:bottom w:val="nil"/>
              <w:right w:val="single" w:sz="4" w:space="0" w:color="auto"/>
            </w:tcBorders>
            <w:vAlign w:val="center"/>
          </w:tcPr>
          <w:p w14:paraId="17F84878" w14:textId="77777777" w:rsidR="005862DA" w:rsidRPr="006A4889" w:rsidRDefault="005862DA" w:rsidP="00AC0032">
            <w:pPr>
              <w:keepNext/>
              <w:keepLines/>
              <w:jc w:val="center"/>
              <w:rPr>
                <w:rFonts w:ascii="Arial Narrow" w:hAnsi="Arial Narrow" w:cs="Times New Roman"/>
                <w:sz w:val="20"/>
                <w:szCs w:val="20"/>
              </w:rPr>
            </w:pPr>
          </w:p>
        </w:tc>
        <w:tc>
          <w:tcPr>
            <w:tcW w:w="882" w:type="pct"/>
            <w:tcBorders>
              <w:top w:val="single" w:sz="4" w:space="0" w:color="auto"/>
              <w:left w:val="single" w:sz="4" w:space="0" w:color="auto"/>
              <w:bottom w:val="nil"/>
            </w:tcBorders>
            <w:vAlign w:val="center"/>
          </w:tcPr>
          <w:p w14:paraId="2B00CF94" w14:textId="77777777" w:rsidR="005862DA" w:rsidRPr="006A4889" w:rsidRDefault="005862DA" w:rsidP="00AC0032">
            <w:pPr>
              <w:keepNext/>
              <w:keepLines/>
              <w:jc w:val="center"/>
              <w:rPr>
                <w:rFonts w:ascii="Arial Narrow" w:hAnsi="Arial Narrow" w:cs="Times New Roman"/>
                <w:sz w:val="20"/>
                <w:szCs w:val="20"/>
              </w:rPr>
            </w:pPr>
          </w:p>
        </w:tc>
      </w:tr>
      <w:tr w:rsidR="005862DA" w:rsidRPr="00855489" w14:paraId="0DE59990" w14:textId="77777777" w:rsidTr="006A4889">
        <w:tc>
          <w:tcPr>
            <w:tcW w:w="2356" w:type="pct"/>
            <w:tcBorders>
              <w:top w:val="nil"/>
              <w:bottom w:val="nil"/>
              <w:right w:val="single" w:sz="4" w:space="0" w:color="auto"/>
            </w:tcBorders>
          </w:tcPr>
          <w:p w14:paraId="753256F0"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 xml:space="preserve">vs </w:t>
            </w:r>
            <w:r w:rsidRPr="006A4889">
              <w:rPr>
                <w:rFonts w:ascii="Arial Narrow" w:hAnsi="Arial Narrow"/>
                <w:sz w:val="20"/>
                <w:szCs w:val="20"/>
              </w:rPr>
              <w:t>FP/SAL 125/25 2BD (Papi 2007a) – Wk11/12</w:t>
            </w:r>
          </w:p>
        </w:tc>
        <w:tc>
          <w:tcPr>
            <w:tcW w:w="881" w:type="pct"/>
            <w:tcBorders>
              <w:top w:val="nil"/>
              <w:left w:val="single" w:sz="4" w:space="0" w:color="auto"/>
              <w:bottom w:val="nil"/>
              <w:right w:val="single" w:sz="4" w:space="0" w:color="auto"/>
            </w:tcBorders>
            <w:vAlign w:val="center"/>
          </w:tcPr>
          <w:p w14:paraId="273E2AAD"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0.22 (0.14,0.30)</w:t>
            </w:r>
          </w:p>
        </w:tc>
        <w:tc>
          <w:tcPr>
            <w:tcW w:w="881" w:type="pct"/>
            <w:tcBorders>
              <w:top w:val="nil"/>
              <w:left w:val="single" w:sz="4" w:space="0" w:color="auto"/>
              <w:bottom w:val="nil"/>
              <w:right w:val="single" w:sz="4" w:space="0" w:color="auto"/>
            </w:tcBorders>
            <w:vAlign w:val="center"/>
          </w:tcPr>
          <w:p w14:paraId="16F8017F"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0.25 (0.17,0.33)</w:t>
            </w:r>
          </w:p>
        </w:tc>
        <w:tc>
          <w:tcPr>
            <w:tcW w:w="882" w:type="pct"/>
            <w:tcBorders>
              <w:top w:val="nil"/>
              <w:left w:val="single" w:sz="4" w:space="0" w:color="auto"/>
              <w:bottom w:val="nil"/>
            </w:tcBorders>
            <w:vAlign w:val="center"/>
          </w:tcPr>
          <w:p w14:paraId="435E2606"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cs="Times New Roman"/>
                <w:sz w:val="20"/>
                <w:szCs w:val="20"/>
              </w:rPr>
              <w:t>NR</w:t>
            </w:r>
          </w:p>
        </w:tc>
      </w:tr>
      <w:tr w:rsidR="005862DA" w:rsidRPr="00855489" w14:paraId="29165B3A" w14:textId="77777777" w:rsidTr="006A4889">
        <w:tc>
          <w:tcPr>
            <w:tcW w:w="2356" w:type="pct"/>
            <w:tcBorders>
              <w:top w:val="nil"/>
              <w:bottom w:val="single" w:sz="4" w:space="0" w:color="auto"/>
              <w:right w:val="single" w:sz="4" w:space="0" w:color="auto"/>
            </w:tcBorders>
          </w:tcPr>
          <w:p w14:paraId="3C40D393"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vs</w:t>
            </w:r>
            <w:r w:rsidRPr="006A4889">
              <w:rPr>
                <w:rFonts w:ascii="Arial Narrow" w:hAnsi="Arial Narrow"/>
                <w:sz w:val="20"/>
                <w:szCs w:val="20"/>
              </w:rPr>
              <w:t xml:space="preserve"> BUD/FOR 200/6 2BD (Papi 2007b) – Wk11/12</w:t>
            </w:r>
          </w:p>
        </w:tc>
        <w:tc>
          <w:tcPr>
            <w:tcW w:w="881" w:type="pct"/>
            <w:tcBorders>
              <w:top w:val="nil"/>
              <w:left w:val="single" w:sz="4" w:space="0" w:color="auto"/>
              <w:bottom w:val="single" w:sz="4" w:space="0" w:color="auto"/>
              <w:right w:val="single" w:sz="4" w:space="0" w:color="auto"/>
            </w:tcBorders>
            <w:vAlign w:val="center"/>
          </w:tcPr>
          <w:p w14:paraId="1E0172F7"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0.16 (0.07,0.25)</w:t>
            </w:r>
          </w:p>
        </w:tc>
        <w:tc>
          <w:tcPr>
            <w:tcW w:w="881" w:type="pct"/>
            <w:tcBorders>
              <w:top w:val="nil"/>
              <w:left w:val="single" w:sz="4" w:space="0" w:color="auto"/>
              <w:bottom w:val="single" w:sz="4" w:space="0" w:color="auto"/>
              <w:right w:val="single" w:sz="4" w:space="0" w:color="auto"/>
            </w:tcBorders>
            <w:vAlign w:val="center"/>
          </w:tcPr>
          <w:p w14:paraId="38A428ED"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0.12 (0.05,0.19)</w:t>
            </w:r>
          </w:p>
        </w:tc>
        <w:tc>
          <w:tcPr>
            <w:tcW w:w="882" w:type="pct"/>
            <w:tcBorders>
              <w:top w:val="nil"/>
              <w:left w:val="single" w:sz="4" w:space="0" w:color="auto"/>
              <w:bottom w:val="single" w:sz="4" w:space="0" w:color="auto"/>
            </w:tcBorders>
            <w:vAlign w:val="center"/>
          </w:tcPr>
          <w:p w14:paraId="0CC2D29C"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cs="Times New Roman"/>
                <w:sz w:val="20"/>
                <w:szCs w:val="20"/>
              </w:rPr>
              <w:t>NR</w:t>
            </w:r>
          </w:p>
        </w:tc>
      </w:tr>
      <w:tr w:rsidR="005862DA" w:rsidRPr="00855489" w14:paraId="4B8664F9" w14:textId="77777777" w:rsidTr="006A4889">
        <w:tc>
          <w:tcPr>
            <w:tcW w:w="5000" w:type="pct"/>
            <w:gridSpan w:val="4"/>
            <w:tcBorders>
              <w:top w:val="single" w:sz="4" w:space="0" w:color="auto"/>
              <w:bottom w:val="single" w:sz="4" w:space="0" w:color="auto"/>
            </w:tcBorders>
            <w:vAlign w:val="center"/>
          </w:tcPr>
          <w:p w14:paraId="59B68E85" w14:textId="77777777" w:rsidR="005862DA" w:rsidRPr="006A4889" w:rsidRDefault="005862DA" w:rsidP="00037ADC">
            <w:pPr>
              <w:keepNext/>
              <w:keepLines/>
              <w:rPr>
                <w:rFonts w:ascii="Arial Narrow" w:hAnsi="Arial Narrow" w:cs="Times New Roman"/>
                <w:sz w:val="20"/>
                <w:szCs w:val="20"/>
              </w:rPr>
            </w:pPr>
            <w:r w:rsidRPr="006A4889">
              <w:rPr>
                <w:rFonts w:ascii="Arial Narrow" w:hAnsi="Arial Narrow"/>
                <w:b/>
                <w:sz w:val="20"/>
                <w:szCs w:val="20"/>
              </w:rPr>
              <w:t>Change in FEV1, from baseline pre-dose to end of treatment 5 minutes post-dose</w:t>
            </w:r>
          </w:p>
        </w:tc>
      </w:tr>
      <w:tr w:rsidR="005862DA" w:rsidRPr="00855489" w14:paraId="597048AC" w14:textId="77777777" w:rsidTr="006A4889">
        <w:tc>
          <w:tcPr>
            <w:tcW w:w="2356" w:type="pct"/>
            <w:tcBorders>
              <w:top w:val="single" w:sz="4" w:space="0" w:color="auto"/>
              <w:bottom w:val="nil"/>
            </w:tcBorders>
          </w:tcPr>
          <w:p w14:paraId="7DDC8A6E" w14:textId="77777777" w:rsidR="005862DA" w:rsidRPr="006A4889" w:rsidRDefault="005862DA" w:rsidP="00AC0032">
            <w:pPr>
              <w:keepNext/>
              <w:keepLines/>
              <w:rPr>
                <w:rFonts w:ascii="Arial Narrow" w:hAnsi="Arial Narrow" w:cs="Times New Roman"/>
                <w:sz w:val="20"/>
                <w:szCs w:val="20"/>
              </w:rPr>
            </w:pPr>
            <w:r w:rsidRPr="006A4889">
              <w:rPr>
                <w:rFonts w:ascii="Arial Narrow" w:hAnsi="Arial Narrow"/>
                <w:sz w:val="20"/>
                <w:szCs w:val="20"/>
              </w:rPr>
              <w:t>BEC/FOR 100/6 2BD</w:t>
            </w:r>
          </w:p>
        </w:tc>
        <w:tc>
          <w:tcPr>
            <w:tcW w:w="881" w:type="pct"/>
            <w:tcBorders>
              <w:top w:val="single" w:sz="4" w:space="0" w:color="auto"/>
              <w:bottom w:val="nil"/>
            </w:tcBorders>
            <w:vAlign w:val="center"/>
          </w:tcPr>
          <w:p w14:paraId="10B7A655" w14:textId="77777777" w:rsidR="005862DA" w:rsidRPr="006A4889" w:rsidRDefault="005862DA" w:rsidP="00AC0032">
            <w:pPr>
              <w:keepNext/>
              <w:keepLines/>
              <w:jc w:val="center"/>
              <w:rPr>
                <w:rFonts w:ascii="Arial Narrow" w:hAnsi="Arial Narrow"/>
                <w:sz w:val="20"/>
                <w:szCs w:val="20"/>
              </w:rPr>
            </w:pPr>
          </w:p>
        </w:tc>
        <w:tc>
          <w:tcPr>
            <w:tcW w:w="881" w:type="pct"/>
            <w:tcBorders>
              <w:top w:val="single" w:sz="4" w:space="0" w:color="auto"/>
              <w:bottom w:val="nil"/>
            </w:tcBorders>
            <w:vAlign w:val="center"/>
          </w:tcPr>
          <w:p w14:paraId="7074D4D5" w14:textId="77777777" w:rsidR="005862DA" w:rsidRPr="006A4889" w:rsidRDefault="005862DA" w:rsidP="00AC0032">
            <w:pPr>
              <w:keepNext/>
              <w:keepLines/>
              <w:jc w:val="center"/>
              <w:rPr>
                <w:rFonts w:ascii="Arial Narrow" w:hAnsi="Arial Narrow"/>
                <w:sz w:val="20"/>
                <w:szCs w:val="20"/>
              </w:rPr>
            </w:pPr>
          </w:p>
        </w:tc>
        <w:tc>
          <w:tcPr>
            <w:tcW w:w="882" w:type="pct"/>
            <w:tcBorders>
              <w:top w:val="single" w:sz="4" w:space="0" w:color="auto"/>
              <w:bottom w:val="nil"/>
            </w:tcBorders>
            <w:vAlign w:val="center"/>
          </w:tcPr>
          <w:p w14:paraId="4D15D3EF" w14:textId="77777777" w:rsidR="005862DA" w:rsidRPr="006A4889" w:rsidRDefault="005862DA" w:rsidP="00AC0032">
            <w:pPr>
              <w:keepNext/>
              <w:keepLines/>
              <w:jc w:val="center"/>
              <w:rPr>
                <w:rFonts w:ascii="Arial Narrow" w:hAnsi="Arial Narrow"/>
                <w:sz w:val="20"/>
                <w:szCs w:val="20"/>
              </w:rPr>
            </w:pPr>
          </w:p>
        </w:tc>
      </w:tr>
      <w:tr w:rsidR="005862DA" w:rsidRPr="00855489" w14:paraId="61ED0A9D" w14:textId="77777777" w:rsidTr="006A4889">
        <w:tc>
          <w:tcPr>
            <w:tcW w:w="2356" w:type="pct"/>
            <w:tcBorders>
              <w:top w:val="nil"/>
            </w:tcBorders>
          </w:tcPr>
          <w:p w14:paraId="43A0C7F3" w14:textId="77777777" w:rsidR="005862DA" w:rsidRPr="006A4889" w:rsidRDefault="005862DA" w:rsidP="00AC0032">
            <w:pPr>
              <w:keepNext/>
              <w:keepLines/>
              <w:ind w:left="106"/>
              <w:rPr>
                <w:rFonts w:ascii="Arial Narrow" w:hAnsi="Arial Narrow" w:cs="Times New Roman"/>
                <w:sz w:val="20"/>
                <w:szCs w:val="20"/>
              </w:rPr>
            </w:pPr>
            <w:r w:rsidRPr="006A4889">
              <w:rPr>
                <w:rFonts w:ascii="Arial Narrow" w:hAnsi="Arial Narrow" w:cs="Times New Roman"/>
                <w:sz w:val="20"/>
                <w:szCs w:val="20"/>
              </w:rPr>
              <w:t xml:space="preserve">vs </w:t>
            </w:r>
            <w:r w:rsidRPr="006A4889">
              <w:rPr>
                <w:rFonts w:ascii="Arial Narrow" w:hAnsi="Arial Narrow"/>
                <w:sz w:val="20"/>
                <w:szCs w:val="20"/>
              </w:rPr>
              <w:t>FP/SAL 125/25 2BD (Hsieh 2017) – Wk12</w:t>
            </w:r>
          </w:p>
        </w:tc>
        <w:tc>
          <w:tcPr>
            <w:tcW w:w="881" w:type="pct"/>
            <w:tcBorders>
              <w:top w:val="nil"/>
            </w:tcBorders>
            <w:vAlign w:val="center"/>
          </w:tcPr>
          <w:p w14:paraId="0A238A79"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0.20 (0.14,0.26)</w:t>
            </w:r>
          </w:p>
        </w:tc>
        <w:tc>
          <w:tcPr>
            <w:tcW w:w="881" w:type="pct"/>
            <w:tcBorders>
              <w:top w:val="nil"/>
            </w:tcBorders>
            <w:vAlign w:val="center"/>
          </w:tcPr>
          <w:p w14:paraId="10840B97"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0.14 (0.07,0.20)</w:t>
            </w:r>
          </w:p>
        </w:tc>
        <w:tc>
          <w:tcPr>
            <w:tcW w:w="882" w:type="pct"/>
            <w:tcBorders>
              <w:top w:val="nil"/>
            </w:tcBorders>
            <w:vAlign w:val="center"/>
          </w:tcPr>
          <w:p w14:paraId="34BD6C35" w14:textId="77777777" w:rsidR="005862DA" w:rsidRPr="006A4889" w:rsidRDefault="005862DA" w:rsidP="00AC0032">
            <w:pPr>
              <w:keepNext/>
              <w:keepLines/>
              <w:jc w:val="center"/>
              <w:rPr>
                <w:rFonts w:ascii="Arial Narrow" w:hAnsi="Arial Narrow" w:cs="Times New Roman"/>
                <w:sz w:val="20"/>
                <w:szCs w:val="20"/>
              </w:rPr>
            </w:pPr>
            <w:r w:rsidRPr="006A4889">
              <w:rPr>
                <w:rFonts w:ascii="Arial Narrow" w:hAnsi="Arial Narrow"/>
                <w:sz w:val="20"/>
                <w:szCs w:val="20"/>
              </w:rPr>
              <w:t>p=0.5334 ‡</w:t>
            </w:r>
          </w:p>
        </w:tc>
      </w:tr>
    </w:tbl>
    <w:p w14:paraId="5DBD0F50" w14:textId="77777777" w:rsidR="005D7F27" w:rsidRPr="00855489" w:rsidRDefault="005D7F27" w:rsidP="00AC0032">
      <w:pPr>
        <w:pStyle w:val="TableFigureFooter"/>
        <w:keepNext/>
        <w:keepLines/>
        <w:spacing w:after="0"/>
      </w:pPr>
      <w:r w:rsidRPr="00855489">
        <w:rPr>
          <w:szCs w:val="18"/>
        </w:rPr>
        <w:t xml:space="preserve">Abbreviations: </w:t>
      </w:r>
      <w:r w:rsidR="00882177" w:rsidRPr="00855489">
        <w:t>BD=twice daily, BEC=beclomet</w:t>
      </w:r>
      <w:r w:rsidRPr="00855489">
        <w:t>asone, BUD=budesonide, CI=confidence interval, FOR=</w:t>
      </w:r>
      <w:r w:rsidR="005974D3" w:rsidRPr="00855489">
        <w:t>fo</w:t>
      </w:r>
      <w:r w:rsidRPr="00855489">
        <w:t>rmoterol, FEV1=forced expiratory volume in the first second of expiration, FP=fl</w:t>
      </w:r>
      <w:r w:rsidR="00882177" w:rsidRPr="00855489">
        <w:t>uticasone prop</w:t>
      </w:r>
      <w:r w:rsidRPr="00855489">
        <w:t xml:space="preserve">ionate, ITT=intention to treat, </w:t>
      </w:r>
      <w:r w:rsidRPr="00855489">
        <w:rPr>
          <w:szCs w:val="18"/>
        </w:rPr>
        <w:t xml:space="preserve">NR=not reported, </w:t>
      </w:r>
      <w:r w:rsidRPr="00855489">
        <w:t>PEF= peak expiratory flow, SAL=salmeterol</w:t>
      </w:r>
    </w:p>
    <w:p w14:paraId="39014794" w14:textId="77777777" w:rsidR="005D7F27" w:rsidRPr="00855489" w:rsidRDefault="005D7F27" w:rsidP="00AC0032">
      <w:pPr>
        <w:keepNext/>
        <w:keepLines/>
        <w:tabs>
          <w:tab w:val="left" w:pos="142"/>
        </w:tabs>
        <w:rPr>
          <w:rFonts w:ascii="Arial Narrow" w:hAnsi="Arial Narrow"/>
          <w:sz w:val="18"/>
        </w:rPr>
      </w:pPr>
      <w:r w:rsidRPr="00855489">
        <w:rPr>
          <w:rFonts w:ascii="Arial Narrow" w:hAnsi="Arial Narrow"/>
          <w:sz w:val="18"/>
        </w:rPr>
        <w:t>^</w:t>
      </w:r>
      <w:r w:rsidRPr="00855489">
        <w:rPr>
          <w:rFonts w:ascii="Arial Narrow" w:hAnsi="Arial Narrow"/>
          <w:sz w:val="18"/>
        </w:rPr>
        <w:tab/>
        <w:t>Least squared mean</w:t>
      </w:r>
    </w:p>
    <w:p w14:paraId="0123D89A" w14:textId="77777777" w:rsidR="005D7F27" w:rsidRPr="00855489" w:rsidRDefault="005D7F27" w:rsidP="00AC0032">
      <w:pPr>
        <w:keepNext/>
        <w:keepLines/>
        <w:tabs>
          <w:tab w:val="left" w:pos="142"/>
        </w:tabs>
        <w:rPr>
          <w:rFonts w:ascii="Arial Narrow" w:hAnsi="Arial Narrow"/>
          <w:sz w:val="18"/>
          <w:szCs w:val="18"/>
        </w:rPr>
      </w:pPr>
      <w:r w:rsidRPr="00855489">
        <w:rPr>
          <w:rFonts w:ascii="Arial Narrow" w:hAnsi="Arial Narrow"/>
          <w:sz w:val="18"/>
          <w:szCs w:val="18"/>
        </w:rPr>
        <w:t>+</w:t>
      </w:r>
      <w:r w:rsidRPr="00855489">
        <w:rPr>
          <w:rFonts w:ascii="Arial Narrow" w:hAnsi="Arial Narrow"/>
          <w:sz w:val="18"/>
          <w:szCs w:val="18"/>
        </w:rPr>
        <w:tab/>
        <w:t>difference compared using a t-test</w:t>
      </w:r>
    </w:p>
    <w:p w14:paraId="57394BA2" w14:textId="77777777" w:rsidR="005D7F27" w:rsidRPr="00855489" w:rsidRDefault="005D7F27" w:rsidP="00AC0032">
      <w:pPr>
        <w:keepNext/>
        <w:keepLines/>
        <w:tabs>
          <w:tab w:val="left" w:pos="142"/>
        </w:tabs>
        <w:rPr>
          <w:rFonts w:ascii="Arial Narrow" w:hAnsi="Arial Narrow"/>
          <w:sz w:val="18"/>
          <w:szCs w:val="18"/>
        </w:rPr>
      </w:pPr>
      <w:r w:rsidRPr="00855489">
        <w:rPr>
          <w:rFonts w:ascii="Arial Narrow" w:hAnsi="Arial Narrow"/>
          <w:sz w:val="18"/>
          <w:szCs w:val="18"/>
        </w:rPr>
        <w:t>#</w:t>
      </w:r>
      <w:r w:rsidRPr="00855489">
        <w:rPr>
          <w:rFonts w:ascii="Arial Narrow" w:hAnsi="Arial Narrow"/>
          <w:sz w:val="18"/>
          <w:szCs w:val="18"/>
        </w:rPr>
        <w:tab/>
        <w:t xml:space="preserve">ANCOVA model with treatment, geographic region and baseline value as covariates. </w:t>
      </w:r>
    </w:p>
    <w:p w14:paraId="4C176ED4" w14:textId="77777777" w:rsidR="005D7F27" w:rsidRPr="00855489" w:rsidRDefault="005D7F27" w:rsidP="00AC0032">
      <w:pPr>
        <w:keepNext/>
        <w:keepLines/>
        <w:tabs>
          <w:tab w:val="left" w:pos="142"/>
        </w:tabs>
        <w:rPr>
          <w:rFonts w:ascii="Arial Narrow" w:hAnsi="Arial Narrow"/>
          <w:sz w:val="18"/>
          <w:szCs w:val="18"/>
        </w:rPr>
      </w:pPr>
      <w:r w:rsidRPr="00855489">
        <w:rPr>
          <w:rFonts w:ascii="Arial Narrow" w:hAnsi="Arial Narrow"/>
          <w:sz w:val="18"/>
          <w:szCs w:val="18"/>
        </w:rPr>
        <w:t>†</w:t>
      </w:r>
      <w:r w:rsidRPr="00855489">
        <w:rPr>
          <w:rFonts w:ascii="Arial Narrow" w:hAnsi="Arial Narrow"/>
          <w:sz w:val="18"/>
          <w:szCs w:val="18"/>
        </w:rPr>
        <w:tab/>
        <w:t>ANCOVA model with treatment and centre as main effects, and baseline value as a covariate.</w:t>
      </w:r>
    </w:p>
    <w:p w14:paraId="3A038C50" w14:textId="77777777" w:rsidR="005D7F27" w:rsidRPr="00855489" w:rsidRDefault="005D7F27" w:rsidP="00AC0032">
      <w:pPr>
        <w:keepNext/>
        <w:keepLines/>
        <w:tabs>
          <w:tab w:val="left" w:pos="142"/>
        </w:tabs>
        <w:rPr>
          <w:rFonts w:ascii="Arial Narrow" w:hAnsi="Arial Narrow"/>
          <w:sz w:val="18"/>
          <w:szCs w:val="18"/>
        </w:rPr>
      </w:pPr>
      <w:r w:rsidRPr="00855489">
        <w:rPr>
          <w:rFonts w:ascii="Arial Narrow" w:hAnsi="Arial Narrow"/>
          <w:sz w:val="18"/>
          <w:szCs w:val="18"/>
        </w:rPr>
        <w:t>‡</w:t>
      </w:r>
      <w:r w:rsidRPr="00855489">
        <w:rPr>
          <w:rFonts w:ascii="Arial Narrow" w:hAnsi="Arial Narrow"/>
          <w:sz w:val="18"/>
          <w:szCs w:val="18"/>
        </w:rPr>
        <w:tab/>
        <w:t>ANCOVA model with treatment and centre as fixed effects, and baseline value as a covariate.</w:t>
      </w:r>
    </w:p>
    <w:p w14:paraId="352AB5F9" w14:textId="77777777" w:rsidR="005D7F27" w:rsidRPr="00855489" w:rsidRDefault="005D7F27" w:rsidP="00AC0032">
      <w:pPr>
        <w:keepNext/>
        <w:keepLines/>
        <w:tabs>
          <w:tab w:val="left" w:pos="142"/>
        </w:tabs>
        <w:spacing w:after="120"/>
        <w:rPr>
          <w:rFonts w:ascii="Arial Narrow" w:hAnsi="Arial Narrow"/>
          <w:sz w:val="18"/>
          <w:szCs w:val="18"/>
        </w:rPr>
      </w:pPr>
      <w:r w:rsidRPr="00855489">
        <w:rPr>
          <w:rFonts w:ascii="Arial Narrow" w:hAnsi="Arial Narrow"/>
          <w:sz w:val="18"/>
          <w:szCs w:val="18"/>
        </w:rPr>
        <w:t>Source: Papi 2007a CSR (p48, p51), Hsieh 2017 CSR (p79), Papi 2008b CSR (p47, p50), Huchon 2009 CSR (p56, p58, pp67-68)</w:t>
      </w:r>
    </w:p>
    <w:p w14:paraId="4293F44A" w14:textId="77777777" w:rsidR="009E3F70" w:rsidRPr="00855489" w:rsidRDefault="009E3F70" w:rsidP="00691BE8">
      <w:pPr>
        <w:pStyle w:val="3-BodyText"/>
        <w:rPr>
          <w:rFonts w:ascii="Calibri" w:hAnsi="Calibri" w:cs="Calibri"/>
          <w:u w:val="single"/>
        </w:rPr>
      </w:pPr>
      <w:r w:rsidRPr="00855489">
        <w:rPr>
          <w:u w:val="single"/>
        </w:rPr>
        <w:t xml:space="preserve">BEC/FOR versus BEC </w:t>
      </w:r>
      <w:r w:rsidR="00691BE8" w:rsidRPr="00855489">
        <w:rPr>
          <w:u w:val="single"/>
        </w:rPr>
        <w:t xml:space="preserve">plus </w:t>
      </w:r>
      <w:r w:rsidRPr="00855489">
        <w:rPr>
          <w:u w:val="single"/>
        </w:rPr>
        <w:t>FOR</w:t>
      </w:r>
    </w:p>
    <w:p w14:paraId="410F84C3" w14:textId="77777777" w:rsidR="009E3F70" w:rsidRPr="00855489" w:rsidRDefault="009E3F70" w:rsidP="006A2EFE">
      <w:pPr>
        <w:pStyle w:val="3-BodyText"/>
        <w:numPr>
          <w:ilvl w:val="0"/>
          <w:numId w:val="0"/>
        </w:numPr>
        <w:ind w:left="720"/>
        <w:rPr>
          <w:rFonts w:ascii="Calibri" w:hAnsi="Calibri"/>
          <w:u w:val="single"/>
        </w:rPr>
      </w:pPr>
      <w:r w:rsidRPr="00855489">
        <w:t xml:space="preserve">In Huchon 2009, </w:t>
      </w:r>
      <w:r w:rsidR="006A2EFE" w:rsidRPr="00855489">
        <w:t xml:space="preserve">the difference in </w:t>
      </w:r>
      <w:r w:rsidRPr="00855489">
        <w:t xml:space="preserve">mean morning pre-dose PEF from baseline to the end of treatment </w:t>
      </w:r>
      <w:r w:rsidR="006A2EFE" w:rsidRPr="00855489">
        <w:t xml:space="preserve">across the arms </w:t>
      </w:r>
      <w:r w:rsidRPr="00855489">
        <w:t>met the non-inferiority margin, where the lower 95%CI (-6.29 L/minute) was larger than the non-inferiority threshold (-20 L/minute). The trial was also designed to demonstrate non-inferiority for the difference in FEV1 at the end of treatment (controlling for baseline) across the arms</w:t>
      </w:r>
      <w:r w:rsidR="00031433" w:rsidRPr="00855489">
        <w:t>.</w:t>
      </w:r>
      <w:r w:rsidRPr="00855489">
        <w:t xml:space="preserve"> </w:t>
      </w:r>
      <w:r w:rsidR="000D26E2" w:rsidRPr="00855489">
        <w:t>The mean difference in FEV1 reported (0.04, 95% CI -0.04</w:t>
      </w:r>
      <w:r w:rsidR="00243FEC" w:rsidRPr="00855489">
        <w:t xml:space="preserve">, </w:t>
      </w:r>
      <w:r w:rsidR="000D26E2" w:rsidRPr="00855489">
        <w:t>0.12)</w:t>
      </w:r>
      <w:r w:rsidR="00243FEC" w:rsidRPr="00855489">
        <w:t xml:space="preserve"> </w:t>
      </w:r>
      <w:r w:rsidRPr="00855489">
        <w:t>supported the claim of non-inferiority given the lower 95%CI (-0.04 L) was larger than the non-inferiority threshold (</w:t>
      </w:r>
      <w:r w:rsidR="00CD3E6F" w:rsidRPr="00855489">
        <w:t>-</w:t>
      </w:r>
      <w:r w:rsidRPr="00855489">
        <w:t>0.2</w:t>
      </w:r>
      <w:r w:rsidR="00CD3E6F" w:rsidRPr="00855489">
        <w:t>0</w:t>
      </w:r>
      <w:r w:rsidRPr="00855489">
        <w:t xml:space="preserve"> L).</w:t>
      </w:r>
    </w:p>
    <w:p w14:paraId="0B650A6E" w14:textId="77777777" w:rsidR="009D34CA" w:rsidRPr="00855489" w:rsidRDefault="009D34CA" w:rsidP="001F5796">
      <w:pPr>
        <w:pStyle w:val="3-BodyText"/>
        <w:rPr>
          <w:u w:val="single"/>
        </w:rPr>
      </w:pPr>
      <w:r w:rsidRPr="00855489">
        <w:rPr>
          <w:u w:val="single"/>
        </w:rPr>
        <w:t>BEC/FOR versus FP/SAL</w:t>
      </w:r>
    </w:p>
    <w:p w14:paraId="3E4DCC6B" w14:textId="77777777" w:rsidR="009D34CA" w:rsidRPr="00855489" w:rsidRDefault="009D34CA" w:rsidP="008B50C1">
      <w:pPr>
        <w:pStyle w:val="3-BodyText"/>
        <w:numPr>
          <w:ilvl w:val="0"/>
          <w:numId w:val="0"/>
        </w:numPr>
        <w:ind w:left="720"/>
        <w:rPr>
          <w:rFonts w:ascii="Calibri" w:hAnsi="Calibri" w:cs="Calibri"/>
        </w:rPr>
      </w:pPr>
      <w:r w:rsidRPr="00855489">
        <w:rPr>
          <w:rFonts w:cs="Calibri"/>
        </w:rPr>
        <w:t xml:space="preserve">In Papi 2007a, </w:t>
      </w:r>
      <w:r w:rsidR="008B50C1" w:rsidRPr="00855489">
        <w:rPr>
          <w:rFonts w:cs="Calibri"/>
        </w:rPr>
        <w:t>the difference in</w:t>
      </w:r>
      <w:r w:rsidRPr="00855489">
        <w:rPr>
          <w:rFonts w:cs="Calibri"/>
        </w:rPr>
        <w:t xml:space="preserve"> morning pre-dose PEF at the end of the treatment period (controlling for baseline) met the non-inferiority margin, where the unilateral 97.5%CI (-17.92 L/minute) was larger than the non-inferiority threshold (-20 L/minute). Non-inferiority was also supported by i) difference in FEV1 at the end of treatment (controlling for baseline) across the arms, where the lower 95%CI (-0.13 L) </w:t>
      </w:r>
      <w:r w:rsidRPr="00855489">
        <w:rPr>
          <w:rFonts w:cs="Calibri"/>
        </w:rPr>
        <w:lastRenderedPageBreak/>
        <w:t>was larger than the nominated non-inferiority threshold (</w:t>
      </w:r>
      <w:r w:rsidR="008B50C1" w:rsidRPr="00855489">
        <w:rPr>
          <w:rFonts w:cs="Calibri"/>
        </w:rPr>
        <w:t>-</w:t>
      </w:r>
      <w:r w:rsidRPr="00855489">
        <w:rPr>
          <w:rFonts w:cs="Calibri"/>
        </w:rPr>
        <w:t>0.20 L); and ii) results from Hsieh 2017</w:t>
      </w:r>
      <w:r w:rsidR="008B50C1" w:rsidRPr="00855489">
        <w:rPr>
          <w:rFonts w:cs="Calibri"/>
        </w:rPr>
        <w:t xml:space="preserve"> </w:t>
      </w:r>
      <w:r w:rsidRPr="00855489">
        <w:rPr>
          <w:rFonts w:cs="Calibri"/>
        </w:rPr>
        <w:t xml:space="preserve">showed similar efficacy </w:t>
      </w:r>
      <w:r w:rsidR="008B50C1" w:rsidRPr="00855489">
        <w:rPr>
          <w:rFonts w:cs="Calibri"/>
        </w:rPr>
        <w:t xml:space="preserve">between </w:t>
      </w:r>
      <w:r w:rsidRPr="00855489">
        <w:rPr>
          <w:rFonts w:cs="Calibri"/>
        </w:rPr>
        <w:t>the comparison groups.</w:t>
      </w:r>
    </w:p>
    <w:p w14:paraId="49A7F006" w14:textId="77777777" w:rsidR="00CD3E6F" w:rsidRPr="00855489" w:rsidRDefault="008B50C1" w:rsidP="006A4889">
      <w:pPr>
        <w:pStyle w:val="3-BodyText"/>
        <w:keepNext/>
        <w:rPr>
          <w:rFonts w:ascii="Calibri" w:hAnsi="Calibri" w:cs="Calibri"/>
          <w:u w:val="single"/>
        </w:rPr>
      </w:pPr>
      <w:r w:rsidRPr="00855489">
        <w:rPr>
          <w:rFonts w:cs="Calibri"/>
          <w:u w:val="single"/>
        </w:rPr>
        <w:t>BEC/FOR versus BUD/FOR</w:t>
      </w:r>
    </w:p>
    <w:p w14:paraId="4AAFF723" w14:textId="77777777" w:rsidR="008B50C1" w:rsidRPr="00855489" w:rsidRDefault="00CD3E6F" w:rsidP="006A4889">
      <w:pPr>
        <w:pStyle w:val="3-BodyText"/>
        <w:keepNext/>
        <w:numPr>
          <w:ilvl w:val="0"/>
          <w:numId w:val="0"/>
        </w:numPr>
        <w:ind w:left="720"/>
        <w:rPr>
          <w:rFonts w:cs="Calibri"/>
        </w:rPr>
      </w:pPr>
      <w:r w:rsidRPr="00855489">
        <w:rPr>
          <w:rFonts w:cs="Calibri"/>
        </w:rPr>
        <w:t xml:space="preserve">In </w:t>
      </w:r>
      <w:r w:rsidR="008B50C1" w:rsidRPr="00855489">
        <w:rPr>
          <w:rFonts w:cs="Calibri"/>
        </w:rPr>
        <w:t>Papi 2007b</w:t>
      </w:r>
      <w:r w:rsidRPr="00855489">
        <w:rPr>
          <w:rFonts w:cs="Calibri"/>
        </w:rPr>
        <w:t>, the difference in</w:t>
      </w:r>
      <w:r w:rsidR="008B50C1" w:rsidRPr="00855489">
        <w:rPr>
          <w:rFonts w:cs="Calibri"/>
        </w:rPr>
        <w:t xml:space="preserve"> morning pre-dose PEF at the end of the treatment period (controlling for baseline) met the non-inferiority margin, where the unilateral 97.5%CI (-11.97 L/minute) was larger than the non-inferiority threshold (-20 L/minute). The lower 95%CI (-0.</w:t>
      </w:r>
      <w:r w:rsidR="00243FEC" w:rsidRPr="00855489">
        <w:rPr>
          <w:rFonts w:cs="Calibri"/>
        </w:rPr>
        <w:t>07</w:t>
      </w:r>
      <w:r w:rsidR="008B50C1" w:rsidRPr="00855489">
        <w:rPr>
          <w:rFonts w:cs="Calibri"/>
        </w:rPr>
        <w:t xml:space="preserve"> L) for difference in FEV1 at the end of treatment (controlling for baseline) across the arms was also larger than the nominated non-inferiority threshold (</w:t>
      </w:r>
      <w:r w:rsidRPr="00855489">
        <w:rPr>
          <w:rFonts w:cs="Calibri"/>
        </w:rPr>
        <w:t xml:space="preserve">- </w:t>
      </w:r>
      <w:r w:rsidR="008B50C1" w:rsidRPr="00855489">
        <w:rPr>
          <w:rFonts w:cs="Calibri"/>
        </w:rPr>
        <w:t>0.20 L).</w:t>
      </w:r>
    </w:p>
    <w:p w14:paraId="5BA8D533" w14:textId="77777777" w:rsidR="00FD61D3" w:rsidRPr="00855489" w:rsidRDefault="00FD61D3" w:rsidP="001F5796">
      <w:pPr>
        <w:pStyle w:val="3-BodyText"/>
        <w:rPr>
          <w:rFonts w:ascii="Calibri" w:hAnsi="Calibri" w:cs="Calibri"/>
          <w:u w:val="single"/>
        </w:rPr>
      </w:pPr>
      <w:r w:rsidRPr="00855489">
        <w:rPr>
          <w:u w:val="single"/>
        </w:rPr>
        <w:t>BEC/FOR as MART versus BEC/FOR plus as needed SABA</w:t>
      </w:r>
    </w:p>
    <w:p w14:paraId="7707FD69" w14:textId="77777777" w:rsidR="00CF2247" w:rsidRPr="00855489" w:rsidRDefault="00A851E5" w:rsidP="00243FEC">
      <w:pPr>
        <w:pStyle w:val="3-BodyText"/>
        <w:numPr>
          <w:ilvl w:val="0"/>
          <w:numId w:val="0"/>
        </w:numPr>
        <w:ind w:left="720"/>
      </w:pPr>
      <w:r w:rsidRPr="00855489">
        <w:t>In Papi 2013,</w:t>
      </w:r>
      <w:r w:rsidR="004945E5" w:rsidRPr="00855489">
        <w:t xml:space="preserve"> </w:t>
      </w:r>
      <w:r w:rsidR="00CF2247" w:rsidRPr="00855489">
        <w:t xml:space="preserve">patients receiving </w:t>
      </w:r>
      <w:r w:rsidR="00FD61D3" w:rsidRPr="00855489">
        <w:t xml:space="preserve">both maintenance and </w:t>
      </w:r>
      <w:r w:rsidR="00CF2247" w:rsidRPr="00855489">
        <w:t xml:space="preserve">as-needed BEC/FOR (i.e. MART) were significantly less likely to have a severe exacerbation than those taking </w:t>
      </w:r>
      <w:r w:rsidR="00FD61D3" w:rsidRPr="00855489">
        <w:t xml:space="preserve">BEC/FOR plus </w:t>
      </w:r>
      <w:r w:rsidR="00CF2247" w:rsidRPr="00855489">
        <w:t>as-needed salbutamol (12% vs. 18%, HR=0.64, 95% CI 0.49-0.82)</w:t>
      </w:r>
      <w:r w:rsidR="00EF5D29" w:rsidRPr="00855489">
        <w:t>. Figure 1 shows the Kaplan-Meier plot of time to firs</w:t>
      </w:r>
      <w:r w:rsidR="003B0B4E" w:rsidRPr="00855489">
        <w:t>t</w:t>
      </w:r>
      <w:r w:rsidR="00EF5D29" w:rsidRPr="00855489">
        <w:t xml:space="preserve"> severe asthma exacerbations reported in Papi 2013</w:t>
      </w:r>
      <w:r w:rsidR="00CF2247" w:rsidRPr="00855489">
        <w:t>.</w:t>
      </w:r>
      <w:r w:rsidR="0065660B" w:rsidRPr="00855489">
        <w:t xml:space="preserve"> </w:t>
      </w:r>
      <w:r w:rsidR="0065660B" w:rsidRPr="00855489">
        <w:rPr>
          <w:iCs/>
        </w:rPr>
        <w:t xml:space="preserve">The submission did not present any evidence to inform the comparable efficacy between BEC/FOR </w:t>
      </w:r>
      <w:r w:rsidR="00FD61D3" w:rsidRPr="00855489">
        <w:rPr>
          <w:iCs/>
        </w:rPr>
        <w:t xml:space="preserve">as MART </w:t>
      </w:r>
      <w:r w:rsidR="0065660B" w:rsidRPr="00855489">
        <w:rPr>
          <w:iCs/>
        </w:rPr>
        <w:t xml:space="preserve">versus </w:t>
      </w:r>
      <w:r w:rsidR="00F77729" w:rsidRPr="00855489">
        <w:rPr>
          <w:iCs/>
        </w:rPr>
        <w:t xml:space="preserve">other ICS/LABA FDC products available on the PBS for MART (i.e. </w:t>
      </w:r>
      <w:r w:rsidR="00243FEC" w:rsidRPr="00855489">
        <w:rPr>
          <w:iCs/>
        </w:rPr>
        <w:t>BUD/FOR</w:t>
      </w:r>
      <w:r w:rsidR="00F77729" w:rsidRPr="00855489">
        <w:rPr>
          <w:iCs/>
        </w:rPr>
        <w:t>).</w:t>
      </w:r>
    </w:p>
    <w:p w14:paraId="089196F7" w14:textId="77777777" w:rsidR="00CF2247" w:rsidRPr="00855489" w:rsidRDefault="00CF2247" w:rsidP="006A4889">
      <w:pPr>
        <w:pStyle w:val="TableFigureHeading"/>
      </w:pPr>
      <w:r w:rsidRPr="00855489">
        <w:t>Figure 1: Kaplan-Meier plot of time to first severe asthma exacerbation (primary outcome)</w:t>
      </w:r>
    </w:p>
    <w:p w14:paraId="545931E9" w14:textId="77777777" w:rsidR="003B1844" w:rsidRPr="00855489" w:rsidRDefault="003B1844" w:rsidP="00CF2247">
      <w:pPr>
        <w:pStyle w:val="3-BodyText"/>
        <w:numPr>
          <w:ilvl w:val="0"/>
          <w:numId w:val="0"/>
        </w:numPr>
        <w:spacing w:after="0"/>
        <w:ind w:left="720" w:hanging="720"/>
      </w:pPr>
      <w:r w:rsidRPr="00855489">
        <w:rPr>
          <w:noProof/>
        </w:rPr>
        <w:drawing>
          <wp:inline distT="0" distB="0" distL="0" distR="0" wp14:anchorId="5B1634A1" wp14:editId="38A828D7">
            <wp:extent cx="5330142" cy="3015205"/>
            <wp:effectExtent l="0" t="0" r="4445" b="0"/>
            <wp:docPr id="1" name="Picture 1"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965" t="12263" r="3460" b="14184"/>
                    <a:stretch/>
                  </pic:blipFill>
                  <pic:spPr bwMode="auto">
                    <a:xfrm>
                      <a:off x="0" y="0"/>
                      <a:ext cx="5347234" cy="3024874"/>
                    </a:xfrm>
                    <a:prstGeom prst="rect">
                      <a:avLst/>
                    </a:prstGeom>
                    <a:ln>
                      <a:noFill/>
                    </a:ln>
                    <a:extLst>
                      <a:ext uri="{53640926-AAD7-44D8-BBD7-CCE9431645EC}">
                        <a14:shadowObscured xmlns:a14="http://schemas.microsoft.com/office/drawing/2010/main"/>
                      </a:ext>
                    </a:extLst>
                  </pic:spPr>
                </pic:pic>
              </a:graphicData>
            </a:graphic>
          </wp:inline>
        </w:drawing>
      </w:r>
    </w:p>
    <w:p w14:paraId="7CDC899D" w14:textId="77777777" w:rsidR="00166B09" w:rsidRPr="006A4889" w:rsidRDefault="003B1844" w:rsidP="006A4889">
      <w:pPr>
        <w:pStyle w:val="TableFigureFooter"/>
      </w:pPr>
      <w:r w:rsidRPr="00855489">
        <w:t>Source: Papi 2013 publication</w:t>
      </w:r>
      <w:bookmarkStart w:id="16" w:name="_Toc22897642"/>
      <w:bookmarkStart w:id="17" w:name="_Toc40775727"/>
    </w:p>
    <w:p w14:paraId="3398414D" w14:textId="77777777" w:rsidR="00B60939" w:rsidRPr="00855489" w:rsidRDefault="00B60939" w:rsidP="00D86231">
      <w:pPr>
        <w:pStyle w:val="4-SubsectionHeading"/>
      </w:pPr>
      <w:r w:rsidRPr="00855489">
        <w:t>Comparative harms</w:t>
      </w:r>
      <w:bookmarkEnd w:id="16"/>
      <w:bookmarkEnd w:id="17"/>
    </w:p>
    <w:p w14:paraId="730DE4C9" w14:textId="77777777" w:rsidR="00EB781B" w:rsidRPr="00855489" w:rsidRDefault="00697115" w:rsidP="00A550D5">
      <w:pPr>
        <w:pStyle w:val="3-BodyText"/>
        <w:rPr>
          <w:iCs/>
        </w:rPr>
      </w:pPr>
      <w:r w:rsidRPr="00855489">
        <w:t xml:space="preserve">Overall, there were no significant safety issues identified for BEC/FOR, with a similar proportion of adverse events (AEs) reported </w:t>
      </w:r>
      <w:r w:rsidR="00616351" w:rsidRPr="00855489">
        <w:t xml:space="preserve">across </w:t>
      </w:r>
      <w:r w:rsidR="00061E62" w:rsidRPr="00855489">
        <w:t xml:space="preserve">all </w:t>
      </w:r>
      <w:r w:rsidRPr="00855489">
        <w:t>ICS/LABA FDCs</w:t>
      </w:r>
      <w:r w:rsidR="00061E62" w:rsidRPr="00855489">
        <w:t xml:space="preserve"> in the trials</w:t>
      </w:r>
      <w:r w:rsidRPr="00855489">
        <w:t xml:space="preserve">. </w:t>
      </w:r>
      <w:r w:rsidR="00FC4051" w:rsidRPr="00855489">
        <w:rPr>
          <w:iCs/>
        </w:rPr>
        <w:t>Respiratory tract infections were the most common AE</w:t>
      </w:r>
      <w:r w:rsidRPr="00855489">
        <w:rPr>
          <w:iCs/>
        </w:rPr>
        <w:t>s, which is consistent with the known safety profiles of the treatments</w:t>
      </w:r>
      <w:r w:rsidR="00FC4051" w:rsidRPr="00855489">
        <w:rPr>
          <w:iCs/>
        </w:rPr>
        <w:t>.</w:t>
      </w:r>
      <w:r w:rsidR="0009085C" w:rsidRPr="00855489">
        <w:rPr>
          <w:iCs/>
        </w:rPr>
        <w:t xml:space="preserve"> </w:t>
      </w:r>
    </w:p>
    <w:p w14:paraId="770EED99" w14:textId="77777777" w:rsidR="00FC4051" w:rsidRPr="00855489" w:rsidRDefault="00A550D5" w:rsidP="00F17097">
      <w:pPr>
        <w:pStyle w:val="3-BodyText"/>
        <w:rPr>
          <w:iCs/>
        </w:rPr>
      </w:pPr>
      <w:r w:rsidRPr="00855489">
        <w:rPr>
          <w:iCs/>
        </w:rPr>
        <w:lastRenderedPageBreak/>
        <w:t>The PBAC noted that i</w:t>
      </w:r>
      <w:r w:rsidR="00FC4051" w:rsidRPr="00855489">
        <w:rPr>
          <w:iCs/>
        </w:rPr>
        <w:t xml:space="preserve">n </w:t>
      </w:r>
      <w:r w:rsidR="00697115" w:rsidRPr="00855489">
        <w:rPr>
          <w:iCs/>
        </w:rPr>
        <w:t xml:space="preserve">Papi 2013, the number of drug-related AEs was higher for patients treated with </w:t>
      </w:r>
      <w:r w:rsidR="007C657F" w:rsidRPr="00855489">
        <w:rPr>
          <w:iCs/>
        </w:rPr>
        <w:t xml:space="preserve">BEC/FOR </w:t>
      </w:r>
      <w:r w:rsidR="00F17097" w:rsidRPr="00855489">
        <w:rPr>
          <w:iCs/>
        </w:rPr>
        <w:t>as</w:t>
      </w:r>
      <w:r w:rsidR="007C657F" w:rsidRPr="00855489">
        <w:rPr>
          <w:iCs/>
        </w:rPr>
        <w:t xml:space="preserve"> MART </w:t>
      </w:r>
      <w:r w:rsidR="00697115" w:rsidRPr="00855489">
        <w:rPr>
          <w:iCs/>
        </w:rPr>
        <w:t>compared to patients</w:t>
      </w:r>
      <w:r w:rsidR="00FC4051" w:rsidRPr="00855489">
        <w:rPr>
          <w:iCs/>
        </w:rPr>
        <w:t xml:space="preserve"> </w:t>
      </w:r>
      <w:r w:rsidR="007C657F" w:rsidRPr="00855489">
        <w:rPr>
          <w:iCs/>
        </w:rPr>
        <w:t xml:space="preserve">treated with BEC/FOR </w:t>
      </w:r>
      <w:r w:rsidR="00F17097" w:rsidRPr="00855489">
        <w:rPr>
          <w:iCs/>
        </w:rPr>
        <w:t>as</w:t>
      </w:r>
      <w:r w:rsidR="007C657F" w:rsidRPr="00855489">
        <w:rPr>
          <w:iCs/>
        </w:rPr>
        <w:t xml:space="preserve"> maintenance therapy plus </w:t>
      </w:r>
      <w:r w:rsidR="00697115" w:rsidRPr="00855489">
        <w:rPr>
          <w:iCs/>
        </w:rPr>
        <w:t xml:space="preserve">as-needed </w:t>
      </w:r>
      <w:r w:rsidR="00FC4051" w:rsidRPr="00855489">
        <w:rPr>
          <w:iCs/>
        </w:rPr>
        <w:t>salbutamol (4.4% vs. 2.2%).</w:t>
      </w:r>
      <w:r w:rsidR="0065660B" w:rsidRPr="00855489">
        <w:rPr>
          <w:iCs/>
        </w:rPr>
        <w:t xml:space="preserve"> The submission did not present any evidence to inform the comparative safety between as-needed BEC/FOR versus </w:t>
      </w:r>
      <w:r w:rsidR="00F77729" w:rsidRPr="00855489">
        <w:rPr>
          <w:iCs/>
        </w:rPr>
        <w:t>other ICS/LABA FDC products available on the PBS for MART (</w:t>
      </w:r>
      <w:r w:rsidR="00EC66D0" w:rsidRPr="00855489">
        <w:rPr>
          <w:iCs/>
        </w:rPr>
        <w:t>i.e. corresponding doses of BUD/FOR</w:t>
      </w:r>
      <w:r w:rsidR="00F77729" w:rsidRPr="00855489">
        <w:rPr>
          <w:iCs/>
        </w:rPr>
        <w:t>).</w:t>
      </w:r>
    </w:p>
    <w:p w14:paraId="12BE0D15" w14:textId="77777777" w:rsidR="007F1017" w:rsidRPr="00855489" w:rsidRDefault="007F1017" w:rsidP="00D86231">
      <w:pPr>
        <w:pStyle w:val="4-SubsectionHeading"/>
      </w:pPr>
      <w:bookmarkStart w:id="18" w:name="_Toc22897643"/>
      <w:bookmarkStart w:id="19" w:name="_Toc40775728"/>
      <w:r w:rsidRPr="00855489">
        <w:t>Benefits/harms</w:t>
      </w:r>
      <w:bookmarkEnd w:id="18"/>
      <w:bookmarkEnd w:id="19"/>
    </w:p>
    <w:p w14:paraId="200893E8" w14:textId="77777777" w:rsidR="00263C5C" w:rsidRPr="00855489" w:rsidRDefault="00263C5C" w:rsidP="006A4889">
      <w:pPr>
        <w:pStyle w:val="3-BodyText"/>
      </w:pPr>
      <w:r w:rsidRPr="00855489">
        <w:t xml:space="preserve">There </w:t>
      </w:r>
      <w:r w:rsidR="00A81C1B" w:rsidRPr="00855489">
        <w:t>we</w:t>
      </w:r>
      <w:r w:rsidRPr="00855489">
        <w:t xml:space="preserve">re no expected clinically meaningful differences between </w:t>
      </w:r>
      <w:r w:rsidR="00F77729" w:rsidRPr="00855489">
        <w:t xml:space="preserve">BEC/FOR </w:t>
      </w:r>
      <w:r w:rsidRPr="00855489">
        <w:t xml:space="preserve">and </w:t>
      </w:r>
      <w:r w:rsidR="000B3146" w:rsidRPr="00855489">
        <w:t>other ICS/LABA FDCs at comparable doses</w:t>
      </w:r>
      <w:r w:rsidRPr="00855489">
        <w:t xml:space="preserve"> in </w:t>
      </w:r>
      <w:r w:rsidR="00F77729" w:rsidRPr="00855489">
        <w:t xml:space="preserve">terms of </w:t>
      </w:r>
      <w:r w:rsidRPr="00855489">
        <w:t xml:space="preserve">efficacy and safety when used for the </w:t>
      </w:r>
      <w:r w:rsidR="00A011E8" w:rsidRPr="00855489">
        <w:t xml:space="preserve">maintenance </w:t>
      </w:r>
      <w:r w:rsidR="000C12F5" w:rsidRPr="00855489">
        <w:t xml:space="preserve">treatment </w:t>
      </w:r>
      <w:r w:rsidRPr="00855489">
        <w:t>of asthma.</w:t>
      </w:r>
    </w:p>
    <w:p w14:paraId="041EE461" w14:textId="77777777" w:rsidR="00B60939" w:rsidRPr="00855489" w:rsidRDefault="00B60939" w:rsidP="00E9094A">
      <w:pPr>
        <w:pStyle w:val="4-SubsectionHeading"/>
      </w:pPr>
      <w:bookmarkStart w:id="20" w:name="_Toc22897644"/>
      <w:bookmarkStart w:id="21" w:name="_Toc40775729"/>
      <w:r w:rsidRPr="00855489">
        <w:t>Clinical claim</w:t>
      </w:r>
      <w:bookmarkEnd w:id="20"/>
      <w:bookmarkEnd w:id="21"/>
    </w:p>
    <w:p w14:paraId="302C2073" w14:textId="77777777" w:rsidR="000C12F5" w:rsidRPr="00855489" w:rsidRDefault="0009085C" w:rsidP="000C12F5">
      <w:pPr>
        <w:pStyle w:val="3-BodyText"/>
        <w:rPr>
          <w:rFonts w:ascii="Calibri" w:hAnsi="Calibri" w:cs="Calibri"/>
        </w:rPr>
      </w:pPr>
      <w:bookmarkStart w:id="22" w:name="_Toc22897645"/>
      <w:r w:rsidRPr="00855489">
        <w:rPr>
          <w:rFonts w:cs="Calibri"/>
        </w:rPr>
        <w:t>Based on the evidence presented, the submission described BEC/FOR 100/6 two inhalations twice daily as non-inferior in terms of effectiveness and safety compared to:</w:t>
      </w:r>
    </w:p>
    <w:p w14:paraId="27E5B2FF" w14:textId="77777777" w:rsidR="000C12F5" w:rsidRPr="00855489" w:rsidRDefault="0009085C" w:rsidP="00C547B5">
      <w:pPr>
        <w:pStyle w:val="3-BodyText"/>
        <w:numPr>
          <w:ilvl w:val="0"/>
          <w:numId w:val="5"/>
        </w:numPr>
        <w:ind w:left="1134" w:hanging="425"/>
      </w:pPr>
      <w:r w:rsidRPr="00855489">
        <w:rPr>
          <w:snapToGrid/>
        </w:rPr>
        <w:t>BEC</w:t>
      </w:r>
      <w:r w:rsidRPr="00855489">
        <w:t xml:space="preserve"> + FOR</w:t>
      </w:r>
      <w:r w:rsidR="000C12F5" w:rsidRPr="00855489">
        <w:t xml:space="preserve"> at comparable doses</w:t>
      </w:r>
      <w:r w:rsidRPr="00855489">
        <w:t xml:space="preserve"> administered conc</w:t>
      </w:r>
      <w:r w:rsidR="000C12F5" w:rsidRPr="00855489">
        <w:t>omitantly via separate inhalers.</w:t>
      </w:r>
    </w:p>
    <w:p w14:paraId="3210A499" w14:textId="77777777" w:rsidR="000C12F5" w:rsidRPr="00855489" w:rsidRDefault="000C12F5" w:rsidP="00C547B5">
      <w:pPr>
        <w:pStyle w:val="3-BodyText"/>
        <w:numPr>
          <w:ilvl w:val="0"/>
          <w:numId w:val="5"/>
        </w:numPr>
        <w:ind w:left="1134" w:hanging="425"/>
      </w:pPr>
      <w:r w:rsidRPr="00855489">
        <w:t>F</w:t>
      </w:r>
      <w:r w:rsidR="0009085C" w:rsidRPr="00855489">
        <w:t xml:space="preserve">P/SAL 125/25 </w:t>
      </w:r>
      <w:r w:rsidR="00C35924" w:rsidRPr="00855489">
        <w:t xml:space="preserve">MDI </w:t>
      </w:r>
      <w:r w:rsidR="0009085C" w:rsidRPr="00855489">
        <w:t>two inhalations twice daily</w:t>
      </w:r>
      <w:r w:rsidRPr="00855489">
        <w:t>.</w:t>
      </w:r>
    </w:p>
    <w:p w14:paraId="438751C1" w14:textId="77777777" w:rsidR="0009085C" w:rsidRPr="00855489" w:rsidRDefault="0009085C" w:rsidP="00C547B5">
      <w:pPr>
        <w:pStyle w:val="3-BodyText"/>
        <w:numPr>
          <w:ilvl w:val="0"/>
          <w:numId w:val="5"/>
        </w:numPr>
        <w:ind w:left="1134" w:hanging="425"/>
      </w:pPr>
      <w:r w:rsidRPr="00855489">
        <w:t xml:space="preserve">BUD/FOR 200/6 </w:t>
      </w:r>
      <w:r w:rsidR="00E405CC" w:rsidRPr="00855489">
        <w:t xml:space="preserve">DPI </w:t>
      </w:r>
      <w:r w:rsidRPr="00855489">
        <w:t>two inhalations twice daily</w:t>
      </w:r>
      <w:r w:rsidR="000C12F5" w:rsidRPr="00855489">
        <w:t>.</w:t>
      </w:r>
    </w:p>
    <w:p w14:paraId="39584097" w14:textId="77777777" w:rsidR="00031433" w:rsidRPr="00855489" w:rsidRDefault="000C12F5" w:rsidP="00F25E2E">
      <w:pPr>
        <w:pStyle w:val="3-BodyText"/>
        <w:rPr>
          <w:rFonts w:cs="Calibri"/>
          <w:iCs/>
        </w:rPr>
      </w:pPr>
      <w:r w:rsidRPr="00855489">
        <w:rPr>
          <w:rFonts w:cs="Calibri"/>
          <w:iCs/>
        </w:rPr>
        <w:t xml:space="preserve">The </w:t>
      </w:r>
      <w:r w:rsidR="00832A86" w:rsidRPr="00855489">
        <w:rPr>
          <w:rFonts w:cs="Calibri"/>
          <w:iCs/>
        </w:rPr>
        <w:t xml:space="preserve">evidence presented in the submission supported the clinical </w:t>
      </w:r>
      <w:r w:rsidRPr="00855489">
        <w:rPr>
          <w:rFonts w:cs="Calibri"/>
          <w:iCs/>
        </w:rPr>
        <w:t xml:space="preserve">claim of non-inferior effectiveness and safety </w:t>
      </w:r>
      <w:r w:rsidR="00227B9A" w:rsidRPr="00855489">
        <w:rPr>
          <w:rFonts w:cs="Calibri"/>
          <w:iCs/>
        </w:rPr>
        <w:t>compared to the nominated comparators, for patients</w:t>
      </w:r>
      <w:r w:rsidR="00162468" w:rsidRPr="00855489">
        <w:rPr>
          <w:rFonts w:cs="Calibri"/>
          <w:iCs/>
        </w:rPr>
        <w:t xml:space="preserve"> requiring </w:t>
      </w:r>
      <w:r w:rsidR="00FA3B08" w:rsidRPr="00855489">
        <w:rPr>
          <w:rFonts w:cs="Calibri"/>
          <w:iCs/>
        </w:rPr>
        <w:t xml:space="preserve">maintenance therapy with </w:t>
      </w:r>
      <w:r w:rsidR="00162468" w:rsidRPr="00855489">
        <w:rPr>
          <w:rFonts w:cs="Calibri"/>
          <w:iCs/>
        </w:rPr>
        <w:t>medium dose ICS (i.e. STEP 4 of the clinical management algorithm)</w:t>
      </w:r>
      <w:r w:rsidRPr="00855489">
        <w:rPr>
          <w:rFonts w:cs="Calibri"/>
          <w:iCs/>
        </w:rPr>
        <w:t xml:space="preserve">. </w:t>
      </w:r>
      <w:r w:rsidR="00162468" w:rsidRPr="00855489">
        <w:rPr>
          <w:rFonts w:cs="Calibri"/>
          <w:iCs/>
        </w:rPr>
        <w:t>At the same dosing regimen, t</w:t>
      </w:r>
      <w:r w:rsidRPr="00855489">
        <w:rPr>
          <w:rFonts w:cs="Calibri"/>
          <w:iCs/>
        </w:rPr>
        <w:t xml:space="preserve">he submission also reasonably described BEC/FOR as being non-inferior to corresponding </w:t>
      </w:r>
      <w:r w:rsidR="00F25E2E" w:rsidRPr="00855489">
        <w:rPr>
          <w:rFonts w:cs="Calibri"/>
          <w:iCs/>
        </w:rPr>
        <w:t xml:space="preserve">medium </w:t>
      </w:r>
      <w:r w:rsidRPr="00855489">
        <w:rPr>
          <w:rFonts w:cs="Calibri"/>
          <w:iCs/>
        </w:rPr>
        <w:t>doses of other ICS/LABA FDCs based on the Therapeutic Relativities (see Economic analysis).</w:t>
      </w:r>
    </w:p>
    <w:p w14:paraId="09B2B4C7" w14:textId="77777777" w:rsidR="00162468" w:rsidRPr="00855489" w:rsidRDefault="00162468" w:rsidP="00F17097">
      <w:pPr>
        <w:pStyle w:val="3-BodyText"/>
        <w:rPr>
          <w:rFonts w:cs="Calibri"/>
          <w:iCs/>
        </w:rPr>
      </w:pPr>
      <w:r w:rsidRPr="00855489">
        <w:rPr>
          <w:rFonts w:cs="Calibri"/>
          <w:iCs/>
        </w:rPr>
        <w:t xml:space="preserve">The submission did not present any evidence to inform the effectiveness and safety of BEC/FOR at the lower recommended dose of one inhalation twice a day, for patients requiring </w:t>
      </w:r>
      <w:r w:rsidR="00FA3B08" w:rsidRPr="00855489">
        <w:rPr>
          <w:rFonts w:cs="Calibri"/>
          <w:iCs/>
        </w:rPr>
        <w:t xml:space="preserve">maintenance therapy with </w:t>
      </w:r>
      <w:r w:rsidRPr="00855489">
        <w:rPr>
          <w:rFonts w:cs="Calibri"/>
          <w:iCs/>
        </w:rPr>
        <w:t xml:space="preserve">low dose ICS (i.e. STEP 3 of the clinical management </w:t>
      </w:r>
      <w:r w:rsidR="00FA3B08" w:rsidRPr="00855489">
        <w:rPr>
          <w:rFonts w:cs="Calibri"/>
          <w:iCs/>
        </w:rPr>
        <w:t xml:space="preserve">algorithm). </w:t>
      </w:r>
      <w:r w:rsidR="00A550D5" w:rsidRPr="00855489">
        <w:rPr>
          <w:rFonts w:cs="Calibri"/>
          <w:iCs/>
        </w:rPr>
        <w:t>The PBAC agreed with the evaluation that d</w:t>
      </w:r>
      <w:r w:rsidR="00FA3B08" w:rsidRPr="00855489">
        <w:rPr>
          <w:rFonts w:cs="Calibri"/>
          <w:iCs/>
        </w:rPr>
        <w:t>espite this, it</w:t>
      </w:r>
      <w:r w:rsidR="00F17097" w:rsidRPr="00855489">
        <w:rPr>
          <w:rFonts w:cs="Calibri"/>
          <w:iCs/>
        </w:rPr>
        <w:t xml:space="preserve"> may</w:t>
      </w:r>
      <w:r w:rsidR="00FA3B08" w:rsidRPr="00855489">
        <w:rPr>
          <w:rFonts w:cs="Calibri"/>
          <w:iCs/>
        </w:rPr>
        <w:t xml:space="preserve"> be reasonable to anticipate that low dose BEC/FOR would be similar to other low dose ICS/LABA FDCs based on established equi-potent doses of ICS.</w:t>
      </w:r>
    </w:p>
    <w:p w14:paraId="27CDFA8E" w14:textId="77777777" w:rsidR="00A550D5" w:rsidRPr="00855489" w:rsidRDefault="00A550D5" w:rsidP="00A550D5">
      <w:pPr>
        <w:pStyle w:val="3-BodyText"/>
        <w:rPr>
          <w:rFonts w:cs="Calibri"/>
          <w:iCs/>
        </w:rPr>
      </w:pPr>
      <w:r w:rsidRPr="00855489">
        <w:rPr>
          <w:rFonts w:cs="Calibri"/>
          <w:iCs/>
        </w:rPr>
        <w:t>The PBAC considered that the claim of non-inferior comparative effectiveness was reasonable for maintenance treatment of asthma in adults.</w:t>
      </w:r>
    </w:p>
    <w:p w14:paraId="2411DF45" w14:textId="77777777" w:rsidR="00A550D5" w:rsidRPr="00855489" w:rsidRDefault="00A550D5" w:rsidP="00A550D5">
      <w:pPr>
        <w:pStyle w:val="3-BodyText"/>
        <w:rPr>
          <w:rFonts w:cs="Calibri"/>
          <w:iCs/>
        </w:rPr>
      </w:pPr>
      <w:r w:rsidRPr="00855489">
        <w:rPr>
          <w:rFonts w:cs="Calibri"/>
          <w:iCs/>
        </w:rPr>
        <w:t>The PBAC considered that the claim of non-inferior comparative safety was reasonable for maintenance treatment of asthma in adults.</w:t>
      </w:r>
    </w:p>
    <w:p w14:paraId="5CAF310F" w14:textId="77777777" w:rsidR="000C12F5" w:rsidRPr="00855489" w:rsidRDefault="000C12F5" w:rsidP="00061E62">
      <w:pPr>
        <w:pStyle w:val="3-BodyText"/>
        <w:rPr>
          <w:rFonts w:cs="Calibri"/>
          <w:iCs/>
        </w:rPr>
      </w:pPr>
      <w:r w:rsidRPr="00855489">
        <w:rPr>
          <w:rFonts w:cs="Calibri"/>
          <w:iCs/>
        </w:rPr>
        <w:t xml:space="preserve">The </w:t>
      </w:r>
      <w:r w:rsidR="00A550D5" w:rsidRPr="00855489">
        <w:rPr>
          <w:rFonts w:cs="Calibri"/>
          <w:iCs/>
        </w:rPr>
        <w:t xml:space="preserve">PBAC noted that the </w:t>
      </w:r>
      <w:r w:rsidRPr="00855489">
        <w:rPr>
          <w:rFonts w:cs="Calibri"/>
          <w:iCs/>
        </w:rPr>
        <w:t xml:space="preserve">submission did not make a clinical claim for use in MART. </w:t>
      </w:r>
      <w:r w:rsidR="00CE58D8" w:rsidRPr="00855489">
        <w:rPr>
          <w:rFonts w:cs="Calibri"/>
          <w:iCs/>
        </w:rPr>
        <w:t xml:space="preserve">The </w:t>
      </w:r>
      <w:r w:rsidR="00061E62" w:rsidRPr="00855489">
        <w:rPr>
          <w:rFonts w:cs="Calibri"/>
          <w:iCs/>
        </w:rPr>
        <w:t xml:space="preserve">available </w:t>
      </w:r>
      <w:r w:rsidR="00CE58D8" w:rsidRPr="00855489">
        <w:rPr>
          <w:rFonts w:cs="Calibri"/>
          <w:iCs/>
        </w:rPr>
        <w:t>e</w:t>
      </w:r>
      <w:r w:rsidRPr="00855489">
        <w:rPr>
          <w:rFonts w:cs="Calibri"/>
          <w:iCs/>
        </w:rPr>
        <w:t xml:space="preserve">vidence </w:t>
      </w:r>
      <w:r w:rsidR="00061E62" w:rsidRPr="00855489">
        <w:rPr>
          <w:rFonts w:cs="Calibri"/>
          <w:iCs/>
        </w:rPr>
        <w:t>shows</w:t>
      </w:r>
      <w:r w:rsidRPr="00855489">
        <w:rPr>
          <w:rFonts w:cs="Calibri"/>
          <w:iCs/>
        </w:rPr>
        <w:t xml:space="preserve"> that </w:t>
      </w:r>
      <w:r w:rsidR="00425B31" w:rsidRPr="00855489">
        <w:t xml:space="preserve">patients receiving both maintenance and </w:t>
      </w:r>
      <w:r w:rsidR="00CE58D8" w:rsidRPr="00855489">
        <w:rPr>
          <w:rFonts w:cs="Calibri"/>
          <w:iCs/>
        </w:rPr>
        <w:t xml:space="preserve">as-needed </w:t>
      </w:r>
      <w:r w:rsidRPr="00855489">
        <w:rPr>
          <w:rFonts w:cs="Calibri"/>
          <w:iCs/>
        </w:rPr>
        <w:t xml:space="preserve">BEC/FOR significantly reduced the time to first severe exacerbation compared to </w:t>
      </w:r>
      <w:r w:rsidR="00F92877" w:rsidRPr="00855489">
        <w:rPr>
          <w:rFonts w:cs="Calibri"/>
          <w:iCs/>
        </w:rPr>
        <w:t xml:space="preserve">BEC/FOR maintenance </w:t>
      </w:r>
      <w:r w:rsidR="00AF2AC3" w:rsidRPr="00855489">
        <w:rPr>
          <w:rFonts w:cs="Calibri"/>
          <w:iCs/>
        </w:rPr>
        <w:t xml:space="preserve">plus </w:t>
      </w:r>
      <w:r w:rsidR="000B3146" w:rsidRPr="00855489">
        <w:rPr>
          <w:rFonts w:cs="Calibri"/>
          <w:iCs/>
        </w:rPr>
        <w:t>as-needed salbutamol</w:t>
      </w:r>
      <w:r w:rsidRPr="00855489">
        <w:rPr>
          <w:rFonts w:cs="Calibri"/>
          <w:iCs/>
        </w:rPr>
        <w:t>, but also resulted in more treatment-related AEs.</w:t>
      </w:r>
      <w:r w:rsidR="00CE58D8" w:rsidRPr="00855489">
        <w:rPr>
          <w:rFonts w:cs="Calibri"/>
          <w:iCs/>
        </w:rPr>
        <w:t xml:space="preserve"> The </w:t>
      </w:r>
      <w:r w:rsidR="00A550D5" w:rsidRPr="00855489">
        <w:rPr>
          <w:rFonts w:cs="Calibri"/>
          <w:iCs/>
        </w:rPr>
        <w:t xml:space="preserve">PBAC noted the </w:t>
      </w:r>
      <w:r w:rsidR="00CE58D8" w:rsidRPr="00855489">
        <w:rPr>
          <w:rFonts w:cs="Calibri"/>
          <w:iCs/>
        </w:rPr>
        <w:t xml:space="preserve">submission did not present any evidence </w:t>
      </w:r>
      <w:r w:rsidR="00061E62" w:rsidRPr="00855489">
        <w:rPr>
          <w:rFonts w:cs="Calibri"/>
          <w:iCs/>
        </w:rPr>
        <w:lastRenderedPageBreak/>
        <w:t xml:space="preserve">comparing </w:t>
      </w:r>
      <w:r w:rsidR="00CE58D8" w:rsidRPr="00855489">
        <w:rPr>
          <w:rFonts w:cs="Calibri"/>
          <w:iCs/>
        </w:rPr>
        <w:t xml:space="preserve">as-needed BEC/FOR and </w:t>
      </w:r>
      <w:r w:rsidR="00061E62" w:rsidRPr="00855489">
        <w:rPr>
          <w:iCs/>
        </w:rPr>
        <w:t>other ICS/LABA FDC products available on the PBS for MART (i.e.</w:t>
      </w:r>
      <w:r w:rsidR="00865ABF" w:rsidRPr="00855489">
        <w:rPr>
          <w:iCs/>
        </w:rPr>
        <w:t xml:space="preserve"> BUD/FOR</w:t>
      </w:r>
      <w:r w:rsidR="00061E62" w:rsidRPr="00855489">
        <w:rPr>
          <w:iCs/>
        </w:rPr>
        <w:t xml:space="preserve"> inhalers).</w:t>
      </w:r>
    </w:p>
    <w:p w14:paraId="47F9E1DE" w14:textId="77777777" w:rsidR="00B60939" w:rsidRPr="00855489" w:rsidRDefault="00B60939" w:rsidP="002556CD">
      <w:pPr>
        <w:pStyle w:val="4-SubsectionHeading"/>
      </w:pPr>
      <w:bookmarkStart w:id="23" w:name="_Toc40775730"/>
      <w:r w:rsidRPr="00855489">
        <w:t>Economic analysis</w:t>
      </w:r>
      <w:bookmarkEnd w:id="22"/>
      <w:bookmarkEnd w:id="23"/>
      <w:r w:rsidR="00491B3A" w:rsidRPr="00855489">
        <w:t xml:space="preserve"> </w:t>
      </w:r>
    </w:p>
    <w:p w14:paraId="585ADE2F" w14:textId="77777777" w:rsidR="005C10A8" w:rsidRPr="00855489" w:rsidRDefault="00514830" w:rsidP="008333FC">
      <w:pPr>
        <w:pStyle w:val="3-BodyText"/>
      </w:pPr>
      <w:r w:rsidRPr="00855489">
        <w:rPr>
          <w:rFonts w:cs="Calibri"/>
          <w:snapToGrid/>
        </w:rPr>
        <w:t xml:space="preserve">The submission presented a cost-minimisation analysis </w:t>
      </w:r>
      <w:r w:rsidR="005C10A8" w:rsidRPr="00855489">
        <w:rPr>
          <w:rFonts w:cs="Calibri"/>
          <w:snapToGrid/>
        </w:rPr>
        <w:t xml:space="preserve">based on AEMP (per day) between </w:t>
      </w:r>
      <w:r w:rsidRPr="00855489">
        <w:t xml:space="preserve">BEC/FOR 100/6 and the </w:t>
      </w:r>
      <w:r w:rsidR="005C10A8" w:rsidRPr="00855489">
        <w:t>nominated comparators. The analysis assumed no additional costs or cost-offsets.</w:t>
      </w:r>
      <w:r w:rsidR="00B30F00" w:rsidRPr="00855489">
        <w:t xml:space="preserve"> </w:t>
      </w:r>
    </w:p>
    <w:p w14:paraId="310A976D" w14:textId="77777777" w:rsidR="00514830" w:rsidRPr="00855489" w:rsidRDefault="005C10A8" w:rsidP="00C87AE4">
      <w:pPr>
        <w:pStyle w:val="3-BodyText"/>
      </w:pPr>
      <w:r w:rsidRPr="00855489">
        <w:t>The submission proposed the following equi-effective doses based on the trial evidence and Therapeutic Relativities</w:t>
      </w:r>
      <w:r w:rsidR="00C87AE4" w:rsidRPr="00855489">
        <w:t>, corresponding to medium doses of ICS (STEP 4 in the clinical management algorithm)</w:t>
      </w:r>
      <w:r w:rsidRPr="00855489">
        <w:t>:</w:t>
      </w:r>
    </w:p>
    <w:p w14:paraId="7E600F14" w14:textId="77777777" w:rsidR="003E15EA" w:rsidRPr="00855489" w:rsidRDefault="003E15EA" w:rsidP="00C547B5">
      <w:pPr>
        <w:pStyle w:val="3-BodyText"/>
        <w:numPr>
          <w:ilvl w:val="0"/>
          <w:numId w:val="5"/>
        </w:numPr>
        <w:ind w:left="1134" w:hanging="425"/>
      </w:pPr>
      <w:r w:rsidRPr="00855489">
        <w:t xml:space="preserve">BEC/FOR 100/6 </w:t>
      </w:r>
      <w:r w:rsidR="00E80A90" w:rsidRPr="00855489">
        <w:t>two</w:t>
      </w:r>
      <w:r w:rsidRPr="00855489">
        <w:t xml:space="preserve"> </w:t>
      </w:r>
      <w:r w:rsidR="00865ABF" w:rsidRPr="00855489">
        <w:t xml:space="preserve">inhalations twice daily </w:t>
      </w:r>
      <w:r w:rsidRPr="00855489">
        <w:t>=</w:t>
      </w:r>
      <w:r w:rsidR="00865ABF" w:rsidRPr="00855489">
        <w:t xml:space="preserve"> </w:t>
      </w:r>
      <w:r w:rsidR="00187DA6" w:rsidRPr="00855489">
        <w:t>‘</w:t>
      </w:r>
      <w:r w:rsidRPr="00855489">
        <w:t>the indiv</w:t>
      </w:r>
      <w:r w:rsidR="005C10A8" w:rsidRPr="00855489">
        <w:t>idual components</w:t>
      </w:r>
      <w:r w:rsidR="00187DA6" w:rsidRPr="00855489">
        <w:t>’</w:t>
      </w:r>
      <w:r w:rsidRPr="00855489">
        <w:t>;</w:t>
      </w:r>
    </w:p>
    <w:p w14:paraId="462F7457" w14:textId="77777777" w:rsidR="003E15EA" w:rsidRPr="00855489" w:rsidRDefault="003E15EA" w:rsidP="00C547B5">
      <w:pPr>
        <w:pStyle w:val="3-BodyText"/>
        <w:numPr>
          <w:ilvl w:val="0"/>
          <w:numId w:val="5"/>
        </w:numPr>
        <w:ind w:left="1134" w:hanging="425"/>
      </w:pPr>
      <w:r w:rsidRPr="00855489">
        <w:t xml:space="preserve">BEC/FOR 100/6 </w:t>
      </w:r>
      <w:r w:rsidR="00E80A90" w:rsidRPr="00855489">
        <w:t>two</w:t>
      </w:r>
      <w:r w:rsidRPr="00855489">
        <w:t xml:space="preserve"> </w:t>
      </w:r>
      <w:r w:rsidR="00865ABF" w:rsidRPr="00855489">
        <w:t xml:space="preserve">inhalations twice daily </w:t>
      </w:r>
      <w:r w:rsidRPr="00855489">
        <w:t>=</w:t>
      </w:r>
      <w:r w:rsidR="00865ABF" w:rsidRPr="00855489">
        <w:t xml:space="preserve"> </w:t>
      </w:r>
      <w:r w:rsidR="00E80A90" w:rsidRPr="00855489">
        <w:t>FP/SAL 125/25 MDI two</w:t>
      </w:r>
      <w:r w:rsidRPr="00855489">
        <w:t xml:space="preserve"> </w:t>
      </w:r>
      <w:r w:rsidR="00E80A90" w:rsidRPr="00855489">
        <w:t>inhalations twice daily</w:t>
      </w:r>
    </w:p>
    <w:p w14:paraId="258F1409" w14:textId="77777777" w:rsidR="003E15EA" w:rsidRPr="00855489" w:rsidRDefault="003E15EA" w:rsidP="00C547B5">
      <w:pPr>
        <w:pStyle w:val="3-BodyText"/>
        <w:numPr>
          <w:ilvl w:val="0"/>
          <w:numId w:val="5"/>
        </w:numPr>
        <w:ind w:left="1134" w:hanging="425"/>
      </w:pPr>
      <w:r w:rsidRPr="00855489">
        <w:t xml:space="preserve">BEC/FOR 100/6 </w:t>
      </w:r>
      <w:r w:rsidR="00E80A90" w:rsidRPr="00855489">
        <w:t>two</w:t>
      </w:r>
      <w:r w:rsidRPr="00855489">
        <w:t xml:space="preserve"> </w:t>
      </w:r>
      <w:r w:rsidR="00865ABF" w:rsidRPr="00855489">
        <w:t xml:space="preserve">inhalations twice daily </w:t>
      </w:r>
      <w:r w:rsidRPr="00855489">
        <w:t>=</w:t>
      </w:r>
      <w:r w:rsidR="00865ABF" w:rsidRPr="00855489">
        <w:t xml:space="preserve"> </w:t>
      </w:r>
      <w:r w:rsidRPr="00855489">
        <w:t xml:space="preserve">BUD/FOR 200/6 DPI </w:t>
      </w:r>
      <w:r w:rsidR="00E80A90" w:rsidRPr="00855489">
        <w:t>two</w:t>
      </w:r>
      <w:r w:rsidRPr="00855489">
        <w:t xml:space="preserve"> </w:t>
      </w:r>
      <w:r w:rsidR="00E80A90" w:rsidRPr="00855489">
        <w:t>inhalations twice daily</w:t>
      </w:r>
    </w:p>
    <w:p w14:paraId="7D005C5B" w14:textId="77777777" w:rsidR="005C10A8" w:rsidRPr="00855489" w:rsidRDefault="005C10A8" w:rsidP="00C547B5">
      <w:pPr>
        <w:pStyle w:val="3-BodyText"/>
        <w:numPr>
          <w:ilvl w:val="0"/>
          <w:numId w:val="5"/>
        </w:numPr>
        <w:ind w:left="1134" w:hanging="425"/>
      </w:pPr>
      <w:r w:rsidRPr="00855489">
        <w:t xml:space="preserve">BEC/FOR 100/6 </w:t>
      </w:r>
      <w:r w:rsidR="00E80A90" w:rsidRPr="00855489">
        <w:t>two</w:t>
      </w:r>
      <w:r w:rsidRPr="00855489">
        <w:t xml:space="preserve"> </w:t>
      </w:r>
      <w:r w:rsidR="00865ABF" w:rsidRPr="00855489">
        <w:t xml:space="preserve">inhalations twice daily </w:t>
      </w:r>
      <w:r w:rsidRPr="00855489">
        <w:t xml:space="preserve">= FP/SAL 250/50 DPI </w:t>
      </w:r>
      <w:r w:rsidR="00E80A90" w:rsidRPr="00855489">
        <w:t>one</w:t>
      </w:r>
      <w:r w:rsidR="00865ABF" w:rsidRPr="00855489">
        <w:t xml:space="preserve"> inhalation twice daily</w:t>
      </w:r>
    </w:p>
    <w:p w14:paraId="11E40D04" w14:textId="77777777" w:rsidR="005C10A8" w:rsidRPr="00855489" w:rsidRDefault="005C10A8" w:rsidP="00C547B5">
      <w:pPr>
        <w:pStyle w:val="3-BodyText"/>
        <w:numPr>
          <w:ilvl w:val="0"/>
          <w:numId w:val="5"/>
        </w:numPr>
        <w:ind w:left="1134" w:hanging="425"/>
      </w:pPr>
      <w:r w:rsidRPr="00855489">
        <w:t xml:space="preserve">BEC/FOR 100/6 </w:t>
      </w:r>
      <w:r w:rsidR="008F08B9" w:rsidRPr="00855489">
        <w:t>two</w:t>
      </w:r>
      <w:r w:rsidRPr="00855489">
        <w:t xml:space="preserve"> </w:t>
      </w:r>
      <w:r w:rsidR="00865ABF" w:rsidRPr="00855489">
        <w:t>inhalations twice daily</w:t>
      </w:r>
      <w:r w:rsidRPr="00855489">
        <w:t xml:space="preserve"> = BUD/FOR 200/6 MDI </w:t>
      </w:r>
      <w:r w:rsidR="008F08B9" w:rsidRPr="00855489">
        <w:t>two</w:t>
      </w:r>
      <w:r w:rsidRPr="00855489">
        <w:t xml:space="preserve"> </w:t>
      </w:r>
      <w:r w:rsidR="002556CD" w:rsidRPr="00855489">
        <w:t>inhalations twice daily</w:t>
      </w:r>
      <w:r w:rsidR="0081730A" w:rsidRPr="00855489">
        <w:t xml:space="preserve"> (see paragraph below)</w:t>
      </w:r>
    </w:p>
    <w:p w14:paraId="74D412F7" w14:textId="77777777" w:rsidR="005C10A8" w:rsidRPr="00855489" w:rsidRDefault="005C10A8" w:rsidP="00C547B5">
      <w:pPr>
        <w:pStyle w:val="3-BodyText"/>
        <w:numPr>
          <w:ilvl w:val="0"/>
          <w:numId w:val="5"/>
        </w:numPr>
        <w:ind w:left="1134" w:hanging="425"/>
      </w:pPr>
      <w:r w:rsidRPr="00855489">
        <w:t xml:space="preserve">BEC/FOR 100/6 </w:t>
      </w:r>
      <w:r w:rsidR="00AD6773" w:rsidRPr="00855489">
        <w:t>two</w:t>
      </w:r>
      <w:r w:rsidRPr="00855489">
        <w:t xml:space="preserve"> </w:t>
      </w:r>
      <w:r w:rsidR="002556CD" w:rsidRPr="00855489">
        <w:t>inhalations twice daily</w:t>
      </w:r>
      <w:r w:rsidRPr="00855489">
        <w:t xml:space="preserve"> = FP/FOR 125/5 </w:t>
      </w:r>
      <w:r w:rsidR="00AD6773" w:rsidRPr="00855489">
        <w:t>two</w:t>
      </w:r>
      <w:r w:rsidRPr="00855489">
        <w:t xml:space="preserve"> </w:t>
      </w:r>
      <w:r w:rsidR="002556CD" w:rsidRPr="00855489">
        <w:t>inhalations twice daily</w:t>
      </w:r>
    </w:p>
    <w:p w14:paraId="06E876A2" w14:textId="77777777" w:rsidR="00C45083" w:rsidRPr="00855489" w:rsidRDefault="005C10A8" w:rsidP="00C45083">
      <w:pPr>
        <w:pStyle w:val="3-BodyText"/>
        <w:numPr>
          <w:ilvl w:val="0"/>
          <w:numId w:val="5"/>
        </w:numPr>
        <w:ind w:left="1134" w:hanging="425"/>
      </w:pPr>
      <w:r w:rsidRPr="00855489">
        <w:t xml:space="preserve">BEC/FOR 100/6 </w:t>
      </w:r>
      <w:r w:rsidR="00AD6773" w:rsidRPr="00855489">
        <w:t>two</w:t>
      </w:r>
      <w:r w:rsidRPr="00855489">
        <w:t xml:space="preserve"> </w:t>
      </w:r>
      <w:r w:rsidR="002556CD" w:rsidRPr="00855489">
        <w:t>inhalations twice daily</w:t>
      </w:r>
      <w:r w:rsidRPr="00855489">
        <w:t xml:space="preserve"> = FF/VIL 100/25 </w:t>
      </w:r>
      <w:r w:rsidR="00AD6773" w:rsidRPr="00855489">
        <w:t>one</w:t>
      </w:r>
      <w:r w:rsidR="002556CD" w:rsidRPr="00855489">
        <w:t xml:space="preserve"> inhalation daily</w:t>
      </w:r>
      <w:r w:rsidR="00C45083" w:rsidRPr="00855489">
        <w:t>.</w:t>
      </w:r>
    </w:p>
    <w:p w14:paraId="1F1BE3B8" w14:textId="77777777" w:rsidR="006B52DE" w:rsidRPr="00855489" w:rsidRDefault="00CA5844" w:rsidP="00F6246C">
      <w:pPr>
        <w:pStyle w:val="3-BodyText"/>
      </w:pPr>
      <w:r w:rsidRPr="00855489">
        <w:rPr>
          <w:iCs/>
        </w:rPr>
        <w:t xml:space="preserve">The nominated equi-effective dose for BUD/FOR 200/6 MDI may not be reasonable given one script provides for 60 days of treatment at the equi-effective dose (2x120 actuations per script), rather than 30 days of treatment for </w:t>
      </w:r>
      <w:r w:rsidR="00C1119C" w:rsidRPr="00855489">
        <w:rPr>
          <w:iCs/>
        </w:rPr>
        <w:t>BEC/FOR</w:t>
      </w:r>
      <w:r w:rsidRPr="00855489">
        <w:rPr>
          <w:iCs/>
        </w:rPr>
        <w:t xml:space="preserve"> (120 actuations per script). The Therapeutic Relativities determined by the PBAC </w:t>
      </w:r>
      <w:r w:rsidR="00142404" w:rsidRPr="00855489">
        <w:rPr>
          <w:iCs/>
        </w:rPr>
        <w:t xml:space="preserve">provide the same duration of </w:t>
      </w:r>
      <w:r w:rsidRPr="00855489">
        <w:rPr>
          <w:iCs/>
        </w:rPr>
        <w:t xml:space="preserve">treatment </w:t>
      </w:r>
      <w:r w:rsidR="00142404" w:rsidRPr="00855489">
        <w:rPr>
          <w:iCs/>
        </w:rPr>
        <w:t>across available products</w:t>
      </w:r>
      <w:r w:rsidRPr="00855489">
        <w:rPr>
          <w:iCs/>
        </w:rPr>
        <w:t>, and actually state that BUD/FOR 200/6 DPI BD = BUD/FOR 100/3 MDI 2 BD. Therefore</w:t>
      </w:r>
      <w:r w:rsidR="00142404" w:rsidRPr="00855489">
        <w:rPr>
          <w:iCs/>
        </w:rPr>
        <w:t xml:space="preserve"> the corresponding equi-effective dose for Fostair® is </w:t>
      </w:r>
      <w:r w:rsidRPr="00855489">
        <w:rPr>
          <w:iCs/>
        </w:rPr>
        <w:t>BEC/FOR 100/6 MDI 2 BD = BUD/FOR 100/3 MDI 4 BD.</w:t>
      </w:r>
      <w:r w:rsidR="006F320F" w:rsidRPr="00855489">
        <w:rPr>
          <w:iCs/>
        </w:rPr>
        <w:t xml:space="preserve"> </w:t>
      </w:r>
      <w:r w:rsidR="006B52DE" w:rsidRPr="00855489">
        <w:t xml:space="preserve">The pre-PBAC response (p2) acknowledged that </w:t>
      </w:r>
      <w:r w:rsidR="00CE1AAC" w:rsidRPr="00855489">
        <w:t xml:space="preserve">one script of </w:t>
      </w:r>
      <w:r w:rsidR="00F6246C" w:rsidRPr="00855489">
        <w:t xml:space="preserve">BUD/FOR </w:t>
      </w:r>
      <w:r w:rsidR="006B52DE" w:rsidRPr="00855489">
        <w:t xml:space="preserve">100/3 </w:t>
      </w:r>
      <w:r w:rsidR="00F6246C" w:rsidRPr="00855489">
        <w:t>MDI includes</w:t>
      </w:r>
      <w:r w:rsidR="006B52DE" w:rsidRPr="00855489">
        <w:t xml:space="preserve"> two inhalers</w:t>
      </w:r>
      <w:r w:rsidR="00F6246C" w:rsidRPr="00855489">
        <w:t xml:space="preserve"> </w:t>
      </w:r>
      <w:r w:rsidR="00CE1AAC" w:rsidRPr="00855489">
        <w:t>(total of 240 actuations) providing</w:t>
      </w:r>
      <w:r w:rsidR="00F6246C" w:rsidRPr="00855489">
        <w:t xml:space="preserve"> </w:t>
      </w:r>
      <w:r w:rsidR="006B52DE" w:rsidRPr="00855489">
        <w:t>30 days of treatment</w:t>
      </w:r>
      <w:r w:rsidR="00CE1AAC" w:rsidRPr="00855489">
        <w:t xml:space="preserve"> and hence was the relevant strength BUD/FOR MDI comparator for the calculation of equi-effective doses</w:t>
      </w:r>
      <w:r w:rsidR="006B52DE" w:rsidRPr="00855489">
        <w:t>.</w:t>
      </w:r>
      <w:r w:rsidR="00C45083" w:rsidRPr="00855489">
        <w:t xml:space="preserve"> The PBAC agreed with the evaluation that the equi-effective dose nominated for BUD/FOR 200/6 MDI in paragraph 6.25 was not reasonable as one script provides for 60 days of trea</w:t>
      </w:r>
      <w:r w:rsidR="00AF2AC3" w:rsidRPr="00855489">
        <w:t>tment</w:t>
      </w:r>
      <w:r w:rsidR="00C45083" w:rsidRPr="00855489">
        <w:t xml:space="preserve">. </w:t>
      </w:r>
    </w:p>
    <w:p w14:paraId="0BFBCC89" w14:textId="77777777" w:rsidR="006A0BE0" w:rsidRPr="00855489" w:rsidRDefault="006A0BE0" w:rsidP="006B52DE">
      <w:pPr>
        <w:pStyle w:val="3-BodyText"/>
        <w:rPr>
          <w:iCs/>
        </w:rPr>
      </w:pPr>
      <w:r w:rsidRPr="00855489">
        <w:rPr>
          <w:iCs/>
        </w:rPr>
        <w:t xml:space="preserve">The cost-minimisation analysis versus the individual components was based on the costliest combination of inhalers, assuming cost equivalence to BEC 100 </w:t>
      </w:r>
      <w:r w:rsidR="00EC66D0" w:rsidRPr="00855489">
        <w:rPr>
          <w:iCs/>
        </w:rPr>
        <w:t>two inhalation twice daily (Qvar® Autohaler®)</w:t>
      </w:r>
      <w:r w:rsidRPr="00855489">
        <w:rPr>
          <w:iCs/>
        </w:rPr>
        <w:t xml:space="preserve"> plus FOR 6</w:t>
      </w:r>
      <w:r w:rsidR="00061E62" w:rsidRPr="00855489">
        <w:rPr>
          <w:iCs/>
        </w:rPr>
        <w:t xml:space="preserve"> DPI</w:t>
      </w:r>
      <w:r w:rsidRPr="00855489">
        <w:rPr>
          <w:iCs/>
        </w:rPr>
        <w:t xml:space="preserve"> </w:t>
      </w:r>
      <w:r w:rsidR="00EC66D0" w:rsidRPr="00855489">
        <w:rPr>
          <w:iCs/>
        </w:rPr>
        <w:t xml:space="preserve">two inhalations twice daily (Oxis® Turbuhaler®). </w:t>
      </w:r>
      <w:r w:rsidRPr="00855489">
        <w:rPr>
          <w:iCs/>
        </w:rPr>
        <w:t>The Qvar</w:t>
      </w:r>
      <w:r w:rsidR="00061E62" w:rsidRPr="00855489">
        <w:rPr>
          <w:iCs/>
        </w:rPr>
        <w:t>®</w:t>
      </w:r>
      <w:r w:rsidR="00EC66D0" w:rsidRPr="00855489">
        <w:rPr>
          <w:iCs/>
        </w:rPr>
        <w:t xml:space="preserve"> Autohaler®</w:t>
      </w:r>
      <w:r w:rsidRPr="00855489">
        <w:rPr>
          <w:iCs/>
        </w:rPr>
        <w:t xml:space="preserve"> however, is costlier than the standard </w:t>
      </w:r>
      <w:r w:rsidRPr="00855489">
        <w:rPr>
          <w:iCs/>
        </w:rPr>
        <w:lastRenderedPageBreak/>
        <w:t xml:space="preserve">Qvar® </w:t>
      </w:r>
      <w:r w:rsidR="00EC66D0" w:rsidRPr="00855489">
        <w:rPr>
          <w:iCs/>
        </w:rPr>
        <w:t>inhaler containing BEC 100</w:t>
      </w:r>
      <w:r w:rsidR="003A17BA" w:rsidRPr="00855489">
        <w:rPr>
          <w:iCs/>
        </w:rPr>
        <w:t>.</w:t>
      </w:r>
      <w:r w:rsidRPr="00855489">
        <w:rPr>
          <w:iCs/>
        </w:rPr>
        <w:t xml:space="preserve"> </w:t>
      </w:r>
      <w:r w:rsidR="00EC66D0" w:rsidRPr="00855489">
        <w:rPr>
          <w:iCs/>
        </w:rPr>
        <w:t>In addition, t</w:t>
      </w:r>
      <w:r w:rsidRPr="00855489">
        <w:rPr>
          <w:iCs/>
        </w:rPr>
        <w:t>he Oxis</w:t>
      </w:r>
      <w:r w:rsidR="00061E62" w:rsidRPr="00855489">
        <w:rPr>
          <w:iCs/>
        </w:rPr>
        <w:t>®</w:t>
      </w:r>
      <w:r w:rsidRPr="00855489">
        <w:rPr>
          <w:iCs/>
        </w:rPr>
        <w:t xml:space="preserve"> Turbuhaler®</w:t>
      </w:r>
      <w:r w:rsidR="00EC66D0" w:rsidRPr="00855489">
        <w:rPr>
          <w:iCs/>
        </w:rPr>
        <w:t xml:space="preserve"> (FOR 6) used in the analysis </w:t>
      </w:r>
      <w:r w:rsidRPr="00855489">
        <w:rPr>
          <w:iCs/>
        </w:rPr>
        <w:t>only provides 15 days of treatment at the equi-effective dose</w:t>
      </w:r>
      <w:r w:rsidR="00EC66D0" w:rsidRPr="00855489">
        <w:rPr>
          <w:iCs/>
        </w:rPr>
        <w:t xml:space="preserve"> and</w:t>
      </w:r>
      <w:r w:rsidRPr="00855489">
        <w:rPr>
          <w:iCs/>
        </w:rPr>
        <w:t xml:space="preserve"> is costlier than </w:t>
      </w:r>
      <w:r w:rsidR="00EC66D0" w:rsidRPr="00855489">
        <w:rPr>
          <w:iCs/>
        </w:rPr>
        <w:t>both the high</w:t>
      </w:r>
      <w:r w:rsidR="00376D33" w:rsidRPr="00855489">
        <w:rPr>
          <w:iCs/>
        </w:rPr>
        <w:t>er</w:t>
      </w:r>
      <w:r w:rsidR="00EC66D0" w:rsidRPr="00855489">
        <w:rPr>
          <w:iCs/>
        </w:rPr>
        <w:t xml:space="preserve"> strength </w:t>
      </w:r>
      <w:r w:rsidRPr="00855489">
        <w:rPr>
          <w:iCs/>
        </w:rPr>
        <w:t>Oxis</w:t>
      </w:r>
      <w:r w:rsidR="00061E62" w:rsidRPr="00855489">
        <w:rPr>
          <w:iCs/>
        </w:rPr>
        <w:t>®</w:t>
      </w:r>
      <w:r w:rsidRPr="00855489">
        <w:rPr>
          <w:iCs/>
        </w:rPr>
        <w:t xml:space="preserve"> Turbuhaler® (FOR 12</w:t>
      </w:r>
      <w:r w:rsidR="00EC66D0" w:rsidRPr="00855489">
        <w:rPr>
          <w:iCs/>
        </w:rPr>
        <w:t>) and</w:t>
      </w:r>
      <w:r w:rsidRPr="00855489">
        <w:rPr>
          <w:iCs/>
        </w:rPr>
        <w:t xml:space="preserve"> the Foradile</w:t>
      </w:r>
      <w:r w:rsidR="00061E62" w:rsidRPr="00855489">
        <w:rPr>
          <w:iCs/>
        </w:rPr>
        <w:t>®</w:t>
      </w:r>
      <w:r w:rsidRPr="00855489">
        <w:rPr>
          <w:iCs/>
        </w:rPr>
        <w:t xml:space="preserve"> Aeroliser® </w:t>
      </w:r>
      <w:r w:rsidR="00061E62" w:rsidRPr="00855489">
        <w:rPr>
          <w:iCs/>
        </w:rPr>
        <w:t xml:space="preserve">(FOR 12 </w:t>
      </w:r>
      <w:r w:rsidRPr="00855489">
        <w:rPr>
          <w:iCs/>
        </w:rPr>
        <w:t>DPI capsules</w:t>
      </w:r>
      <w:r w:rsidR="00EC66D0" w:rsidRPr="00855489">
        <w:rPr>
          <w:iCs/>
        </w:rPr>
        <w:t>)</w:t>
      </w:r>
      <w:r w:rsidRPr="00855489">
        <w:rPr>
          <w:iCs/>
        </w:rPr>
        <w:t xml:space="preserve"> used in the trial. The submission did not justify the choice of individual component inhalers included in the cost-minimisation analysis</w:t>
      </w:r>
      <w:r w:rsidR="00C45083" w:rsidRPr="00855489">
        <w:rPr>
          <w:iCs/>
        </w:rPr>
        <w:t>.</w:t>
      </w:r>
      <w:r w:rsidRPr="00855489">
        <w:rPr>
          <w:iCs/>
        </w:rPr>
        <w:t xml:space="preserve"> </w:t>
      </w:r>
      <w:r w:rsidR="00C45083" w:rsidRPr="00855489">
        <w:rPr>
          <w:iCs/>
        </w:rPr>
        <w:t xml:space="preserve">The PBAC considered </w:t>
      </w:r>
      <w:r w:rsidR="00290958" w:rsidRPr="00855489">
        <w:rPr>
          <w:iCs/>
        </w:rPr>
        <w:t xml:space="preserve">that an appropriate </w:t>
      </w:r>
      <w:r w:rsidR="003A17BA" w:rsidRPr="00855489">
        <w:rPr>
          <w:iCs/>
        </w:rPr>
        <w:t>compar</w:t>
      </w:r>
      <w:r w:rsidR="00290958" w:rsidRPr="00855489">
        <w:rPr>
          <w:iCs/>
        </w:rPr>
        <w:t>ison of</w:t>
      </w:r>
      <w:r w:rsidRPr="00855489">
        <w:rPr>
          <w:iCs/>
        </w:rPr>
        <w:t xml:space="preserve"> an </w:t>
      </w:r>
      <w:r w:rsidR="00AF2AC3" w:rsidRPr="00855489">
        <w:rPr>
          <w:iCs/>
        </w:rPr>
        <w:t xml:space="preserve">ICS/LABA </w:t>
      </w:r>
      <w:r w:rsidRPr="00855489">
        <w:rPr>
          <w:iCs/>
        </w:rPr>
        <w:t xml:space="preserve">FDC </w:t>
      </w:r>
      <w:r w:rsidR="003A17BA" w:rsidRPr="00855489">
        <w:rPr>
          <w:iCs/>
        </w:rPr>
        <w:t xml:space="preserve">with the individual components </w:t>
      </w:r>
      <w:r w:rsidR="00290958" w:rsidRPr="00855489">
        <w:rPr>
          <w:iCs/>
        </w:rPr>
        <w:t xml:space="preserve">would be one </w:t>
      </w:r>
      <w:r w:rsidR="003A17BA" w:rsidRPr="00855489">
        <w:rPr>
          <w:iCs/>
        </w:rPr>
        <w:t>that provide</w:t>
      </w:r>
      <w:r w:rsidR="00290958" w:rsidRPr="00855489">
        <w:rPr>
          <w:iCs/>
        </w:rPr>
        <w:t>s</w:t>
      </w:r>
      <w:r w:rsidRPr="00855489">
        <w:rPr>
          <w:iCs/>
        </w:rPr>
        <w:t xml:space="preserve"> a similar </w:t>
      </w:r>
      <w:r w:rsidR="003A17BA" w:rsidRPr="00855489">
        <w:rPr>
          <w:iCs/>
        </w:rPr>
        <w:t xml:space="preserve">duration of treatment </w:t>
      </w:r>
      <w:r w:rsidRPr="00855489">
        <w:rPr>
          <w:iCs/>
        </w:rPr>
        <w:t>(</w:t>
      </w:r>
      <w:r w:rsidR="003A17BA" w:rsidRPr="00855489">
        <w:rPr>
          <w:iCs/>
        </w:rPr>
        <w:t>i.e. 30 days</w:t>
      </w:r>
      <w:r w:rsidRPr="00855489">
        <w:rPr>
          <w:iCs/>
        </w:rPr>
        <w:t>).</w:t>
      </w:r>
    </w:p>
    <w:p w14:paraId="55E24A35" w14:textId="77777777" w:rsidR="00061E62" w:rsidRPr="00855489" w:rsidRDefault="00142404" w:rsidP="00521814">
      <w:pPr>
        <w:pStyle w:val="3-BodyText"/>
        <w:rPr>
          <w:iCs/>
        </w:rPr>
      </w:pPr>
      <w:r w:rsidRPr="00855489">
        <w:t>At the requested price</w:t>
      </w:r>
      <w:r w:rsidR="00DC05B1" w:rsidRPr="00855489">
        <w:t xml:space="preserve"> (DPMQ = $48.64)</w:t>
      </w:r>
      <w:r w:rsidRPr="00855489">
        <w:t xml:space="preserve">, BEC/FOR 100/6 MDI is cost equivalent to treatment with FP/SAL 125/25 MDI or FP/SAL 250/50 DPI, each </w:t>
      </w:r>
      <w:r w:rsidR="000E430B" w:rsidRPr="00855489">
        <w:t>providing 30 days of treatment.</w:t>
      </w:r>
    </w:p>
    <w:p w14:paraId="6545B40F" w14:textId="77777777" w:rsidR="00142404" w:rsidRPr="00855489" w:rsidRDefault="00142404" w:rsidP="00521814">
      <w:pPr>
        <w:pStyle w:val="3-BodyText"/>
        <w:rPr>
          <w:iCs/>
        </w:rPr>
      </w:pPr>
      <w:r w:rsidRPr="00855489">
        <w:rPr>
          <w:iCs/>
        </w:rPr>
        <w:t>Based on the cost-minimisation analysis presented in the submission and conducted during the evaluation at the nominated equi-effective doses, the following ICS/LABA FDCs are less costly than the requested price:</w:t>
      </w:r>
    </w:p>
    <w:p w14:paraId="3E19975D" w14:textId="77777777" w:rsidR="00DC05B1" w:rsidRPr="00855489" w:rsidRDefault="00DC05B1" w:rsidP="00C547B5">
      <w:pPr>
        <w:pStyle w:val="3-BodyText"/>
        <w:numPr>
          <w:ilvl w:val="0"/>
          <w:numId w:val="5"/>
        </w:numPr>
        <w:ind w:left="1134" w:hanging="425"/>
        <w:rPr>
          <w:iCs/>
        </w:rPr>
      </w:pPr>
      <w:r w:rsidRPr="00855489">
        <w:rPr>
          <w:iCs/>
        </w:rPr>
        <w:t>DPMQ = $41.46 versus BUD/FOR 200/6 MDI, but this may not be the appropriate strength comparator as it provides for 60 days</w:t>
      </w:r>
      <w:r w:rsidR="00CA0DDC" w:rsidRPr="00855489">
        <w:rPr>
          <w:iCs/>
        </w:rPr>
        <w:t xml:space="preserve"> of treatment</w:t>
      </w:r>
      <w:r w:rsidRPr="00855489">
        <w:rPr>
          <w:iCs/>
        </w:rPr>
        <w:t>.</w:t>
      </w:r>
    </w:p>
    <w:p w14:paraId="76D0A48C" w14:textId="77777777" w:rsidR="00DC05B1" w:rsidRPr="00855489" w:rsidRDefault="00E0060D" w:rsidP="00C547B5">
      <w:pPr>
        <w:pStyle w:val="3-BodyText"/>
        <w:numPr>
          <w:ilvl w:val="0"/>
          <w:numId w:val="5"/>
        </w:numPr>
        <w:ind w:left="1134" w:hanging="425"/>
        <w:rPr>
          <w:iCs/>
        </w:rPr>
      </w:pPr>
      <w:r w:rsidRPr="00855489">
        <w:rPr>
          <w:iCs/>
        </w:rPr>
        <w:t>DPMQ = $44.14 versus l</w:t>
      </w:r>
      <w:r w:rsidR="00DC05B1" w:rsidRPr="00855489">
        <w:rPr>
          <w:iCs/>
        </w:rPr>
        <w:t>east costly combination of individual component inhalers, that provide at least 30 days of treatment</w:t>
      </w:r>
      <w:r w:rsidRPr="00855489">
        <w:rPr>
          <w:iCs/>
        </w:rPr>
        <w:t>.</w:t>
      </w:r>
    </w:p>
    <w:p w14:paraId="3D457FED" w14:textId="77777777" w:rsidR="00DC05B1" w:rsidRPr="00855489" w:rsidRDefault="00E0060D" w:rsidP="00C547B5">
      <w:pPr>
        <w:pStyle w:val="3-BodyText"/>
        <w:numPr>
          <w:ilvl w:val="0"/>
          <w:numId w:val="5"/>
        </w:numPr>
        <w:ind w:left="1134" w:hanging="425"/>
        <w:rPr>
          <w:iCs/>
        </w:rPr>
      </w:pPr>
      <w:r w:rsidRPr="00855489">
        <w:rPr>
          <w:iCs/>
        </w:rPr>
        <w:t xml:space="preserve">DPMQ = $44.79 versus </w:t>
      </w:r>
      <w:r w:rsidR="00DC05B1" w:rsidRPr="00855489">
        <w:rPr>
          <w:iCs/>
        </w:rPr>
        <w:t>BUD/FOR 200/6 DPI</w:t>
      </w:r>
      <w:r w:rsidRPr="00855489">
        <w:rPr>
          <w:iCs/>
        </w:rPr>
        <w:t>.</w:t>
      </w:r>
    </w:p>
    <w:p w14:paraId="2E4984AF" w14:textId="77777777" w:rsidR="00CB12FF" w:rsidRPr="00855489" w:rsidRDefault="00E0060D" w:rsidP="00C547B5">
      <w:pPr>
        <w:pStyle w:val="3-BodyText"/>
        <w:numPr>
          <w:ilvl w:val="0"/>
          <w:numId w:val="5"/>
        </w:numPr>
        <w:ind w:left="1134" w:hanging="425"/>
      </w:pPr>
      <w:r w:rsidRPr="00855489">
        <w:rPr>
          <w:iCs/>
        </w:rPr>
        <w:t xml:space="preserve">DPMQ = $45.16 versus </w:t>
      </w:r>
      <w:r w:rsidR="00142404" w:rsidRPr="00855489">
        <w:rPr>
          <w:iCs/>
        </w:rPr>
        <w:t>FP/FOR 125/5</w:t>
      </w:r>
      <w:r w:rsidRPr="00855489">
        <w:rPr>
          <w:iCs/>
        </w:rPr>
        <w:t>.</w:t>
      </w:r>
    </w:p>
    <w:p w14:paraId="55740264" w14:textId="77777777" w:rsidR="00B30F00" w:rsidRPr="00855489" w:rsidRDefault="00B30F00" w:rsidP="00B30F00">
      <w:pPr>
        <w:pStyle w:val="3-BodyText"/>
        <w:numPr>
          <w:ilvl w:val="0"/>
          <w:numId w:val="0"/>
        </w:numPr>
        <w:ind w:left="709"/>
      </w:pPr>
      <w:r w:rsidRPr="00855489">
        <w:t xml:space="preserve">The pre-PBAC response (p1) </w:t>
      </w:r>
      <w:r w:rsidR="00693503" w:rsidRPr="00855489">
        <w:t xml:space="preserve">stated that while FP/SAL has the highest ICS/LABA FDC market share, </w:t>
      </w:r>
      <w:r w:rsidRPr="00855489">
        <w:t xml:space="preserve">a cost-minimisation </w:t>
      </w:r>
      <w:r w:rsidR="00207904" w:rsidRPr="00855489">
        <w:t>versus</w:t>
      </w:r>
      <w:r w:rsidRPr="00855489">
        <w:t xml:space="preserve"> BUD/FOR </w:t>
      </w:r>
      <w:r w:rsidR="00693503" w:rsidRPr="00855489">
        <w:t>may be more appropriate</w:t>
      </w:r>
      <w:r w:rsidR="00640B8A" w:rsidRPr="00855489">
        <w:t xml:space="preserve"> and proposed that BEC/FOR be priced against BUD/FOR 200/6 DPI</w:t>
      </w:r>
      <w:r w:rsidRPr="00855489">
        <w:t xml:space="preserve">. </w:t>
      </w:r>
    </w:p>
    <w:p w14:paraId="5E8CA7D8" w14:textId="77777777" w:rsidR="00E44BB6" w:rsidRPr="00855489" w:rsidRDefault="00C87AE4" w:rsidP="008244FF">
      <w:pPr>
        <w:pStyle w:val="3-BodyText"/>
        <w:rPr>
          <w:iCs/>
        </w:rPr>
      </w:pPr>
      <w:r w:rsidRPr="00855489">
        <w:rPr>
          <w:iCs/>
        </w:rPr>
        <w:t xml:space="preserve">The submission did not nominate equi-effective doses for the lower recommended dose of BEC/FOR one inhalation twice daily, or present a cost-minimisation analysis for BEC/FOR versus low dose ICS/LABA FDCs (for either maintenance treatment or MART, corresponding to STEP 3 in the clinical management algorithm). </w:t>
      </w:r>
      <w:r w:rsidR="000B1B65" w:rsidRPr="00855489">
        <w:rPr>
          <w:iCs/>
        </w:rPr>
        <w:t xml:space="preserve">A cost-minimisation analysis between low dose BEC/FOR and other low dose ICS/FDCs is problematic </w:t>
      </w:r>
      <w:r w:rsidR="008244FF" w:rsidRPr="00855489">
        <w:rPr>
          <w:iCs/>
        </w:rPr>
        <w:t>because the sponsor only requested one strength formulation of BEC/FOR.</w:t>
      </w:r>
    </w:p>
    <w:p w14:paraId="550FEA6D" w14:textId="77777777" w:rsidR="00E44BB6" w:rsidRPr="00855489" w:rsidRDefault="008244FF" w:rsidP="008244FF">
      <w:pPr>
        <w:pStyle w:val="3-BodyText"/>
        <w:rPr>
          <w:iCs/>
        </w:rPr>
      </w:pPr>
      <w:r w:rsidRPr="00855489">
        <w:rPr>
          <w:iCs/>
        </w:rPr>
        <w:t xml:space="preserve">At the dose of one inhalation twice daily, BEC/FOR 100/6 provides </w:t>
      </w:r>
      <w:r w:rsidR="00C87AE4" w:rsidRPr="00855489">
        <w:rPr>
          <w:iCs/>
        </w:rPr>
        <w:t xml:space="preserve">for 60 days of low dose ICS but </w:t>
      </w:r>
      <w:r w:rsidR="00E44BB6" w:rsidRPr="00855489">
        <w:rPr>
          <w:iCs/>
        </w:rPr>
        <w:t xml:space="preserve">other </w:t>
      </w:r>
      <w:r w:rsidRPr="00855489">
        <w:rPr>
          <w:iCs/>
        </w:rPr>
        <w:t xml:space="preserve">low dose </w:t>
      </w:r>
      <w:r w:rsidR="00C87AE4" w:rsidRPr="00855489">
        <w:rPr>
          <w:iCs/>
        </w:rPr>
        <w:t xml:space="preserve">ICS/LABA FDCs provide 30 days of low dose ICS (e.g. FP/SAL 50/25 MDI two inhalations twice daily). </w:t>
      </w:r>
      <w:r w:rsidR="000B1B65" w:rsidRPr="00855489">
        <w:rPr>
          <w:iCs/>
        </w:rPr>
        <w:t xml:space="preserve">A cost-minimisation between these products results in a higher price for BEC/FOR due to the longer duration of treatment, but </w:t>
      </w:r>
      <w:r w:rsidRPr="00855489">
        <w:rPr>
          <w:iCs/>
        </w:rPr>
        <w:t xml:space="preserve">this </w:t>
      </w:r>
      <w:r w:rsidR="000B1B65" w:rsidRPr="00855489">
        <w:rPr>
          <w:iCs/>
        </w:rPr>
        <w:t>is not reasonable given t</w:t>
      </w:r>
      <w:r w:rsidR="00E44BB6" w:rsidRPr="00855489">
        <w:rPr>
          <w:iCs/>
        </w:rPr>
        <w:t xml:space="preserve">he Therapeutic Relativities determined by the PBAC </w:t>
      </w:r>
      <w:r w:rsidR="000B1B65" w:rsidRPr="00855489">
        <w:rPr>
          <w:iCs/>
        </w:rPr>
        <w:t>are</w:t>
      </w:r>
      <w:r w:rsidR="00E44BB6" w:rsidRPr="00855489">
        <w:rPr>
          <w:iCs/>
        </w:rPr>
        <w:t xml:space="preserve"> based on products providing the same duration of treatment.</w:t>
      </w:r>
    </w:p>
    <w:p w14:paraId="5EA13315" w14:textId="77777777" w:rsidR="00C25D9C" w:rsidRPr="00855489" w:rsidRDefault="002E78E2" w:rsidP="00BB732D">
      <w:pPr>
        <w:pStyle w:val="4-SubsectionHeading"/>
      </w:pPr>
      <w:bookmarkStart w:id="24" w:name="_Toc40775731"/>
      <w:r w:rsidRPr="00855489">
        <w:lastRenderedPageBreak/>
        <w:t>Drug</w:t>
      </w:r>
      <w:r w:rsidR="00C25D9C" w:rsidRPr="00855489">
        <w:t xml:space="preserve"> cost/patient/</w:t>
      </w:r>
      <w:r w:rsidR="00CA5844" w:rsidRPr="00855489">
        <w:t>y</w:t>
      </w:r>
      <w:r w:rsidR="00C25D9C" w:rsidRPr="00855489">
        <w:t>ear</w:t>
      </w:r>
      <w:bookmarkEnd w:id="24"/>
    </w:p>
    <w:p w14:paraId="6931A483" w14:textId="77777777" w:rsidR="002E78E2" w:rsidRPr="00855489" w:rsidRDefault="00FD4CB2" w:rsidP="00445AB7">
      <w:pPr>
        <w:pStyle w:val="3-BodyText"/>
      </w:pPr>
      <w:r w:rsidRPr="00855489">
        <w:t xml:space="preserve">The annual cost of BEC/FOR 100/6 is </w:t>
      </w:r>
      <w:r w:rsidR="00867771" w:rsidRPr="00855489">
        <w:t>$</w:t>
      </w:r>
      <w:r w:rsidRPr="00855489">
        <w:t>592.19</w:t>
      </w:r>
      <w:r w:rsidR="00867771" w:rsidRPr="00855489">
        <w:t xml:space="preserve"> </w:t>
      </w:r>
      <w:r w:rsidRPr="00855489">
        <w:t xml:space="preserve">per patient, </w:t>
      </w:r>
      <w:r w:rsidR="002E78E2" w:rsidRPr="00855489">
        <w:t xml:space="preserve">based on the </w:t>
      </w:r>
      <w:r w:rsidR="00626A83" w:rsidRPr="00855489">
        <w:t xml:space="preserve">proposed </w:t>
      </w:r>
      <w:r w:rsidRPr="00855489">
        <w:t>DPMQ</w:t>
      </w:r>
      <w:r w:rsidR="00626A83" w:rsidRPr="00855489">
        <w:t xml:space="preserve"> of </w:t>
      </w:r>
      <w:r w:rsidR="002E78E2" w:rsidRPr="00855489">
        <w:t>$</w:t>
      </w:r>
      <w:r w:rsidRPr="00855489">
        <w:t>48.64</w:t>
      </w:r>
      <w:r w:rsidR="002E78E2" w:rsidRPr="00855489">
        <w:t xml:space="preserve"> and 12.1</w:t>
      </w:r>
      <w:r w:rsidR="005418E1" w:rsidRPr="00855489">
        <w:t>8</w:t>
      </w:r>
      <w:r w:rsidR="002E78E2" w:rsidRPr="00855489">
        <w:t xml:space="preserve"> scripts per year</w:t>
      </w:r>
      <w:r w:rsidR="008125F9" w:rsidRPr="00855489">
        <w:t>.</w:t>
      </w:r>
    </w:p>
    <w:p w14:paraId="30812768" w14:textId="77777777" w:rsidR="00B60939" w:rsidRPr="00855489" w:rsidRDefault="00B60939" w:rsidP="002B05A1">
      <w:pPr>
        <w:pStyle w:val="4-SubsectionHeading"/>
      </w:pPr>
      <w:bookmarkStart w:id="25" w:name="_Toc22897647"/>
      <w:bookmarkStart w:id="26" w:name="_Toc40775732"/>
      <w:r w:rsidRPr="00855489">
        <w:t>Estimated PBS usage &amp; financial implications</w:t>
      </w:r>
      <w:bookmarkEnd w:id="25"/>
      <w:bookmarkEnd w:id="26"/>
    </w:p>
    <w:p w14:paraId="65D1973F" w14:textId="77777777" w:rsidR="00D822DC" w:rsidRPr="00855489" w:rsidRDefault="00771118" w:rsidP="00A47D1D">
      <w:pPr>
        <w:pStyle w:val="3-BodyText"/>
      </w:pPr>
      <w:r w:rsidRPr="00855489">
        <w:t>This submission was</w:t>
      </w:r>
      <w:r w:rsidR="003E120F" w:rsidRPr="00855489">
        <w:t xml:space="preserve"> </w:t>
      </w:r>
      <w:r w:rsidRPr="00855489">
        <w:t>not</w:t>
      </w:r>
      <w:r w:rsidR="003E120F" w:rsidRPr="00855489">
        <w:t xml:space="preserve"> considered by DUSC. A market share approach was used to estimate the financial implications of the proposed listing</w:t>
      </w:r>
      <w:r w:rsidR="00E45D48" w:rsidRPr="00855489">
        <w:t>,</w:t>
      </w:r>
      <w:r w:rsidR="003E120F" w:rsidRPr="00855489">
        <w:t xml:space="preserve"> assuming </w:t>
      </w:r>
      <w:r w:rsidR="00AE16EB" w:rsidRPr="00855489">
        <w:t>BEC/FOR</w:t>
      </w:r>
      <w:r w:rsidR="003E120F" w:rsidRPr="00855489">
        <w:t xml:space="preserve"> would substitute for </w:t>
      </w:r>
      <w:r w:rsidR="00792AE7" w:rsidRPr="00855489">
        <w:t>other</w:t>
      </w:r>
      <w:r w:rsidR="003E120F" w:rsidRPr="00855489">
        <w:t xml:space="preserve"> ICS/LABA FDC</w:t>
      </w:r>
      <w:r w:rsidR="00792AE7" w:rsidRPr="00855489">
        <w:t xml:space="preserve"> product</w:t>
      </w:r>
      <w:r w:rsidR="003E120F" w:rsidRPr="00855489">
        <w:t>s</w:t>
      </w:r>
      <w:r w:rsidR="00F50CB2" w:rsidRPr="00855489">
        <w:t xml:space="preserve"> at the nominated equi-effective doses</w:t>
      </w:r>
      <w:r w:rsidR="00855489">
        <w:t xml:space="preserve">. </w:t>
      </w:r>
      <w:r w:rsidR="00A47D1D" w:rsidRPr="00855489">
        <w:rPr>
          <w:iCs/>
        </w:rPr>
        <w:t>That is, t</w:t>
      </w:r>
      <w:r w:rsidR="00D822DC" w:rsidRPr="00855489">
        <w:rPr>
          <w:iCs/>
        </w:rPr>
        <w:t>he submission only estimated the financial impact of BEC/FOR as maintenance therapy compared to medium dose ICS/LABA FDCs (STEP 4 in the clinical management algorithm).</w:t>
      </w:r>
    </w:p>
    <w:p w14:paraId="34A43D41" w14:textId="77777777" w:rsidR="00E45D48" w:rsidRPr="00855489" w:rsidRDefault="00AE16EB" w:rsidP="001E56F5">
      <w:pPr>
        <w:pStyle w:val="3-BodyText"/>
        <w:rPr>
          <w:iCs/>
        </w:rPr>
      </w:pPr>
      <w:r w:rsidRPr="00855489">
        <w:t>Table 5 summarises the key inputs used in the financial estimates.</w:t>
      </w:r>
    </w:p>
    <w:p w14:paraId="1BCEB9A3" w14:textId="77777777" w:rsidR="00E42F73" w:rsidRPr="00855489" w:rsidRDefault="00E42F73" w:rsidP="008718B1">
      <w:pPr>
        <w:pStyle w:val="TableFigureHeading"/>
        <w:keepLines/>
        <w:rPr>
          <w:rStyle w:val="CommentReference"/>
          <w:b/>
          <w:szCs w:val="24"/>
        </w:rPr>
      </w:pPr>
      <w:r w:rsidRPr="00855489">
        <w:rPr>
          <w:rStyle w:val="CommentReference"/>
          <w:b/>
          <w:szCs w:val="24"/>
        </w:rPr>
        <w:t xml:space="preserve">Table </w:t>
      </w:r>
      <w:r w:rsidR="00F24080" w:rsidRPr="00855489">
        <w:rPr>
          <w:rStyle w:val="CommentReference"/>
          <w:b/>
          <w:szCs w:val="24"/>
        </w:rPr>
        <w:t>5</w:t>
      </w:r>
      <w:r w:rsidR="00AE16EB" w:rsidRPr="00855489">
        <w:rPr>
          <w:rStyle w:val="CommentReference"/>
          <w:b/>
          <w:szCs w:val="24"/>
        </w:rPr>
        <w:t>:</w:t>
      </w:r>
      <w:r w:rsidR="00E45D48" w:rsidRPr="00855489">
        <w:rPr>
          <w:rStyle w:val="CommentReference"/>
          <w:b/>
          <w:szCs w:val="24"/>
        </w:rPr>
        <w:t xml:space="preserve"> </w:t>
      </w:r>
      <w:r w:rsidRPr="00855489">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3477"/>
        <w:gridCol w:w="2123"/>
        <w:gridCol w:w="2233"/>
      </w:tblGrid>
      <w:tr w:rsidR="00CC40DD" w:rsidRPr="003F7761" w14:paraId="779A67C7" w14:textId="77777777" w:rsidTr="006A4889">
        <w:trPr>
          <w:tblHeader/>
        </w:trPr>
        <w:tc>
          <w:tcPr>
            <w:tcW w:w="644" w:type="pct"/>
            <w:vAlign w:val="center"/>
          </w:tcPr>
          <w:p w14:paraId="64B45F94" w14:textId="77777777" w:rsidR="00CC40DD" w:rsidRPr="003F7761" w:rsidRDefault="00CC40DD" w:rsidP="008718B1">
            <w:pPr>
              <w:pStyle w:val="In-tableHeading"/>
              <w:keepLines/>
              <w:jc w:val="center"/>
              <w:rPr>
                <w:szCs w:val="20"/>
                <w:lang w:val="en-AU"/>
              </w:rPr>
            </w:pPr>
            <w:r w:rsidRPr="003F7761">
              <w:rPr>
                <w:szCs w:val="20"/>
                <w:lang w:val="en-AU"/>
              </w:rPr>
              <w:t>Data</w:t>
            </w:r>
          </w:p>
        </w:tc>
        <w:tc>
          <w:tcPr>
            <w:tcW w:w="1894" w:type="pct"/>
            <w:vAlign w:val="center"/>
          </w:tcPr>
          <w:p w14:paraId="76C3A7E6" w14:textId="77777777" w:rsidR="00CC40DD" w:rsidRPr="003F7761" w:rsidRDefault="00CC40DD" w:rsidP="008718B1">
            <w:pPr>
              <w:pStyle w:val="In-tableHeading"/>
              <w:keepLines/>
              <w:jc w:val="center"/>
              <w:rPr>
                <w:szCs w:val="20"/>
                <w:lang w:val="en-AU"/>
              </w:rPr>
            </w:pPr>
            <w:r w:rsidRPr="003F7761">
              <w:rPr>
                <w:szCs w:val="20"/>
                <w:lang w:val="en-AU"/>
              </w:rPr>
              <w:t>Value</w:t>
            </w:r>
          </w:p>
        </w:tc>
        <w:tc>
          <w:tcPr>
            <w:tcW w:w="1200" w:type="pct"/>
            <w:vAlign w:val="center"/>
          </w:tcPr>
          <w:p w14:paraId="4B0D1B6A" w14:textId="77777777" w:rsidR="00CC40DD" w:rsidRPr="003F7761" w:rsidRDefault="00CC40DD" w:rsidP="008718B1">
            <w:pPr>
              <w:pStyle w:val="In-tableHeading"/>
              <w:keepLines/>
              <w:jc w:val="center"/>
              <w:rPr>
                <w:szCs w:val="20"/>
                <w:lang w:val="en-AU"/>
              </w:rPr>
            </w:pPr>
            <w:r w:rsidRPr="003F7761">
              <w:rPr>
                <w:szCs w:val="20"/>
                <w:lang w:val="en-AU"/>
              </w:rPr>
              <w:t>Source</w:t>
            </w:r>
          </w:p>
        </w:tc>
        <w:tc>
          <w:tcPr>
            <w:tcW w:w="1261" w:type="pct"/>
            <w:vAlign w:val="center"/>
          </w:tcPr>
          <w:p w14:paraId="50E18AE6" w14:textId="77777777" w:rsidR="00CC40DD" w:rsidRPr="003F7761" w:rsidRDefault="00CC40DD" w:rsidP="008718B1">
            <w:pPr>
              <w:pStyle w:val="In-tableHeading"/>
              <w:keepLines/>
              <w:jc w:val="center"/>
              <w:rPr>
                <w:szCs w:val="20"/>
                <w:lang w:val="en-AU"/>
              </w:rPr>
            </w:pPr>
            <w:r w:rsidRPr="003F7761">
              <w:rPr>
                <w:szCs w:val="20"/>
                <w:lang w:val="en-AU"/>
              </w:rPr>
              <w:t>Comment</w:t>
            </w:r>
          </w:p>
        </w:tc>
      </w:tr>
      <w:tr w:rsidR="00CC40DD" w:rsidRPr="003F7761" w14:paraId="788E817B" w14:textId="77777777" w:rsidTr="006A4889">
        <w:tc>
          <w:tcPr>
            <w:tcW w:w="644" w:type="pct"/>
            <w:vAlign w:val="center"/>
          </w:tcPr>
          <w:p w14:paraId="798C2F68" w14:textId="77777777" w:rsidR="00CC40DD" w:rsidRPr="003F7761" w:rsidRDefault="00D80868" w:rsidP="008718B1">
            <w:pPr>
              <w:pStyle w:val="TableText0"/>
              <w:keepLines/>
              <w:rPr>
                <w:szCs w:val="20"/>
              </w:rPr>
            </w:pPr>
            <w:r w:rsidRPr="003F7761">
              <w:rPr>
                <w:szCs w:val="20"/>
              </w:rPr>
              <w:t>Market size &amp; growth</w:t>
            </w:r>
            <w:r w:rsidR="0025460D" w:rsidRPr="003F7761">
              <w:rPr>
                <w:szCs w:val="20"/>
              </w:rPr>
              <w:t xml:space="preserve"> rate</w:t>
            </w:r>
          </w:p>
        </w:tc>
        <w:tc>
          <w:tcPr>
            <w:tcW w:w="1894" w:type="pct"/>
            <w:vAlign w:val="center"/>
          </w:tcPr>
          <w:p w14:paraId="12039B33" w14:textId="77777777" w:rsidR="00470941" w:rsidRPr="003F7761" w:rsidRDefault="00470941" w:rsidP="008718B1">
            <w:pPr>
              <w:pStyle w:val="TableText0"/>
              <w:keepLines/>
              <w:rPr>
                <w:szCs w:val="20"/>
              </w:rPr>
            </w:pPr>
            <w:r w:rsidRPr="003F7761">
              <w:rPr>
                <w:szCs w:val="20"/>
              </w:rPr>
              <w:t>Y</w:t>
            </w:r>
            <w:r w:rsidR="007E3EA8" w:rsidRPr="003F7761">
              <w:rPr>
                <w:szCs w:val="20"/>
              </w:rPr>
              <w:t>r1</w:t>
            </w:r>
            <w:r w:rsidRPr="003F7761">
              <w:rPr>
                <w:szCs w:val="20"/>
              </w:rPr>
              <w:t xml:space="preserve">: </w:t>
            </w:r>
            <w:r w:rsidR="00697BA5" w:rsidRPr="00697BA5">
              <w:rPr>
                <w:szCs w:val="20"/>
              </w:rPr>
              <w:t>2,000,000 to &lt; 3,000,000</w:t>
            </w:r>
            <w:r w:rsidRPr="003F7761">
              <w:rPr>
                <w:szCs w:val="20"/>
              </w:rPr>
              <w:t xml:space="preserve"> ICS/LABA scripts</w:t>
            </w:r>
          </w:p>
          <w:p w14:paraId="2F65B517" w14:textId="77777777" w:rsidR="0025460D" w:rsidRPr="003F7761" w:rsidRDefault="00470941" w:rsidP="008718B1">
            <w:pPr>
              <w:pStyle w:val="TableText0"/>
              <w:keepLines/>
              <w:ind w:left="99"/>
              <w:rPr>
                <w:szCs w:val="20"/>
              </w:rPr>
            </w:pPr>
            <w:r w:rsidRPr="003F7761">
              <w:rPr>
                <w:szCs w:val="20"/>
              </w:rPr>
              <w:t xml:space="preserve">Symbicort® Turbuhaler® 200/6: </w:t>
            </w:r>
            <w:r w:rsidR="00D91285">
              <w:rPr>
                <w:szCs w:val="20"/>
              </w:rPr>
              <w:t>800,000 to &lt; 900,000</w:t>
            </w:r>
            <w:r w:rsidRPr="003F7761">
              <w:rPr>
                <w:szCs w:val="20"/>
              </w:rPr>
              <w:t>.</w:t>
            </w:r>
          </w:p>
          <w:p w14:paraId="6BE10AB8" w14:textId="77777777" w:rsidR="00470941" w:rsidRPr="003F7761" w:rsidRDefault="00470941" w:rsidP="008718B1">
            <w:pPr>
              <w:pStyle w:val="TableText0"/>
              <w:keepLines/>
              <w:ind w:left="99"/>
              <w:rPr>
                <w:szCs w:val="20"/>
              </w:rPr>
            </w:pPr>
            <w:r w:rsidRPr="003F7761">
              <w:rPr>
                <w:szCs w:val="20"/>
              </w:rPr>
              <w:t xml:space="preserve">Seretide® Accuhaler® 250/50: </w:t>
            </w:r>
            <w:r w:rsidR="00D91285">
              <w:rPr>
                <w:szCs w:val="20"/>
              </w:rPr>
              <w:t>400,000 to &lt; 500,000</w:t>
            </w:r>
            <w:r w:rsidR="007E3EA8" w:rsidRPr="003F7761">
              <w:rPr>
                <w:szCs w:val="20"/>
              </w:rPr>
              <w:t>.</w:t>
            </w:r>
          </w:p>
          <w:p w14:paraId="33652D1B" w14:textId="77777777" w:rsidR="00470941" w:rsidRPr="003F7761" w:rsidRDefault="00470941" w:rsidP="008718B1">
            <w:pPr>
              <w:pStyle w:val="TableText0"/>
              <w:keepLines/>
              <w:ind w:left="99"/>
              <w:rPr>
                <w:szCs w:val="20"/>
              </w:rPr>
            </w:pPr>
            <w:r w:rsidRPr="003F7761">
              <w:rPr>
                <w:szCs w:val="20"/>
              </w:rPr>
              <w:t>Symbicort® Rapihaler® 200/6:</w:t>
            </w:r>
            <w:r w:rsidR="007E3EA8" w:rsidRPr="003F7761">
              <w:rPr>
                <w:szCs w:val="20"/>
              </w:rPr>
              <w:t xml:space="preserve"> </w:t>
            </w:r>
            <w:r w:rsidR="00D91285">
              <w:rPr>
                <w:szCs w:val="20"/>
              </w:rPr>
              <w:t>300,000 to 400,000</w:t>
            </w:r>
            <w:r w:rsidR="007E3EA8" w:rsidRPr="003F7761">
              <w:rPr>
                <w:szCs w:val="20"/>
              </w:rPr>
              <w:t>.</w:t>
            </w:r>
          </w:p>
          <w:p w14:paraId="4B802CD0" w14:textId="77777777" w:rsidR="00470941" w:rsidRPr="003F7761" w:rsidRDefault="00470941" w:rsidP="008718B1">
            <w:pPr>
              <w:pStyle w:val="TableText0"/>
              <w:keepLines/>
              <w:ind w:left="99"/>
              <w:rPr>
                <w:szCs w:val="20"/>
              </w:rPr>
            </w:pPr>
            <w:r w:rsidRPr="003F7761">
              <w:rPr>
                <w:szCs w:val="20"/>
              </w:rPr>
              <w:t>Seretide® 125/25:</w:t>
            </w:r>
            <w:r w:rsidR="007E3EA8" w:rsidRPr="003F7761">
              <w:rPr>
                <w:szCs w:val="20"/>
              </w:rPr>
              <w:t xml:space="preserve"> </w:t>
            </w:r>
            <w:r w:rsidR="00D91285">
              <w:rPr>
                <w:szCs w:val="20"/>
              </w:rPr>
              <w:t>200,000 to &lt; 300,000</w:t>
            </w:r>
            <w:r w:rsidR="007E3EA8" w:rsidRPr="003F7761">
              <w:rPr>
                <w:szCs w:val="20"/>
              </w:rPr>
              <w:t>.</w:t>
            </w:r>
          </w:p>
          <w:p w14:paraId="0F4416C2" w14:textId="77777777" w:rsidR="00470941" w:rsidRPr="003F7761" w:rsidRDefault="00470941" w:rsidP="008718B1">
            <w:pPr>
              <w:pStyle w:val="TableText0"/>
              <w:keepLines/>
              <w:ind w:left="99"/>
              <w:rPr>
                <w:szCs w:val="20"/>
              </w:rPr>
            </w:pPr>
            <w:r w:rsidRPr="003F7761">
              <w:rPr>
                <w:szCs w:val="20"/>
              </w:rPr>
              <w:t>Breo® Ellipta® 100/25:</w:t>
            </w:r>
            <w:r w:rsidR="007E3EA8" w:rsidRPr="003F7761">
              <w:rPr>
                <w:szCs w:val="20"/>
              </w:rPr>
              <w:t xml:space="preserve"> </w:t>
            </w:r>
            <w:r w:rsidR="00D91285">
              <w:rPr>
                <w:szCs w:val="20"/>
              </w:rPr>
              <w:t>200,000 to &lt; 300,000</w:t>
            </w:r>
            <w:r w:rsidR="007E3EA8" w:rsidRPr="003F7761">
              <w:rPr>
                <w:szCs w:val="20"/>
              </w:rPr>
              <w:t>.</w:t>
            </w:r>
          </w:p>
          <w:p w14:paraId="4229D93B" w14:textId="77777777" w:rsidR="00470941" w:rsidRPr="003F7761" w:rsidRDefault="00470941" w:rsidP="008718B1">
            <w:pPr>
              <w:pStyle w:val="TableText0"/>
              <w:keepLines/>
              <w:ind w:left="99"/>
              <w:rPr>
                <w:szCs w:val="20"/>
              </w:rPr>
            </w:pPr>
            <w:r w:rsidRPr="003F7761">
              <w:rPr>
                <w:szCs w:val="20"/>
              </w:rPr>
              <w:t>Flutiform® 125/5:</w:t>
            </w:r>
            <w:r w:rsidR="007E3EA8" w:rsidRPr="003F7761">
              <w:rPr>
                <w:szCs w:val="20"/>
              </w:rPr>
              <w:t xml:space="preserve"> </w:t>
            </w:r>
            <w:r w:rsidR="00D91285">
              <w:rPr>
                <w:szCs w:val="20"/>
              </w:rPr>
              <w:t>30,000 to &lt; 40,000</w:t>
            </w:r>
            <w:r w:rsidR="007E3EA8" w:rsidRPr="003F7761">
              <w:rPr>
                <w:szCs w:val="20"/>
              </w:rPr>
              <w:t>.</w:t>
            </w:r>
          </w:p>
          <w:p w14:paraId="5A7F9495" w14:textId="77777777" w:rsidR="007E3EA8" w:rsidRPr="003F7761" w:rsidRDefault="007E3EA8" w:rsidP="008718B1">
            <w:pPr>
              <w:pStyle w:val="TableText0"/>
              <w:keepLines/>
              <w:rPr>
                <w:szCs w:val="20"/>
              </w:rPr>
            </w:pPr>
          </w:p>
          <w:p w14:paraId="6B740466" w14:textId="77777777" w:rsidR="00CC40DD" w:rsidRPr="003F7761" w:rsidRDefault="0025460D" w:rsidP="008718B1">
            <w:pPr>
              <w:pStyle w:val="TableText0"/>
              <w:keepLines/>
              <w:rPr>
                <w:szCs w:val="20"/>
              </w:rPr>
            </w:pPr>
            <w:r w:rsidRPr="003F7761">
              <w:rPr>
                <w:szCs w:val="20"/>
              </w:rPr>
              <w:t>Annual growth rate</w:t>
            </w:r>
            <w:r w:rsidR="00FB17E8" w:rsidRPr="003F7761">
              <w:rPr>
                <w:szCs w:val="20"/>
              </w:rPr>
              <w:t xml:space="preserve"> Yr1 to Yr6</w:t>
            </w:r>
            <w:r w:rsidRPr="003F7761">
              <w:rPr>
                <w:szCs w:val="20"/>
              </w:rPr>
              <w:t xml:space="preserve">: </w:t>
            </w:r>
            <w:r w:rsidR="00CC40DD" w:rsidRPr="003F7761">
              <w:rPr>
                <w:szCs w:val="20"/>
              </w:rPr>
              <w:t>1.6%</w:t>
            </w:r>
            <w:r w:rsidR="00552C20" w:rsidRPr="003F7761">
              <w:rPr>
                <w:szCs w:val="20"/>
              </w:rPr>
              <w:t xml:space="preserve"> applied to all ICS/LABA FDCs.</w:t>
            </w:r>
          </w:p>
        </w:tc>
        <w:tc>
          <w:tcPr>
            <w:tcW w:w="1200" w:type="pct"/>
            <w:vAlign w:val="center"/>
          </w:tcPr>
          <w:p w14:paraId="5CD9A8F3" w14:textId="77777777" w:rsidR="007E3EA8" w:rsidRPr="003F7761" w:rsidRDefault="005A323A" w:rsidP="008718B1">
            <w:pPr>
              <w:pStyle w:val="TableText0"/>
              <w:keepLines/>
              <w:rPr>
                <w:szCs w:val="20"/>
              </w:rPr>
            </w:pPr>
            <w:r w:rsidRPr="003F7761">
              <w:rPr>
                <w:szCs w:val="20"/>
              </w:rPr>
              <w:t xml:space="preserve">Yr 1 script numbers based on 2019 </w:t>
            </w:r>
            <w:r w:rsidR="004153B6" w:rsidRPr="003F7761">
              <w:rPr>
                <w:szCs w:val="20"/>
              </w:rPr>
              <w:t xml:space="preserve">value </w:t>
            </w:r>
            <w:r w:rsidRPr="003F7761">
              <w:rPr>
                <w:szCs w:val="20"/>
              </w:rPr>
              <w:t>for items</w:t>
            </w:r>
            <w:r w:rsidR="004153B6" w:rsidRPr="003F7761">
              <w:rPr>
                <w:szCs w:val="20"/>
              </w:rPr>
              <w:t>:</w:t>
            </w:r>
          </w:p>
          <w:p w14:paraId="253361B3" w14:textId="77777777" w:rsidR="004153B6" w:rsidRPr="003F7761" w:rsidRDefault="004153B6" w:rsidP="008718B1">
            <w:pPr>
              <w:pStyle w:val="TableText0"/>
              <w:keepLines/>
              <w:rPr>
                <w:szCs w:val="20"/>
              </w:rPr>
            </w:pPr>
            <w:r w:rsidRPr="003F7761">
              <w:rPr>
                <w:szCs w:val="20"/>
              </w:rPr>
              <w:t>8625Y, 8431R, 10018G, 8518H, 11124L, 10007Q.</w:t>
            </w:r>
          </w:p>
          <w:p w14:paraId="3F37C753" w14:textId="77777777" w:rsidR="007E3EA8" w:rsidRPr="003F7761" w:rsidRDefault="007E3EA8" w:rsidP="008718B1">
            <w:pPr>
              <w:pStyle w:val="TableText0"/>
              <w:keepLines/>
              <w:rPr>
                <w:szCs w:val="20"/>
              </w:rPr>
            </w:pPr>
          </w:p>
          <w:p w14:paraId="59E696F0" w14:textId="77777777" w:rsidR="00CC40DD" w:rsidRPr="003F7761" w:rsidRDefault="007E3EA8" w:rsidP="008718B1">
            <w:pPr>
              <w:pStyle w:val="TableText0"/>
              <w:keepLines/>
              <w:rPr>
                <w:szCs w:val="20"/>
              </w:rPr>
            </w:pPr>
            <w:r w:rsidRPr="003F7761">
              <w:rPr>
                <w:szCs w:val="20"/>
              </w:rPr>
              <w:t>Growth rate: population growth (</w:t>
            </w:r>
            <w:r w:rsidR="00CC40DD" w:rsidRPr="003F7761">
              <w:rPr>
                <w:szCs w:val="20"/>
              </w:rPr>
              <w:t>ABS 3101.0</w:t>
            </w:r>
            <w:r w:rsidRPr="003F7761">
              <w:rPr>
                <w:szCs w:val="20"/>
              </w:rPr>
              <w:t>)</w:t>
            </w:r>
          </w:p>
        </w:tc>
        <w:tc>
          <w:tcPr>
            <w:tcW w:w="1261" w:type="pct"/>
            <w:vAlign w:val="center"/>
          </w:tcPr>
          <w:p w14:paraId="7E396294" w14:textId="77777777" w:rsidR="00A47D1D" w:rsidRPr="003F7761" w:rsidRDefault="00A47D1D" w:rsidP="008718B1">
            <w:pPr>
              <w:pStyle w:val="TableText0"/>
              <w:keepLines/>
              <w:rPr>
                <w:iCs/>
                <w:szCs w:val="20"/>
              </w:rPr>
            </w:pPr>
            <w:r w:rsidRPr="003F7761">
              <w:rPr>
                <w:iCs/>
                <w:szCs w:val="20"/>
              </w:rPr>
              <w:t>Uncertain for the following reasons:</w:t>
            </w:r>
          </w:p>
          <w:p w14:paraId="7A87CF75" w14:textId="77777777" w:rsidR="00A47D1D" w:rsidRPr="003F7761" w:rsidRDefault="00A47D1D" w:rsidP="008718B1">
            <w:pPr>
              <w:pStyle w:val="TableText0"/>
              <w:keepLines/>
              <w:rPr>
                <w:iCs/>
                <w:szCs w:val="20"/>
              </w:rPr>
            </w:pPr>
            <w:r w:rsidRPr="003F7761">
              <w:rPr>
                <w:iCs/>
                <w:szCs w:val="20"/>
              </w:rPr>
              <w:t>i) the estimates do not include item 11273H f</w:t>
            </w:r>
            <w:r w:rsidR="00E84FE9" w:rsidRPr="003F7761">
              <w:rPr>
                <w:iCs/>
                <w:szCs w:val="20"/>
              </w:rPr>
              <w:t>o</w:t>
            </w:r>
            <w:r w:rsidRPr="003F7761">
              <w:rPr>
                <w:iCs/>
                <w:szCs w:val="20"/>
              </w:rPr>
              <w:t xml:space="preserve">r BUD/FOR 200/6 (DuoResp® Spiromax® brand); </w:t>
            </w:r>
          </w:p>
          <w:p w14:paraId="472EB9E8" w14:textId="77777777" w:rsidR="00A47D1D" w:rsidRPr="003F7761" w:rsidRDefault="00A47D1D" w:rsidP="008718B1">
            <w:pPr>
              <w:pStyle w:val="TableText0"/>
              <w:keepLines/>
              <w:rPr>
                <w:iCs/>
                <w:szCs w:val="20"/>
              </w:rPr>
            </w:pPr>
            <w:r w:rsidRPr="003F7761">
              <w:rPr>
                <w:iCs/>
                <w:szCs w:val="20"/>
              </w:rPr>
              <w:t>ii) the estimates include scripts dispensed to children and adolescents but listing is for adults;</w:t>
            </w:r>
          </w:p>
          <w:p w14:paraId="669EE39A" w14:textId="77777777" w:rsidR="00CC40DD" w:rsidRPr="003F7761" w:rsidRDefault="00A47D1D" w:rsidP="008718B1">
            <w:pPr>
              <w:pStyle w:val="TableText0"/>
              <w:keepLines/>
              <w:rPr>
                <w:i/>
                <w:iCs/>
                <w:szCs w:val="20"/>
              </w:rPr>
            </w:pPr>
            <w:r w:rsidRPr="003F7761">
              <w:rPr>
                <w:iCs/>
                <w:szCs w:val="20"/>
              </w:rPr>
              <w:t>iii) t</w:t>
            </w:r>
            <w:r w:rsidR="009B5872" w:rsidRPr="003F7761">
              <w:rPr>
                <w:iCs/>
                <w:szCs w:val="20"/>
              </w:rPr>
              <w:t xml:space="preserve">he </w:t>
            </w:r>
            <w:r w:rsidR="006724B5" w:rsidRPr="003F7761">
              <w:rPr>
                <w:iCs/>
                <w:szCs w:val="20"/>
              </w:rPr>
              <w:t>market does not include low dose ICS/LABA FDCs</w:t>
            </w:r>
            <w:r w:rsidR="00882177" w:rsidRPr="003F7761">
              <w:rPr>
                <w:iCs/>
                <w:szCs w:val="20"/>
              </w:rPr>
              <w:t xml:space="preserve"> </w:t>
            </w:r>
            <w:r w:rsidRPr="003F7761">
              <w:rPr>
                <w:iCs/>
                <w:szCs w:val="20"/>
              </w:rPr>
              <w:t>(STEP 3 of the clinical management algorithm).</w:t>
            </w:r>
          </w:p>
        </w:tc>
      </w:tr>
      <w:tr w:rsidR="00CC40DD" w:rsidRPr="003F7761" w14:paraId="5457F464" w14:textId="77777777" w:rsidTr="006A4889">
        <w:tc>
          <w:tcPr>
            <w:tcW w:w="644" w:type="pct"/>
            <w:vAlign w:val="center"/>
          </w:tcPr>
          <w:p w14:paraId="0E0A332A" w14:textId="77777777" w:rsidR="00CC40DD" w:rsidRPr="003F7761" w:rsidRDefault="00CC40DD" w:rsidP="00F24080">
            <w:pPr>
              <w:pStyle w:val="TableText0"/>
              <w:keepNext w:val="0"/>
              <w:rPr>
                <w:rFonts w:cs="Arial"/>
                <w:szCs w:val="20"/>
                <w:lang w:eastAsia="ja-JP"/>
              </w:rPr>
            </w:pPr>
            <w:r w:rsidRPr="003F7761">
              <w:rPr>
                <w:rFonts w:cs="Arial"/>
                <w:szCs w:val="20"/>
                <w:lang w:eastAsia="ja-JP"/>
              </w:rPr>
              <w:t>Rate of displacement</w:t>
            </w:r>
          </w:p>
          <w:p w14:paraId="38597FE4" w14:textId="77777777" w:rsidR="00CC40DD" w:rsidRPr="003F7761" w:rsidRDefault="00CC40DD" w:rsidP="00F24080">
            <w:pPr>
              <w:pStyle w:val="TableText0"/>
              <w:keepNext w:val="0"/>
              <w:rPr>
                <w:szCs w:val="20"/>
              </w:rPr>
            </w:pPr>
            <w:r w:rsidRPr="003F7761">
              <w:rPr>
                <w:rFonts w:cs="Arial"/>
                <w:szCs w:val="20"/>
                <w:lang w:eastAsia="ja-JP"/>
              </w:rPr>
              <w:t>(market uptake)</w:t>
            </w:r>
          </w:p>
        </w:tc>
        <w:tc>
          <w:tcPr>
            <w:tcW w:w="1894" w:type="pct"/>
            <w:vAlign w:val="center"/>
          </w:tcPr>
          <w:p w14:paraId="5C8C190E" w14:textId="77777777" w:rsidR="00CC40DD" w:rsidRPr="003F7761" w:rsidRDefault="00CC40DD" w:rsidP="00F24080">
            <w:pPr>
              <w:pStyle w:val="TableText0"/>
              <w:keepNext w:val="0"/>
              <w:rPr>
                <w:szCs w:val="20"/>
              </w:rPr>
            </w:pPr>
            <w:r w:rsidRPr="003F7761">
              <w:rPr>
                <w:szCs w:val="20"/>
              </w:rPr>
              <w:t>Yr 1: 5%</w:t>
            </w:r>
          </w:p>
          <w:p w14:paraId="05AA1604" w14:textId="77777777" w:rsidR="00CC40DD" w:rsidRPr="003F7761" w:rsidRDefault="00CC40DD" w:rsidP="00F24080">
            <w:pPr>
              <w:pStyle w:val="TableText0"/>
              <w:keepNext w:val="0"/>
              <w:rPr>
                <w:szCs w:val="20"/>
              </w:rPr>
            </w:pPr>
            <w:r w:rsidRPr="003F7761">
              <w:rPr>
                <w:szCs w:val="20"/>
              </w:rPr>
              <w:t>Yr 2: 10%</w:t>
            </w:r>
          </w:p>
          <w:p w14:paraId="691B4874" w14:textId="77777777" w:rsidR="00CC40DD" w:rsidRPr="003F7761" w:rsidRDefault="00CC40DD" w:rsidP="00F24080">
            <w:pPr>
              <w:pStyle w:val="TableText0"/>
              <w:keepNext w:val="0"/>
              <w:rPr>
                <w:szCs w:val="20"/>
              </w:rPr>
            </w:pPr>
            <w:r w:rsidRPr="003F7761">
              <w:rPr>
                <w:szCs w:val="20"/>
              </w:rPr>
              <w:t>Yr 3: 12.5%</w:t>
            </w:r>
          </w:p>
          <w:p w14:paraId="56B78266" w14:textId="77777777" w:rsidR="00CC40DD" w:rsidRPr="003F7761" w:rsidRDefault="00CC40DD" w:rsidP="00F24080">
            <w:pPr>
              <w:pStyle w:val="TableText0"/>
              <w:keepNext w:val="0"/>
              <w:rPr>
                <w:szCs w:val="20"/>
              </w:rPr>
            </w:pPr>
            <w:r w:rsidRPr="003F7761">
              <w:rPr>
                <w:szCs w:val="20"/>
              </w:rPr>
              <w:t>Yr 4: 14%</w:t>
            </w:r>
          </w:p>
          <w:p w14:paraId="59127159" w14:textId="77777777" w:rsidR="00CC40DD" w:rsidRPr="003F7761" w:rsidRDefault="00CC40DD" w:rsidP="00F24080">
            <w:pPr>
              <w:pStyle w:val="TableText0"/>
              <w:keepNext w:val="0"/>
              <w:rPr>
                <w:szCs w:val="20"/>
              </w:rPr>
            </w:pPr>
            <w:r w:rsidRPr="003F7761">
              <w:rPr>
                <w:szCs w:val="20"/>
              </w:rPr>
              <w:t>Yr 5: 16%</w:t>
            </w:r>
          </w:p>
          <w:p w14:paraId="33934B8F" w14:textId="77777777" w:rsidR="00CC40DD" w:rsidRPr="003F7761" w:rsidRDefault="00CC40DD" w:rsidP="00F24080">
            <w:pPr>
              <w:pStyle w:val="TableText0"/>
              <w:keepNext w:val="0"/>
              <w:rPr>
                <w:szCs w:val="20"/>
              </w:rPr>
            </w:pPr>
            <w:r w:rsidRPr="003F7761">
              <w:rPr>
                <w:szCs w:val="20"/>
              </w:rPr>
              <w:t>Yr 6: 17%</w:t>
            </w:r>
          </w:p>
        </w:tc>
        <w:tc>
          <w:tcPr>
            <w:tcW w:w="1200" w:type="pct"/>
            <w:vAlign w:val="center"/>
          </w:tcPr>
          <w:p w14:paraId="34C679D4" w14:textId="77777777" w:rsidR="00CC40DD" w:rsidRPr="003F7761" w:rsidRDefault="00CC40DD" w:rsidP="00F24080">
            <w:pPr>
              <w:pStyle w:val="TableText0"/>
              <w:keepNext w:val="0"/>
              <w:rPr>
                <w:szCs w:val="20"/>
              </w:rPr>
            </w:pPr>
            <w:r w:rsidRPr="003F7761">
              <w:rPr>
                <w:szCs w:val="20"/>
              </w:rPr>
              <w:t>Sponsor projections</w:t>
            </w:r>
          </w:p>
        </w:tc>
        <w:tc>
          <w:tcPr>
            <w:tcW w:w="1261" w:type="pct"/>
            <w:vAlign w:val="center"/>
          </w:tcPr>
          <w:p w14:paraId="3D3C7B6E" w14:textId="77777777" w:rsidR="00CC40DD" w:rsidRPr="003F7761" w:rsidRDefault="00CC40DD" w:rsidP="00F24080">
            <w:pPr>
              <w:pStyle w:val="TableText0"/>
              <w:keepNext w:val="0"/>
              <w:rPr>
                <w:iCs/>
                <w:szCs w:val="20"/>
              </w:rPr>
            </w:pPr>
            <w:r w:rsidRPr="003F7761">
              <w:rPr>
                <w:iCs/>
                <w:szCs w:val="20"/>
              </w:rPr>
              <w:t xml:space="preserve">Uncertain. These rates are based on historical uptake rates in the UK and may not be directly applicable. </w:t>
            </w:r>
          </w:p>
        </w:tc>
      </w:tr>
      <w:tr w:rsidR="00CC40DD" w:rsidRPr="003F7761" w14:paraId="243B163D" w14:textId="77777777" w:rsidTr="006A4889">
        <w:tc>
          <w:tcPr>
            <w:tcW w:w="644" w:type="pct"/>
            <w:vAlign w:val="center"/>
          </w:tcPr>
          <w:p w14:paraId="4D477A77" w14:textId="77777777" w:rsidR="00CC40DD" w:rsidRPr="003F7761" w:rsidRDefault="00CC40DD" w:rsidP="00F24080">
            <w:pPr>
              <w:pStyle w:val="TableText0"/>
              <w:keepNext w:val="0"/>
              <w:rPr>
                <w:szCs w:val="20"/>
              </w:rPr>
            </w:pPr>
            <w:r w:rsidRPr="003F7761">
              <w:rPr>
                <w:rFonts w:cs="Arial"/>
                <w:szCs w:val="20"/>
                <w:lang w:eastAsia="ja-JP"/>
              </w:rPr>
              <w:t>Rate of substitution</w:t>
            </w:r>
          </w:p>
        </w:tc>
        <w:tc>
          <w:tcPr>
            <w:tcW w:w="1894" w:type="pct"/>
            <w:vAlign w:val="center"/>
          </w:tcPr>
          <w:tbl>
            <w:tblPr>
              <w:tblStyle w:val="TableGrid"/>
              <w:tblW w:w="0" w:type="auto"/>
              <w:tblLook w:val="04A0" w:firstRow="1" w:lastRow="0" w:firstColumn="1" w:lastColumn="0" w:noHBand="0" w:noVBand="1"/>
              <w:tblCaption w:val="Table"/>
            </w:tblPr>
            <w:tblGrid>
              <w:gridCol w:w="2583"/>
              <w:gridCol w:w="545"/>
            </w:tblGrid>
            <w:tr w:rsidR="00CC40DD" w:rsidRPr="003F7761" w14:paraId="72A67740" w14:textId="77777777" w:rsidTr="004753F9">
              <w:trPr>
                <w:tblHeader/>
              </w:trPr>
              <w:tc>
                <w:tcPr>
                  <w:tcW w:w="2583" w:type="dxa"/>
                </w:tcPr>
                <w:p w14:paraId="4A3214C6" w14:textId="77777777" w:rsidR="00CC40DD" w:rsidRPr="003F7761" w:rsidRDefault="00CC40DD" w:rsidP="00F24080">
                  <w:pPr>
                    <w:pStyle w:val="TableText0"/>
                    <w:keepNext w:val="0"/>
                    <w:rPr>
                      <w:szCs w:val="20"/>
                    </w:rPr>
                  </w:pPr>
                  <w:r w:rsidRPr="003F7761">
                    <w:rPr>
                      <w:szCs w:val="20"/>
                    </w:rPr>
                    <w:t>Symbicort</w:t>
                  </w:r>
                  <w:r w:rsidR="00B41C13" w:rsidRPr="003F7761">
                    <w:rPr>
                      <w:szCs w:val="20"/>
                    </w:rPr>
                    <w:t>®</w:t>
                  </w:r>
                  <w:r w:rsidRPr="003F7761">
                    <w:rPr>
                      <w:szCs w:val="20"/>
                    </w:rPr>
                    <w:t xml:space="preserve"> Turbuhaler</w:t>
                  </w:r>
                  <w:r w:rsidR="00B41C13" w:rsidRPr="003F7761">
                    <w:rPr>
                      <w:szCs w:val="20"/>
                    </w:rPr>
                    <w:t>®</w:t>
                  </w:r>
                  <w:r w:rsidRPr="003F7761">
                    <w:rPr>
                      <w:szCs w:val="20"/>
                    </w:rPr>
                    <w:t xml:space="preserve"> 200/6</w:t>
                  </w:r>
                </w:p>
              </w:tc>
              <w:tc>
                <w:tcPr>
                  <w:tcW w:w="545" w:type="dxa"/>
                </w:tcPr>
                <w:p w14:paraId="7E53DF32" w14:textId="77777777" w:rsidR="00CC40DD" w:rsidRPr="00F02C04" w:rsidRDefault="00CC40DD" w:rsidP="00F24080">
                  <w:pPr>
                    <w:pStyle w:val="TableText0"/>
                    <w:keepNext w:val="0"/>
                    <w:rPr>
                      <w:szCs w:val="20"/>
                    </w:rPr>
                  </w:pPr>
                  <w:r w:rsidRPr="00F02C04">
                    <w:rPr>
                      <w:szCs w:val="20"/>
                    </w:rPr>
                    <w:t>18%</w:t>
                  </w:r>
                </w:p>
              </w:tc>
            </w:tr>
            <w:tr w:rsidR="00CC40DD" w:rsidRPr="003F7761" w14:paraId="73BDC701" w14:textId="77777777" w:rsidTr="00B41C13">
              <w:tc>
                <w:tcPr>
                  <w:tcW w:w="2583" w:type="dxa"/>
                </w:tcPr>
                <w:p w14:paraId="7739B647" w14:textId="77777777" w:rsidR="00CC40DD" w:rsidRPr="003F7761" w:rsidRDefault="00CC40DD" w:rsidP="00F24080">
                  <w:pPr>
                    <w:pStyle w:val="TableText0"/>
                    <w:keepNext w:val="0"/>
                    <w:rPr>
                      <w:szCs w:val="20"/>
                    </w:rPr>
                  </w:pPr>
                  <w:r w:rsidRPr="003F7761">
                    <w:rPr>
                      <w:szCs w:val="20"/>
                    </w:rPr>
                    <w:t>Seretide</w:t>
                  </w:r>
                  <w:r w:rsidR="00B41C13" w:rsidRPr="003F7761">
                    <w:rPr>
                      <w:szCs w:val="20"/>
                    </w:rPr>
                    <w:t>®</w:t>
                  </w:r>
                  <w:r w:rsidRPr="003F7761">
                    <w:rPr>
                      <w:szCs w:val="20"/>
                    </w:rPr>
                    <w:t xml:space="preserve"> Accuhaler</w:t>
                  </w:r>
                  <w:r w:rsidR="00B41C13" w:rsidRPr="003F7761">
                    <w:rPr>
                      <w:szCs w:val="20"/>
                    </w:rPr>
                    <w:t>®</w:t>
                  </w:r>
                  <w:r w:rsidRPr="003F7761">
                    <w:rPr>
                      <w:szCs w:val="20"/>
                    </w:rPr>
                    <w:t xml:space="preserve"> 250/50</w:t>
                  </w:r>
                </w:p>
              </w:tc>
              <w:tc>
                <w:tcPr>
                  <w:tcW w:w="545" w:type="dxa"/>
                </w:tcPr>
                <w:p w14:paraId="7C12AE83" w14:textId="77777777" w:rsidR="00CC40DD" w:rsidRPr="00F02C04" w:rsidRDefault="00CC40DD" w:rsidP="00F24080">
                  <w:pPr>
                    <w:pStyle w:val="TableText0"/>
                    <w:keepNext w:val="0"/>
                    <w:rPr>
                      <w:szCs w:val="20"/>
                    </w:rPr>
                  </w:pPr>
                  <w:r w:rsidRPr="00F02C04">
                    <w:rPr>
                      <w:szCs w:val="20"/>
                    </w:rPr>
                    <w:t>34%</w:t>
                  </w:r>
                </w:p>
              </w:tc>
            </w:tr>
            <w:tr w:rsidR="00CC40DD" w:rsidRPr="003F7761" w14:paraId="554D26E8" w14:textId="77777777" w:rsidTr="00B41C13">
              <w:tc>
                <w:tcPr>
                  <w:tcW w:w="2583" w:type="dxa"/>
                </w:tcPr>
                <w:p w14:paraId="52887576" w14:textId="77777777" w:rsidR="00CC40DD" w:rsidRPr="003F7761" w:rsidRDefault="00CC40DD" w:rsidP="00F24080">
                  <w:pPr>
                    <w:pStyle w:val="TableText0"/>
                    <w:keepNext w:val="0"/>
                    <w:rPr>
                      <w:szCs w:val="20"/>
                    </w:rPr>
                  </w:pPr>
                  <w:r w:rsidRPr="003F7761">
                    <w:rPr>
                      <w:szCs w:val="20"/>
                    </w:rPr>
                    <w:t>Symbicort</w:t>
                  </w:r>
                  <w:r w:rsidR="00B41C13" w:rsidRPr="003F7761">
                    <w:rPr>
                      <w:szCs w:val="20"/>
                    </w:rPr>
                    <w:t>®</w:t>
                  </w:r>
                  <w:r w:rsidRPr="003F7761">
                    <w:rPr>
                      <w:szCs w:val="20"/>
                    </w:rPr>
                    <w:t xml:space="preserve"> Rapihaler</w:t>
                  </w:r>
                  <w:r w:rsidR="00B41C13" w:rsidRPr="003F7761">
                    <w:rPr>
                      <w:szCs w:val="20"/>
                    </w:rPr>
                    <w:t>®</w:t>
                  </w:r>
                  <w:r w:rsidRPr="003F7761">
                    <w:rPr>
                      <w:szCs w:val="20"/>
                    </w:rPr>
                    <w:t xml:space="preserve"> 200/6</w:t>
                  </w:r>
                </w:p>
              </w:tc>
              <w:tc>
                <w:tcPr>
                  <w:tcW w:w="545" w:type="dxa"/>
                </w:tcPr>
                <w:p w14:paraId="580F12B2" w14:textId="77777777" w:rsidR="00CC40DD" w:rsidRPr="00F02C04" w:rsidRDefault="00CC40DD" w:rsidP="00F24080">
                  <w:pPr>
                    <w:pStyle w:val="TableText0"/>
                    <w:keepNext w:val="0"/>
                    <w:rPr>
                      <w:szCs w:val="20"/>
                    </w:rPr>
                  </w:pPr>
                  <w:r w:rsidRPr="00F02C04">
                    <w:rPr>
                      <w:szCs w:val="20"/>
                    </w:rPr>
                    <w:t>12%</w:t>
                  </w:r>
                </w:p>
              </w:tc>
            </w:tr>
            <w:tr w:rsidR="00CC40DD" w:rsidRPr="003F7761" w14:paraId="360802BF" w14:textId="77777777" w:rsidTr="00B41C13">
              <w:tc>
                <w:tcPr>
                  <w:tcW w:w="2583" w:type="dxa"/>
                </w:tcPr>
                <w:p w14:paraId="0BDA6FDF" w14:textId="77777777" w:rsidR="00CC40DD" w:rsidRPr="003F7761" w:rsidRDefault="00CC40DD" w:rsidP="00C3631D">
                  <w:pPr>
                    <w:pStyle w:val="TableText0"/>
                    <w:keepNext w:val="0"/>
                    <w:rPr>
                      <w:szCs w:val="20"/>
                    </w:rPr>
                  </w:pPr>
                  <w:r w:rsidRPr="003F7761">
                    <w:rPr>
                      <w:szCs w:val="20"/>
                    </w:rPr>
                    <w:t>Seretide</w:t>
                  </w:r>
                  <w:r w:rsidR="00B41C13" w:rsidRPr="003F7761">
                    <w:rPr>
                      <w:szCs w:val="20"/>
                    </w:rPr>
                    <w:t>®</w:t>
                  </w:r>
                  <w:r w:rsidRPr="003F7761">
                    <w:rPr>
                      <w:szCs w:val="20"/>
                    </w:rPr>
                    <w:t xml:space="preserve"> 125/25</w:t>
                  </w:r>
                </w:p>
              </w:tc>
              <w:tc>
                <w:tcPr>
                  <w:tcW w:w="545" w:type="dxa"/>
                </w:tcPr>
                <w:p w14:paraId="56026C77" w14:textId="77777777" w:rsidR="00CC40DD" w:rsidRPr="00F02C04" w:rsidRDefault="00CC40DD" w:rsidP="00F24080">
                  <w:pPr>
                    <w:pStyle w:val="TableText0"/>
                    <w:keepNext w:val="0"/>
                    <w:rPr>
                      <w:szCs w:val="20"/>
                    </w:rPr>
                  </w:pPr>
                  <w:r w:rsidRPr="00F02C04">
                    <w:rPr>
                      <w:szCs w:val="20"/>
                    </w:rPr>
                    <w:t>34%</w:t>
                  </w:r>
                </w:p>
              </w:tc>
            </w:tr>
            <w:tr w:rsidR="00CC40DD" w:rsidRPr="003F7761" w14:paraId="3E03E31A" w14:textId="77777777" w:rsidTr="00B41C13">
              <w:tc>
                <w:tcPr>
                  <w:tcW w:w="2583" w:type="dxa"/>
                </w:tcPr>
                <w:p w14:paraId="6C5E3A57" w14:textId="77777777" w:rsidR="00CC40DD" w:rsidRPr="003F7761" w:rsidRDefault="00CC40DD" w:rsidP="00F24080">
                  <w:pPr>
                    <w:pStyle w:val="TableText0"/>
                    <w:keepNext w:val="0"/>
                    <w:rPr>
                      <w:szCs w:val="20"/>
                    </w:rPr>
                  </w:pPr>
                  <w:r w:rsidRPr="003F7761">
                    <w:rPr>
                      <w:szCs w:val="20"/>
                    </w:rPr>
                    <w:t>Breo</w:t>
                  </w:r>
                  <w:r w:rsidR="00B41C13" w:rsidRPr="003F7761">
                    <w:rPr>
                      <w:szCs w:val="20"/>
                    </w:rPr>
                    <w:t>®</w:t>
                  </w:r>
                  <w:r w:rsidRPr="003F7761">
                    <w:rPr>
                      <w:szCs w:val="20"/>
                    </w:rPr>
                    <w:t xml:space="preserve"> El</w:t>
                  </w:r>
                  <w:r w:rsidR="00394E5B" w:rsidRPr="003F7761">
                    <w:rPr>
                      <w:szCs w:val="20"/>
                    </w:rPr>
                    <w:t>l</w:t>
                  </w:r>
                  <w:r w:rsidRPr="003F7761">
                    <w:rPr>
                      <w:szCs w:val="20"/>
                    </w:rPr>
                    <w:t>ipta</w:t>
                  </w:r>
                  <w:r w:rsidR="00B41C13" w:rsidRPr="003F7761">
                    <w:rPr>
                      <w:szCs w:val="20"/>
                    </w:rPr>
                    <w:t>®</w:t>
                  </w:r>
                  <w:r w:rsidRPr="003F7761">
                    <w:rPr>
                      <w:szCs w:val="20"/>
                    </w:rPr>
                    <w:t xml:space="preserve"> 100/25</w:t>
                  </w:r>
                </w:p>
              </w:tc>
              <w:tc>
                <w:tcPr>
                  <w:tcW w:w="545" w:type="dxa"/>
                </w:tcPr>
                <w:p w14:paraId="75F11D74" w14:textId="77777777" w:rsidR="00CC40DD" w:rsidRPr="00F02C04" w:rsidRDefault="00CC40DD" w:rsidP="00F24080">
                  <w:pPr>
                    <w:pStyle w:val="TableText0"/>
                    <w:keepNext w:val="0"/>
                    <w:rPr>
                      <w:szCs w:val="20"/>
                    </w:rPr>
                  </w:pPr>
                  <w:r w:rsidRPr="00F02C04">
                    <w:rPr>
                      <w:szCs w:val="20"/>
                    </w:rPr>
                    <w:t>1%</w:t>
                  </w:r>
                </w:p>
              </w:tc>
            </w:tr>
            <w:tr w:rsidR="00CC40DD" w:rsidRPr="003F7761" w14:paraId="392187E8" w14:textId="77777777" w:rsidTr="00F02C04">
              <w:trPr>
                <w:trHeight w:val="77"/>
              </w:trPr>
              <w:tc>
                <w:tcPr>
                  <w:tcW w:w="2583" w:type="dxa"/>
                </w:tcPr>
                <w:p w14:paraId="362C2EF1" w14:textId="77777777" w:rsidR="00CC40DD" w:rsidRPr="003F7761" w:rsidRDefault="00CC40DD" w:rsidP="00F24080">
                  <w:pPr>
                    <w:pStyle w:val="TableText0"/>
                    <w:keepNext w:val="0"/>
                    <w:rPr>
                      <w:szCs w:val="20"/>
                    </w:rPr>
                  </w:pPr>
                  <w:r w:rsidRPr="003F7761">
                    <w:rPr>
                      <w:szCs w:val="20"/>
                    </w:rPr>
                    <w:t>Flutiform</w:t>
                  </w:r>
                  <w:r w:rsidR="00B41C13" w:rsidRPr="003F7761">
                    <w:rPr>
                      <w:szCs w:val="20"/>
                    </w:rPr>
                    <w:t>®</w:t>
                  </w:r>
                  <w:r w:rsidRPr="003F7761">
                    <w:rPr>
                      <w:szCs w:val="20"/>
                    </w:rPr>
                    <w:t xml:space="preserve"> 125/5</w:t>
                  </w:r>
                </w:p>
              </w:tc>
              <w:tc>
                <w:tcPr>
                  <w:tcW w:w="545" w:type="dxa"/>
                </w:tcPr>
                <w:p w14:paraId="5811ACDD" w14:textId="77777777" w:rsidR="00CC40DD" w:rsidRPr="00F02C04" w:rsidRDefault="00CC40DD" w:rsidP="00F24080">
                  <w:pPr>
                    <w:pStyle w:val="TableText0"/>
                    <w:keepNext w:val="0"/>
                    <w:rPr>
                      <w:szCs w:val="20"/>
                    </w:rPr>
                  </w:pPr>
                  <w:r w:rsidRPr="00F02C04">
                    <w:rPr>
                      <w:szCs w:val="20"/>
                    </w:rPr>
                    <w:t>1%</w:t>
                  </w:r>
                </w:p>
              </w:tc>
            </w:tr>
          </w:tbl>
          <w:p w14:paraId="56679F27" w14:textId="77777777" w:rsidR="00CC40DD" w:rsidRPr="003F7761" w:rsidRDefault="00CC40DD" w:rsidP="00F24080">
            <w:pPr>
              <w:pStyle w:val="TableText0"/>
              <w:keepNext w:val="0"/>
              <w:rPr>
                <w:szCs w:val="20"/>
              </w:rPr>
            </w:pPr>
          </w:p>
        </w:tc>
        <w:tc>
          <w:tcPr>
            <w:tcW w:w="1200" w:type="pct"/>
            <w:vAlign w:val="center"/>
          </w:tcPr>
          <w:p w14:paraId="60518D22" w14:textId="77777777" w:rsidR="00CC40DD" w:rsidRPr="003F7761" w:rsidRDefault="00D80868" w:rsidP="00186B71">
            <w:pPr>
              <w:pStyle w:val="TableText0"/>
              <w:keepNext w:val="0"/>
              <w:rPr>
                <w:szCs w:val="20"/>
              </w:rPr>
            </w:pPr>
            <w:r w:rsidRPr="003F7761">
              <w:rPr>
                <w:szCs w:val="20"/>
              </w:rPr>
              <w:t>Assumption.</w:t>
            </w:r>
          </w:p>
        </w:tc>
        <w:tc>
          <w:tcPr>
            <w:tcW w:w="1261" w:type="pct"/>
            <w:vAlign w:val="center"/>
          </w:tcPr>
          <w:p w14:paraId="33A035C2" w14:textId="77777777" w:rsidR="00CC40DD" w:rsidRPr="003F7761" w:rsidRDefault="00CC40DD" w:rsidP="00A47D1D">
            <w:pPr>
              <w:pStyle w:val="TableText0"/>
              <w:keepNext w:val="0"/>
              <w:rPr>
                <w:iCs/>
                <w:szCs w:val="20"/>
              </w:rPr>
            </w:pPr>
            <w:r w:rsidRPr="003F7761">
              <w:rPr>
                <w:iCs/>
                <w:szCs w:val="20"/>
              </w:rPr>
              <w:t xml:space="preserve">Uncertain. </w:t>
            </w:r>
            <w:r w:rsidR="00A47D1D" w:rsidRPr="003F7761">
              <w:rPr>
                <w:iCs/>
                <w:szCs w:val="20"/>
              </w:rPr>
              <w:t>No rationale was provided and there may be greater substation with BUD/FOR MDI given the similarities with BEC/FOR.</w:t>
            </w:r>
          </w:p>
        </w:tc>
      </w:tr>
      <w:tr w:rsidR="00CC40DD" w:rsidRPr="003F7761" w14:paraId="049457F2" w14:textId="77777777" w:rsidTr="006A4889">
        <w:tc>
          <w:tcPr>
            <w:tcW w:w="644" w:type="pct"/>
            <w:vAlign w:val="center"/>
          </w:tcPr>
          <w:p w14:paraId="09D0F5EF" w14:textId="77777777" w:rsidR="00CC40DD" w:rsidRPr="003F7761" w:rsidRDefault="00CC40DD" w:rsidP="00F24080">
            <w:pPr>
              <w:pStyle w:val="TableText0"/>
              <w:keepNext w:val="0"/>
              <w:rPr>
                <w:rFonts w:cs="Arial"/>
                <w:szCs w:val="20"/>
                <w:lang w:eastAsia="ja-JP"/>
              </w:rPr>
            </w:pPr>
            <w:r w:rsidRPr="003F7761">
              <w:rPr>
                <w:rFonts w:cs="Arial"/>
                <w:szCs w:val="20"/>
                <w:lang w:eastAsia="ja-JP"/>
              </w:rPr>
              <w:t>Script equivalence</w:t>
            </w:r>
          </w:p>
        </w:tc>
        <w:tc>
          <w:tcPr>
            <w:tcW w:w="1894" w:type="pct"/>
            <w:vAlign w:val="center"/>
          </w:tcPr>
          <w:tbl>
            <w:tblPr>
              <w:tblStyle w:val="TableGrid"/>
              <w:tblW w:w="0" w:type="auto"/>
              <w:tblLook w:val="04A0" w:firstRow="1" w:lastRow="0" w:firstColumn="1" w:lastColumn="0" w:noHBand="0" w:noVBand="1"/>
              <w:tblCaption w:val="Table "/>
            </w:tblPr>
            <w:tblGrid>
              <w:gridCol w:w="2533"/>
              <w:gridCol w:w="627"/>
            </w:tblGrid>
            <w:tr w:rsidR="00CC40DD" w:rsidRPr="003F7761" w14:paraId="74FCC72C" w14:textId="77777777" w:rsidTr="004753F9">
              <w:trPr>
                <w:tblHeader/>
              </w:trPr>
              <w:tc>
                <w:tcPr>
                  <w:tcW w:w="2533" w:type="dxa"/>
                </w:tcPr>
                <w:p w14:paraId="30778826" w14:textId="77777777" w:rsidR="00CC40DD" w:rsidRPr="003F7761" w:rsidRDefault="00CC40DD" w:rsidP="00F24080">
                  <w:pPr>
                    <w:pStyle w:val="TableText0"/>
                    <w:keepNext w:val="0"/>
                    <w:rPr>
                      <w:szCs w:val="20"/>
                    </w:rPr>
                  </w:pPr>
                  <w:r w:rsidRPr="003F7761">
                    <w:rPr>
                      <w:szCs w:val="20"/>
                    </w:rPr>
                    <w:t>Symbicort</w:t>
                  </w:r>
                  <w:r w:rsidR="00B41C13" w:rsidRPr="003F7761">
                    <w:rPr>
                      <w:szCs w:val="20"/>
                    </w:rPr>
                    <w:t>®</w:t>
                  </w:r>
                  <w:r w:rsidRPr="003F7761">
                    <w:rPr>
                      <w:szCs w:val="20"/>
                    </w:rPr>
                    <w:t xml:space="preserve"> Turbuhaler</w:t>
                  </w:r>
                  <w:r w:rsidR="00B41C13" w:rsidRPr="003F7761">
                    <w:rPr>
                      <w:szCs w:val="20"/>
                    </w:rPr>
                    <w:t>®</w:t>
                  </w:r>
                  <w:r w:rsidRPr="003F7761">
                    <w:rPr>
                      <w:szCs w:val="20"/>
                    </w:rPr>
                    <w:t xml:space="preserve"> 200/6</w:t>
                  </w:r>
                </w:p>
              </w:tc>
              <w:tc>
                <w:tcPr>
                  <w:tcW w:w="627" w:type="dxa"/>
                  <w:vAlign w:val="center"/>
                </w:tcPr>
                <w:p w14:paraId="74AEE7BA" w14:textId="77777777" w:rsidR="00CC40DD" w:rsidRPr="003F7761" w:rsidRDefault="00CC40DD" w:rsidP="00B41C13">
                  <w:pPr>
                    <w:pStyle w:val="TableText0"/>
                    <w:keepNext w:val="0"/>
                    <w:jc w:val="center"/>
                    <w:rPr>
                      <w:szCs w:val="20"/>
                    </w:rPr>
                  </w:pPr>
                  <w:r w:rsidRPr="003F7761">
                    <w:rPr>
                      <w:rFonts w:cs="Arial"/>
                      <w:szCs w:val="20"/>
                    </w:rPr>
                    <w:t>12.18</w:t>
                  </w:r>
                </w:p>
              </w:tc>
            </w:tr>
            <w:tr w:rsidR="00CC40DD" w:rsidRPr="003F7761" w14:paraId="56B4217F" w14:textId="77777777" w:rsidTr="00B41C13">
              <w:tc>
                <w:tcPr>
                  <w:tcW w:w="2533" w:type="dxa"/>
                </w:tcPr>
                <w:p w14:paraId="2071E5E3" w14:textId="77777777" w:rsidR="00CC40DD" w:rsidRPr="003F7761" w:rsidRDefault="00CC40DD" w:rsidP="00F24080">
                  <w:pPr>
                    <w:pStyle w:val="TableText0"/>
                    <w:keepNext w:val="0"/>
                    <w:rPr>
                      <w:szCs w:val="20"/>
                    </w:rPr>
                  </w:pPr>
                  <w:r w:rsidRPr="003F7761">
                    <w:rPr>
                      <w:szCs w:val="20"/>
                    </w:rPr>
                    <w:t>Seretide</w:t>
                  </w:r>
                  <w:r w:rsidR="00B41C13" w:rsidRPr="003F7761">
                    <w:rPr>
                      <w:szCs w:val="20"/>
                    </w:rPr>
                    <w:t>®</w:t>
                  </w:r>
                  <w:r w:rsidRPr="003F7761">
                    <w:rPr>
                      <w:szCs w:val="20"/>
                    </w:rPr>
                    <w:t xml:space="preserve"> Accuhaler</w:t>
                  </w:r>
                  <w:r w:rsidR="00B41C13" w:rsidRPr="003F7761">
                    <w:rPr>
                      <w:szCs w:val="20"/>
                    </w:rPr>
                    <w:t>®</w:t>
                  </w:r>
                  <w:r w:rsidRPr="003F7761">
                    <w:rPr>
                      <w:szCs w:val="20"/>
                    </w:rPr>
                    <w:t xml:space="preserve"> 250/50</w:t>
                  </w:r>
                </w:p>
              </w:tc>
              <w:tc>
                <w:tcPr>
                  <w:tcW w:w="627" w:type="dxa"/>
                  <w:vAlign w:val="center"/>
                </w:tcPr>
                <w:p w14:paraId="4C8CF587" w14:textId="77777777" w:rsidR="00CC40DD" w:rsidRPr="003F7761" w:rsidRDefault="00CC40DD" w:rsidP="00B41C13">
                  <w:pPr>
                    <w:pStyle w:val="TableText0"/>
                    <w:keepNext w:val="0"/>
                    <w:jc w:val="center"/>
                    <w:rPr>
                      <w:szCs w:val="20"/>
                    </w:rPr>
                  </w:pPr>
                  <w:r w:rsidRPr="003F7761">
                    <w:rPr>
                      <w:rFonts w:cs="Arial"/>
                      <w:szCs w:val="20"/>
                    </w:rPr>
                    <w:t>12.18</w:t>
                  </w:r>
                </w:p>
              </w:tc>
            </w:tr>
            <w:tr w:rsidR="00CC40DD" w:rsidRPr="003F7761" w14:paraId="5944C871" w14:textId="77777777" w:rsidTr="00B41C13">
              <w:tc>
                <w:tcPr>
                  <w:tcW w:w="2533" w:type="dxa"/>
                </w:tcPr>
                <w:p w14:paraId="5775DCBA" w14:textId="77777777" w:rsidR="00CC40DD" w:rsidRPr="003F7761" w:rsidRDefault="00CC40DD" w:rsidP="00F24080">
                  <w:pPr>
                    <w:pStyle w:val="TableText0"/>
                    <w:keepNext w:val="0"/>
                    <w:rPr>
                      <w:szCs w:val="20"/>
                    </w:rPr>
                  </w:pPr>
                  <w:r w:rsidRPr="003F7761">
                    <w:rPr>
                      <w:szCs w:val="20"/>
                    </w:rPr>
                    <w:t>Symbicort</w:t>
                  </w:r>
                  <w:r w:rsidR="00B41C13" w:rsidRPr="003F7761">
                    <w:rPr>
                      <w:szCs w:val="20"/>
                    </w:rPr>
                    <w:t>®</w:t>
                  </w:r>
                  <w:r w:rsidRPr="003F7761">
                    <w:rPr>
                      <w:szCs w:val="20"/>
                    </w:rPr>
                    <w:t xml:space="preserve"> Rapihaler</w:t>
                  </w:r>
                  <w:r w:rsidR="00B41C13" w:rsidRPr="003F7761">
                    <w:rPr>
                      <w:szCs w:val="20"/>
                    </w:rPr>
                    <w:t>®</w:t>
                  </w:r>
                  <w:r w:rsidRPr="003F7761">
                    <w:rPr>
                      <w:szCs w:val="20"/>
                    </w:rPr>
                    <w:t xml:space="preserve"> 200/6</w:t>
                  </w:r>
                </w:p>
              </w:tc>
              <w:tc>
                <w:tcPr>
                  <w:tcW w:w="627" w:type="dxa"/>
                  <w:vAlign w:val="center"/>
                </w:tcPr>
                <w:p w14:paraId="5FA1B25F" w14:textId="77777777" w:rsidR="00CC40DD" w:rsidRPr="003F7761" w:rsidRDefault="00CC40DD" w:rsidP="00B41C13">
                  <w:pPr>
                    <w:pStyle w:val="TableText0"/>
                    <w:keepNext w:val="0"/>
                    <w:jc w:val="center"/>
                    <w:rPr>
                      <w:szCs w:val="20"/>
                    </w:rPr>
                  </w:pPr>
                  <w:r w:rsidRPr="003F7761">
                    <w:rPr>
                      <w:szCs w:val="20"/>
                    </w:rPr>
                    <w:t>6.09</w:t>
                  </w:r>
                </w:p>
              </w:tc>
            </w:tr>
            <w:tr w:rsidR="00CC40DD" w:rsidRPr="003F7761" w14:paraId="712B2341" w14:textId="77777777" w:rsidTr="00B41C13">
              <w:tc>
                <w:tcPr>
                  <w:tcW w:w="2533" w:type="dxa"/>
                </w:tcPr>
                <w:p w14:paraId="3ECA8066" w14:textId="77777777" w:rsidR="00CC40DD" w:rsidRPr="003F7761" w:rsidRDefault="00CC40DD" w:rsidP="00C3631D">
                  <w:pPr>
                    <w:pStyle w:val="TableText0"/>
                    <w:keepNext w:val="0"/>
                    <w:rPr>
                      <w:szCs w:val="20"/>
                    </w:rPr>
                  </w:pPr>
                  <w:r w:rsidRPr="003F7761">
                    <w:rPr>
                      <w:szCs w:val="20"/>
                    </w:rPr>
                    <w:t>Seretide</w:t>
                  </w:r>
                  <w:r w:rsidR="00B41C13" w:rsidRPr="003F7761">
                    <w:rPr>
                      <w:szCs w:val="20"/>
                    </w:rPr>
                    <w:t>®</w:t>
                  </w:r>
                  <w:r w:rsidRPr="003F7761">
                    <w:rPr>
                      <w:szCs w:val="20"/>
                    </w:rPr>
                    <w:t xml:space="preserve"> 125/25</w:t>
                  </w:r>
                </w:p>
              </w:tc>
              <w:tc>
                <w:tcPr>
                  <w:tcW w:w="627" w:type="dxa"/>
                  <w:vAlign w:val="center"/>
                </w:tcPr>
                <w:p w14:paraId="79ACB1BA" w14:textId="77777777" w:rsidR="00CC40DD" w:rsidRPr="003F7761" w:rsidRDefault="00CC40DD" w:rsidP="00B41C13">
                  <w:pPr>
                    <w:pStyle w:val="TableText0"/>
                    <w:keepNext w:val="0"/>
                    <w:jc w:val="center"/>
                    <w:rPr>
                      <w:szCs w:val="20"/>
                    </w:rPr>
                  </w:pPr>
                  <w:r w:rsidRPr="003F7761">
                    <w:rPr>
                      <w:rFonts w:cs="Arial"/>
                      <w:szCs w:val="20"/>
                    </w:rPr>
                    <w:t>12.18</w:t>
                  </w:r>
                </w:p>
              </w:tc>
            </w:tr>
            <w:tr w:rsidR="00CC40DD" w:rsidRPr="003F7761" w14:paraId="5358E196" w14:textId="77777777" w:rsidTr="00B41C13">
              <w:tc>
                <w:tcPr>
                  <w:tcW w:w="2533" w:type="dxa"/>
                </w:tcPr>
                <w:p w14:paraId="1EF46A07" w14:textId="77777777" w:rsidR="00CC40DD" w:rsidRPr="003F7761" w:rsidRDefault="00CC40DD" w:rsidP="00F24080">
                  <w:pPr>
                    <w:pStyle w:val="TableText0"/>
                    <w:keepNext w:val="0"/>
                    <w:rPr>
                      <w:szCs w:val="20"/>
                    </w:rPr>
                  </w:pPr>
                  <w:r w:rsidRPr="003F7761">
                    <w:rPr>
                      <w:szCs w:val="20"/>
                    </w:rPr>
                    <w:t>Breo</w:t>
                  </w:r>
                  <w:r w:rsidR="00B41C13" w:rsidRPr="003F7761">
                    <w:rPr>
                      <w:szCs w:val="20"/>
                    </w:rPr>
                    <w:t>®</w:t>
                  </w:r>
                  <w:r w:rsidRPr="003F7761">
                    <w:rPr>
                      <w:szCs w:val="20"/>
                    </w:rPr>
                    <w:t xml:space="preserve"> E</w:t>
                  </w:r>
                  <w:r w:rsidR="00394E5B" w:rsidRPr="003F7761">
                    <w:rPr>
                      <w:szCs w:val="20"/>
                    </w:rPr>
                    <w:t>l</w:t>
                  </w:r>
                  <w:r w:rsidRPr="003F7761">
                    <w:rPr>
                      <w:szCs w:val="20"/>
                    </w:rPr>
                    <w:t>lipta</w:t>
                  </w:r>
                  <w:r w:rsidR="00B41C13" w:rsidRPr="003F7761">
                    <w:rPr>
                      <w:szCs w:val="20"/>
                    </w:rPr>
                    <w:t>®</w:t>
                  </w:r>
                  <w:r w:rsidRPr="003F7761">
                    <w:rPr>
                      <w:szCs w:val="20"/>
                    </w:rPr>
                    <w:t xml:space="preserve"> 100/25</w:t>
                  </w:r>
                </w:p>
              </w:tc>
              <w:tc>
                <w:tcPr>
                  <w:tcW w:w="627" w:type="dxa"/>
                  <w:vAlign w:val="center"/>
                </w:tcPr>
                <w:p w14:paraId="21945A4C" w14:textId="77777777" w:rsidR="00CC40DD" w:rsidRPr="003F7761" w:rsidRDefault="00CC40DD" w:rsidP="00B41C13">
                  <w:pPr>
                    <w:pStyle w:val="TableText0"/>
                    <w:keepNext w:val="0"/>
                    <w:jc w:val="center"/>
                    <w:rPr>
                      <w:szCs w:val="20"/>
                    </w:rPr>
                  </w:pPr>
                  <w:r w:rsidRPr="003F7761">
                    <w:rPr>
                      <w:rFonts w:cs="Arial"/>
                      <w:szCs w:val="20"/>
                    </w:rPr>
                    <w:t>12.18</w:t>
                  </w:r>
                </w:p>
              </w:tc>
            </w:tr>
            <w:tr w:rsidR="00CC40DD" w:rsidRPr="003F7761" w14:paraId="4F9ECB55" w14:textId="77777777" w:rsidTr="00B41C13">
              <w:tc>
                <w:tcPr>
                  <w:tcW w:w="2533" w:type="dxa"/>
                </w:tcPr>
                <w:p w14:paraId="13D31861" w14:textId="77777777" w:rsidR="00CC40DD" w:rsidRPr="003F7761" w:rsidRDefault="00B41C13" w:rsidP="00F24080">
                  <w:pPr>
                    <w:pStyle w:val="TableText0"/>
                    <w:keepNext w:val="0"/>
                    <w:rPr>
                      <w:szCs w:val="20"/>
                    </w:rPr>
                  </w:pPr>
                  <w:r w:rsidRPr="003F7761">
                    <w:rPr>
                      <w:szCs w:val="20"/>
                    </w:rPr>
                    <w:t>Flutiform®</w:t>
                  </w:r>
                  <w:r w:rsidR="00CC40DD" w:rsidRPr="003F7761">
                    <w:rPr>
                      <w:szCs w:val="20"/>
                    </w:rPr>
                    <w:t xml:space="preserve"> 125/5</w:t>
                  </w:r>
                </w:p>
              </w:tc>
              <w:tc>
                <w:tcPr>
                  <w:tcW w:w="627" w:type="dxa"/>
                  <w:vAlign w:val="center"/>
                </w:tcPr>
                <w:p w14:paraId="245AEF65" w14:textId="77777777" w:rsidR="00CC40DD" w:rsidRPr="003F7761" w:rsidRDefault="00CC40DD" w:rsidP="00B41C13">
                  <w:pPr>
                    <w:pStyle w:val="TableText0"/>
                    <w:keepNext w:val="0"/>
                    <w:jc w:val="center"/>
                    <w:rPr>
                      <w:szCs w:val="20"/>
                    </w:rPr>
                  </w:pPr>
                  <w:r w:rsidRPr="003F7761">
                    <w:rPr>
                      <w:rFonts w:cs="Arial"/>
                      <w:szCs w:val="20"/>
                    </w:rPr>
                    <w:t>12.18</w:t>
                  </w:r>
                </w:p>
              </w:tc>
            </w:tr>
          </w:tbl>
          <w:p w14:paraId="19EB6D53" w14:textId="77777777" w:rsidR="00CC40DD" w:rsidRPr="003F7761" w:rsidRDefault="00CC40DD" w:rsidP="00F24080">
            <w:pPr>
              <w:pStyle w:val="TableText0"/>
              <w:keepNext w:val="0"/>
              <w:rPr>
                <w:rFonts w:cs="Arial"/>
                <w:szCs w:val="20"/>
              </w:rPr>
            </w:pPr>
          </w:p>
        </w:tc>
        <w:tc>
          <w:tcPr>
            <w:tcW w:w="1200" w:type="pct"/>
            <w:vAlign w:val="center"/>
          </w:tcPr>
          <w:p w14:paraId="77CDBCC6" w14:textId="77777777" w:rsidR="00CC40DD" w:rsidRPr="003F7761" w:rsidRDefault="00CC40DD" w:rsidP="00F24080">
            <w:pPr>
              <w:pStyle w:val="TableText0"/>
              <w:keepNext w:val="0"/>
              <w:rPr>
                <w:rFonts w:cs="Arial"/>
                <w:szCs w:val="20"/>
              </w:rPr>
            </w:pPr>
            <w:r w:rsidRPr="003F7761">
              <w:rPr>
                <w:rFonts w:cs="Arial"/>
                <w:szCs w:val="20"/>
              </w:rPr>
              <w:t xml:space="preserve">Calculated as: </w:t>
            </w:r>
          </w:p>
          <w:p w14:paraId="2ACFFDE7" w14:textId="77777777" w:rsidR="00CC40DD" w:rsidRPr="003F7761" w:rsidRDefault="00CC40DD" w:rsidP="00F24080">
            <w:pPr>
              <w:pStyle w:val="TableText0"/>
              <w:keepNext w:val="0"/>
              <w:rPr>
                <w:rFonts w:cs="Arial"/>
                <w:szCs w:val="20"/>
              </w:rPr>
            </w:pPr>
            <w:r w:rsidRPr="003F7761">
              <w:rPr>
                <w:rFonts w:cs="Arial"/>
                <w:szCs w:val="20"/>
              </w:rPr>
              <w:t>365.25 days per year/(actuations per pack/average actuations per day)</w:t>
            </w:r>
          </w:p>
          <w:p w14:paraId="084C5812" w14:textId="77777777" w:rsidR="00CC40DD" w:rsidRPr="003F7761" w:rsidRDefault="00CC40DD" w:rsidP="00F24080">
            <w:pPr>
              <w:pStyle w:val="TableText0"/>
              <w:keepNext w:val="0"/>
              <w:rPr>
                <w:rFonts w:cs="Arial"/>
                <w:szCs w:val="20"/>
              </w:rPr>
            </w:pPr>
            <w:r w:rsidRPr="003F7761">
              <w:rPr>
                <w:rFonts w:cs="Arial"/>
                <w:szCs w:val="20"/>
              </w:rPr>
              <w:t>365.25/(120/4) =12.175 packs/patient/year</w:t>
            </w:r>
          </w:p>
          <w:p w14:paraId="73DB5326" w14:textId="77777777" w:rsidR="00CC40DD" w:rsidRPr="003F7761" w:rsidRDefault="00CC40DD" w:rsidP="00F24080">
            <w:pPr>
              <w:pStyle w:val="TableText0"/>
              <w:keepNext w:val="0"/>
              <w:rPr>
                <w:szCs w:val="20"/>
              </w:rPr>
            </w:pPr>
            <w:r w:rsidRPr="003F7761">
              <w:rPr>
                <w:rFonts w:cs="Arial"/>
                <w:szCs w:val="20"/>
              </w:rPr>
              <w:t>Scripts / year =12.18</w:t>
            </w:r>
          </w:p>
        </w:tc>
        <w:tc>
          <w:tcPr>
            <w:tcW w:w="1261" w:type="pct"/>
            <w:vAlign w:val="center"/>
          </w:tcPr>
          <w:p w14:paraId="4011C3E1" w14:textId="77777777" w:rsidR="00CC40DD" w:rsidRPr="003F7761" w:rsidRDefault="00CC40DD" w:rsidP="00F24080">
            <w:pPr>
              <w:pStyle w:val="TableText0"/>
              <w:keepNext w:val="0"/>
              <w:rPr>
                <w:iCs/>
                <w:szCs w:val="20"/>
              </w:rPr>
            </w:pPr>
            <w:r w:rsidRPr="003F7761">
              <w:rPr>
                <w:iCs/>
                <w:szCs w:val="20"/>
              </w:rPr>
              <w:t xml:space="preserve">Reasonable. </w:t>
            </w:r>
          </w:p>
        </w:tc>
      </w:tr>
      <w:tr w:rsidR="00CC40DD" w:rsidRPr="003F7761" w14:paraId="3C2EDC69" w14:textId="77777777" w:rsidTr="006A4889">
        <w:tc>
          <w:tcPr>
            <w:tcW w:w="644" w:type="pct"/>
            <w:vAlign w:val="center"/>
          </w:tcPr>
          <w:p w14:paraId="49FEA426" w14:textId="77777777" w:rsidR="00CC40DD" w:rsidRPr="003F7761" w:rsidRDefault="001A307C" w:rsidP="00F24080">
            <w:pPr>
              <w:pStyle w:val="TableText0"/>
              <w:keepNext w:val="0"/>
              <w:rPr>
                <w:szCs w:val="20"/>
              </w:rPr>
            </w:pPr>
            <w:r w:rsidRPr="003F7761">
              <w:rPr>
                <w:szCs w:val="20"/>
              </w:rPr>
              <w:lastRenderedPageBreak/>
              <w:t>BEC/FOR</w:t>
            </w:r>
          </w:p>
        </w:tc>
        <w:tc>
          <w:tcPr>
            <w:tcW w:w="1894" w:type="pct"/>
            <w:vAlign w:val="center"/>
          </w:tcPr>
          <w:p w14:paraId="48EC1959" w14:textId="77777777" w:rsidR="00CC40DD" w:rsidRPr="003F7761" w:rsidRDefault="00CC40DD" w:rsidP="00F24080">
            <w:pPr>
              <w:pStyle w:val="TableText0"/>
              <w:keepNext w:val="0"/>
              <w:rPr>
                <w:szCs w:val="20"/>
              </w:rPr>
            </w:pPr>
            <w:r w:rsidRPr="003F7761">
              <w:rPr>
                <w:szCs w:val="20"/>
              </w:rPr>
              <w:t>AEMP: $34.56</w:t>
            </w:r>
          </w:p>
          <w:p w14:paraId="2495597B" w14:textId="77777777" w:rsidR="00CC40DD" w:rsidRPr="003F7761" w:rsidRDefault="00CC40DD" w:rsidP="00F24080">
            <w:pPr>
              <w:pStyle w:val="TableText0"/>
              <w:keepNext w:val="0"/>
              <w:rPr>
                <w:szCs w:val="20"/>
              </w:rPr>
            </w:pPr>
            <w:r w:rsidRPr="003F7761">
              <w:rPr>
                <w:szCs w:val="20"/>
              </w:rPr>
              <w:t>DPMQ: $48.64</w:t>
            </w:r>
          </w:p>
        </w:tc>
        <w:tc>
          <w:tcPr>
            <w:tcW w:w="1200" w:type="pct"/>
            <w:vAlign w:val="center"/>
          </w:tcPr>
          <w:p w14:paraId="1096779D" w14:textId="77777777" w:rsidR="00CC40DD" w:rsidRPr="003F7761" w:rsidRDefault="00CC40DD" w:rsidP="00F24080">
            <w:pPr>
              <w:pStyle w:val="TableText0"/>
              <w:keepNext w:val="0"/>
              <w:rPr>
                <w:szCs w:val="20"/>
              </w:rPr>
            </w:pPr>
            <w:r w:rsidRPr="003F7761">
              <w:rPr>
                <w:szCs w:val="20"/>
              </w:rPr>
              <w:t>Requested price</w:t>
            </w:r>
          </w:p>
        </w:tc>
        <w:tc>
          <w:tcPr>
            <w:tcW w:w="1261" w:type="pct"/>
            <w:vAlign w:val="center"/>
          </w:tcPr>
          <w:p w14:paraId="777770CA" w14:textId="77777777" w:rsidR="00CC40DD" w:rsidRPr="003F7761" w:rsidRDefault="00CC40DD" w:rsidP="00F24080">
            <w:pPr>
              <w:pStyle w:val="TableText0"/>
              <w:keepNext w:val="0"/>
              <w:rPr>
                <w:iCs/>
                <w:szCs w:val="20"/>
              </w:rPr>
            </w:pPr>
            <w:r w:rsidRPr="003F7761">
              <w:rPr>
                <w:iCs/>
                <w:szCs w:val="20"/>
              </w:rPr>
              <w:t xml:space="preserve">Based on the cost-minimisation analysis in section 3. </w:t>
            </w:r>
          </w:p>
        </w:tc>
      </w:tr>
      <w:tr w:rsidR="00CC40DD" w:rsidRPr="003F7761" w14:paraId="0CA90D6A" w14:textId="77777777" w:rsidTr="006A4889">
        <w:tc>
          <w:tcPr>
            <w:tcW w:w="644" w:type="pct"/>
            <w:vAlign w:val="center"/>
          </w:tcPr>
          <w:p w14:paraId="6CCA78B1" w14:textId="77777777" w:rsidR="00CC40DD" w:rsidRPr="003F7761" w:rsidRDefault="00CC40DD" w:rsidP="00F24080">
            <w:pPr>
              <w:pStyle w:val="TableText0"/>
              <w:keepNext w:val="0"/>
              <w:rPr>
                <w:szCs w:val="20"/>
              </w:rPr>
            </w:pPr>
            <w:r w:rsidRPr="003F7761">
              <w:rPr>
                <w:szCs w:val="20"/>
              </w:rPr>
              <w:t>FDC Comparators DPMQ</w:t>
            </w:r>
          </w:p>
        </w:tc>
        <w:tc>
          <w:tcPr>
            <w:tcW w:w="1894" w:type="pct"/>
            <w:vAlign w:val="center"/>
          </w:tcPr>
          <w:tbl>
            <w:tblPr>
              <w:tblStyle w:val="TableGrid"/>
              <w:tblW w:w="0" w:type="auto"/>
              <w:tblLook w:val="04A0" w:firstRow="1" w:lastRow="0" w:firstColumn="1" w:lastColumn="0" w:noHBand="0" w:noVBand="1"/>
              <w:tblCaption w:val="Table"/>
            </w:tblPr>
            <w:tblGrid>
              <w:gridCol w:w="2533"/>
              <w:gridCol w:w="718"/>
            </w:tblGrid>
            <w:tr w:rsidR="00CC40DD" w:rsidRPr="003F7761" w14:paraId="05718C20" w14:textId="77777777" w:rsidTr="004753F9">
              <w:trPr>
                <w:trHeight w:val="255"/>
                <w:tblHeader/>
              </w:trPr>
              <w:tc>
                <w:tcPr>
                  <w:tcW w:w="2533" w:type="dxa"/>
                  <w:noWrap/>
                </w:tcPr>
                <w:p w14:paraId="2E850242" w14:textId="77777777" w:rsidR="00CC40DD" w:rsidRPr="003F7761" w:rsidRDefault="00CC40DD" w:rsidP="00F24080">
                  <w:pPr>
                    <w:pStyle w:val="TableText0"/>
                    <w:keepNext w:val="0"/>
                    <w:rPr>
                      <w:szCs w:val="20"/>
                    </w:rPr>
                  </w:pPr>
                  <w:r w:rsidRPr="003F7761">
                    <w:rPr>
                      <w:szCs w:val="20"/>
                    </w:rPr>
                    <w:t>Symbicort</w:t>
                  </w:r>
                  <w:r w:rsidR="00394E5B" w:rsidRPr="003F7761">
                    <w:rPr>
                      <w:szCs w:val="20"/>
                    </w:rPr>
                    <w:t>®</w:t>
                  </w:r>
                  <w:r w:rsidRPr="003F7761">
                    <w:rPr>
                      <w:szCs w:val="20"/>
                    </w:rPr>
                    <w:t xml:space="preserve"> Turbuhaler</w:t>
                  </w:r>
                  <w:r w:rsidR="00394E5B" w:rsidRPr="003F7761">
                    <w:rPr>
                      <w:szCs w:val="20"/>
                    </w:rPr>
                    <w:t>®</w:t>
                  </w:r>
                  <w:r w:rsidRPr="003F7761">
                    <w:rPr>
                      <w:szCs w:val="20"/>
                    </w:rPr>
                    <w:t xml:space="preserve"> 200/6</w:t>
                  </w:r>
                </w:p>
              </w:tc>
              <w:tc>
                <w:tcPr>
                  <w:tcW w:w="434" w:type="dxa"/>
                  <w:noWrap/>
                </w:tcPr>
                <w:p w14:paraId="3FB45D71" w14:textId="77777777" w:rsidR="00CC40DD" w:rsidRPr="003F7761" w:rsidRDefault="00CC40DD" w:rsidP="00F24080">
                  <w:pPr>
                    <w:pStyle w:val="TableText0"/>
                    <w:keepNext w:val="0"/>
                    <w:rPr>
                      <w:szCs w:val="20"/>
                    </w:rPr>
                  </w:pPr>
                  <w:r w:rsidRPr="003F7761">
                    <w:rPr>
                      <w:rFonts w:cs="Arial"/>
                      <w:szCs w:val="20"/>
                      <w:lang w:eastAsia="ja-JP"/>
                    </w:rPr>
                    <w:t>$44.79</w:t>
                  </w:r>
                </w:p>
              </w:tc>
            </w:tr>
            <w:tr w:rsidR="00CC40DD" w:rsidRPr="003F7761" w14:paraId="1C571571" w14:textId="77777777" w:rsidTr="00B41C13">
              <w:trPr>
                <w:trHeight w:val="255"/>
              </w:trPr>
              <w:tc>
                <w:tcPr>
                  <w:tcW w:w="2533" w:type="dxa"/>
                  <w:noWrap/>
                  <w:hideMark/>
                </w:tcPr>
                <w:p w14:paraId="70195375" w14:textId="77777777" w:rsidR="00CC40DD" w:rsidRPr="003F7761" w:rsidRDefault="00CC40DD" w:rsidP="00F24080">
                  <w:pPr>
                    <w:pStyle w:val="TableText0"/>
                    <w:keepNext w:val="0"/>
                    <w:ind w:left="-133" w:firstLine="133"/>
                    <w:rPr>
                      <w:szCs w:val="20"/>
                    </w:rPr>
                  </w:pPr>
                  <w:r w:rsidRPr="003F7761">
                    <w:rPr>
                      <w:szCs w:val="20"/>
                    </w:rPr>
                    <w:t>Seretide</w:t>
                  </w:r>
                  <w:r w:rsidR="00394E5B" w:rsidRPr="003F7761">
                    <w:rPr>
                      <w:szCs w:val="20"/>
                    </w:rPr>
                    <w:t>®</w:t>
                  </w:r>
                  <w:r w:rsidRPr="003F7761">
                    <w:rPr>
                      <w:szCs w:val="20"/>
                    </w:rPr>
                    <w:t xml:space="preserve"> Accuhaler</w:t>
                  </w:r>
                  <w:r w:rsidR="00394E5B" w:rsidRPr="003F7761">
                    <w:rPr>
                      <w:szCs w:val="20"/>
                    </w:rPr>
                    <w:t>®</w:t>
                  </w:r>
                  <w:r w:rsidRPr="003F7761">
                    <w:rPr>
                      <w:szCs w:val="20"/>
                    </w:rPr>
                    <w:t xml:space="preserve"> 250/50</w:t>
                  </w:r>
                </w:p>
              </w:tc>
              <w:tc>
                <w:tcPr>
                  <w:tcW w:w="434" w:type="dxa"/>
                  <w:noWrap/>
                </w:tcPr>
                <w:p w14:paraId="16A39350" w14:textId="77777777" w:rsidR="00CC40DD" w:rsidRPr="003F7761" w:rsidRDefault="00CC40DD" w:rsidP="00F24080">
                  <w:pPr>
                    <w:pStyle w:val="TableText0"/>
                    <w:keepNext w:val="0"/>
                    <w:rPr>
                      <w:szCs w:val="20"/>
                    </w:rPr>
                  </w:pPr>
                  <w:r w:rsidRPr="003F7761">
                    <w:rPr>
                      <w:rFonts w:cs="Arial"/>
                      <w:szCs w:val="20"/>
                      <w:lang w:eastAsia="ja-JP"/>
                    </w:rPr>
                    <w:t>$48.64</w:t>
                  </w:r>
                </w:p>
              </w:tc>
            </w:tr>
            <w:tr w:rsidR="00CC40DD" w:rsidRPr="003F7761" w14:paraId="70A9BB9E" w14:textId="77777777" w:rsidTr="00B41C13">
              <w:trPr>
                <w:trHeight w:val="255"/>
              </w:trPr>
              <w:tc>
                <w:tcPr>
                  <w:tcW w:w="2533" w:type="dxa"/>
                  <w:noWrap/>
                  <w:hideMark/>
                </w:tcPr>
                <w:p w14:paraId="53DE5E6D" w14:textId="77777777" w:rsidR="00CC40DD" w:rsidRPr="003F7761" w:rsidRDefault="00CC40DD" w:rsidP="00F24080">
                  <w:pPr>
                    <w:pStyle w:val="TableText0"/>
                    <w:keepNext w:val="0"/>
                    <w:rPr>
                      <w:szCs w:val="20"/>
                    </w:rPr>
                  </w:pPr>
                  <w:r w:rsidRPr="003F7761">
                    <w:rPr>
                      <w:szCs w:val="20"/>
                    </w:rPr>
                    <w:t>Symbicort</w:t>
                  </w:r>
                  <w:r w:rsidR="00394E5B" w:rsidRPr="003F7761">
                    <w:rPr>
                      <w:szCs w:val="20"/>
                    </w:rPr>
                    <w:t>®</w:t>
                  </w:r>
                  <w:r w:rsidRPr="003F7761">
                    <w:rPr>
                      <w:szCs w:val="20"/>
                    </w:rPr>
                    <w:t xml:space="preserve"> Rapihaler</w:t>
                  </w:r>
                  <w:r w:rsidR="00394E5B" w:rsidRPr="003F7761">
                    <w:rPr>
                      <w:szCs w:val="20"/>
                    </w:rPr>
                    <w:t>®</w:t>
                  </w:r>
                  <w:r w:rsidRPr="003F7761">
                    <w:rPr>
                      <w:szCs w:val="20"/>
                    </w:rPr>
                    <w:t xml:space="preserve"> 200/6</w:t>
                  </w:r>
                </w:p>
              </w:tc>
              <w:tc>
                <w:tcPr>
                  <w:tcW w:w="434" w:type="dxa"/>
                  <w:noWrap/>
                </w:tcPr>
                <w:p w14:paraId="14D9554A" w14:textId="77777777" w:rsidR="00CC40DD" w:rsidRPr="003F7761" w:rsidRDefault="00CC40DD" w:rsidP="00F24080">
                  <w:pPr>
                    <w:pStyle w:val="TableText0"/>
                    <w:keepNext w:val="0"/>
                    <w:rPr>
                      <w:szCs w:val="20"/>
                    </w:rPr>
                  </w:pPr>
                  <w:r w:rsidRPr="003F7761">
                    <w:rPr>
                      <w:rFonts w:cs="Arial"/>
                      <w:szCs w:val="20"/>
                      <w:lang w:eastAsia="ja-JP"/>
                    </w:rPr>
                    <w:t>$71.43</w:t>
                  </w:r>
                </w:p>
              </w:tc>
            </w:tr>
            <w:tr w:rsidR="00CC40DD" w:rsidRPr="003F7761" w14:paraId="6FE45044" w14:textId="77777777" w:rsidTr="00B41C13">
              <w:trPr>
                <w:trHeight w:val="255"/>
              </w:trPr>
              <w:tc>
                <w:tcPr>
                  <w:tcW w:w="2533" w:type="dxa"/>
                  <w:noWrap/>
                  <w:hideMark/>
                </w:tcPr>
                <w:p w14:paraId="3A8F7E08" w14:textId="77777777" w:rsidR="00CC40DD" w:rsidRPr="003F7761" w:rsidRDefault="00C3631D" w:rsidP="00F24080">
                  <w:pPr>
                    <w:pStyle w:val="TableText0"/>
                    <w:keepNext w:val="0"/>
                    <w:rPr>
                      <w:szCs w:val="20"/>
                    </w:rPr>
                  </w:pPr>
                  <w:r w:rsidRPr="003F7761">
                    <w:rPr>
                      <w:szCs w:val="20"/>
                    </w:rPr>
                    <w:t>Seretide</w:t>
                  </w:r>
                  <w:r w:rsidR="00394E5B" w:rsidRPr="003F7761">
                    <w:rPr>
                      <w:szCs w:val="20"/>
                    </w:rPr>
                    <w:t>®</w:t>
                  </w:r>
                  <w:r w:rsidRPr="003F7761">
                    <w:rPr>
                      <w:szCs w:val="20"/>
                    </w:rPr>
                    <w:t xml:space="preserve"> </w:t>
                  </w:r>
                  <w:r w:rsidR="00CC40DD" w:rsidRPr="003F7761">
                    <w:rPr>
                      <w:szCs w:val="20"/>
                    </w:rPr>
                    <w:t>125/25</w:t>
                  </w:r>
                </w:p>
              </w:tc>
              <w:tc>
                <w:tcPr>
                  <w:tcW w:w="434" w:type="dxa"/>
                  <w:noWrap/>
                </w:tcPr>
                <w:p w14:paraId="2DE2C675" w14:textId="77777777" w:rsidR="00CC40DD" w:rsidRPr="003F7761" w:rsidRDefault="00CC40DD" w:rsidP="00F24080">
                  <w:pPr>
                    <w:pStyle w:val="TableText0"/>
                    <w:keepNext w:val="0"/>
                    <w:rPr>
                      <w:szCs w:val="20"/>
                    </w:rPr>
                  </w:pPr>
                  <w:r w:rsidRPr="003F7761">
                    <w:rPr>
                      <w:rFonts w:cs="Arial"/>
                      <w:szCs w:val="20"/>
                      <w:lang w:eastAsia="ja-JP"/>
                    </w:rPr>
                    <w:t>$52.64</w:t>
                  </w:r>
                </w:p>
              </w:tc>
            </w:tr>
            <w:tr w:rsidR="00CC40DD" w:rsidRPr="003F7761" w14:paraId="39A61CFD" w14:textId="77777777" w:rsidTr="00B41C13">
              <w:trPr>
                <w:trHeight w:val="255"/>
              </w:trPr>
              <w:tc>
                <w:tcPr>
                  <w:tcW w:w="2533" w:type="dxa"/>
                  <w:noWrap/>
                  <w:hideMark/>
                </w:tcPr>
                <w:p w14:paraId="24E831C6" w14:textId="77777777" w:rsidR="00CC40DD" w:rsidRPr="003F7761" w:rsidRDefault="00CC40DD" w:rsidP="00F24080">
                  <w:pPr>
                    <w:pStyle w:val="TableText0"/>
                    <w:keepNext w:val="0"/>
                    <w:rPr>
                      <w:szCs w:val="20"/>
                    </w:rPr>
                  </w:pPr>
                  <w:r w:rsidRPr="003F7761">
                    <w:rPr>
                      <w:szCs w:val="20"/>
                    </w:rPr>
                    <w:t>Breo</w:t>
                  </w:r>
                  <w:r w:rsidR="00394E5B" w:rsidRPr="003F7761">
                    <w:rPr>
                      <w:szCs w:val="20"/>
                    </w:rPr>
                    <w:t>®</w:t>
                  </w:r>
                  <w:r w:rsidRPr="003F7761">
                    <w:rPr>
                      <w:szCs w:val="20"/>
                    </w:rPr>
                    <w:t xml:space="preserve"> El</w:t>
                  </w:r>
                  <w:r w:rsidR="00394E5B" w:rsidRPr="003F7761">
                    <w:rPr>
                      <w:szCs w:val="20"/>
                    </w:rPr>
                    <w:t>l</w:t>
                  </w:r>
                  <w:r w:rsidRPr="003F7761">
                    <w:rPr>
                      <w:szCs w:val="20"/>
                    </w:rPr>
                    <w:t>ipta</w:t>
                  </w:r>
                  <w:r w:rsidR="00394E5B" w:rsidRPr="003F7761">
                    <w:rPr>
                      <w:szCs w:val="20"/>
                    </w:rPr>
                    <w:t>®</w:t>
                  </w:r>
                  <w:r w:rsidRPr="003F7761">
                    <w:rPr>
                      <w:szCs w:val="20"/>
                    </w:rPr>
                    <w:t xml:space="preserve"> 100/25</w:t>
                  </w:r>
                </w:p>
              </w:tc>
              <w:tc>
                <w:tcPr>
                  <w:tcW w:w="434" w:type="dxa"/>
                  <w:noWrap/>
                </w:tcPr>
                <w:p w14:paraId="7ACA3026" w14:textId="77777777" w:rsidR="00CC40DD" w:rsidRPr="003F7761" w:rsidRDefault="00CC40DD" w:rsidP="00F24080">
                  <w:pPr>
                    <w:pStyle w:val="TableText0"/>
                    <w:keepNext w:val="0"/>
                    <w:rPr>
                      <w:szCs w:val="20"/>
                    </w:rPr>
                  </w:pPr>
                  <w:r w:rsidRPr="003F7761">
                    <w:rPr>
                      <w:rFonts w:cs="Arial"/>
                      <w:szCs w:val="20"/>
                      <w:lang w:eastAsia="ja-JP"/>
                    </w:rPr>
                    <w:t>$56.51</w:t>
                  </w:r>
                </w:p>
              </w:tc>
            </w:tr>
            <w:tr w:rsidR="00CC40DD" w:rsidRPr="003F7761" w14:paraId="03AA780F" w14:textId="77777777" w:rsidTr="00B41C13">
              <w:trPr>
                <w:trHeight w:val="255"/>
              </w:trPr>
              <w:tc>
                <w:tcPr>
                  <w:tcW w:w="2533" w:type="dxa"/>
                  <w:noWrap/>
                  <w:hideMark/>
                </w:tcPr>
                <w:p w14:paraId="34B2E110" w14:textId="77777777" w:rsidR="00CC40DD" w:rsidRPr="003F7761" w:rsidRDefault="00CC40DD" w:rsidP="00F24080">
                  <w:pPr>
                    <w:pStyle w:val="TableText0"/>
                    <w:keepNext w:val="0"/>
                    <w:rPr>
                      <w:szCs w:val="20"/>
                    </w:rPr>
                  </w:pPr>
                  <w:r w:rsidRPr="003F7761">
                    <w:rPr>
                      <w:szCs w:val="20"/>
                    </w:rPr>
                    <w:t>Flutiform</w:t>
                  </w:r>
                  <w:r w:rsidR="00394E5B" w:rsidRPr="003F7761">
                    <w:rPr>
                      <w:szCs w:val="20"/>
                    </w:rPr>
                    <w:t>®</w:t>
                  </w:r>
                  <w:r w:rsidRPr="003F7761">
                    <w:rPr>
                      <w:szCs w:val="20"/>
                    </w:rPr>
                    <w:t xml:space="preserve"> 125/5</w:t>
                  </w:r>
                </w:p>
              </w:tc>
              <w:tc>
                <w:tcPr>
                  <w:tcW w:w="434" w:type="dxa"/>
                  <w:noWrap/>
                </w:tcPr>
                <w:p w14:paraId="4D7103C5" w14:textId="77777777" w:rsidR="00CC40DD" w:rsidRPr="003F7761" w:rsidRDefault="00CC40DD" w:rsidP="00F24080">
                  <w:pPr>
                    <w:pStyle w:val="TableText0"/>
                    <w:keepNext w:val="0"/>
                    <w:rPr>
                      <w:szCs w:val="20"/>
                    </w:rPr>
                  </w:pPr>
                  <w:r w:rsidRPr="003F7761">
                    <w:rPr>
                      <w:rFonts w:cs="Arial"/>
                      <w:szCs w:val="20"/>
                      <w:lang w:eastAsia="ja-JP"/>
                    </w:rPr>
                    <w:t>$45.16</w:t>
                  </w:r>
                </w:p>
              </w:tc>
            </w:tr>
          </w:tbl>
          <w:p w14:paraId="3DCC829C" w14:textId="77777777" w:rsidR="00CC40DD" w:rsidRPr="003F7761" w:rsidRDefault="00CC40DD" w:rsidP="00F24080">
            <w:pPr>
              <w:pStyle w:val="TableText0"/>
              <w:keepNext w:val="0"/>
              <w:rPr>
                <w:szCs w:val="20"/>
              </w:rPr>
            </w:pPr>
          </w:p>
        </w:tc>
        <w:tc>
          <w:tcPr>
            <w:tcW w:w="1200" w:type="pct"/>
            <w:vAlign w:val="center"/>
          </w:tcPr>
          <w:p w14:paraId="69BB661F" w14:textId="77777777" w:rsidR="00CC40DD" w:rsidRPr="003F7761" w:rsidRDefault="00CC40DD" w:rsidP="00F24080">
            <w:pPr>
              <w:pStyle w:val="TableText0"/>
              <w:keepNext w:val="0"/>
              <w:rPr>
                <w:szCs w:val="20"/>
              </w:rPr>
            </w:pPr>
            <w:r w:rsidRPr="003F7761">
              <w:rPr>
                <w:szCs w:val="20"/>
              </w:rPr>
              <w:t>Corresponding PBS items:</w:t>
            </w:r>
          </w:p>
          <w:p w14:paraId="5549B017" w14:textId="77777777" w:rsidR="00CC40DD" w:rsidRPr="003F7761" w:rsidRDefault="00CC40DD" w:rsidP="00F24080">
            <w:pPr>
              <w:pStyle w:val="TableText0"/>
              <w:keepNext w:val="0"/>
              <w:ind w:firstLine="225"/>
              <w:rPr>
                <w:rFonts w:cs="Arial"/>
                <w:szCs w:val="20"/>
              </w:rPr>
            </w:pPr>
            <w:r w:rsidRPr="003F7761">
              <w:rPr>
                <w:rFonts w:cs="Arial"/>
                <w:szCs w:val="20"/>
              </w:rPr>
              <w:t xml:space="preserve">8625Y </w:t>
            </w:r>
          </w:p>
          <w:p w14:paraId="06F553BA" w14:textId="77777777" w:rsidR="00CC40DD" w:rsidRPr="003F7761" w:rsidRDefault="00CC40DD" w:rsidP="00F24080">
            <w:pPr>
              <w:pStyle w:val="TableText0"/>
              <w:keepNext w:val="0"/>
              <w:ind w:firstLine="225"/>
              <w:rPr>
                <w:rFonts w:cs="Arial"/>
                <w:szCs w:val="20"/>
              </w:rPr>
            </w:pPr>
            <w:r w:rsidRPr="003F7761">
              <w:rPr>
                <w:rFonts w:cs="Arial"/>
                <w:szCs w:val="20"/>
              </w:rPr>
              <w:t xml:space="preserve">8431R </w:t>
            </w:r>
          </w:p>
          <w:p w14:paraId="0C99B33B" w14:textId="77777777" w:rsidR="00CC40DD" w:rsidRPr="003F7761" w:rsidRDefault="00CC40DD" w:rsidP="00F24080">
            <w:pPr>
              <w:pStyle w:val="TableText0"/>
              <w:keepNext w:val="0"/>
              <w:ind w:firstLine="225"/>
              <w:rPr>
                <w:rFonts w:cs="Arial"/>
                <w:szCs w:val="20"/>
              </w:rPr>
            </w:pPr>
            <w:r w:rsidRPr="003F7761">
              <w:rPr>
                <w:rFonts w:cs="Arial"/>
                <w:szCs w:val="20"/>
              </w:rPr>
              <w:t>10018G</w:t>
            </w:r>
          </w:p>
          <w:p w14:paraId="7F7D9BCC" w14:textId="77777777" w:rsidR="00CC40DD" w:rsidRPr="003F7761" w:rsidRDefault="00CC40DD" w:rsidP="00F24080">
            <w:pPr>
              <w:pStyle w:val="TableText0"/>
              <w:keepNext w:val="0"/>
              <w:ind w:firstLine="225"/>
              <w:rPr>
                <w:rFonts w:cs="Arial"/>
                <w:szCs w:val="20"/>
              </w:rPr>
            </w:pPr>
            <w:r w:rsidRPr="003F7761">
              <w:rPr>
                <w:rFonts w:cs="Arial"/>
                <w:szCs w:val="20"/>
              </w:rPr>
              <w:t xml:space="preserve">8518H </w:t>
            </w:r>
          </w:p>
          <w:p w14:paraId="10CED840" w14:textId="77777777" w:rsidR="00CC40DD" w:rsidRPr="003F7761" w:rsidRDefault="00CC40DD" w:rsidP="00F24080">
            <w:pPr>
              <w:pStyle w:val="TableText0"/>
              <w:keepNext w:val="0"/>
              <w:ind w:firstLine="225"/>
              <w:rPr>
                <w:rFonts w:cs="Arial"/>
                <w:szCs w:val="20"/>
              </w:rPr>
            </w:pPr>
            <w:r w:rsidRPr="003F7761">
              <w:rPr>
                <w:rFonts w:cs="Arial"/>
                <w:szCs w:val="20"/>
              </w:rPr>
              <w:t>11124L</w:t>
            </w:r>
          </w:p>
          <w:p w14:paraId="6A4ABB88" w14:textId="77777777" w:rsidR="00CC40DD" w:rsidRPr="003F7761" w:rsidRDefault="00CC40DD" w:rsidP="00F24080">
            <w:pPr>
              <w:pStyle w:val="TableText0"/>
              <w:keepNext w:val="0"/>
              <w:ind w:firstLine="225"/>
              <w:rPr>
                <w:szCs w:val="20"/>
              </w:rPr>
            </w:pPr>
            <w:r w:rsidRPr="003F7761">
              <w:rPr>
                <w:rFonts w:cs="Arial"/>
                <w:szCs w:val="20"/>
              </w:rPr>
              <w:t>10007Q</w:t>
            </w:r>
          </w:p>
        </w:tc>
        <w:tc>
          <w:tcPr>
            <w:tcW w:w="1261" w:type="pct"/>
            <w:vAlign w:val="center"/>
          </w:tcPr>
          <w:p w14:paraId="500937A8" w14:textId="77777777" w:rsidR="00CC40DD" w:rsidRPr="003F7761" w:rsidRDefault="00CC40DD" w:rsidP="00787A5C">
            <w:pPr>
              <w:pStyle w:val="TableText0"/>
              <w:keepNext w:val="0"/>
              <w:rPr>
                <w:rFonts w:cs="Arial"/>
                <w:iCs/>
                <w:szCs w:val="20"/>
              </w:rPr>
            </w:pPr>
            <w:r w:rsidRPr="003F7761">
              <w:rPr>
                <w:iCs/>
                <w:szCs w:val="20"/>
              </w:rPr>
              <w:t>Inappropriate. Seretide</w:t>
            </w:r>
            <w:r w:rsidR="00C3631D" w:rsidRPr="003F7761">
              <w:rPr>
                <w:iCs/>
                <w:szCs w:val="20"/>
              </w:rPr>
              <w:t>®</w:t>
            </w:r>
            <w:r w:rsidRPr="003F7761">
              <w:rPr>
                <w:iCs/>
                <w:szCs w:val="20"/>
              </w:rPr>
              <w:t xml:space="preserve"> DPMQ (item </w:t>
            </w:r>
            <w:r w:rsidRPr="003F7761">
              <w:rPr>
                <w:rFonts w:cs="Arial"/>
                <w:iCs/>
                <w:szCs w:val="20"/>
              </w:rPr>
              <w:t>8518H) =</w:t>
            </w:r>
            <w:r w:rsidRPr="003F7761">
              <w:rPr>
                <w:rFonts w:cs="Arial"/>
                <w:iCs/>
                <w:szCs w:val="20"/>
                <w:lang w:eastAsia="ja-JP"/>
              </w:rPr>
              <w:t>$48.64</w:t>
            </w:r>
            <w:r w:rsidR="00787A5C" w:rsidRPr="003F7761">
              <w:rPr>
                <w:rFonts w:cs="Arial"/>
                <w:iCs/>
                <w:szCs w:val="20"/>
                <w:lang w:eastAsia="ja-JP"/>
              </w:rPr>
              <w:t>; a</w:t>
            </w:r>
            <w:r w:rsidRPr="003F7761">
              <w:rPr>
                <w:rFonts w:cs="Arial"/>
                <w:iCs/>
                <w:szCs w:val="20"/>
              </w:rPr>
              <w:t xml:space="preserve"> brand premium of $4 was applied. This is inappropriate</w:t>
            </w:r>
            <w:r w:rsidR="00787A5C" w:rsidRPr="003F7761">
              <w:rPr>
                <w:rFonts w:cs="Arial"/>
                <w:iCs/>
                <w:szCs w:val="20"/>
              </w:rPr>
              <w:t xml:space="preserve"> as there are other brands of FP/SAL.</w:t>
            </w:r>
          </w:p>
        </w:tc>
      </w:tr>
      <w:tr w:rsidR="00CC40DD" w:rsidRPr="003F7761" w14:paraId="712FFECE" w14:textId="77777777" w:rsidTr="006A4889">
        <w:tc>
          <w:tcPr>
            <w:tcW w:w="644" w:type="pct"/>
            <w:vAlign w:val="center"/>
          </w:tcPr>
          <w:p w14:paraId="4C7445C4" w14:textId="77777777" w:rsidR="00CC40DD" w:rsidRPr="003F7761" w:rsidRDefault="00CC40DD" w:rsidP="00F24080">
            <w:pPr>
              <w:pStyle w:val="TableText0"/>
              <w:keepNext w:val="0"/>
              <w:rPr>
                <w:szCs w:val="20"/>
              </w:rPr>
            </w:pPr>
            <w:r w:rsidRPr="003F7761">
              <w:rPr>
                <w:szCs w:val="20"/>
              </w:rPr>
              <w:t>Patient copayment</w:t>
            </w:r>
          </w:p>
        </w:tc>
        <w:tc>
          <w:tcPr>
            <w:tcW w:w="1894" w:type="pct"/>
            <w:vAlign w:val="center"/>
          </w:tcPr>
          <w:p w14:paraId="23A55B21" w14:textId="77777777" w:rsidR="00CC40DD" w:rsidRPr="003F7761" w:rsidRDefault="00CC40DD" w:rsidP="00F24080">
            <w:pPr>
              <w:pStyle w:val="TableText0"/>
              <w:keepNext w:val="0"/>
              <w:rPr>
                <w:szCs w:val="20"/>
              </w:rPr>
            </w:pPr>
            <w:r w:rsidRPr="003F7761">
              <w:rPr>
                <w:szCs w:val="20"/>
              </w:rPr>
              <w:t>PBS: $20.24</w:t>
            </w:r>
          </w:p>
          <w:p w14:paraId="19A5BC2F" w14:textId="77777777" w:rsidR="00CC40DD" w:rsidRPr="003F7761" w:rsidRDefault="00CC40DD" w:rsidP="00F24080">
            <w:pPr>
              <w:pStyle w:val="TableText0"/>
              <w:keepNext w:val="0"/>
              <w:rPr>
                <w:szCs w:val="20"/>
              </w:rPr>
            </w:pPr>
            <w:r w:rsidRPr="003F7761">
              <w:rPr>
                <w:szCs w:val="20"/>
              </w:rPr>
              <w:t>RPBS: $4.89</w:t>
            </w:r>
          </w:p>
        </w:tc>
        <w:tc>
          <w:tcPr>
            <w:tcW w:w="1200" w:type="pct"/>
            <w:vAlign w:val="center"/>
          </w:tcPr>
          <w:p w14:paraId="06311D96" w14:textId="77777777" w:rsidR="00CC40DD" w:rsidRPr="003F7761" w:rsidRDefault="00CC40DD" w:rsidP="00F24080">
            <w:pPr>
              <w:pStyle w:val="TableText0"/>
              <w:keepNext w:val="0"/>
              <w:rPr>
                <w:szCs w:val="20"/>
              </w:rPr>
            </w:pPr>
            <w:r w:rsidRPr="003F7761">
              <w:rPr>
                <w:szCs w:val="20"/>
              </w:rPr>
              <w:t>PBS statistics (weighted average)</w:t>
            </w:r>
          </w:p>
        </w:tc>
        <w:tc>
          <w:tcPr>
            <w:tcW w:w="1261" w:type="pct"/>
            <w:vAlign w:val="center"/>
          </w:tcPr>
          <w:p w14:paraId="2548B40C" w14:textId="77777777" w:rsidR="00CC40DD" w:rsidRPr="003F7761" w:rsidRDefault="00CC40DD" w:rsidP="00F24080">
            <w:pPr>
              <w:pStyle w:val="TableText0"/>
              <w:keepNext w:val="0"/>
              <w:rPr>
                <w:iCs/>
                <w:szCs w:val="20"/>
              </w:rPr>
            </w:pPr>
            <w:r w:rsidRPr="003F7761">
              <w:rPr>
                <w:iCs/>
                <w:szCs w:val="20"/>
              </w:rPr>
              <w:t>Reasonable</w:t>
            </w:r>
          </w:p>
        </w:tc>
      </w:tr>
    </w:tbl>
    <w:p w14:paraId="594F2BDB" w14:textId="77777777" w:rsidR="00BB5D80" w:rsidRPr="00855489" w:rsidRDefault="00BB5D80" w:rsidP="00BB5D80">
      <w:pPr>
        <w:pStyle w:val="TableFigureFooter"/>
      </w:pPr>
      <w:r w:rsidRPr="00855489">
        <w:t>Abbreviations: FDC=fixed dose combination, MDI=metered dose inhaler</w:t>
      </w:r>
    </w:p>
    <w:p w14:paraId="4D5256AF" w14:textId="77777777" w:rsidR="006A1650" w:rsidRPr="00855489" w:rsidRDefault="00BB5D80" w:rsidP="00BB5D80">
      <w:pPr>
        <w:pStyle w:val="TableFigureFooter"/>
      </w:pPr>
      <w:r w:rsidRPr="00855489">
        <w:t>Source: Table 103, pp138-139 of the submission</w:t>
      </w:r>
      <w:r w:rsidR="001A307C" w:rsidRPr="00855489">
        <w:t xml:space="preserve">, </w:t>
      </w:r>
      <w:r w:rsidRPr="00855489">
        <w:t xml:space="preserve">Section 4 workbook. </w:t>
      </w:r>
    </w:p>
    <w:p w14:paraId="6AD46784" w14:textId="77777777" w:rsidR="001E56F5" w:rsidRPr="00855489" w:rsidRDefault="001E56F5" w:rsidP="00AE16EB">
      <w:pPr>
        <w:pStyle w:val="3-BodyText"/>
        <w:rPr>
          <w:iCs/>
        </w:rPr>
      </w:pPr>
      <w:r w:rsidRPr="00855489">
        <w:rPr>
          <w:iCs/>
        </w:rPr>
        <w:t>The submission estimated the financial implications of the proposed listing based on the following approach:</w:t>
      </w:r>
    </w:p>
    <w:p w14:paraId="71941B07" w14:textId="77777777" w:rsidR="006F3B2C" w:rsidRPr="00855489" w:rsidRDefault="001E56F5" w:rsidP="00C547B5">
      <w:pPr>
        <w:pStyle w:val="3-BodyText"/>
        <w:numPr>
          <w:ilvl w:val="0"/>
          <w:numId w:val="5"/>
        </w:numPr>
        <w:ind w:left="1134" w:hanging="425"/>
        <w:rPr>
          <w:iCs/>
        </w:rPr>
      </w:pPr>
      <w:r w:rsidRPr="00855489">
        <w:rPr>
          <w:iCs/>
        </w:rPr>
        <w:t>To estimate the total number of ICS/LABA FDC scripts (across the 6 nominated comparators) over the next 6 years, a constant growth rate of 1.6% was applied to the total number of scripts dispensed in the 2019 calendar year (but only from 2021 onwards). The 1.6% growth rate reflects the annual growth rate in the Australian population</w:t>
      </w:r>
      <w:r w:rsidR="006F3B2C" w:rsidRPr="00855489">
        <w:rPr>
          <w:iCs/>
        </w:rPr>
        <w:t xml:space="preserve"> (which assumes a stable market).</w:t>
      </w:r>
    </w:p>
    <w:p w14:paraId="59DDC0EB" w14:textId="77777777" w:rsidR="00EB781B" w:rsidRPr="00855489" w:rsidRDefault="001E56F5" w:rsidP="00B364C8">
      <w:pPr>
        <w:pStyle w:val="3-BodyText"/>
        <w:numPr>
          <w:ilvl w:val="0"/>
          <w:numId w:val="5"/>
        </w:numPr>
        <w:ind w:left="1134" w:hanging="425"/>
        <w:rPr>
          <w:iCs/>
        </w:rPr>
      </w:pPr>
      <w:r w:rsidRPr="00855489">
        <w:rPr>
          <w:iCs/>
        </w:rPr>
        <w:t xml:space="preserve">To estimate the number of </w:t>
      </w:r>
      <w:r w:rsidR="000E430B" w:rsidRPr="00855489">
        <w:rPr>
          <w:iCs/>
        </w:rPr>
        <w:t>BEC/FOR</w:t>
      </w:r>
      <w:r w:rsidRPr="00855489">
        <w:rPr>
          <w:iCs/>
        </w:rPr>
        <w:t xml:space="preserve"> scripts that would substitute for comparator scripts, the submission correctly applied the assumed market uptake and substitution rates to the estimated market share of each comparator.</w:t>
      </w:r>
    </w:p>
    <w:p w14:paraId="2B3EEE6F" w14:textId="77777777" w:rsidR="001E56F5" w:rsidRPr="00855489" w:rsidRDefault="003B5828" w:rsidP="00C547B5">
      <w:pPr>
        <w:pStyle w:val="3-BodyText"/>
        <w:numPr>
          <w:ilvl w:val="0"/>
          <w:numId w:val="5"/>
        </w:numPr>
        <w:ind w:left="1134" w:hanging="425"/>
        <w:rPr>
          <w:iCs/>
        </w:rPr>
      </w:pPr>
      <w:r w:rsidRPr="00855489">
        <w:rPr>
          <w:iCs/>
        </w:rPr>
        <w:t>T</w:t>
      </w:r>
      <w:r w:rsidR="001E56F5" w:rsidRPr="00855489">
        <w:rPr>
          <w:iCs/>
        </w:rPr>
        <w:t>he submission</w:t>
      </w:r>
      <w:r w:rsidRPr="00855489">
        <w:rPr>
          <w:iCs/>
        </w:rPr>
        <w:t xml:space="preserve"> then</w:t>
      </w:r>
      <w:r w:rsidR="001E56F5" w:rsidRPr="00855489">
        <w:rPr>
          <w:iCs/>
        </w:rPr>
        <w:t xml:space="preserve"> inc</w:t>
      </w:r>
      <w:r w:rsidRPr="00855489">
        <w:rPr>
          <w:iCs/>
        </w:rPr>
        <w:t>orrectly</w:t>
      </w:r>
      <w:r w:rsidR="001E56F5" w:rsidRPr="00855489">
        <w:rPr>
          <w:iCs/>
        </w:rPr>
        <w:t xml:space="preserve"> calculated the reduction in comparator scripts based on the projected script numbers and market uptake parameter. That is, the submission assumed the same proportional reduction in all comparator scripts based on the assumed aggregate market uptake </w:t>
      </w:r>
      <w:r w:rsidR="001E56F5" w:rsidRPr="00F02C04">
        <w:rPr>
          <w:iCs/>
        </w:rPr>
        <w:t xml:space="preserve">rate for </w:t>
      </w:r>
      <w:r w:rsidR="009F1CBE" w:rsidRPr="00F02C04">
        <w:rPr>
          <w:iCs/>
        </w:rPr>
        <w:t>BEC/FOR</w:t>
      </w:r>
      <w:r w:rsidR="001E56F5" w:rsidRPr="00F02C04">
        <w:rPr>
          <w:iCs/>
        </w:rPr>
        <w:t xml:space="preserve"> (e.g. 5% in year 1, 10% in year 2, and so on).</w:t>
      </w:r>
    </w:p>
    <w:p w14:paraId="284DE3DB" w14:textId="77777777" w:rsidR="001E56F5" w:rsidRPr="00855489" w:rsidRDefault="001E56F5" w:rsidP="00C547B5">
      <w:pPr>
        <w:pStyle w:val="3-BodyText"/>
        <w:numPr>
          <w:ilvl w:val="0"/>
          <w:numId w:val="5"/>
        </w:numPr>
        <w:ind w:left="1134" w:hanging="425"/>
        <w:rPr>
          <w:iCs/>
        </w:rPr>
      </w:pPr>
      <w:r w:rsidRPr="00855489">
        <w:rPr>
          <w:iCs/>
        </w:rPr>
        <w:t>The net cost to the PBS/RPBS was calculated based on the corresponding DPMQs (less co-payments), but the submission inappropriately included a brand premium of $4</w:t>
      </w:r>
      <w:r w:rsidR="008B7D8D" w:rsidRPr="00855489">
        <w:rPr>
          <w:iCs/>
        </w:rPr>
        <w:t>.00</w:t>
      </w:r>
      <w:r w:rsidRPr="00855489">
        <w:rPr>
          <w:iCs/>
        </w:rPr>
        <w:t xml:space="preserve"> for Seretide® (FP/SAL 125/25), which was a key driver of the estimated cost-offsets.</w:t>
      </w:r>
    </w:p>
    <w:p w14:paraId="4F2AFFA1" w14:textId="77777777" w:rsidR="003B5828" w:rsidRPr="00855489" w:rsidRDefault="003B5828" w:rsidP="00965863">
      <w:pPr>
        <w:pStyle w:val="3-BodyText"/>
        <w:rPr>
          <w:iCs/>
        </w:rPr>
      </w:pPr>
      <w:r w:rsidRPr="00855489">
        <w:rPr>
          <w:iCs/>
        </w:rPr>
        <w:t>Table 6</w:t>
      </w:r>
      <w:r w:rsidR="00E45D48" w:rsidRPr="00855489">
        <w:rPr>
          <w:iCs/>
        </w:rPr>
        <w:t xml:space="preserve"> summarises the </w:t>
      </w:r>
      <w:r w:rsidR="00376E0D" w:rsidRPr="00855489">
        <w:rPr>
          <w:iCs/>
        </w:rPr>
        <w:t>updated</w:t>
      </w:r>
      <w:r w:rsidR="00E45D48" w:rsidRPr="00855489">
        <w:rPr>
          <w:iCs/>
        </w:rPr>
        <w:t xml:space="preserve"> results </w:t>
      </w:r>
      <w:r w:rsidR="00376E0D" w:rsidRPr="00855489">
        <w:rPr>
          <w:iCs/>
        </w:rPr>
        <w:t xml:space="preserve">for the financial implications, </w:t>
      </w:r>
      <w:r w:rsidR="00DD6DF4" w:rsidRPr="00855489">
        <w:rPr>
          <w:iCs/>
        </w:rPr>
        <w:t xml:space="preserve">based on the </w:t>
      </w:r>
      <w:r w:rsidR="00E45D48" w:rsidRPr="00855489">
        <w:rPr>
          <w:iCs/>
        </w:rPr>
        <w:t>correct</w:t>
      </w:r>
      <w:r w:rsidR="000E430B" w:rsidRPr="00855489">
        <w:rPr>
          <w:iCs/>
        </w:rPr>
        <w:t xml:space="preserve">ed </w:t>
      </w:r>
      <w:r w:rsidR="00DD6DF4" w:rsidRPr="00855489">
        <w:rPr>
          <w:iCs/>
        </w:rPr>
        <w:t xml:space="preserve">number of </w:t>
      </w:r>
      <w:r w:rsidR="00F50CB2" w:rsidRPr="00855489">
        <w:rPr>
          <w:iCs/>
        </w:rPr>
        <w:t xml:space="preserve">comparator scripts </w:t>
      </w:r>
      <w:r w:rsidR="00E45D48" w:rsidRPr="00855489">
        <w:rPr>
          <w:iCs/>
        </w:rPr>
        <w:t xml:space="preserve">and </w:t>
      </w:r>
      <w:r w:rsidR="00DD6DF4" w:rsidRPr="00855489">
        <w:rPr>
          <w:iCs/>
        </w:rPr>
        <w:t xml:space="preserve">the DPMQ for </w:t>
      </w:r>
      <w:r w:rsidR="00E45D48" w:rsidRPr="00855489">
        <w:rPr>
          <w:iCs/>
        </w:rPr>
        <w:t>Seretide</w:t>
      </w:r>
      <w:r w:rsidR="00F50CB2" w:rsidRPr="00855489">
        <w:rPr>
          <w:iCs/>
        </w:rPr>
        <w:t xml:space="preserve">® </w:t>
      </w:r>
      <w:r w:rsidR="00DD6DF4" w:rsidRPr="00855489">
        <w:rPr>
          <w:iCs/>
        </w:rPr>
        <w:t>(FP/SAL 125/25</w:t>
      </w:r>
      <w:r w:rsidR="00965863" w:rsidRPr="00855489">
        <w:rPr>
          <w:iCs/>
        </w:rPr>
        <w:t>)</w:t>
      </w:r>
      <w:r w:rsidR="00F50CB2" w:rsidRPr="00855489">
        <w:rPr>
          <w:iCs/>
        </w:rPr>
        <w:t xml:space="preserve"> without the brand premium.</w:t>
      </w:r>
    </w:p>
    <w:p w14:paraId="3F9DB0BC" w14:textId="77777777" w:rsidR="00BB5D80" w:rsidRPr="00855489" w:rsidRDefault="00BB5D80" w:rsidP="003B5828">
      <w:pPr>
        <w:pStyle w:val="TableFigureHeading"/>
      </w:pPr>
      <w:r w:rsidRPr="00855489">
        <w:lastRenderedPageBreak/>
        <w:t>Table</w:t>
      </w:r>
      <w:r w:rsidR="00E45D48" w:rsidRPr="00855489">
        <w:t xml:space="preserve"> 6</w:t>
      </w:r>
      <w:r w:rsidR="003B5828" w:rsidRPr="00855489">
        <w:t>:</w:t>
      </w:r>
      <w:r w:rsidRPr="00855489">
        <w:t xml:space="preserve"> Estimated use and financial implications</w:t>
      </w:r>
    </w:p>
    <w:tbl>
      <w:tblPr>
        <w:tblStyle w:val="TableGrid"/>
        <w:tblW w:w="5000" w:type="pct"/>
        <w:tblCellMar>
          <w:left w:w="28" w:type="dxa"/>
          <w:right w:w="28" w:type="dxa"/>
        </w:tblCellMar>
        <w:tblLook w:val="04A0" w:firstRow="1" w:lastRow="0" w:firstColumn="1" w:lastColumn="0" w:noHBand="0" w:noVBand="1"/>
        <w:tblCaption w:val="Table 6"/>
      </w:tblPr>
      <w:tblGrid>
        <w:gridCol w:w="1772"/>
        <w:gridCol w:w="1029"/>
        <w:gridCol w:w="1031"/>
        <w:gridCol w:w="1032"/>
        <w:gridCol w:w="1030"/>
        <w:gridCol w:w="1060"/>
        <w:gridCol w:w="1032"/>
        <w:gridCol w:w="1030"/>
      </w:tblGrid>
      <w:tr w:rsidR="00BB5D80" w:rsidRPr="003F7761" w14:paraId="1079E5D3" w14:textId="77777777" w:rsidTr="003F7761">
        <w:trPr>
          <w:tblHeader/>
        </w:trPr>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1EFB2" w14:textId="77777777" w:rsidR="00BB5D80" w:rsidRPr="003F7761" w:rsidRDefault="00BB5D80" w:rsidP="00394847">
            <w:pPr>
              <w:pStyle w:val="TableText0"/>
              <w:rPr>
                <w:b/>
                <w:bCs w:val="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53982" w14:textId="77777777" w:rsidR="00BB5D80" w:rsidRPr="003F7761" w:rsidRDefault="00BB5D80" w:rsidP="00394847">
            <w:pPr>
              <w:pStyle w:val="TableText0"/>
              <w:jc w:val="center"/>
              <w:rPr>
                <w:b/>
                <w:bCs w:val="0"/>
                <w:szCs w:val="20"/>
              </w:rPr>
            </w:pPr>
            <w:r w:rsidRPr="003F7761">
              <w:rPr>
                <w:b/>
                <w:bCs w:val="0"/>
                <w:szCs w:val="20"/>
              </w:rPr>
              <w:t>2021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C12C2" w14:textId="77777777" w:rsidR="00BB5D80" w:rsidRPr="003F7761" w:rsidRDefault="00BB5D80" w:rsidP="00394847">
            <w:pPr>
              <w:pStyle w:val="TableText0"/>
              <w:jc w:val="center"/>
              <w:rPr>
                <w:b/>
                <w:bCs w:val="0"/>
                <w:szCs w:val="20"/>
              </w:rPr>
            </w:pPr>
            <w:r w:rsidRPr="003F7761">
              <w:rPr>
                <w:b/>
                <w:bCs w:val="0"/>
                <w:szCs w:val="20"/>
              </w:rPr>
              <w:t>2022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8870D8" w14:textId="77777777" w:rsidR="00BB5D80" w:rsidRPr="003F7761" w:rsidRDefault="00BB5D80" w:rsidP="00394847">
            <w:pPr>
              <w:pStyle w:val="TableText0"/>
              <w:jc w:val="center"/>
              <w:rPr>
                <w:b/>
                <w:bCs w:val="0"/>
                <w:szCs w:val="20"/>
              </w:rPr>
            </w:pPr>
            <w:r w:rsidRPr="003F7761">
              <w:rPr>
                <w:b/>
                <w:bCs w:val="0"/>
                <w:szCs w:val="20"/>
              </w:rPr>
              <w:t>2023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45DFC8B" w14:textId="77777777" w:rsidR="00BB5D80" w:rsidRPr="003F7761" w:rsidRDefault="00BB5D80" w:rsidP="00394847">
            <w:pPr>
              <w:pStyle w:val="TableText0"/>
              <w:jc w:val="center"/>
              <w:rPr>
                <w:b/>
                <w:bCs w:val="0"/>
                <w:szCs w:val="20"/>
              </w:rPr>
            </w:pPr>
            <w:r w:rsidRPr="003F7761">
              <w:rPr>
                <w:b/>
                <w:bCs w:val="0"/>
                <w:szCs w:val="20"/>
              </w:rPr>
              <w:t>2024</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4AE0D74" w14:textId="77777777" w:rsidR="00BB5D80" w:rsidRPr="003F7761" w:rsidRDefault="00BB5D80" w:rsidP="00394847">
            <w:pPr>
              <w:pStyle w:val="TableText0"/>
              <w:jc w:val="center"/>
              <w:rPr>
                <w:b/>
                <w:bCs w:val="0"/>
                <w:szCs w:val="20"/>
              </w:rPr>
            </w:pPr>
            <w:r w:rsidRPr="003F7761">
              <w:rPr>
                <w:b/>
                <w:bCs w:val="0"/>
                <w:szCs w:val="20"/>
              </w:rPr>
              <w:t>2025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446F461" w14:textId="77777777" w:rsidR="00BB5D80" w:rsidRPr="003F7761" w:rsidRDefault="00BB5D80" w:rsidP="00394847">
            <w:pPr>
              <w:pStyle w:val="TableText0"/>
              <w:jc w:val="center"/>
              <w:rPr>
                <w:b/>
                <w:bCs w:val="0"/>
                <w:szCs w:val="20"/>
              </w:rPr>
            </w:pPr>
            <w:r w:rsidRPr="003F7761">
              <w:rPr>
                <w:b/>
                <w:bCs w:val="0"/>
                <w:szCs w:val="20"/>
              </w:rPr>
              <w:t>2026</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11A13E3" w14:textId="77777777" w:rsidR="00BB5D80" w:rsidRPr="003F7761" w:rsidRDefault="00BB5D80" w:rsidP="00394847">
            <w:pPr>
              <w:pStyle w:val="TableText0"/>
              <w:jc w:val="center"/>
              <w:rPr>
                <w:b/>
                <w:bCs w:val="0"/>
                <w:szCs w:val="20"/>
              </w:rPr>
            </w:pPr>
            <w:r w:rsidRPr="003F7761">
              <w:rPr>
                <w:b/>
                <w:bCs w:val="0"/>
                <w:szCs w:val="20"/>
              </w:rPr>
              <w:t>Total</w:t>
            </w:r>
          </w:p>
        </w:tc>
      </w:tr>
      <w:tr w:rsidR="00BB5D80" w:rsidRPr="003F7761" w14:paraId="5AAF7188" w14:textId="77777777" w:rsidTr="003F7761">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729AF5" w14:textId="77777777" w:rsidR="00BB5D80" w:rsidRPr="003F7761" w:rsidRDefault="00BB5D80" w:rsidP="00394847">
            <w:pPr>
              <w:pStyle w:val="TableText0"/>
              <w:rPr>
                <w:b/>
                <w:bCs w:val="0"/>
                <w:szCs w:val="20"/>
              </w:rPr>
            </w:pPr>
            <w:r w:rsidRPr="003F7761">
              <w:rPr>
                <w:b/>
                <w:bCs w:val="0"/>
                <w:szCs w:val="20"/>
              </w:rPr>
              <w:t>Use and impact of proposed medicine</w:t>
            </w:r>
          </w:p>
        </w:tc>
      </w:tr>
      <w:tr w:rsidR="00BB5D80" w:rsidRPr="003F7761" w14:paraId="71DA393A" w14:textId="77777777" w:rsidTr="003F7761">
        <w:tc>
          <w:tcPr>
            <w:tcW w:w="985" w:type="pct"/>
            <w:tcBorders>
              <w:top w:val="single" w:sz="4" w:space="0" w:color="auto"/>
              <w:left w:val="single" w:sz="4" w:space="0" w:color="auto"/>
              <w:bottom w:val="single" w:sz="4" w:space="0" w:color="auto"/>
              <w:right w:val="single" w:sz="4" w:space="0" w:color="auto"/>
            </w:tcBorders>
            <w:vAlign w:val="center"/>
            <w:hideMark/>
          </w:tcPr>
          <w:p w14:paraId="17A36805" w14:textId="77777777" w:rsidR="00BB5D80" w:rsidRPr="003F7761" w:rsidRDefault="00BB5D80" w:rsidP="00394847">
            <w:pPr>
              <w:pStyle w:val="TableText0"/>
              <w:rPr>
                <w:szCs w:val="20"/>
              </w:rPr>
            </w:pPr>
            <w:r w:rsidRPr="003F7761">
              <w:rPr>
                <w:szCs w:val="20"/>
              </w:rPr>
              <w:t>Total scripts PBS/RPBS</w:t>
            </w:r>
          </w:p>
        </w:tc>
        <w:tc>
          <w:tcPr>
            <w:tcW w:w="573" w:type="pct"/>
            <w:tcBorders>
              <w:top w:val="single" w:sz="4" w:space="0" w:color="auto"/>
              <w:left w:val="single" w:sz="4" w:space="0" w:color="auto"/>
              <w:bottom w:val="single" w:sz="4" w:space="0" w:color="auto"/>
              <w:right w:val="single" w:sz="4" w:space="0" w:color="auto"/>
            </w:tcBorders>
            <w:vAlign w:val="center"/>
          </w:tcPr>
          <w:p w14:paraId="72DA33B9" w14:textId="77777777" w:rsidR="00BB5D80" w:rsidRPr="008A7ADB" w:rsidRDefault="008A7ADB" w:rsidP="00394847">
            <w:pPr>
              <w:pStyle w:val="TableText0"/>
              <w:jc w:val="center"/>
              <w:rPr>
                <w:szCs w:val="20"/>
                <w:highlight w:val="black"/>
              </w:rPr>
            </w:pPr>
            <w:r>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37FF2AFB" w14:textId="77777777" w:rsidR="00BB5D80" w:rsidRPr="008A7ADB" w:rsidRDefault="008A7ADB" w:rsidP="00394847">
            <w:pPr>
              <w:pStyle w:val="TableText0"/>
              <w:jc w:val="center"/>
              <w:rPr>
                <w:szCs w:val="20"/>
                <w:highlight w:val="black"/>
              </w:rPr>
            </w:pPr>
            <w:r>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5320B2E1" w14:textId="77777777" w:rsidR="00BB5D80" w:rsidRPr="008A7ADB" w:rsidRDefault="008A7ADB" w:rsidP="00394847">
            <w:pPr>
              <w:pStyle w:val="TableText0"/>
              <w:jc w:val="center"/>
              <w:rPr>
                <w:szCs w:val="20"/>
                <w:highlight w:val="black"/>
              </w:rPr>
            </w:pPr>
            <w:r>
              <w:rPr>
                <w:noProof/>
                <w:color w:val="000000"/>
                <w:szCs w:val="20"/>
                <w:highlight w:val="black"/>
              </w:rPr>
              <w:t>''''''''''''''''''''</w:t>
            </w:r>
          </w:p>
        </w:tc>
        <w:tc>
          <w:tcPr>
            <w:tcW w:w="573" w:type="pct"/>
            <w:tcBorders>
              <w:top w:val="single" w:sz="4" w:space="0" w:color="auto"/>
              <w:left w:val="single" w:sz="4" w:space="0" w:color="auto"/>
              <w:bottom w:val="single" w:sz="4" w:space="0" w:color="auto"/>
              <w:right w:val="single" w:sz="4" w:space="0" w:color="auto"/>
            </w:tcBorders>
            <w:vAlign w:val="center"/>
          </w:tcPr>
          <w:p w14:paraId="287B3775" w14:textId="77777777" w:rsidR="00BB5D80" w:rsidRPr="008A7ADB" w:rsidRDefault="008A7ADB" w:rsidP="00394847">
            <w:pPr>
              <w:pStyle w:val="TableText0"/>
              <w:jc w:val="center"/>
              <w:rPr>
                <w:szCs w:val="20"/>
                <w:highlight w:val="black"/>
              </w:rPr>
            </w:pPr>
            <w:r>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1A0B558E" w14:textId="77777777" w:rsidR="00BB5D80" w:rsidRPr="008A7ADB" w:rsidRDefault="008A7ADB" w:rsidP="00394847">
            <w:pPr>
              <w:pStyle w:val="TableText0"/>
              <w:jc w:val="center"/>
              <w:rPr>
                <w:szCs w:val="20"/>
                <w:highlight w:val="black"/>
              </w:rPr>
            </w:pPr>
            <w:r>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3FDDD817" w14:textId="77777777" w:rsidR="00BB5D80" w:rsidRPr="008A7ADB" w:rsidRDefault="008A7ADB" w:rsidP="00394847">
            <w:pPr>
              <w:pStyle w:val="TableText0"/>
              <w:jc w:val="center"/>
              <w:rPr>
                <w:szCs w:val="20"/>
                <w:highlight w:val="black"/>
              </w:rPr>
            </w:pPr>
            <w:r>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B7CA57" w14:textId="77777777" w:rsidR="00BB5D80" w:rsidRPr="008A7ADB" w:rsidRDefault="008A7ADB" w:rsidP="00394847">
            <w:pPr>
              <w:pStyle w:val="TableText0"/>
              <w:jc w:val="center"/>
              <w:rPr>
                <w:szCs w:val="20"/>
                <w:highlight w:val="black"/>
              </w:rPr>
            </w:pPr>
            <w:r>
              <w:rPr>
                <w:noProof/>
                <w:color w:val="000000"/>
                <w:szCs w:val="20"/>
                <w:highlight w:val="black"/>
              </w:rPr>
              <w:t>'''''''''''''''''''''''</w:t>
            </w:r>
          </w:p>
        </w:tc>
      </w:tr>
      <w:tr w:rsidR="00BB5D80" w:rsidRPr="003F7761" w14:paraId="487068C5" w14:textId="77777777" w:rsidTr="003F7761">
        <w:tc>
          <w:tcPr>
            <w:tcW w:w="985" w:type="pct"/>
            <w:tcBorders>
              <w:top w:val="single" w:sz="4" w:space="0" w:color="auto"/>
              <w:left w:val="single" w:sz="4" w:space="0" w:color="auto"/>
              <w:bottom w:val="single" w:sz="4" w:space="0" w:color="auto"/>
              <w:right w:val="single" w:sz="4" w:space="0" w:color="auto"/>
            </w:tcBorders>
            <w:vAlign w:val="center"/>
          </w:tcPr>
          <w:p w14:paraId="5BD26D2A" w14:textId="77777777" w:rsidR="00BB5D80" w:rsidRPr="003F7761" w:rsidRDefault="00BB5D80" w:rsidP="00394847">
            <w:pPr>
              <w:pStyle w:val="TableText0"/>
              <w:rPr>
                <w:szCs w:val="20"/>
              </w:rPr>
            </w:pPr>
            <w:r w:rsidRPr="003F7761">
              <w:rPr>
                <w:szCs w:val="20"/>
              </w:rPr>
              <w:t>Net Cost PBS/RPBS (less co-pay)</w:t>
            </w:r>
          </w:p>
        </w:tc>
        <w:tc>
          <w:tcPr>
            <w:tcW w:w="573" w:type="pct"/>
            <w:tcBorders>
              <w:top w:val="single" w:sz="4" w:space="0" w:color="auto"/>
              <w:left w:val="single" w:sz="4" w:space="0" w:color="auto"/>
              <w:bottom w:val="single" w:sz="4" w:space="0" w:color="auto"/>
              <w:right w:val="single" w:sz="4" w:space="0" w:color="auto"/>
            </w:tcBorders>
            <w:vAlign w:val="center"/>
          </w:tcPr>
          <w:p w14:paraId="32B2D148"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111375A6"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32952783"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3" w:type="pct"/>
            <w:tcBorders>
              <w:top w:val="single" w:sz="4" w:space="0" w:color="auto"/>
              <w:left w:val="single" w:sz="4" w:space="0" w:color="auto"/>
              <w:bottom w:val="single" w:sz="4" w:space="0" w:color="auto"/>
              <w:right w:val="single" w:sz="4" w:space="0" w:color="auto"/>
            </w:tcBorders>
            <w:vAlign w:val="center"/>
          </w:tcPr>
          <w:p w14:paraId="1F19AE00"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3734EE92"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04B13634"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D79103B"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r>
      <w:tr w:rsidR="00BB5D80" w:rsidRPr="003F7761" w14:paraId="3AE37897" w14:textId="77777777" w:rsidTr="003F7761">
        <w:tc>
          <w:tcPr>
            <w:tcW w:w="5000" w:type="pct"/>
            <w:gridSpan w:val="8"/>
            <w:tcBorders>
              <w:top w:val="single" w:sz="4" w:space="0" w:color="auto"/>
              <w:left w:val="single" w:sz="4" w:space="0" w:color="auto"/>
              <w:bottom w:val="single" w:sz="4" w:space="0" w:color="auto"/>
              <w:right w:val="single" w:sz="4" w:space="0" w:color="auto"/>
            </w:tcBorders>
            <w:vAlign w:val="center"/>
          </w:tcPr>
          <w:p w14:paraId="1B703665" w14:textId="77777777" w:rsidR="00BB5D80" w:rsidRPr="003F7761" w:rsidRDefault="00BB5D80" w:rsidP="00394847">
            <w:pPr>
              <w:pStyle w:val="TableText0"/>
              <w:rPr>
                <w:b/>
                <w:bCs w:val="0"/>
                <w:szCs w:val="20"/>
              </w:rPr>
            </w:pPr>
            <w:r w:rsidRPr="003F7761">
              <w:rPr>
                <w:b/>
                <w:bCs w:val="0"/>
                <w:szCs w:val="20"/>
              </w:rPr>
              <w:t>Estimation of changes in use and financial impact of other FDCs</w:t>
            </w:r>
          </w:p>
        </w:tc>
      </w:tr>
      <w:tr w:rsidR="00BB5D80" w:rsidRPr="003F7761" w14:paraId="27956285" w14:textId="77777777" w:rsidTr="003F7761">
        <w:tc>
          <w:tcPr>
            <w:tcW w:w="985" w:type="pct"/>
            <w:tcBorders>
              <w:top w:val="single" w:sz="4" w:space="0" w:color="auto"/>
              <w:left w:val="single" w:sz="4" w:space="0" w:color="auto"/>
              <w:bottom w:val="nil"/>
              <w:right w:val="single" w:sz="4" w:space="0" w:color="auto"/>
            </w:tcBorders>
            <w:vAlign w:val="center"/>
          </w:tcPr>
          <w:p w14:paraId="4395FFAA" w14:textId="77777777" w:rsidR="00BB5D80" w:rsidRPr="003F7761" w:rsidRDefault="00BB5D80" w:rsidP="00394847">
            <w:pPr>
              <w:pStyle w:val="TableText0"/>
              <w:rPr>
                <w:szCs w:val="20"/>
              </w:rPr>
            </w:pPr>
            <w:r w:rsidRPr="003F7761">
              <w:rPr>
                <w:szCs w:val="20"/>
              </w:rPr>
              <w:t>Total scripts PBS/RPBS</w:t>
            </w:r>
          </w:p>
        </w:tc>
        <w:tc>
          <w:tcPr>
            <w:tcW w:w="573" w:type="pct"/>
            <w:tcBorders>
              <w:top w:val="single" w:sz="4" w:space="0" w:color="auto"/>
              <w:left w:val="single" w:sz="4" w:space="0" w:color="auto"/>
              <w:bottom w:val="nil"/>
              <w:right w:val="single" w:sz="4" w:space="0" w:color="auto"/>
            </w:tcBorders>
            <w:vAlign w:val="center"/>
          </w:tcPr>
          <w:p w14:paraId="6C7DE92F"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nil"/>
              <w:right w:val="single" w:sz="4" w:space="0" w:color="auto"/>
            </w:tcBorders>
            <w:vAlign w:val="center"/>
          </w:tcPr>
          <w:p w14:paraId="35679467"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nil"/>
              <w:right w:val="single" w:sz="4" w:space="0" w:color="auto"/>
            </w:tcBorders>
            <w:vAlign w:val="center"/>
          </w:tcPr>
          <w:p w14:paraId="61B515A6"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3" w:type="pct"/>
            <w:tcBorders>
              <w:top w:val="single" w:sz="4" w:space="0" w:color="auto"/>
              <w:left w:val="single" w:sz="4" w:space="0" w:color="auto"/>
              <w:bottom w:val="nil"/>
              <w:right w:val="single" w:sz="4" w:space="0" w:color="auto"/>
            </w:tcBorders>
            <w:vAlign w:val="center"/>
          </w:tcPr>
          <w:p w14:paraId="7B0C6029"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nil"/>
              <w:right w:val="single" w:sz="4" w:space="0" w:color="auto"/>
            </w:tcBorders>
            <w:vAlign w:val="center"/>
          </w:tcPr>
          <w:p w14:paraId="24D20373"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nil"/>
              <w:right w:val="single" w:sz="4" w:space="0" w:color="auto"/>
            </w:tcBorders>
            <w:vAlign w:val="center"/>
          </w:tcPr>
          <w:p w14:paraId="27DB24AD"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c>
          <w:tcPr>
            <w:tcW w:w="574" w:type="pct"/>
            <w:tcBorders>
              <w:top w:val="single" w:sz="4" w:space="0" w:color="auto"/>
              <w:left w:val="single" w:sz="4" w:space="0" w:color="auto"/>
              <w:bottom w:val="nil"/>
              <w:right w:val="single" w:sz="4" w:space="0" w:color="auto"/>
            </w:tcBorders>
            <w:shd w:val="clear" w:color="auto" w:fill="auto"/>
            <w:vAlign w:val="center"/>
          </w:tcPr>
          <w:p w14:paraId="1D1AC8C8" w14:textId="77777777" w:rsidR="00BB5D80" w:rsidRPr="003F7761" w:rsidRDefault="00BB5D80" w:rsidP="00394847">
            <w:pPr>
              <w:pStyle w:val="TableText0"/>
              <w:jc w:val="center"/>
              <w:rPr>
                <w:szCs w:val="20"/>
              </w:rPr>
            </w:pPr>
            <w:r w:rsidRPr="003F7761">
              <w:rPr>
                <w:szCs w:val="20"/>
              </w:rPr>
              <w:t>-</w:t>
            </w:r>
            <w:r w:rsidR="008A7ADB">
              <w:rPr>
                <w:noProof/>
                <w:color w:val="000000"/>
                <w:szCs w:val="20"/>
                <w:highlight w:val="black"/>
              </w:rPr>
              <w:t>''''''''''''''''''''''</w:t>
            </w:r>
          </w:p>
        </w:tc>
      </w:tr>
      <w:tr w:rsidR="005E11D6" w:rsidRPr="003F7761" w14:paraId="59CBF4A1" w14:textId="77777777" w:rsidTr="003F7761">
        <w:tc>
          <w:tcPr>
            <w:tcW w:w="985" w:type="pct"/>
            <w:tcBorders>
              <w:top w:val="nil"/>
              <w:left w:val="single" w:sz="4" w:space="0" w:color="auto"/>
              <w:bottom w:val="nil"/>
              <w:right w:val="single" w:sz="4" w:space="0" w:color="auto"/>
            </w:tcBorders>
          </w:tcPr>
          <w:p w14:paraId="28F15532" w14:textId="77777777" w:rsidR="005E11D6" w:rsidRPr="003F7761" w:rsidRDefault="005E11D6" w:rsidP="005E11D6">
            <w:pPr>
              <w:pStyle w:val="TableText0"/>
              <w:ind w:left="112"/>
              <w:rPr>
                <w:color w:val="000000" w:themeColor="text1"/>
                <w:szCs w:val="20"/>
              </w:rPr>
            </w:pPr>
            <w:r w:rsidRPr="003F7761">
              <w:rPr>
                <w:rFonts w:cs="Times New Roman"/>
                <w:color w:val="000000" w:themeColor="text1"/>
                <w:szCs w:val="20"/>
              </w:rPr>
              <w:t>BUD/FOR 200/6 DPI</w:t>
            </w:r>
            <w:r w:rsidR="0089343B" w:rsidRPr="003F7761">
              <w:rPr>
                <w:rFonts w:cs="Times New Roman"/>
                <w:color w:val="000000" w:themeColor="text1"/>
                <w:szCs w:val="20"/>
              </w:rPr>
              <w:t>*</w:t>
            </w:r>
          </w:p>
        </w:tc>
        <w:tc>
          <w:tcPr>
            <w:tcW w:w="573" w:type="pct"/>
            <w:tcBorders>
              <w:top w:val="nil"/>
              <w:left w:val="single" w:sz="4" w:space="0" w:color="auto"/>
              <w:bottom w:val="nil"/>
              <w:right w:val="single" w:sz="4" w:space="0" w:color="auto"/>
            </w:tcBorders>
            <w:vAlign w:val="center"/>
          </w:tcPr>
          <w:p w14:paraId="4D5E2093"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2F149732"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43F9334E"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3" w:type="pct"/>
            <w:tcBorders>
              <w:top w:val="nil"/>
              <w:left w:val="single" w:sz="4" w:space="0" w:color="auto"/>
              <w:bottom w:val="nil"/>
              <w:right w:val="single" w:sz="4" w:space="0" w:color="auto"/>
            </w:tcBorders>
            <w:vAlign w:val="center"/>
          </w:tcPr>
          <w:p w14:paraId="4A31FE84"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7AFDFD38"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7CE8436D"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shd w:val="clear" w:color="auto" w:fill="auto"/>
            <w:vAlign w:val="center"/>
          </w:tcPr>
          <w:p w14:paraId="756FB6FD"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r w:rsidRPr="003F7761">
              <w:rPr>
                <w:iCs/>
                <w:color w:val="000000" w:themeColor="text1"/>
                <w:szCs w:val="20"/>
              </w:rPr>
              <w:t xml:space="preserve"> </w:t>
            </w:r>
          </w:p>
        </w:tc>
      </w:tr>
      <w:tr w:rsidR="005E11D6" w:rsidRPr="003F7761" w14:paraId="6EDDA638" w14:textId="77777777" w:rsidTr="003F7761">
        <w:tc>
          <w:tcPr>
            <w:tcW w:w="985" w:type="pct"/>
            <w:tcBorders>
              <w:top w:val="nil"/>
              <w:left w:val="single" w:sz="4" w:space="0" w:color="auto"/>
              <w:bottom w:val="nil"/>
              <w:right w:val="single" w:sz="4" w:space="0" w:color="auto"/>
            </w:tcBorders>
          </w:tcPr>
          <w:p w14:paraId="0074B3E9" w14:textId="77777777" w:rsidR="005E11D6" w:rsidRPr="003F7761" w:rsidRDefault="005E11D6" w:rsidP="005E11D6">
            <w:pPr>
              <w:pStyle w:val="TableText0"/>
              <w:ind w:left="112"/>
              <w:rPr>
                <w:color w:val="000000" w:themeColor="text1"/>
                <w:szCs w:val="20"/>
              </w:rPr>
            </w:pPr>
            <w:r w:rsidRPr="003F7761">
              <w:rPr>
                <w:rFonts w:cs="Times New Roman"/>
                <w:color w:val="000000" w:themeColor="text1"/>
                <w:szCs w:val="20"/>
              </w:rPr>
              <w:t>FP/SAL 250/50 DPI</w:t>
            </w:r>
            <w:r w:rsidR="0089343B" w:rsidRPr="003F7761">
              <w:rPr>
                <w:rFonts w:cs="Times New Roman"/>
                <w:color w:val="000000" w:themeColor="text1"/>
                <w:szCs w:val="20"/>
              </w:rPr>
              <w:t>*</w:t>
            </w:r>
          </w:p>
        </w:tc>
        <w:tc>
          <w:tcPr>
            <w:tcW w:w="573" w:type="pct"/>
            <w:tcBorders>
              <w:top w:val="nil"/>
              <w:left w:val="single" w:sz="4" w:space="0" w:color="auto"/>
              <w:bottom w:val="nil"/>
              <w:right w:val="single" w:sz="4" w:space="0" w:color="auto"/>
            </w:tcBorders>
            <w:vAlign w:val="center"/>
          </w:tcPr>
          <w:p w14:paraId="1826A8F2"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1E2C0157"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193C3924"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3" w:type="pct"/>
            <w:tcBorders>
              <w:top w:val="nil"/>
              <w:left w:val="single" w:sz="4" w:space="0" w:color="auto"/>
              <w:bottom w:val="nil"/>
              <w:right w:val="single" w:sz="4" w:space="0" w:color="auto"/>
            </w:tcBorders>
            <w:vAlign w:val="center"/>
          </w:tcPr>
          <w:p w14:paraId="3668E3B2"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70F3FC0A"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5B190205"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shd w:val="clear" w:color="auto" w:fill="auto"/>
            <w:vAlign w:val="center"/>
          </w:tcPr>
          <w:p w14:paraId="696F535A"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r w:rsidRPr="003F7761">
              <w:rPr>
                <w:iCs/>
                <w:color w:val="000000" w:themeColor="text1"/>
                <w:szCs w:val="20"/>
              </w:rPr>
              <w:t xml:space="preserve"> </w:t>
            </w:r>
          </w:p>
        </w:tc>
      </w:tr>
      <w:tr w:rsidR="005E11D6" w:rsidRPr="003F7761" w14:paraId="405B12F5" w14:textId="77777777" w:rsidTr="003F7761">
        <w:tc>
          <w:tcPr>
            <w:tcW w:w="985" w:type="pct"/>
            <w:tcBorders>
              <w:top w:val="nil"/>
              <w:left w:val="single" w:sz="4" w:space="0" w:color="auto"/>
              <w:bottom w:val="nil"/>
              <w:right w:val="single" w:sz="4" w:space="0" w:color="auto"/>
            </w:tcBorders>
          </w:tcPr>
          <w:p w14:paraId="483E9C38" w14:textId="77777777" w:rsidR="005E11D6" w:rsidRPr="003F7761" w:rsidRDefault="005E11D6" w:rsidP="005E11D6">
            <w:pPr>
              <w:pStyle w:val="TableText0"/>
              <w:ind w:left="112"/>
              <w:rPr>
                <w:color w:val="000000" w:themeColor="text1"/>
                <w:szCs w:val="20"/>
              </w:rPr>
            </w:pPr>
            <w:r w:rsidRPr="003F7761">
              <w:rPr>
                <w:rFonts w:cs="Times New Roman"/>
                <w:color w:val="000000" w:themeColor="text1"/>
                <w:szCs w:val="20"/>
              </w:rPr>
              <w:t>BUD/FOR 200/6 MDI</w:t>
            </w:r>
            <w:r w:rsidR="0089343B" w:rsidRPr="003F7761">
              <w:rPr>
                <w:rFonts w:cs="Times New Roman"/>
                <w:color w:val="000000" w:themeColor="text1"/>
                <w:szCs w:val="20"/>
              </w:rPr>
              <w:t>*</w:t>
            </w:r>
          </w:p>
        </w:tc>
        <w:tc>
          <w:tcPr>
            <w:tcW w:w="573" w:type="pct"/>
            <w:tcBorders>
              <w:top w:val="nil"/>
              <w:left w:val="single" w:sz="4" w:space="0" w:color="auto"/>
              <w:bottom w:val="nil"/>
              <w:right w:val="single" w:sz="4" w:space="0" w:color="auto"/>
            </w:tcBorders>
            <w:vAlign w:val="center"/>
          </w:tcPr>
          <w:p w14:paraId="24FBDD26"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6D5FB53F"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0BB925CE"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3" w:type="pct"/>
            <w:tcBorders>
              <w:top w:val="nil"/>
              <w:left w:val="single" w:sz="4" w:space="0" w:color="auto"/>
              <w:bottom w:val="nil"/>
              <w:right w:val="single" w:sz="4" w:space="0" w:color="auto"/>
            </w:tcBorders>
            <w:vAlign w:val="center"/>
          </w:tcPr>
          <w:p w14:paraId="58EC034F"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7147E5BB"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6E4536AF"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shd w:val="clear" w:color="auto" w:fill="auto"/>
            <w:vAlign w:val="center"/>
          </w:tcPr>
          <w:p w14:paraId="704FCC3C"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r w:rsidRPr="003F7761">
              <w:rPr>
                <w:iCs/>
                <w:color w:val="000000" w:themeColor="text1"/>
                <w:szCs w:val="20"/>
              </w:rPr>
              <w:t xml:space="preserve"> </w:t>
            </w:r>
          </w:p>
        </w:tc>
      </w:tr>
      <w:tr w:rsidR="005E11D6" w:rsidRPr="003F7761" w14:paraId="11F8F422" w14:textId="77777777" w:rsidTr="003F7761">
        <w:tc>
          <w:tcPr>
            <w:tcW w:w="985" w:type="pct"/>
            <w:tcBorders>
              <w:top w:val="nil"/>
              <w:left w:val="single" w:sz="4" w:space="0" w:color="auto"/>
              <w:bottom w:val="nil"/>
              <w:right w:val="single" w:sz="4" w:space="0" w:color="auto"/>
            </w:tcBorders>
          </w:tcPr>
          <w:p w14:paraId="00F30FE8" w14:textId="77777777" w:rsidR="005E11D6" w:rsidRPr="003F7761" w:rsidRDefault="005E11D6" w:rsidP="005E11D6">
            <w:pPr>
              <w:pStyle w:val="TableText0"/>
              <w:ind w:left="112"/>
              <w:rPr>
                <w:color w:val="000000" w:themeColor="text1"/>
                <w:szCs w:val="20"/>
              </w:rPr>
            </w:pPr>
            <w:r w:rsidRPr="003F7761">
              <w:rPr>
                <w:rFonts w:cs="Times New Roman"/>
                <w:color w:val="000000" w:themeColor="text1"/>
                <w:szCs w:val="20"/>
              </w:rPr>
              <w:t>FP/SAL 125/25 MDI</w:t>
            </w:r>
            <w:r w:rsidR="0089343B" w:rsidRPr="003F7761">
              <w:rPr>
                <w:rFonts w:cs="Times New Roman"/>
                <w:color w:val="000000" w:themeColor="text1"/>
                <w:szCs w:val="20"/>
              </w:rPr>
              <w:t>*</w:t>
            </w:r>
          </w:p>
        </w:tc>
        <w:tc>
          <w:tcPr>
            <w:tcW w:w="573" w:type="pct"/>
            <w:tcBorders>
              <w:top w:val="nil"/>
              <w:left w:val="single" w:sz="4" w:space="0" w:color="auto"/>
              <w:bottom w:val="nil"/>
              <w:right w:val="single" w:sz="4" w:space="0" w:color="auto"/>
            </w:tcBorders>
            <w:vAlign w:val="center"/>
          </w:tcPr>
          <w:p w14:paraId="07B5F507"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6A85B46E"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2667CFB8"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3" w:type="pct"/>
            <w:tcBorders>
              <w:top w:val="nil"/>
              <w:left w:val="single" w:sz="4" w:space="0" w:color="auto"/>
              <w:bottom w:val="nil"/>
              <w:right w:val="single" w:sz="4" w:space="0" w:color="auto"/>
            </w:tcBorders>
            <w:vAlign w:val="center"/>
          </w:tcPr>
          <w:p w14:paraId="77988947"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31D754EA"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2CE1730B"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shd w:val="clear" w:color="auto" w:fill="auto"/>
            <w:vAlign w:val="center"/>
          </w:tcPr>
          <w:p w14:paraId="60074543"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r w:rsidRPr="003F7761">
              <w:rPr>
                <w:iCs/>
                <w:color w:val="000000" w:themeColor="text1"/>
                <w:szCs w:val="20"/>
              </w:rPr>
              <w:t xml:space="preserve"> </w:t>
            </w:r>
          </w:p>
        </w:tc>
      </w:tr>
      <w:tr w:rsidR="005E11D6" w:rsidRPr="003F7761" w14:paraId="79B6447A" w14:textId="77777777" w:rsidTr="003F7761">
        <w:trPr>
          <w:trHeight w:val="63"/>
        </w:trPr>
        <w:tc>
          <w:tcPr>
            <w:tcW w:w="985" w:type="pct"/>
            <w:tcBorders>
              <w:top w:val="nil"/>
              <w:left w:val="single" w:sz="4" w:space="0" w:color="auto"/>
              <w:bottom w:val="nil"/>
              <w:right w:val="single" w:sz="4" w:space="0" w:color="auto"/>
            </w:tcBorders>
          </w:tcPr>
          <w:p w14:paraId="16BA7932" w14:textId="77777777" w:rsidR="005E11D6" w:rsidRPr="003F7761" w:rsidRDefault="005E11D6" w:rsidP="005E11D6">
            <w:pPr>
              <w:pStyle w:val="TableText0"/>
              <w:ind w:left="112"/>
              <w:rPr>
                <w:color w:val="000000" w:themeColor="text1"/>
                <w:szCs w:val="20"/>
              </w:rPr>
            </w:pPr>
            <w:r w:rsidRPr="003F7761">
              <w:rPr>
                <w:rFonts w:cs="Times New Roman"/>
                <w:color w:val="000000" w:themeColor="text1"/>
                <w:szCs w:val="20"/>
              </w:rPr>
              <w:t>FF/VIL 100/25</w:t>
            </w:r>
            <w:r w:rsidR="0089343B" w:rsidRPr="003F7761">
              <w:rPr>
                <w:rFonts w:cs="Times New Roman"/>
                <w:color w:val="000000" w:themeColor="text1"/>
                <w:szCs w:val="20"/>
              </w:rPr>
              <w:t>*</w:t>
            </w:r>
          </w:p>
        </w:tc>
        <w:tc>
          <w:tcPr>
            <w:tcW w:w="573" w:type="pct"/>
            <w:tcBorders>
              <w:top w:val="nil"/>
              <w:left w:val="single" w:sz="4" w:space="0" w:color="auto"/>
              <w:bottom w:val="nil"/>
              <w:right w:val="single" w:sz="4" w:space="0" w:color="auto"/>
            </w:tcBorders>
            <w:vAlign w:val="center"/>
          </w:tcPr>
          <w:p w14:paraId="0AC83986"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3E5392A9"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272E3417"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3" w:type="pct"/>
            <w:tcBorders>
              <w:top w:val="nil"/>
              <w:left w:val="single" w:sz="4" w:space="0" w:color="auto"/>
              <w:bottom w:val="nil"/>
              <w:right w:val="single" w:sz="4" w:space="0" w:color="auto"/>
            </w:tcBorders>
            <w:vAlign w:val="center"/>
          </w:tcPr>
          <w:p w14:paraId="32910FE7"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021BD794"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012A0743"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shd w:val="clear" w:color="auto" w:fill="auto"/>
            <w:vAlign w:val="center"/>
          </w:tcPr>
          <w:p w14:paraId="44653530"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r w:rsidRPr="003F7761">
              <w:rPr>
                <w:iCs/>
                <w:color w:val="000000" w:themeColor="text1"/>
                <w:szCs w:val="20"/>
              </w:rPr>
              <w:t xml:space="preserve"> </w:t>
            </w:r>
          </w:p>
        </w:tc>
      </w:tr>
      <w:tr w:rsidR="005E11D6" w:rsidRPr="003F7761" w14:paraId="70F55DB3" w14:textId="77777777" w:rsidTr="003F7761">
        <w:tc>
          <w:tcPr>
            <w:tcW w:w="985" w:type="pct"/>
            <w:tcBorders>
              <w:top w:val="nil"/>
              <w:left w:val="single" w:sz="4" w:space="0" w:color="auto"/>
              <w:bottom w:val="nil"/>
              <w:right w:val="single" w:sz="4" w:space="0" w:color="auto"/>
            </w:tcBorders>
          </w:tcPr>
          <w:p w14:paraId="606DE571" w14:textId="77777777" w:rsidR="005E11D6" w:rsidRPr="003F7761" w:rsidRDefault="005E11D6" w:rsidP="005E11D6">
            <w:pPr>
              <w:pStyle w:val="TableText0"/>
              <w:ind w:left="112"/>
              <w:rPr>
                <w:color w:val="000000" w:themeColor="text1"/>
                <w:szCs w:val="20"/>
              </w:rPr>
            </w:pPr>
            <w:r w:rsidRPr="003F7761">
              <w:rPr>
                <w:rFonts w:cs="Times New Roman"/>
                <w:color w:val="000000" w:themeColor="text1"/>
                <w:szCs w:val="20"/>
              </w:rPr>
              <w:t>FP/FOR 125/5</w:t>
            </w:r>
            <w:r w:rsidR="0089343B" w:rsidRPr="003F7761">
              <w:rPr>
                <w:rFonts w:cs="Times New Roman"/>
                <w:color w:val="000000" w:themeColor="text1"/>
                <w:szCs w:val="20"/>
              </w:rPr>
              <w:t>*</w:t>
            </w:r>
          </w:p>
        </w:tc>
        <w:tc>
          <w:tcPr>
            <w:tcW w:w="573" w:type="pct"/>
            <w:tcBorders>
              <w:top w:val="nil"/>
              <w:left w:val="single" w:sz="4" w:space="0" w:color="auto"/>
              <w:bottom w:val="nil"/>
              <w:right w:val="single" w:sz="4" w:space="0" w:color="auto"/>
            </w:tcBorders>
            <w:vAlign w:val="center"/>
          </w:tcPr>
          <w:p w14:paraId="73081A42"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18E439A2"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0683C5CF"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3" w:type="pct"/>
            <w:tcBorders>
              <w:top w:val="nil"/>
              <w:left w:val="single" w:sz="4" w:space="0" w:color="auto"/>
              <w:bottom w:val="nil"/>
              <w:right w:val="single" w:sz="4" w:space="0" w:color="auto"/>
            </w:tcBorders>
            <w:vAlign w:val="center"/>
          </w:tcPr>
          <w:p w14:paraId="08485465"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59DA5106"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vAlign w:val="center"/>
          </w:tcPr>
          <w:p w14:paraId="27634513"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p>
        </w:tc>
        <w:tc>
          <w:tcPr>
            <w:tcW w:w="574" w:type="pct"/>
            <w:tcBorders>
              <w:top w:val="nil"/>
              <w:left w:val="single" w:sz="4" w:space="0" w:color="auto"/>
              <w:bottom w:val="nil"/>
              <w:right w:val="single" w:sz="4" w:space="0" w:color="auto"/>
            </w:tcBorders>
            <w:shd w:val="clear" w:color="auto" w:fill="auto"/>
            <w:vAlign w:val="center"/>
          </w:tcPr>
          <w:p w14:paraId="265DA0FA" w14:textId="77777777" w:rsidR="005E11D6" w:rsidRPr="003F7761" w:rsidRDefault="005E11D6" w:rsidP="005E11D6">
            <w:pPr>
              <w:pStyle w:val="TableText0"/>
              <w:jc w:val="center"/>
              <w:rPr>
                <w:iCs/>
                <w:color w:val="000000" w:themeColor="text1"/>
                <w:szCs w:val="20"/>
              </w:rPr>
            </w:pPr>
            <w:r w:rsidRPr="003F7761">
              <w:rPr>
                <w:iCs/>
                <w:color w:val="000000" w:themeColor="text1"/>
                <w:szCs w:val="20"/>
              </w:rPr>
              <w:t>-</w:t>
            </w:r>
            <w:r w:rsidR="008A7ADB">
              <w:rPr>
                <w:iCs/>
                <w:noProof/>
                <w:color w:val="000000"/>
                <w:szCs w:val="20"/>
                <w:highlight w:val="black"/>
              </w:rPr>
              <w:t>'''''''''''''''''</w:t>
            </w:r>
            <w:r w:rsidRPr="003F7761">
              <w:rPr>
                <w:iCs/>
                <w:color w:val="000000" w:themeColor="text1"/>
                <w:szCs w:val="20"/>
              </w:rPr>
              <w:t xml:space="preserve"> </w:t>
            </w:r>
          </w:p>
        </w:tc>
      </w:tr>
      <w:tr w:rsidR="005E11D6" w:rsidRPr="003F7761" w14:paraId="62B447D6" w14:textId="77777777" w:rsidTr="003F7761">
        <w:tc>
          <w:tcPr>
            <w:tcW w:w="985" w:type="pct"/>
            <w:tcBorders>
              <w:top w:val="nil"/>
              <w:left w:val="single" w:sz="4" w:space="0" w:color="auto"/>
              <w:bottom w:val="single" w:sz="4" w:space="0" w:color="auto"/>
              <w:right w:val="single" w:sz="4" w:space="0" w:color="auto"/>
            </w:tcBorders>
            <w:vAlign w:val="center"/>
          </w:tcPr>
          <w:p w14:paraId="101895CA" w14:textId="77777777" w:rsidR="005E11D6" w:rsidRPr="003F7761" w:rsidRDefault="005E11D6" w:rsidP="005E11D6">
            <w:pPr>
              <w:pStyle w:val="TableText0"/>
              <w:rPr>
                <w:szCs w:val="20"/>
              </w:rPr>
            </w:pPr>
            <w:r w:rsidRPr="003F7761">
              <w:rPr>
                <w:szCs w:val="20"/>
              </w:rPr>
              <w:t>Net Cost PBS/RPBS (less co-pay)</w:t>
            </w:r>
            <w:r w:rsidR="0089343B" w:rsidRPr="003F7761">
              <w:rPr>
                <w:szCs w:val="20"/>
              </w:rPr>
              <w:t>*</w:t>
            </w:r>
          </w:p>
        </w:tc>
        <w:tc>
          <w:tcPr>
            <w:tcW w:w="573" w:type="pct"/>
            <w:tcBorders>
              <w:top w:val="nil"/>
              <w:left w:val="single" w:sz="4" w:space="0" w:color="auto"/>
              <w:bottom w:val="single" w:sz="4" w:space="0" w:color="auto"/>
              <w:right w:val="single" w:sz="4" w:space="0" w:color="auto"/>
            </w:tcBorders>
            <w:vAlign w:val="center"/>
          </w:tcPr>
          <w:p w14:paraId="1A37204E"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nil"/>
              <w:left w:val="single" w:sz="4" w:space="0" w:color="auto"/>
              <w:bottom w:val="single" w:sz="4" w:space="0" w:color="auto"/>
              <w:right w:val="single" w:sz="4" w:space="0" w:color="auto"/>
            </w:tcBorders>
            <w:vAlign w:val="center"/>
          </w:tcPr>
          <w:p w14:paraId="4FDF1379"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nil"/>
              <w:left w:val="single" w:sz="4" w:space="0" w:color="auto"/>
              <w:bottom w:val="single" w:sz="4" w:space="0" w:color="auto"/>
              <w:right w:val="single" w:sz="4" w:space="0" w:color="auto"/>
            </w:tcBorders>
            <w:vAlign w:val="center"/>
          </w:tcPr>
          <w:p w14:paraId="3BFAD935"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3" w:type="pct"/>
            <w:tcBorders>
              <w:top w:val="nil"/>
              <w:left w:val="single" w:sz="4" w:space="0" w:color="auto"/>
              <w:bottom w:val="single" w:sz="4" w:space="0" w:color="auto"/>
              <w:right w:val="single" w:sz="4" w:space="0" w:color="auto"/>
            </w:tcBorders>
            <w:vAlign w:val="center"/>
          </w:tcPr>
          <w:p w14:paraId="216B8E56"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nil"/>
              <w:left w:val="single" w:sz="4" w:space="0" w:color="auto"/>
              <w:bottom w:val="single" w:sz="4" w:space="0" w:color="auto"/>
              <w:right w:val="single" w:sz="4" w:space="0" w:color="auto"/>
            </w:tcBorders>
            <w:vAlign w:val="center"/>
          </w:tcPr>
          <w:p w14:paraId="3640490B"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nil"/>
              <w:left w:val="single" w:sz="4" w:space="0" w:color="auto"/>
              <w:bottom w:val="single" w:sz="4" w:space="0" w:color="auto"/>
              <w:right w:val="single" w:sz="4" w:space="0" w:color="auto"/>
            </w:tcBorders>
            <w:vAlign w:val="center"/>
          </w:tcPr>
          <w:p w14:paraId="5B3EEFA1"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nil"/>
              <w:left w:val="single" w:sz="4" w:space="0" w:color="auto"/>
              <w:bottom w:val="single" w:sz="4" w:space="0" w:color="auto"/>
              <w:right w:val="single" w:sz="4" w:space="0" w:color="auto"/>
            </w:tcBorders>
            <w:shd w:val="clear" w:color="auto" w:fill="auto"/>
            <w:vAlign w:val="center"/>
          </w:tcPr>
          <w:p w14:paraId="187BDC04"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r>
      <w:tr w:rsidR="005E11D6" w:rsidRPr="003F7761" w14:paraId="3BAB45FC" w14:textId="77777777" w:rsidTr="003F7761">
        <w:tc>
          <w:tcPr>
            <w:tcW w:w="5000" w:type="pct"/>
            <w:gridSpan w:val="8"/>
            <w:tcBorders>
              <w:top w:val="single" w:sz="4" w:space="0" w:color="auto"/>
              <w:left w:val="single" w:sz="4" w:space="0" w:color="auto"/>
              <w:bottom w:val="single" w:sz="4" w:space="0" w:color="auto"/>
              <w:right w:val="single" w:sz="4" w:space="0" w:color="auto"/>
            </w:tcBorders>
            <w:vAlign w:val="center"/>
          </w:tcPr>
          <w:p w14:paraId="3934DA66" w14:textId="77777777" w:rsidR="005E11D6" w:rsidRPr="003F7761" w:rsidRDefault="005E11D6" w:rsidP="005E11D6">
            <w:pPr>
              <w:pStyle w:val="TableText0"/>
              <w:rPr>
                <w:szCs w:val="20"/>
              </w:rPr>
            </w:pPr>
            <w:r w:rsidRPr="003F7761">
              <w:rPr>
                <w:b/>
                <w:szCs w:val="20"/>
              </w:rPr>
              <w:t>Estimated financial implications for the PBS/RPBS and the Health Budget*</w:t>
            </w:r>
            <w:r w:rsidR="0089343B" w:rsidRPr="003F7761">
              <w:rPr>
                <w:b/>
                <w:szCs w:val="20"/>
              </w:rPr>
              <w:t>*</w:t>
            </w:r>
          </w:p>
        </w:tc>
      </w:tr>
      <w:tr w:rsidR="005E11D6" w:rsidRPr="003F7761" w14:paraId="5676A1AA" w14:textId="77777777" w:rsidTr="003F7761">
        <w:tc>
          <w:tcPr>
            <w:tcW w:w="985" w:type="pct"/>
            <w:tcBorders>
              <w:top w:val="single" w:sz="4" w:space="0" w:color="auto"/>
              <w:left w:val="single" w:sz="4" w:space="0" w:color="auto"/>
              <w:bottom w:val="single" w:sz="4" w:space="0" w:color="auto"/>
              <w:right w:val="single" w:sz="4" w:space="0" w:color="auto"/>
            </w:tcBorders>
            <w:vAlign w:val="center"/>
          </w:tcPr>
          <w:p w14:paraId="34A8A09A" w14:textId="77777777" w:rsidR="005E11D6" w:rsidRPr="003F7761" w:rsidRDefault="005E11D6" w:rsidP="005E11D6">
            <w:pPr>
              <w:pStyle w:val="TableText0"/>
              <w:rPr>
                <w:szCs w:val="20"/>
              </w:rPr>
            </w:pPr>
            <w:r w:rsidRPr="003F7761">
              <w:rPr>
                <w:szCs w:val="20"/>
              </w:rPr>
              <w:t>Net Cost (less co-payment)</w:t>
            </w:r>
            <w:r w:rsidR="0089343B" w:rsidRPr="003F7761">
              <w:rPr>
                <w:szCs w:val="20"/>
              </w:rPr>
              <w:t>*</w:t>
            </w:r>
          </w:p>
        </w:tc>
        <w:tc>
          <w:tcPr>
            <w:tcW w:w="573" w:type="pct"/>
            <w:tcBorders>
              <w:top w:val="single" w:sz="4" w:space="0" w:color="auto"/>
              <w:left w:val="single" w:sz="4" w:space="0" w:color="auto"/>
              <w:bottom w:val="single" w:sz="4" w:space="0" w:color="auto"/>
              <w:right w:val="single" w:sz="4" w:space="0" w:color="auto"/>
            </w:tcBorders>
            <w:vAlign w:val="center"/>
          </w:tcPr>
          <w:p w14:paraId="4425F56F"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7F4573B8"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2675563A"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3" w:type="pct"/>
            <w:tcBorders>
              <w:top w:val="single" w:sz="4" w:space="0" w:color="auto"/>
              <w:left w:val="single" w:sz="4" w:space="0" w:color="auto"/>
              <w:bottom w:val="single" w:sz="4" w:space="0" w:color="auto"/>
              <w:right w:val="single" w:sz="4" w:space="0" w:color="auto"/>
            </w:tcBorders>
            <w:vAlign w:val="center"/>
          </w:tcPr>
          <w:p w14:paraId="7E79B6A0"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1E6003E0"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vAlign w:val="center"/>
          </w:tcPr>
          <w:p w14:paraId="648163A4"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2D87E6B" w14:textId="77777777" w:rsidR="005E11D6" w:rsidRPr="003F7761" w:rsidRDefault="005E11D6" w:rsidP="005E11D6">
            <w:pPr>
              <w:pStyle w:val="TableText0"/>
              <w:jc w:val="center"/>
              <w:rPr>
                <w:iCs/>
                <w:szCs w:val="20"/>
              </w:rPr>
            </w:pPr>
            <w:r w:rsidRPr="003F7761">
              <w:rPr>
                <w:iCs/>
                <w:szCs w:val="20"/>
              </w:rPr>
              <w:t>$</w:t>
            </w:r>
            <w:r w:rsidR="008A7ADB">
              <w:rPr>
                <w:iCs/>
                <w:noProof/>
                <w:color w:val="000000"/>
                <w:szCs w:val="20"/>
                <w:highlight w:val="black"/>
              </w:rPr>
              <w:t>''''''''''''''''''''''</w:t>
            </w:r>
          </w:p>
        </w:tc>
      </w:tr>
    </w:tbl>
    <w:p w14:paraId="2024EBF3" w14:textId="77777777" w:rsidR="008D1AF3" w:rsidRPr="00855489" w:rsidRDefault="00BB5D80" w:rsidP="008D1AF3">
      <w:pPr>
        <w:pStyle w:val="TableFigureFooter"/>
      </w:pPr>
      <w:r w:rsidRPr="00855489">
        <w:t xml:space="preserve">Abbreviation: </w:t>
      </w:r>
      <w:r w:rsidR="008D1AF3" w:rsidRPr="00855489">
        <w:t>BUD=budesonide; FOR=formoterol; FF=fluticasone furoate; FP=fluticasone propionate; SAL=salmeterol; VI=vilanterol; MDI=metered dose inhaler; DPI=dry powder inhaler</w:t>
      </w:r>
    </w:p>
    <w:p w14:paraId="437C800D" w14:textId="77777777" w:rsidR="00BB5D80" w:rsidRPr="00855489" w:rsidRDefault="0089343B" w:rsidP="005E11D6">
      <w:pPr>
        <w:pStyle w:val="TableFigureFooter"/>
        <w:rPr>
          <w:iCs/>
        </w:rPr>
      </w:pPr>
      <w:r w:rsidRPr="00855489">
        <w:rPr>
          <w:iCs/>
        </w:rPr>
        <w:t>*</w:t>
      </w:r>
      <w:r w:rsidR="00BB5D80" w:rsidRPr="00855489">
        <w:rPr>
          <w:iCs/>
        </w:rPr>
        <w:t xml:space="preserve"> calculated during the evaluation from data in Section 4 workbook</w:t>
      </w:r>
      <w:r w:rsidR="00641764" w:rsidRPr="00855489">
        <w:rPr>
          <w:iCs/>
        </w:rPr>
        <w:t xml:space="preserve"> of the submission</w:t>
      </w:r>
      <w:r w:rsidR="008C06FB" w:rsidRPr="00855489">
        <w:rPr>
          <w:iCs/>
        </w:rPr>
        <w:t xml:space="preserve">; </w:t>
      </w:r>
      <w:r w:rsidR="005E11D6" w:rsidRPr="00855489">
        <w:rPr>
          <w:iCs/>
        </w:rPr>
        <w:t>the net cost to the PBS/RPBS was re-calculated by multiplying the number of substituted scripts (cells D63:P68 on ‘3a. Scripts – new’) after adjusting the script relativity for BUD/FOR 200/6 (i.e. 0.5), by the unit costs (H180:H185 on ‘4c. Impact – changed (EFF)’) less the co-payment (K180:L185 on ‘4c. Impact – changed (EFF)’), and after correcting for the unit cost of Seretide® (set H183 = $48.64 on ‘4c. Impact – changed (EFF)’).</w:t>
      </w:r>
    </w:p>
    <w:p w14:paraId="1A494419" w14:textId="77777777" w:rsidR="00BB5D80" w:rsidRPr="00855489" w:rsidRDefault="00BB5D80" w:rsidP="00BB5D80">
      <w:pPr>
        <w:pStyle w:val="TableFigureFooter"/>
      </w:pPr>
      <w:r w:rsidRPr="00855489">
        <w:t xml:space="preserve">Source: Table 110, p145; Table 115, p149 of the submission. </w:t>
      </w:r>
    </w:p>
    <w:p w14:paraId="07C6309A" w14:textId="77777777" w:rsidR="0089343B" w:rsidRPr="00855489" w:rsidRDefault="0089343B" w:rsidP="00BB5D80">
      <w:pPr>
        <w:pStyle w:val="TableFigureFooter"/>
      </w:pPr>
      <w:r w:rsidRPr="00855489">
        <w:t>**There is no predicted change to MBS item use</w:t>
      </w:r>
    </w:p>
    <w:p w14:paraId="59433C4A" w14:textId="77777777" w:rsidR="00231966" w:rsidRPr="00231966" w:rsidRDefault="00231966" w:rsidP="00231966">
      <w:pPr>
        <w:pStyle w:val="3-BodyText"/>
        <w:numPr>
          <w:ilvl w:val="0"/>
          <w:numId w:val="0"/>
        </w:numPr>
        <w:ind w:left="720" w:hanging="720"/>
        <w:rPr>
          <w:i/>
          <w:iCs/>
        </w:rPr>
      </w:pPr>
      <w:r>
        <w:rPr>
          <w:i/>
          <w:iCs/>
        </w:rPr>
        <w:t xml:space="preserve">The redacted table shows that at Year 6 the </w:t>
      </w:r>
      <w:r w:rsidR="00B26DB7">
        <w:rPr>
          <w:i/>
          <w:iCs/>
        </w:rPr>
        <w:t xml:space="preserve">estimated number of </w:t>
      </w:r>
      <w:r>
        <w:rPr>
          <w:i/>
          <w:iCs/>
        </w:rPr>
        <w:t xml:space="preserve">total scripts </w:t>
      </w:r>
      <w:r w:rsidR="00B26DB7">
        <w:rPr>
          <w:i/>
          <w:iCs/>
        </w:rPr>
        <w:t xml:space="preserve">was </w:t>
      </w:r>
      <w:r w:rsidR="00B26DB7" w:rsidRPr="00B26DB7">
        <w:rPr>
          <w:i/>
          <w:iCs/>
        </w:rPr>
        <w:t>1,000,000 to &lt; 2,000,000</w:t>
      </w:r>
      <w:r w:rsidR="004C3288">
        <w:rPr>
          <w:i/>
          <w:iCs/>
        </w:rPr>
        <w:t>; and the estimated number of total scripts for the change</w:t>
      </w:r>
      <w:r w:rsidR="00AE7B19">
        <w:rPr>
          <w:i/>
          <w:iCs/>
        </w:rPr>
        <w:t>s in use of other FDCs</w:t>
      </w:r>
      <w:r w:rsidR="004C3288">
        <w:rPr>
          <w:i/>
          <w:iCs/>
        </w:rPr>
        <w:t xml:space="preserve"> would reduce by </w:t>
      </w:r>
      <w:r w:rsidR="004C3288" w:rsidRPr="004C3288">
        <w:rPr>
          <w:i/>
          <w:iCs/>
        </w:rPr>
        <w:t>1,000,000 to &lt; 2,000,000</w:t>
      </w:r>
      <w:r w:rsidR="00B26DB7">
        <w:rPr>
          <w:i/>
          <w:iCs/>
        </w:rPr>
        <w:t>.</w:t>
      </w:r>
    </w:p>
    <w:p w14:paraId="036CD381" w14:textId="77777777" w:rsidR="001E56F5" w:rsidRPr="00855489" w:rsidRDefault="00F50CB2" w:rsidP="00DD6DF4">
      <w:pPr>
        <w:pStyle w:val="3-BodyText"/>
        <w:rPr>
          <w:iCs/>
        </w:rPr>
      </w:pPr>
      <w:r w:rsidRPr="00855489">
        <w:rPr>
          <w:iCs/>
        </w:rPr>
        <w:t>A</w:t>
      </w:r>
      <w:r w:rsidR="00376E0D" w:rsidRPr="00855489">
        <w:rPr>
          <w:iCs/>
        </w:rPr>
        <w:t>fter correcting for the</w:t>
      </w:r>
      <w:r w:rsidR="00DD6DF4" w:rsidRPr="00855489">
        <w:rPr>
          <w:iCs/>
        </w:rPr>
        <w:t>se</w:t>
      </w:r>
      <w:r w:rsidR="00376E0D" w:rsidRPr="00855489">
        <w:rPr>
          <w:iCs/>
        </w:rPr>
        <w:t xml:space="preserve"> errors, </w:t>
      </w:r>
      <w:r w:rsidRPr="00855489">
        <w:rPr>
          <w:iCs/>
        </w:rPr>
        <w:t xml:space="preserve">the net cost of listing was </w:t>
      </w:r>
      <w:r w:rsidR="00323CB9" w:rsidRPr="00B1026A">
        <w:rPr>
          <w:rFonts w:cstheme="minorHAnsi"/>
        </w:rPr>
        <w:t>$0 to &lt; $10 million</w:t>
      </w:r>
      <w:r w:rsidR="00323CB9" w:rsidRPr="00855489" w:rsidDel="00323CB9">
        <w:rPr>
          <w:iCs/>
        </w:rPr>
        <w:t xml:space="preserve"> </w:t>
      </w:r>
      <w:r w:rsidR="001E56F5" w:rsidRPr="00855489">
        <w:rPr>
          <w:iCs/>
        </w:rPr>
        <w:t>over the first six years of listing</w:t>
      </w:r>
      <w:r w:rsidRPr="00855489">
        <w:rPr>
          <w:iCs/>
        </w:rPr>
        <w:t xml:space="preserve"> (compared to </w:t>
      </w:r>
      <w:r w:rsidR="00323CB9">
        <w:rPr>
          <w:iCs/>
        </w:rPr>
        <w:t xml:space="preserve">a cost saving </w:t>
      </w:r>
      <w:r w:rsidRPr="00855489">
        <w:rPr>
          <w:iCs/>
        </w:rPr>
        <w:t>presented in the submission)</w:t>
      </w:r>
      <w:r w:rsidR="00855489">
        <w:rPr>
          <w:iCs/>
        </w:rPr>
        <w:t xml:space="preserve">. </w:t>
      </w:r>
      <w:r w:rsidRPr="00855489">
        <w:rPr>
          <w:iCs/>
        </w:rPr>
        <w:t>The proposed listing has a net cost to the PBS/RPBS because a</w:t>
      </w:r>
      <w:r w:rsidR="001E56F5" w:rsidRPr="00855489">
        <w:rPr>
          <w:iCs/>
        </w:rPr>
        <w:t xml:space="preserve">t the requested price, </w:t>
      </w:r>
      <w:r w:rsidR="00DD6DF4" w:rsidRPr="00855489">
        <w:rPr>
          <w:iCs/>
        </w:rPr>
        <w:t>BEC/FOR</w:t>
      </w:r>
      <w:r w:rsidR="001E56F5" w:rsidRPr="00855489">
        <w:rPr>
          <w:iCs/>
        </w:rPr>
        <w:t xml:space="preserve"> would be equal </w:t>
      </w:r>
      <w:r w:rsidR="00CD4848" w:rsidRPr="00855489">
        <w:rPr>
          <w:iCs/>
        </w:rPr>
        <w:t xml:space="preserve">to the </w:t>
      </w:r>
      <w:r w:rsidR="001E56F5" w:rsidRPr="00855489">
        <w:rPr>
          <w:iCs/>
        </w:rPr>
        <w:t>second most costly ICS/LABA FDC of the nominated comparators, and would subst</w:t>
      </w:r>
      <w:r w:rsidRPr="00855489">
        <w:rPr>
          <w:iCs/>
        </w:rPr>
        <w:t>itute for cheaper alternatives.</w:t>
      </w:r>
    </w:p>
    <w:p w14:paraId="00FAAF91" w14:textId="77777777" w:rsidR="00F50CB2" w:rsidRPr="00855489" w:rsidRDefault="00F50CB2" w:rsidP="008A5BFC">
      <w:pPr>
        <w:pStyle w:val="3-BodyText"/>
        <w:rPr>
          <w:iCs/>
        </w:rPr>
      </w:pPr>
      <w:r w:rsidRPr="00855489">
        <w:rPr>
          <w:iCs/>
        </w:rPr>
        <w:t xml:space="preserve">The </w:t>
      </w:r>
      <w:r w:rsidR="00F03208" w:rsidRPr="00855489">
        <w:rPr>
          <w:iCs/>
        </w:rPr>
        <w:t>financial estimates</w:t>
      </w:r>
      <w:r w:rsidRPr="00855489">
        <w:rPr>
          <w:iCs/>
        </w:rPr>
        <w:t xml:space="preserve"> were uncertain because the analysis assumed </w:t>
      </w:r>
      <w:r w:rsidR="008A5BFC" w:rsidRPr="00855489">
        <w:rPr>
          <w:iCs/>
        </w:rPr>
        <w:t xml:space="preserve">i) </w:t>
      </w:r>
      <w:r w:rsidRPr="00855489">
        <w:rPr>
          <w:iCs/>
        </w:rPr>
        <w:t>all substitutions would occur between six ICS/LABA FDC products at the nominated equi-effective doses only</w:t>
      </w:r>
      <w:r w:rsidR="008A5BFC" w:rsidRPr="00855489">
        <w:rPr>
          <w:iCs/>
        </w:rPr>
        <w:t xml:space="preserve"> (i.e. STEP 4 of the clinical management algorithm), ii) the estimates excluded substitution with one brand of BUD/FOR 200/6 DPI (DuoResp® Spiromax®) and iii) the estimates are not limited to an adult population</w:t>
      </w:r>
      <w:r w:rsidRPr="00855489">
        <w:rPr>
          <w:iCs/>
        </w:rPr>
        <w:t>. In practice</w:t>
      </w:r>
      <w:r w:rsidR="00F03208" w:rsidRPr="00855489">
        <w:rPr>
          <w:iCs/>
        </w:rPr>
        <w:t xml:space="preserve"> under the requested restriction</w:t>
      </w:r>
      <w:r w:rsidRPr="00855489">
        <w:rPr>
          <w:iCs/>
        </w:rPr>
        <w:t xml:space="preserve">, </w:t>
      </w:r>
      <w:r w:rsidR="006B7606" w:rsidRPr="00855489">
        <w:rPr>
          <w:iCs/>
        </w:rPr>
        <w:t xml:space="preserve">BEC/FOR </w:t>
      </w:r>
      <w:r w:rsidRPr="00855489">
        <w:rPr>
          <w:iCs/>
        </w:rPr>
        <w:t>may also substitute for other ICS/LABA FDCs, particularly when used at a lower dose or for MART (i.e. S</w:t>
      </w:r>
      <w:r w:rsidR="00437EEA" w:rsidRPr="00855489">
        <w:rPr>
          <w:iCs/>
        </w:rPr>
        <w:t>TEP</w:t>
      </w:r>
      <w:r w:rsidRPr="00855489">
        <w:rPr>
          <w:iCs/>
        </w:rPr>
        <w:t xml:space="preserve"> 3 in the clinical management algorithm).</w:t>
      </w:r>
    </w:p>
    <w:p w14:paraId="2C2E0DE4" w14:textId="77777777" w:rsidR="005E11D6" w:rsidRPr="00855489" w:rsidRDefault="005E11D6" w:rsidP="00F17097">
      <w:pPr>
        <w:pStyle w:val="3-BodyText"/>
        <w:rPr>
          <w:iCs/>
        </w:rPr>
      </w:pPr>
      <w:r w:rsidRPr="00855489">
        <w:t xml:space="preserve">The submission presented sensitivities assuming lower DPMQs of $44.79 (price equivalence to BUD/FOR 200/6 DPI) and $41.45 (price equivalence to BUD/FOR 200/6 </w:t>
      </w:r>
      <w:r w:rsidRPr="00855489">
        <w:lastRenderedPageBreak/>
        <w:t xml:space="preserve">MDI), resulting in: </w:t>
      </w:r>
      <w:r w:rsidRPr="00855489">
        <w:rPr>
          <w:iCs/>
        </w:rPr>
        <w:t xml:space="preserve">cost savings </w:t>
      </w:r>
      <w:r w:rsidR="00F17097" w:rsidRPr="00855489">
        <w:rPr>
          <w:iCs/>
        </w:rPr>
        <w:t xml:space="preserve">to the PBS/RPBS </w:t>
      </w:r>
      <w:r w:rsidRPr="00855489">
        <w:rPr>
          <w:iCs/>
        </w:rPr>
        <w:t xml:space="preserve">over the first six years </w:t>
      </w:r>
      <w:r w:rsidR="00F17097" w:rsidRPr="00855489">
        <w:rPr>
          <w:iCs/>
        </w:rPr>
        <w:t>(</w:t>
      </w:r>
      <w:r w:rsidRPr="00855489">
        <w:rPr>
          <w:iCs/>
        </w:rPr>
        <w:t>after correcting for the errors identified in the spreadsheet</w:t>
      </w:r>
      <w:r w:rsidR="00F17097" w:rsidRPr="00855489">
        <w:rPr>
          <w:iCs/>
        </w:rPr>
        <w:t>)</w:t>
      </w:r>
      <w:r w:rsidRPr="00855489">
        <w:rPr>
          <w:iCs/>
        </w:rPr>
        <w:t>.</w:t>
      </w:r>
    </w:p>
    <w:p w14:paraId="7DD7B0DA" w14:textId="77777777" w:rsidR="00DD24B7" w:rsidRPr="00855489" w:rsidRDefault="00DD24B7" w:rsidP="00DD24B7">
      <w:pPr>
        <w:pStyle w:val="3-BodyText"/>
      </w:pPr>
      <w:r w:rsidRPr="00855489">
        <w:rPr>
          <w:iCs/>
        </w:rPr>
        <w:t>Given the GINA 2019 guidelines recommend patients with mild asthma commence treatment with as-needed low dose ICS/LABA FDCs containing FOR, there is potential for considerable leakage outside of the requested PBS restriction.</w:t>
      </w:r>
    </w:p>
    <w:p w14:paraId="56A89C68" w14:textId="77777777" w:rsidR="00385421" w:rsidRPr="00855489" w:rsidRDefault="00385421" w:rsidP="00385421">
      <w:pPr>
        <w:pStyle w:val="3-BodyText"/>
      </w:pPr>
      <w:r w:rsidRPr="00855489">
        <w:t>The PBAC noted that the financial estimates would need to be recalculated to take into account the outcome of its considerations regarding the cost-minimisation analysis. The PBAC considered that on this basis,</w:t>
      </w:r>
      <w:r w:rsidR="00D33648" w:rsidRPr="00855489">
        <w:t xml:space="preserve"> and noting the amendments to the requested PBS restriction outlined in paragraph 3.9,</w:t>
      </w:r>
      <w:r w:rsidRPr="00855489">
        <w:t xml:space="preserve"> the concerns raised in paragraph</w:t>
      </w:r>
      <w:r w:rsidR="00D33648" w:rsidRPr="00855489">
        <w:t>s</w:t>
      </w:r>
      <w:r w:rsidRPr="00855489">
        <w:t xml:space="preserve"> 6.</w:t>
      </w:r>
      <w:r w:rsidR="00F92A49" w:rsidRPr="00855489">
        <w:t>38</w:t>
      </w:r>
      <w:r w:rsidR="00D33648" w:rsidRPr="00855489">
        <w:t xml:space="preserve"> and 6.</w:t>
      </w:r>
      <w:r w:rsidRPr="00855489">
        <w:t>40 were adequately addressed.</w:t>
      </w:r>
    </w:p>
    <w:p w14:paraId="1D853818" w14:textId="77777777" w:rsidR="00576972" w:rsidRPr="00855489" w:rsidRDefault="00576972" w:rsidP="00606FBA">
      <w:pPr>
        <w:pStyle w:val="4-SubsectionHeading"/>
      </w:pPr>
      <w:bookmarkStart w:id="27" w:name="_Toc22897648"/>
      <w:bookmarkStart w:id="28" w:name="_Toc40775733"/>
      <w:r w:rsidRPr="00855489">
        <w:t>Quality Use of Medicines</w:t>
      </w:r>
      <w:bookmarkEnd w:id="27"/>
      <w:bookmarkEnd w:id="28"/>
    </w:p>
    <w:p w14:paraId="1AC5C34B" w14:textId="77777777" w:rsidR="00832EB0" w:rsidRPr="00855489" w:rsidRDefault="00186B71" w:rsidP="00AA3773">
      <w:pPr>
        <w:pStyle w:val="3-BodyText"/>
      </w:pPr>
      <w:r w:rsidRPr="00855489">
        <w:t>The s</w:t>
      </w:r>
      <w:r w:rsidR="00AA3773" w:rsidRPr="00855489">
        <w:t xml:space="preserve">ponsor will provide materials setting out the appropriate dosing with </w:t>
      </w:r>
      <w:r w:rsidR="006B7606" w:rsidRPr="00855489">
        <w:t>BEC/FOR</w:t>
      </w:r>
      <w:r w:rsidR="00AA3773" w:rsidRPr="00855489">
        <w:t xml:space="preserve">, and sales representatives supported by a medical team will visit all the treating centres to educate treating physicians and nurse practitioners on the approved dosing schedules for </w:t>
      </w:r>
      <w:r w:rsidR="006B7606" w:rsidRPr="00855489">
        <w:t>BEC/FOR</w:t>
      </w:r>
      <w:r w:rsidR="00AA3773" w:rsidRPr="00855489">
        <w:t>.</w:t>
      </w:r>
    </w:p>
    <w:p w14:paraId="2FE1CE2B" w14:textId="77777777" w:rsidR="00AA3773" w:rsidRPr="00855489" w:rsidRDefault="00832EB0" w:rsidP="004E193D">
      <w:pPr>
        <w:pStyle w:val="3-BodyText"/>
      </w:pPr>
      <w:r w:rsidRPr="00855489">
        <w:rPr>
          <w:iCs/>
        </w:rPr>
        <w:t>Given the sponsor is requesting listing for only one strength of BEC/FOR inhaler, patients that require lower or higher doses of ICS w</w:t>
      </w:r>
      <w:r w:rsidR="004E193D" w:rsidRPr="00855489">
        <w:rPr>
          <w:iCs/>
        </w:rPr>
        <w:t>ould</w:t>
      </w:r>
      <w:r w:rsidRPr="00855489">
        <w:rPr>
          <w:iCs/>
        </w:rPr>
        <w:t xml:space="preserve"> need to switch to an alternative ICS/LABA FDC.</w:t>
      </w:r>
      <w:r w:rsidR="004E193D" w:rsidRPr="00855489">
        <w:rPr>
          <w:iCs/>
        </w:rPr>
        <w:t xml:space="preserve"> This need to switch ICS/LABA FDCs for dose changes has the potential to increase patient confusion and inappropriate use.</w:t>
      </w:r>
    </w:p>
    <w:p w14:paraId="04AF0AC3" w14:textId="77777777" w:rsidR="00166B09" w:rsidRPr="00855489" w:rsidRDefault="00166B09" w:rsidP="00166B09">
      <w:pPr>
        <w:spacing w:after="120"/>
        <w:ind w:left="709"/>
        <w:jc w:val="both"/>
        <w:rPr>
          <w:rFonts w:asciiTheme="minorHAnsi" w:hAnsiTheme="minorHAnsi"/>
          <w:i/>
          <w:snapToGrid w:val="0"/>
        </w:rPr>
      </w:pPr>
      <w:r w:rsidRPr="00855489">
        <w:rPr>
          <w:rFonts w:asciiTheme="minorHAnsi" w:hAnsiTheme="minorHAnsi"/>
          <w:i/>
          <w:snapToGrid w:val="0"/>
        </w:rPr>
        <w:t>For more detail on PBAC’s view, see section 7 PBAC outcome.</w:t>
      </w:r>
    </w:p>
    <w:p w14:paraId="4A3C84B9" w14:textId="77777777" w:rsidR="00C547B5" w:rsidRPr="00855489" w:rsidRDefault="00C547B5" w:rsidP="00652863">
      <w:pPr>
        <w:pStyle w:val="2-SectionHeading"/>
      </w:pPr>
      <w:r w:rsidRPr="00855489">
        <w:t>PBAC Outcome</w:t>
      </w:r>
    </w:p>
    <w:p w14:paraId="0EBC9BA8" w14:textId="77777777" w:rsidR="003C64B9" w:rsidRPr="00855489" w:rsidRDefault="00C547B5" w:rsidP="00A03507">
      <w:pPr>
        <w:pStyle w:val="3-BodyText"/>
        <w:rPr>
          <w:lang w:eastAsia="en-US"/>
        </w:rPr>
      </w:pPr>
      <w:r w:rsidRPr="00855489">
        <w:rPr>
          <w:lang w:eastAsia="en-US"/>
        </w:rPr>
        <w:t xml:space="preserve">The PBAC recommended </w:t>
      </w:r>
      <w:r w:rsidR="00B364C8" w:rsidRPr="00855489">
        <w:rPr>
          <w:lang w:eastAsia="en-US"/>
        </w:rPr>
        <w:t xml:space="preserve">the </w:t>
      </w:r>
      <w:r w:rsidR="00461260" w:rsidRPr="00855489">
        <w:rPr>
          <w:rFonts w:cstheme="minorHAnsi"/>
          <w:bCs/>
        </w:rPr>
        <w:t>Authority Required (Streamlined</w:t>
      </w:r>
      <w:r w:rsidR="00B364C8" w:rsidRPr="00855489">
        <w:rPr>
          <w:rFonts w:cstheme="minorHAnsi"/>
          <w:bCs/>
        </w:rPr>
        <w:t>) listing of the fixed dose combination (FDC) of</w:t>
      </w:r>
      <w:r w:rsidR="00B364C8" w:rsidRPr="00855489" w:rsidDel="00B364C8">
        <w:rPr>
          <w:lang w:eastAsia="en-US"/>
        </w:rPr>
        <w:t xml:space="preserve"> </w:t>
      </w:r>
      <w:r w:rsidR="006B52DE" w:rsidRPr="00855489">
        <w:rPr>
          <w:lang w:eastAsia="en-US"/>
        </w:rPr>
        <w:t>beclometasone (BEC) with formoterol (FOR)</w:t>
      </w:r>
      <w:r w:rsidR="00B364C8" w:rsidRPr="00855489">
        <w:rPr>
          <w:lang w:eastAsia="en-US"/>
        </w:rPr>
        <w:t xml:space="preserve"> </w:t>
      </w:r>
      <w:r w:rsidR="006B52DE" w:rsidRPr="00855489">
        <w:rPr>
          <w:lang w:eastAsia="en-US"/>
        </w:rPr>
        <w:t xml:space="preserve">for </w:t>
      </w:r>
      <w:r w:rsidR="00B364C8" w:rsidRPr="00855489">
        <w:rPr>
          <w:lang w:eastAsia="en-US"/>
        </w:rPr>
        <w:t xml:space="preserve">the </w:t>
      </w:r>
      <w:r w:rsidR="00A03507" w:rsidRPr="00855489">
        <w:rPr>
          <w:lang w:eastAsia="en-US"/>
        </w:rPr>
        <w:t xml:space="preserve">maintenance treatment </w:t>
      </w:r>
      <w:r w:rsidR="00B364C8" w:rsidRPr="00855489">
        <w:rPr>
          <w:lang w:eastAsia="en-US"/>
        </w:rPr>
        <w:t>of</w:t>
      </w:r>
      <w:r w:rsidR="00A03507" w:rsidRPr="00855489">
        <w:rPr>
          <w:lang w:eastAsia="en-US"/>
        </w:rPr>
        <w:t xml:space="preserve"> asthma</w:t>
      </w:r>
      <w:r w:rsidR="0050185E" w:rsidRPr="00855489">
        <w:rPr>
          <w:lang w:eastAsia="en-US"/>
        </w:rPr>
        <w:t xml:space="preserve"> only</w:t>
      </w:r>
      <w:r w:rsidRPr="00855489">
        <w:rPr>
          <w:lang w:eastAsia="en-US"/>
        </w:rPr>
        <w:t xml:space="preserve">. </w:t>
      </w:r>
      <w:r w:rsidR="006B52DE" w:rsidRPr="00855489">
        <w:rPr>
          <w:bCs/>
          <w:lang w:eastAsia="en-US"/>
        </w:rPr>
        <w:t xml:space="preserve">The PBAC’s recommendation for listing </w:t>
      </w:r>
      <w:r w:rsidR="00B364C8" w:rsidRPr="00855489">
        <w:rPr>
          <w:bCs/>
          <w:lang w:eastAsia="en-US"/>
        </w:rPr>
        <w:t xml:space="preserve">for this indication </w:t>
      </w:r>
      <w:r w:rsidR="006B52DE" w:rsidRPr="00855489">
        <w:rPr>
          <w:bCs/>
          <w:lang w:eastAsia="en-US"/>
        </w:rPr>
        <w:t xml:space="preserve">was based on, among other matters, its assessment that the cost-effectiveness of BEC/FOR would be acceptable if it were cost-minimised </w:t>
      </w:r>
      <w:r w:rsidR="00A03507" w:rsidRPr="00855489">
        <w:rPr>
          <w:bCs/>
          <w:lang w:eastAsia="en-US"/>
        </w:rPr>
        <w:t xml:space="preserve">against the least costly combination of </w:t>
      </w:r>
      <w:r w:rsidR="00C33680" w:rsidRPr="00855489">
        <w:rPr>
          <w:bCs/>
          <w:lang w:eastAsia="en-US"/>
        </w:rPr>
        <w:t xml:space="preserve">an </w:t>
      </w:r>
      <w:r w:rsidR="00C94704" w:rsidRPr="00855489">
        <w:rPr>
          <w:rFonts w:cstheme="minorHAnsi"/>
          <w:bCs/>
        </w:rPr>
        <w:t xml:space="preserve">inhaled corticosteroid (ICS) with </w:t>
      </w:r>
      <w:r w:rsidR="00C33680" w:rsidRPr="00855489">
        <w:rPr>
          <w:rFonts w:cstheme="minorHAnsi"/>
          <w:bCs/>
        </w:rPr>
        <w:t xml:space="preserve">a </w:t>
      </w:r>
      <w:r w:rsidR="00C94704" w:rsidRPr="00855489">
        <w:rPr>
          <w:rFonts w:cstheme="minorHAnsi"/>
          <w:bCs/>
        </w:rPr>
        <w:t>long-acting beta2 agonist (LABA)</w:t>
      </w:r>
      <w:r w:rsidR="00140EE1" w:rsidRPr="00855489">
        <w:rPr>
          <w:rFonts w:cstheme="minorHAnsi"/>
          <w:bCs/>
        </w:rPr>
        <w:t xml:space="preserve"> FDC or combination of the individual components (BEC + FOR)</w:t>
      </w:r>
      <w:r w:rsidR="00C94704" w:rsidRPr="00855489">
        <w:rPr>
          <w:rFonts w:cstheme="minorHAnsi"/>
          <w:bCs/>
        </w:rPr>
        <w:t xml:space="preserve"> </w:t>
      </w:r>
      <w:r w:rsidR="00C33680" w:rsidRPr="00855489">
        <w:rPr>
          <w:rFonts w:cstheme="minorHAnsi"/>
        </w:rPr>
        <w:t>at comparable doses</w:t>
      </w:r>
      <w:r w:rsidR="00855489">
        <w:rPr>
          <w:rFonts w:cstheme="minorHAnsi"/>
        </w:rPr>
        <w:t xml:space="preserve">. </w:t>
      </w:r>
    </w:p>
    <w:p w14:paraId="74AC2577" w14:textId="77777777" w:rsidR="00467A62" w:rsidRPr="00F02C04" w:rsidRDefault="008E63C5" w:rsidP="0050185E">
      <w:pPr>
        <w:pStyle w:val="3-BodyText"/>
        <w:rPr>
          <w:bCs/>
          <w:lang w:eastAsia="en-US"/>
        </w:rPr>
      </w:pPr>
      <w:r w:rsidRPr="00F02C04">
        <w:rPr>
          <w:bCs/>
          <w:lang w:eastAsia="en-US"/>
        </w:rPr>
        <w:t xml:space="preserve">The PBAC did not recommend </w:t>
      </w:r>
      <w:r w:rsidR="00A6581A" w:rsidRPr="00F02C04">
        <w:rPr>
          <w:bCs/>
          <w:lang w:eastAsia="en-US"/>
        </w:rPr>
        <w:t xml:space="preserve">the listing of </w:t>
      </w:r>
      <w:r w:rsidRPr="00F02C04">
        <w:rPr>
          <w:bCs/>
          <w:lang w:eastAsia="en-US"/>
        </w:rPr>
        <w:t xml:space="preserve">BEC/FOR for </w:t>
      </w:r>
      <w:r w:rsidR="00C33680" w:rsidRPr="00F02C04">
        <w:rPr>
          <w:bCs/>
          <w:lang w:eastAsia="en-US"/>
        </w:rPr>
        <w:t>asthma maintenance and reliever therapy (</w:t>
      </w:r>
      <w:r w:rsidRPr="00F02C04">
        <w:rPr>
          <w:bCs/>
          <w:lang w:eastAsia="en-US"/>
        </w:rPr>
        <w:t>MART</w:t>
      </w:r>
      <w:r w:rsidR="00C33680" w:rsidRPr="00F02C04">
        <w:rPr>
          <w:bCs/>
          <w:lang w:eastAsia="en-US"/>
        </w:rPr>
        <w:t>)</w:t>
      </w:r>
      <w:r w:rsidR="005C2553" w:rsidRPr="00F02C04">
        <w:rPr>
          <w:bCs/>
          <w:lang w:eastAsia="en-US"/>
        </w:rPr>
        <w:t xml:space="preserve"> due to concerns </w:t>
      </w:r>
      <w:r w:rsidR="00140EE1" w:rsidRPr="00F02C04">
        <w:rPr>
          <w:bCs/>
          <w:lang w:eastAsia="en-US"/>
        </w:rPr>
        <w:t xml:space="preserve">the </w:t>
      </w:r>
      <w:r w:rsidR="00140EE1" w:rsidRPr="00F02C04">
        <w:rPr>
          <w:lang w:eastAsia="en-US"/>
        </w:rPr>
        <w:t>data p</w:t>
      </w:r>
      <w:r w:rsidR="00A6581A" w:rsidRPr="00F02C04">
        <w:rPr>
          <w:lang w:eastAsia="en-US"/>
        </w:rPr>
        <w:t>resented were</w:t>
      </w:r>
      <w:r w:rsidR="00140EE1" w:rsidRPr="00F02C04">
        <w:rPr>
          <w:lang w:eastAsia="en-US"/>
        </w:rPr>
        <w:t xml:space="preserve"> not adequate to support a listing for this indication </w:t>
      </w:r>
      <w:r w:rsidR="00140EE1" w:rsidRPr="00F02C04">
        <w:rPr>
          <w:bCs/>
          <w:lang w:eastAsia="en-US"/>
        </w:rPr>
        <w:t xml:space="preserve">and the potential for quality use of medicine issues. </w:t>
      </w:r>
    </w:p>
    <w:p w14:paraId="0B26313B" w14:textId="77777777" w:rsidR="006A1D97" w:rsidRPr="00F02C04" w:rsidRDefault="006402BD" w:rsidP="00BF2E02">
      <w:pPr>
        <w:pStyle w:val="3-BodyText"/>
        <w:rPr>
          <w:lang w:eastAsia="en-US"/>
        </w:rPr>
      </w:pPr>
      <w:r w:rsidRPr="00F02C04">
        <w:rPr>
          <w:lang w:eastAsia="en-US"/>
        </w:rPr>
        <w:t>In terms of the use of BEC/FOR for the maintenance treatment of asthma, t</w:t>
      </w:r>
      <w:r w:rsidR="008E63C5" w:rsidRPr="00F02C04">
        <w:rPr>
          <w:lang w:eastAsia="en-US"/>
        </w:rPr>
        <w:t xml:space="preserve">he </w:t>
      </w:r>
      <w:r w:rsidR="00BF2E02" w:rsidRPr="00F02C04">
        <w:rPr>
          <w:lang w:eastAsia="en-US"/>
        </w:rPr>
        <w:t xml:space="preserve">PBAC noted the </w:t>
      </w:r>
      <w:r w:rsidR="00013127" w:rsidRPr="00F02C04">
        <w:rPr>
          <w:lang w:eastAsia="en-US"/>
        </w:rPr>
        <w:t>input from Asthma Australia and t</w:t>
      </w:r>
      <w:r w:rsidR="00BF2E02" w:rsidRPr="00F02C04">
        <w:rPr>
          <w:lang w:eastAsia="en-US"/>
        </w:rPr>
        <w:t>he National Asthma Council of Australia</w:t>
      </w:r>
      <w:r w:rsidRPr="00F02C04">
        <w:rPr>
          <w:lang w:eastAsia="en-US"/>
        </w:rPr>
        <w:t xml:space="preserve"> (NAC) supporting</w:t>
      </w:r>
      <w:r w:rsidR="00013127" w:rsidRPr="00F02C04">
        <w:rPr>
          <w:lang w:eastAsia="en-US"/>
        </w:rPr>
        <w:t xml:space="preserve"> listing for </w:t>
      </w:r>
      <w:r w:rsidRPr="00F02C04">
        <w:rPr>
          <w:lang w:eastAsia="en-US"/>
        </w:rPr>
        <w:t>this indication</w:t>
      </w:r>
      <w:r w:rsidR="00013127" w:rsidRPr="00F02C04">
        <w:rPr>
          <w:lang w:eastAsia="en-US"/>
        </w:rPr>
        <w:t xml:space="preserve">. </w:t>
      </w:r>
    </w:p>
    <w:p w14:paraId="533B6698" w14:textId="77777777" w:rsidR="00AA79A3" w:rsidRPr="00855489" w:rsidRDefault="000E0D4F" w:rsidP="006A1D97">
      <w:pPr>
        <w:pStyle w:val="3-BodyText"/>
        <w:rPr>
          <w:rFonts w:cstheme="minorHAnsi"/>
          <w:bCs/>
        </w:rPr>
      </w:pPr>
      <w:r w:rsidRPr="00855489">
        <w:rPr>
          <w:rFonts w:cstheme="minorHAnsi"/>
          <w:bCs/>
        </w:rPr>
        <w:t xml:space="preserve">The PBAC noted the </w:t>
      </w:r>
      <w:r w:rsidR="006A1D97" w:rsidRPr="00855489">
        <w:rPr>
          <w:rFonts w:cstheme="minorHAnsi"/>
          <w:bCs/>
        </w:rPr>
        <w:t xml:space="preserve">nomination of </w:t>
      </w:r>
      <w:r w:rsidR="006A1D97" w:rsidRPr="00855489">
        <w:rPr>
          <w:rFonts w:cstheme="minorHAnsi"/>
          <w:snapToGrid/>
        </w:rPr>
        <w:t>fluticasone propionate (FP)/salmeterol (SAL)</w:t>
      </w:r>
      <w:r w:rsidR="008C6ECF" w:rsidRPr="00855489">
        <w:rPr>
          <w:rFonts w:cstheme="minorHAnsi"/>
          <w:snapToGrid/>
        </w:rPr>
        <w:t xml:space="preserve">, budesonide (BUD)/FOR and BEC + FOR administered concomitantly via separate inhalers </w:t>
      </w:r>
      <w:r w:rsidRPr="00855489">
        <w:rPr>
          <w:rFonts w:cstheme="minorHAnsi"/>
          <w:bCs/>
        </w:rPr>
        <w:t xml:space="preserve">as </w:t>
      </w:r>
      <w:r w:rsidR="008C6ECF" w:rsidRPr="00855489">
        <w:rPr>
          <w:rFonts w:cstheme="minorHAnsi"/>
          <w:bCs/>
        </w:rPr>
        <w:t xml:space="preserve">comparators </w:t>
      </w:r>
      <w:r w:rsidR="00AA79A3" w:rsidRPr="00855489">
        <w:rPr>
          <w:rFonts w:cstheme="minorHAnsi"/>
          <w:bCs/>
        </w:rPr>
        <w:t xml:space="preserve">and the submissions acknowledgment that BEC/FOR would </w:t>
      </w:r>
      <w:r w:rsidR="00AA79A3" w:rsidRPr="00855489">
        <w:rPr>
          <w:rFonts w:cstheme="minorHAnsi"/>
          <w:bCs/>
        </w:rPr>
        <w:lastRenderedPageBreak/>
        <w:t xml:space="preserve">substitute for all available ICS/LABA FDCs on the PBS at comparable doses. The PBAC considered that for the maintenance treatment of asthma all ICS/LABA FDCs </w:t>
      </w:r>
      <w:r w:rsidR="004D2110" w:rsidRPr="00855489">
        <w:rPr>
          <w:rFonts w:cstheme="minorHAnsi"/>
          <w:bCs/>
        </w:rPr>
        <w:t xml:space="preserve">and </w:t>
      </w:r>
      <w:r w:rsidR="00A6581A" w:rsidRPr="00855489">
        <w:rPr>
          <w:rFonts w:cstheme="minorHAnsi"/>
          <w:bCs/>
        </w:rPr>
        <w:t xml:space="preserve">the </w:t>
      </w:r>
      <w:r w:rsidR="004D2110" w:rsidRPr="00855489">
        <w:rPr>
          <w:rFonts w:cstheme="minorHAnsi"/>
          <w:bCs/>
        </w:rPr>
        <w:t xml:space="preserve">individual components (BEC + FOR) </w:t>
      </w:r>
      <w:r w:rsidR="00290958" w:rsidRPr="00855489">
        <w:rPr>
          <w:rFonts w:cstheme="minorHAnsi"/>
          <w:bCs/>
        </w:rPr>
        <w:t>at comparable doses would be</w:t>
      </w:r>
      <w:r w:rsidR="00AA79A3" w:rsidRPr="00855489">
        <w:rPr>
          <w:rFonts w:cstheme="minorHAnsi"/>
          <w:bCs/>
        </w:rPr>
        <w:t xml:space="preserve"> relevant comparators. </w:t>
      </w:r>
    </w:p>
    <w:p w14:paraId="28DBBDF8" w14:textId="77777777" w:rsidR="00396927" w:rsidRPr="00855489" w:rsidRDefault="00F445F9" w:rsidP="006A1D97">
      <w:pPr>
        <w:pStyle w:val="3-BodyText"/>
        <w:rPr>
          <w:rFonts w:cstheme="minorHAnsi"/>
          <w:bCs/>
        </w:rPr>
      </w:pPr>
      <w:r w:rsidRPr="00855489">
        <w:rPr>
          <w:snapToGrid/>
        </w:rPr>
        <w:t>The PBAC noted the data presented from four head-to-head randomised trials comparing BEC/FOR as maintenance treatment to FP/SAL (Papi 2007a, Hs</w:t>
      </w:r>
      <w:r w:rsidR="008C6ECF" w:rsidRPr="00855489">
        <w:rPr>
          <w:snapToGrid/>
        </w:rPr>
        <w:t>ieh 2017), BUD</w:t>
      </w:r>
      <w:r w:rsidRPr="00855489">
        <w:rPr>
          <w:snapToGrid/>
        </w:rPr>
        <w:t xml:space="preserve">/FOR (Papi 2007b), and BEC + FOR administered via separate inhalers (Huchon 2009). The PBAC considered that the data presented adequately supported the claim of non-inferior </w:t>
      </w:r>
      <w:r w:rsidRPr="00855489">
        <w:rPr>
          <w:rFonts w:cs="Calibri"/>
          <w:iCs/>
        </w:rPr>
        <w:t xml:space="preserve">comparative effectiveness and safety for </w:t>
      </w:r>
      <w:r w:rsidR="00692DF1" w:rsidRPr="00855489">
        <w:rPr>
          <w:rFonts w:cs="Calibri"/>
          <w:iCs/>
        </w:rPr>
        <w:t xml:space="preserve">the </w:t>
      </w:r>
      <w:r w:rsidRPr="00855489">
        <w:rPr>
          <w:rFonts w:cs="Calibri"/>
          <w:iCs/>
        </w:rPr>
        <w:t>maintenance treatment of asthma in adults.</w:t>
      </w:r>
    </w:p>
    <w:p w14:paraId="1113AA63" w14:textId="77777777" w:rsidR="00D33648" w:rsidRPr="00855489" w:rsidRDefault="00994171" w:rsidP="006A1D97">
      <w:pPr>
        <w:pStyle w:val="3-BodyText"/>
        <w:rPr>
          <w:rFonts w:cstheme="minorHAnsi"/>
          <w:bCs/>
        </w:rPr>
      </w:pPr>
      <w:r w:rsidRPr="00855489">
        <w:rPr>
          <w:rFonts w:cstheme="minorHAnsi"/>
          <w:bCs/>
        </w:rPr>
        <w:t xml:space="preserve">The PBAC noted that the submission presented a cost-minimisation analysis </w:t>
      </w:r>
      <w:r w:rsidR="008C6ECF" w:rsidRPr="00855489">
        <w:rPr>
          <w:rFonts w:cstheme="minorHAnsi"/>
          <w:bCs/>
        </w:rPr>
        <w:t>between medium dose BEC/FOR and the nominated comparators</w:t>
      </w:r>
      <w:r w:rsidR="00DD096C" w:rsidRPr="00855489">
        <w:rPr>
          <w:rFonts w:cstheme="minorHAnsi"/>
          <w:bCs/>
        </w:rPr>
        <w:t xml:space="preserve"> and that subsequently the pre-PBAC response </w:t>
      </w:r>
      <w:r w:rsidR="00DD096C" w:rsidRPr="00855489">
        <w:t>proposed that BEC/FOR be priced against BUD/FOR 200/6 dry powder inhaler (DPI)</w:t>
      </w:r>
      <w:r w:rsidR="008C6ECF" w:rsidRPr="00855489">
        <w:rPr>
          <w:rFonts w:cstheme="minorHAnsi"/>
          <w:bCs/>
        </w:rPr>
        <w:t xml:space="preserve">. </w:t>
      </w:r>
      <w:r w:rsidR="00DD096C" w:rsidRPr="00855489">
        <w:rPr>
          <w:rFonts w:cstheme="minorHAnsi"/>
          <w:bCs/>
        </w:rPr>
        <w:t xml:space="preserve">The PBAC considered that the cost-minimisation analysis for </w:t>
      </w:r>
      <w:r w:rsidR="00BC4449" w:rsidRPr="00855489">
        <w:rPr>
          <w:rFonts w:cstheme="minorHAnsi"/>
          <w:bCs/>
        </w:rPr>
        <w:t xml:space="preserve">BEC/FOR </w:t>
      </w:r>
      <w:r w:rsidR="0007683E" w:rsidRPr="00855489">
        <w:rPr>
          <w:rFonts w:cstheme="minorHAnsi"/>
          <w:bCs/>
        </w:rPr>
        <w:t xml:space="preserve">use in the </w:t>
      </w:r>
      <w:r w:rsidR="00DD096C" w:rsidRPr="00855489">
        <w:rPr>
          <w:rFonts w:cstheme="minorHAnsi"/>
          <w:bCs/>
        </w:rPr>
        <w:t>maintenance treatment of asthma in adults should be against the least costly ICS/LABA FDC or combination of the individual components (BEC + FOR)</w:t>
      </w:r>
      <w:r w:rsidR="00C45083" w:rsidRPr="00855489">
        <w:rPr>
          <w:rFonts w:cstheme="minorHAnsi"/>
          <w:bCs/>
        </w:rPr>
        <w:t xml:space="preserve"> that provide</w:t>
      </w:r>
      <w:r w:rsidR="00290958" w:rsidRPr="00855489">
        <w:rPr>
          <w:rFonts w:cstheme="minorHAnsi"/>
          <w:bCs/>
        </w:rPr>
        <w:t>d</w:t>
      </w:r>
      <w:r w:rsidR="00DD096C" w:rsidRPr="00855489">
        <w:rPr>
          <w:rFonts w:cstheme="minorHAnsi"/>
          <w:bCs/>
        </w:rPr>
        <w:t xml:space="preserve"> a treatment duration of 30 days</w:t>
      </w:r>
      <w:r w:rsidR="00BC4449" w:rsidRPr="00855489">
        <w:rPr>
          <w:rFonts w:cstheme="minorHAnsi"/>
          <w:bCs/>
        </w:rPr>
        <w:t xml:space="preserve"> at the equi-effective doses outlined in paragraph 6.2</w:t>
      </w:r>
      <w:r w:rsidR="004328ED">
        <w:rPr>
          <w:rFonts w:cstheme="minorHAnsi"/>
          <w:bCs/>
        </w:rPr>
        <w:t>5</w:t>
      </w:r>
      <w:r w:rsidR="00DD096C" w:rsidRPr="00855489">
        <w:rPr>
          <w:rFonts w:cstheme="minorHAnsi"/>
          <w:bCs/>
        </w:rPr>
        <w:t>.</w:t>
      </w:r>
    </w:p>
    <w:p w14:paraId="3A7C62E5" w14:textId="77777777" w:rsidR="00D33648" w:rsidRPr="00855489" w:rsidRDefault="00D33648" w:rsidP="003F7761">
      <w:pPr>
        <w:pStyle w:val="3-BodyText"/>
      </w:pPr>
      <w:r w:rsidRPr="00855489">
        <w:rPr>
          <w:snapToGrid/>
        </w:rPr>
        <w:t xml:space="preserve">The PBAC noted the concerns </w:t>
      </w:r>
      <w:r w:rsidR="00F92A49" w:rsidRPr="00855489">
        <w:rPr>
          <w:snapToGrid/>
        </w:rPr>
        <w:t xml:space="preserve">with the financial estimates raised regarding substitution with ICS/LABA FDCs and the potential for use in mild asthma outside of the requested PBS restriction </w:t>
      </w:r>
      <w:r w:rsidRPr="00855489">
        <w:t>(see paragraph</w:t>
      </w:r>
      <w:r w:rsidR="00F92A49" w:rsidRPr="00855489">
        <w:t>s 6.38 and</w:t>
      </w:r>
      <w:r w:rsidRPr="00855489">
        <w:t xml:space="preserve"> 6.40)</w:t>
      </w:r>
      <w:r w:rsidR="00F92A49" w:rsidRPr="00855489">
        <w:t xml:space="preserve">. The PBAC </w:t>
      </w:r>
      <w:r w:rsidRPr="00855489">
        <w:t xml:space="preserve">considered these were addressed by </w:t>
      </w:r>
      <w:r w:rsidRPr="00855489">
        <w:rPr>
          <w:snapToGrid/>
        </w:rPr>
        <w:t>the Committee’s recommendation</w:t>
      </w:r>
      <w:r w:rsidR="00F92A49" w:rsidRPr="00855489">
        <w:rPr>
          <w:snapToGrid/>
        </w:rPr>
        <w:t>s</w:t>
      </w:r>
      <w:r w:rsidRPr="00855489">
        <w:rPr>
          <w:snapToGrid/>
        </w:rPr>
        <w:t xml:space="preserve"> that listing </w:t>
      </w:r>
      <w:r w:rsidR="00F91274" w:rsidRPr="00855489">
        <w:rPr>
          <w:snapToGrid/>
        </w:rPr>
        <w:t xml:space="preserve">for </w:t>
      </w:r>
      <w:r w:rsidR="0007683E" w:rsidRPr="00855489">
        <w:rPr>
          <w:snapToGrid/>
        </w:rPr>
        <w:t xml:space="preserve">the </w:t>
      </w:r>
      <w:r w:rsidR="00F91274" w:rsidRPr="00855489">
        <w:rPr>
          <w:snapToGrid/>
        </w:rPr>
        <w:t xml:space="preserve">maintenance treatment of asthma </w:t>
      </w:r>
      <w:r w:rsidRPr="00855489">
        <w:rPr>
          <w:snapToGrid/>
        </w:rPr>
        <w:t xml:space="preserve">should be on a cost-minimisation basis against the least costly ICS/LABA </w:t>
      </w:r>
      <w:r w:rsidR="00F92A49" w:rsidRPr="00855489">
        <w:rPr>
          <w:snapToGrid/>
        </w:rPr>
        <w:t>combination as outlined in the paragraph 7.6 and the amendments to the proposed PBS restr</w:t>
      </w:r>
      <w:r w:rsidR="00A6581A" w:rsidRPr="00855489">
        <w:rPr>
          <w:snapToGrid/>
        </w:rPr>
        <w:t>iction outlined in paragraph 7.11</w:t>
      </w:r>
      <w:r w:rsidRPr="00855489">
        <w:rPr>
          <w:snapToGrid/>
        </w:rPr>
        <w:t xml:space="preserve">. </w:t>
      </w:r>
    </w:p>
    <w:p w14:paraId="50EAB73E" w14:textId="77777777" w:rsidR="0054022F" w:rsidRPr="008A7ADB" w:rsidRDefault="008A7ADB" w:rsidP="008A7ADB">
      <w:pPr>
        <w:pStyle w:val="3-BodyText"/>
        <w:numPr>
          <w:ilvl w:val="0"/>
          <w:numId w:val="0"/>
        </w:numPr>
        <w:ind w:left="720" w:hanging="720"/>
        <w:rPr>
          <w:highlight w:val="black"/>
          <w:lang w:eastAsia="en-US"/>
        </w:rPr>
      </w:pPr>
      <w:r>
        <w:rPr>
          <w:rFonts w:cstheme="minorHAnsi"/>
          <w:noProof/>
          <w:color w:val="000000"/>
          <w:highlight w:val="black"/>
          <w:lang w:eastAsia="en-US"/>
          <w14:scene3d>
            <w14:camera w14:prst="orthographicFront"/>
            <w14:lightRig w14:rig="threePt" w14:dir="t">
              <w14:rot w14:lat="0" w14:lon="0" w14:rev="0"/>
            </w14:lightRig>
          </w14:scene3d>
        </w:rPr>
        <w:t xml:space="preserve">''''''''' '''''''''' ''''' ''''''' '''''' ''''' '''''''''''''''' ''''' '''''''''''' ''''''' ''''''''''' ''''''''''' '''''' '''''''''' ''''''''' ''''''' ''''''''' '''''''''''''''''' '''''''' '''''' ''''''' '''''''''' ''''''''''''' '''' ''''''' ''''''''''''''''''' '''''''''''''''' '''''''''''''''''' ''''''''''' '''''''''''''' '''''''''''''''' '''' ''''''''''''''''''''''' '''''''''''''''''''' '''' ''''''''''''' ''''''' '''''''' '''' ''''''''''' '''''''' ''''''''''''''''''''' '''''''' ''''''' ''''''''' ''''''' '''''''''''' ''''''' '''''''' ''''''''''''''''''' ''''''' ''''''''''''''''''''''' ''' ''''''' ''''''''' ''''''''''''''''''' ''''''''' '''''' ''''''''' '''''''''''''''''' '''''''''''''''''' ''''''' '''''' '''''''''''''''''' ''''''''''''''''''''''''' ''''''''''''''''' '''''''' ''''''''''' '''''''' ''''''''''''''' ''' ''''''' '''''''''''''''''' '''''''''''''''' ''''''''''''''''''''' '''''' ''''''''''''' '''''''' '''''''''' '''''''''''''''''''''' ''''''' ''''''''''''''''''' ''' '''''' ''''''''''''''''''''' ''''''''' ''''''''' ''''''''''''''' '''' ''''''' ''''''''''''''' ''''''''''''''''''''''' ''''' '''''''''''' '''''''' ''''' ''' ''''''''''''' ''''' ''''''''''''''''''' ''''' ''''''''''''''''' '''''''' '''''''''''''''''''''' '''''' ''''''''''''' ''' '''''''''''' '''''''' ''''' ''''''''''''''''''''' ''''''''''' </w:t>
      </w:r>
    </w:p>
    <w:p w14:paraId="5784AD5F" w14:textId="77777777" w:rsidR="00DD15AA" w:rsidRPr="00F24B61" w:rsidRDefault="00341C73" w:rsidP="00F24B61">
      <w:pPr>
        <w:pStyle w:val="3-BodyText"/>
        <w:numPr>
          <w:ilvl w:val="1"/>
          <w:numId w:val="32"/>
        </w:numPr>
        <w:rPr>
          <w:iCs/>
        </w:rPr>
      </w:pPr>
      <w:r w:rsidRPr="00F24B61">
        <w:rPr>
          <w:iCs/>
        </w:rPr>
        <w:t xml:space="preserve">The PBAC noted that the July 2020 </w:t>
      </w:r>
      <w:r w:rsidRPr="00F24B61">
        <w:rPr>
          <w:snapToGrid/>
        </w:rPr>
        <w:t>update of the Australian Asthma Handbook will include BUD/FOR use as anti-inflammatory reliever therapy in patients with mild asthma. Th</w:t>
      </w:r>
      <w:r w:rsidR="00411104" w:rsidRPr="00F24B61">
        <w:rPr>
          <w:snapToGrid/>
        </w:rPr>
        <w:t xml:space="preserve">e PBAC noted that BEC/FOR is not TGA registered for anti-inflammatory reliever therapy. The PBAC considered that </w:t>
      </w:r>
      <w:r w:rsidR="00DF09EA" w:rsidRPr="00F24B61">
        <w:rPr>
          <w:snapToGrid/>
        </w:rPr>
        <w:t xml:space="preserve">if, like certain formulations of BUD/FOR, BEC/FOR was PBS listed for MART the potential for </w:t>
      </w:r>
      <w:r w:rsidR="0007683E" w:rsidRPr="00F24B61">
        <w:rPr>
          <w:snapToGrid/>
        </w:rPr>
        <w:t xml:space="preserve">confusion and </w:t>
      </w:r>
      <w:r w:rsidR="00DF09EA" w:rsidRPr="00F24B61">
        <w:rPr>
          <w:snapToGrid/>
        </w:rPr>
        <w:t xml:space="preserve">inappropriate use as </w:t>
      </w:r>
      <w:r w:rsidR="00A6581A" w:rsidRPr="00F24B61">
        <w:rPr>
          <w:snapToGrid/>
        </w:rPr>
        <w:t xml:space="preserve">an </w:t>
      </w:r>
      <w:r w:rsidR="00DF09EA" w:rsidRPr="00F24B61">
        <w:rPr>
          <w:snapToGrid/>
        </w:rPr>
        <w:t xml:space="preserve">anti-inflammatory reliever therapy in mild asthma was high. </w:t>
      </w:r>
    </w:p>
    <w:p w14:paraId="17FC0C47" w14:textId="77777777" w:rsidR="006A1D97" w:rsidRPr="00855489" w:rsidRDefault="00DD15AA" w:rsidP="007447AF">
      <w:pPr>
        <w:pStyle w:val="3-BodyText"/>
        <w:rPr>
          <w:lang w:eastAsia="en-US"/>
        </w:rPr>
      </w:pPr>
      <w:r w:rsidRPr="00855489">
        <w:rPr>
          <w:lang w:eastAsia="en-US"/>
        </w:rPr>
        <w:lastRenderedPageBreak/>
        <w:t>The PBAC noted the data presented from the randomised trial comparing BEC/FOR as MART to BEC/FOR plus as needed sal</w:t>
      </w:r>
      <w:r w:rsidR="009F06B7" w:rsidRPr="00855489">
        <w:rPr>
          <w:lang w:eastAsia="en-US"/>
        </w:rPr>
        <w:t xml:space="preserve">butamol (Papi 2013). The PBAC </w:t>
      </w:r>
      <w:r w:rsidRPr="00855489">
        <w:rPr>
          <w:lang w:eastAsia="en-US"/>
        </w:rPr>
        <w:t xml:space="preserve">considered the </w:t>
      </w:r>
      <w:r w:rsidR="009F06B7" w:rsidRPr="00855489">
        <w:rPr>
          <w:lang w:eastAsia="en-US"/>
        </w:rPr>
        <w:t>data presented showed</w:t>
      </w:r>
      <w:r w:rsidRPr="00855489">
        <w:rPr>
          <w:lang w:eastAsia="en-US"/>
        </w:rPr>
        <w:t xml:space="preserve"> that patients receiving BEC/FOR </w:t>
      </w:r>
      <w:r w:rsidR="00A6581A" w:rsidRPr="00855489">
        <w:rPr>
          <w:lang w:eastAsia="en-US"/>
        </w:rPr>
        <w:t xml:space="preserve">as MART </w:t>
      </w:r>
      <w:r w:rsidRPr="00855489">
        <w:rPr>
          <w:lang w:eastAsia="en-US"/>
        </w:rPr>
        <w:t xml:space="preserve">significantly reduced the time to first severe exacerbation compared to BEC/FOR maintenance </w:t>
      </w:r>
      <w:r w:rsidR="00A6581A" w:rsidRPr="00855489">
        <w:rPr>
          <w:lang w:eastAsia="en-US"/>
        </w:rPr>
        <w:t xml:space="preserve">plus </w:t>
      </w:r>
      <w:r w:rsidRPr="00855489">
        <w:rPr>
          <w:lang w:eastAsia="en-US"/>
        </w:rPr>
        <w:t>as-needed salbutamol, but also resulted in more treatment-related AEs</w:t>
      </w:r>
      <w:r w:rsidR="009F06B7" w:rsidRPr="00855489">
        <w:rPr>
          <w:lang w:eastAsia="en-US"/>
        </w:rPr>
        <w:t xml:space="preserve"> (4.4% vs. 2.2%)</w:t>
      </w:r>
      <w:r w:rsidRPr="00855489">
        <w:rPr>
          <w:lang w:eastAsia="en-US"/>
        </w:rPr>
        <w:t>.</w:t>
      </w:r>
      <w:r w:rsidR="009F06B7" w:rsidRPr="00855489">
        <w:rPr>
          <w:lang w:eastAsia="en-US"/>
        </w:rPr>
        <w:t xml:space="preserve"> The PBAC considered that a more appropriate comparator would have been the formulations of BUD/FOR currently PBS listed for</w:t>
      </w:r>
      <w:r w:rsidR="0007683E" w:rsidRPr="00855489">
        <w:rPr>
          <w:lang w:eastAsia="en-US"/>
        </w:rPr>
        <w:t xml:space="preserve"> MART and noted that no data were</w:t>
      </w:r>
      <w:r w:rsidR="009F06B7" w:rsidRPr="00855489">
        <w:rPr>
          <w:lang w:eastAsia="en-US"/>
        </w:rPr>
        <w:t xml:space="preserve"> presented for this comparison. </w:t>
      </w:r>
      <w:r w:rsidR="007447AF" w:rsidRPr="00855489">
        <w:rPr>
          <w:lang w:eastAsia="en-US"/>
        </w:rPr>
        <w:t xml:space="preserve">The </w:t>
      </w:r>
      <w:r w:rsidR="00AB6221" w:rsidRPr="00855489">
        <w:rPr>
          <w:lang w:eastAsia="en-US"/>
        </w:rPr>
        <w:t xml:space="preserve">PBAC noted </w:t>
      </w:r>
      <w:r w:rsidR="007447AF" w:rsidRPr="00855489">
        <w:rPr>
          <w:lang w:eastAsia="en-US"/>
        </w:rPr>
        <w:t>the submission did not make a clinical claim for use in MART and consid</w:t>
      </w:r>
      <w:r w:rsidR="0007683E" w:rsidRPr="00855489">
        <w:rPr>
          <w:lang w:eastAsia="en-US"/>
        </w:rPr>
        <w:t>ered that the data presented were</w:t>
      </w:r>
      <w:r w:rsidR="007447AF" w:rsidRPr="00855489">
        <w:rPr>
          <w:lang w:eastAsia="en-US"/>
        </w:rPr>
        <w:t xml:space="preserve"> not adequate to support a listing for this indication. </w:t>
      </w:r>
    </w:p>
    <w:p w14:paraId="3B6FAF73" w14:textId="77777777" w:rsidR="003E239F" w:rsidRPr="00855489" w:rsidRDefault="003E239F" w:rsidP="00A634DD">
      <w:pPr>
        <w:pStyle w:val="3-BodyText"/>
        <w:rPr>
          <w:lang w:eastAsia="en-US"/>
        </w:rPr>
      </w:pPr>
      <w:r w:rsidRPr="00855489">
        <w:rPr>
          <w:lang w:eastAsia="en-US"/>
        </w:rPr>
        <w:t xml:space="preserve">The PBAC </w:t>
      </w:r>
      <w:r w:rsidR="007447AF" w:rsidRPr="00855489">
        <w:rPr>
          <w:lang w:eastAsia="en-US"/>
        </w:rPr>
        <w:t>considered</w:t>
      </w:r>
      <w:r w:rsidRPr="00855489">
        <w:rPr>
          <w:lang w:eastAsia="en-US"/>
        </w:rPr>
        <w:t xml:space="preserve"> the </w:t>
      </w:r>
      <w:r w:rsidR="007447AF" w:rsidRPr="00855489">
        <w:rPr>
          <w:lang w:eastAsia="en-US"/>
        </w:rPr>
        <w:t xml:space="preserve">addition of the </w:t>
      </w:r>
      <w:r w:rsidRPr="00855489">
        <w:rPr>
          <w:lang w:eastAsia="en-US"/>
        </w:rPr>
        <w:t xml:space="preserve">administrative note </w:t>
      </w:r>
      <w:r w:rsidR="007447AF" w:rsidRPr="00855489">
        <w:rPr>
          <w:lang w:eastAsia="en-US"/>
        </w:rPr>
        <w:t>‘</w:t>
      </w:r>
      <w:r w:rsidR="008C74AB" w:rsidRPr="00855489">
        <w:rPr>
          <w:lang w:eastAsia="en-US"/>
        </w:rPr>
        <w:t>This product</w:t>
      </w:r>
      <w:r w:rsidR="007447AF" w:rsidRPr="00855489">
        <w:rPr>
          <w:lang w:eastAsia="en-US"/>
        </w:rPr>
        <w:t xml:space="preserve"> is not PBS-subsidised for use as “maintenance and reliever” therapy’ to the restriction appropriate to </w:t>
      </w:r>
      <w:r w:rsidR="006011DD" w:rsidRPr="00855489">
        <w:rPr>
          <w:lang w:eastAsia="en-US"/>
        </w:rPr>
        <w:t>highlight the Committee’s recommendation regarding MART</w:t>
      </w:r>
      <w:r w:rsidR="00855489">
        <w:rPr>
          <w:lang w:eastAsia="en-US"/>
        </w:rPr>
        <w:t xml:space="preserve">. </w:t>
      </w:r>
      <w:r w:rsidR="007447AF" w:rsidRPr="00855489">
        <w:rPr>
          <w:lang w:eastAsia="en-US"/>
        </w:rPr>
        <w:t xml:space="preserve">The PBAC also suggested the addition of the administrative note </w:t>
      </w:r>
      <w:r w:rsidRPr="00855489">
        <w:rPr>
          <w:lang w:eastAsia="en-US"/>
        </w:rPr>
        <w:t xml:space="preserve">‘This product is not PBS-subsidised for use as </w:t>
      </w:r>
      <w:r w:rsidR="000B18AB" w:rsidRPr="00855489">
        <w:rPr>
          <w:lang w:eastAsia="en-US"/>
        </w:rPr>
        <w:t>“</w:t>
      </w:r>
      <w:r w:rsidRPr="00855489">
        <w:rPr>
          <w:lang w:eastAsia="en-US"/>
        </w:rPr>
        <w:t>anti-inflammatory reliever therapy</w:t>
      </w:r>
      <w:r w:rsidR="000B18AB" w:rsidRPr="00855489">
        <w:rPr>
          <w:lang w:eastAsia="en-US"/>
        </w:rPr>
        <w:t>”</w:t>
      </w:r>
      <w:r w:rsidRPr="00855489">
        <w:rPr>
          <w:lang w:eastAsia="en-US"/>
        </w:rPr>
        <w:t xml:space="preserve"> for mild asthma’ </w:t>
      </w:r>
      <w:r w:rsidR="00133F01" w:rsidRPr="00855489">
        <w:rPr>
          <w:lang w:eastAsia="en-US"/>
        </w:rPr>
        <w:t xml:space="preserve">to reduce the risk of inappropriate </w:t>
      </w:r>
      <w:r w:rsidR="0007683E" w:rsidRPr="00855489">
        <w:rPr>
          <w:lang w:eastAsia="en-US"/>
        </w:rPr>
        <w:t xml:space="preserve">BEC/FOR </w:t>
      </w:r>
      <w:r w:rsidR="00133F01" w:rsidRPr="00855489">
        <w:rPr>
          <w:lang w:eastAsia="en-US"/>
        </w:rPr>
        <w:t>use in mild asthma</w:t>
      </w:r>
      <w:r w:rsidRPr="00855489">
        <w:rPr>
          <w:lang w:eastAsia="en-US"/>
        </w:rPr>
        <w:t>.</w:t>
      </w:r>
      <w:r w:rsidR="00A634DD" w:rsidRPr="00855489">
        <w:rPr>
          <w:lang w:eastAsia="en-US"/>
        </w:rPr>
        <w:t xml:space="preserve"> </w:t>
      </w:r>
    </w:p>
    <w:p w14:paraId="46AA9655" w14:textId="77777777" w:rsidR="00F91274" w:rsidRPr="00855489" w:rsidRDefault="00E9353B" w:rsidP="00F91274">
      <w:pPr>
        <w:pStyle w:val="3-BodyText"/>
        <w:rPr>
          <w:lang w:eastAsia="en-US"/>
        </w:rPr>
      </w:pPr>
      <w:r w:rsidRPr="00855489">
        <w:rPr>
          <w:rFonts w:cstheme="minorHAnsi"/>
          <w:bCs/>
          <w:snapToGrid/>
        </w:rPr>
        <w:t xml:space="preserve">The PBAC recommended </w:t>
      </w:r>
      <w:r w:rsidR="009A37A7" w:rsidRPr="00855489">
        <w:t xml:space="preserve">that under Section 101(3BA) of the </w:t>
      </w:r>
      <w:r w:rsidR="009A37A7" w:rsidRPr="00855489">
        <w:rPr>
          <w:i/>
        </w:rPr>
        <w:t>National Health Act, 1953</w:t>
      </w:r>
      <w:r w:rsidR="009A37A7" w:rsidRPr="00855489">
        <w:t xml:space="preserve"> </w:t>
      </w:r>
      <w:r w:rsidR="00F91274" w:rsidRPr="00855489">
        <w:rPr>
          <w:lang w:eastAsia="en-US"/>
        </w:rPr>
        <w:t xml:space="preserve">BEC/FOR </w:t>
      </w:r>
      <w:r w:rsidR="001A31F8" w:rsidRPr="00855489">
        <w:rPr>
          <w:lang w:eastAsia="en-US"/>
        </w:rPr>
        <w:t xml:space="preserve">use for </w:t>
      </w:r>
      <w:r w:rsidR="001A31F8" w:rsidRPr="00855489">
        <w:rPr>
          <w:rFonts w:cstheme="minorHAnsi"/>
          <w:bCs/>
        </w:rPr>
        <w:t xml:space="preserve">maintenance treatment of asthma </w:t>
      </w:r>
      <w:r w:rsidR="00F91274" w:rsidRPr="00855489">
        <w:rPr>
          <w:lang w:eastAsia="en-US"/>
        </w:rPr>
        <w:t xml:space="preserve">should be </w:t>
      </w:r>
      <w:r w:rsidRPr="00855489">
        <w:rPr>
          <w:lang w:eastAsia="en-US"/>
        </w:rPr>
        <w:t xml:space="preserve">treated as </w:t>
      </w:r>
      <w:r w:rsidR="00F91274" w:rsidRPr="00855489">
        <w:rPr>
          <w:lang w:eastAsia="en-US"/>
        </w:rPr>
        <w:t>interchangeable</w:t>
      </w:r>
      <w:r w:rsidRPr="00855489">
        <w:rPr>
          <w:lang w:eastAsia="en-US"/>
        </w:rPr>
        <w:t xml:space="preserve"> on an individual patient basis</w:t>
      </w:r>
      <w:r w:rsidR="00F91274" w:rsidRPr="00855489">
        <w:rPr>
          <w:lang w:eastAsia="en-US"/>
        </w:rPr>
        <w:t xml:space="preserve"> with other </w:t>
      </w:r>
      <w:r w:rsidR="00476606">
        <w:rPr>
          <w:lang w:eastAsia="en-US"/>
        </w:rPr>
        <w:t xml:space="preserve">appropriate </w:t>
      </w:r>
      <w:r w:rsidR="00F91274" w:rsidRPr="00855489">
        <w:rPr>
          <w:lang w:eastAsia="en-US"/>
        </w:rPr>
        <w:t xml:space="preserve">ICS/LABA </w:t>
      </w:r>
      <w:r w:rsidRPr="00855489">
        <w:rPr>
          <w:lang w:eastAsia="en-US"/>
        </w:rPr>
        <w:t>FDC products</w:t>
      </w:r>
      <w:r w:rsidR="00F91274" w:rsidRPr="00855489">
        <w:rPr>
          <w:lang w:eastAsia="en-US"/>
        </w:rPr>
        <w:t xml:space="preserve"> on the PBS</w:t>
      </w:r>
      <w:r w:rsidR="00F91274" w:rsidRPr="00855489">
        <w:rPr>
          <w:bCs/>
          <w:lang w:eastAsia="en-US"/>
        </w:rPr>
        <w:t xml:space="preserve">. </w:t>
      </w:r>
    </w:p>
    <w:p w14:paraId="195626A1" w14:textId="77777777" w:rsidR="00C547B5" w:rsidRPr="00855489" w:rsidRDefault="00C547B5" w:rsidP="003F7761">
      <w:pPr>
        <w:pStyle w:val="3-BodyText"/>
        <w:rPr>
          <w:lang w:eastAsia="en-US"/>
        </w:rPr>
      </w:pPr>
      <w:r w:rsidRPr="00855489">
        <w:rPr>
          <w:lang w:eastAsia="en-US"/>
        </w:rPr>
        <w:t xml:space="preserve">The PBAC advised that </w:t>
      </w:r>
      <w:r w:rsidR="003E239F" w:rsidRPr="00855489">
        <w:rPr>
          <w:lang w:eastAsia="en-US"/>
        </w:rPr>
        <w:t>BEC/FOR</w:t>
      </w:r>
      <w:r w:rsidRPr="00855489">
        <w:rPr>
          <w:lang w:eastAsia="en-US"/>
        </w:rPr>
        <w:t xml:space="preserve"> is suitable for prescribing by nurse practitioners</w:t>
      </w:r>
      <w:r w:rsidR="00855489">
        <w:rPr>
          <w:lang w:eastAsia="en-US"/>
        </w:rPr>
        <w:t xml:space="preserve">. </w:t>
      </w:r>
    </w:p>
    <w:p w14:paraId="1914A99C" w14:textId="77777777" w:rsidR="00C547B5" w:rsidRPr="00855489" w:rsidRDefault="00C547B5" w:rsidP="003F7761">
      <w:pPr>
        <w:pStyle w:val="3-BodyText"/>
        <w:rPr>
          <w:lang w:eastAsia="en-US"/>
        </w:rPr>
      </w:pPr>
      <w:r w:rsidRPr="00855489">
        <w:rPr>
          <w:lang w:eastAsia="en-US"/>
        </w:rPr>
        <w:t xml:space="preserve">The PBAC recommended that the Early Supply Rule should not apply. </w:t>
      </w:r>
    </w:p>
    <w:p w14:paraId="48BB8536" w14:textId="77777777" w:rsidR="008C74AB" w:rsidRPr="00855489" w:rsidRDefault="008C74AB" w:rsidP="008C74AB">
      <w:pPr>
        <w:pStyle w:val="3-BodyText"/>
        <w:rPr>
          <w:rFonts w:cstheme="minorHAnsi"/>
          <w:bCs/>
        </w:rPr>
      </w:pPr>
      <w:r w:rsidRPr="00855489">
        <w:rPr>
          <w:rFonts w:cstheme="minorHAnsi"/>
          <w:bCs/>
        </w:rPr>
        <w:t>The PBAC noted that its recommendation was on a cost-minimisation basis and advised that, because</w:t>
      </w:r>
      <w:r w:rsidRPr="00855489">
        <w:rPr>
          <w:rFonts w:cstheme="minorHAnsi"/>
          <w:bCs/>
          <w:snapToGrid/>
        </w:rPr>
        <w:t xml:space="preserve"> BEC/FOR</w:t>
      </w:r>
      <w:r w:rsidRPr="00855489">
        <w:rPr>
          <w:rFonts w:cstheme="minorHAnsi"/>
          <w:bCs/>
        </w:rPr>
        <w:t xml:space="preserve"> is not expected to provide a substantial and clinically relevant improvement in efficacy, or reduction of toxicity, over FP/SAL, or not expected to address a high and urgent unmet clinical need given the presence of an alternative therapy, the criteria prescribed by the </w:t>
      </w:r>
      <w:r w:rsidRPr="00855489">
        <w:rPr>
          <w:rFonts w:cstheme="minorHAnsi"/>
          <w:bCs/>
          <w:i/>
        </w:rPr>
        <w:t>National Health (Pharmaceuticals and Vaccines – Cost Recovery) Regulations 2009</w:t>
      </w:r>
      <w:r w:rsidRPr="00855489">
        <w:rPr>
          <w:rFonts w:cstheme="minorHAnsi"/>
          <w:bCs/>
        </w:rPr>
        <w:t xml:space="preserve"> for Pricing Pathway A were not met.</w:t>
      </w:r>
    </w:p>
    <w:p w14:paraId="5CF243A7" w14:textId="77777777" w:rsidR="00966587" w:rsidRPr="00855489" w:rsidRDefault="00C547B5" w:rsidP="003F7761">
      <w:pPr>
        <w:pStyle w:val="3-BodyText"/>
        <w:rPr>
          <w:lang w:eastAsia="en-US"/>
        </w:rPr>
      </w:pPr>
      <w:r w:rsidRPr="00855489">
        <w:rPr>
          <w:lang w:eastAsia="en-US"/>
        </w:rPr>
        <w:t>The PBAC noted that this submission is not eligible for an Independent Review</w:t>
      </w:r>
      <w:r w:rsidR="003E239F" w:rsidRPr="00855489">
        <w:rPr>
          <w:lang w:eastAsia="en-US"/>
        </w:rPr>
        <w:t>, as it received a positive recommendation.</w:t>
      </w:r>
    </w:p>
    <w:p w14:paraId="551A521B" w14:textId="77777777" w:rsidR="00C547B5" w:rsidRPr="00855489" w:rsidRDefault="00C547B5" w:rsidP="00C547B5">
      <w:pPr>
        <w:spacing w:before="240"/>
        <w:jc w:val="both"/>
        <w:rPr>
          <w:rFonts w:asciiTheme="minorHAnsi" w:hAnsiTheme="minorHAnsi"/>
          <w:b/>
          <w:bCs/>
          <w:snapToGrid w:val="0"/>
          <w:lang w:eastAsia="en-US"/>
        </w:rPr>
      </w:pPr>
      <w:r w:rsidRPr="00855489">
        <w:rPr>
          <w:rFonts w:asciiTheme="minorHAnsi" w:hAnsiTheme="minorHAnsi"/>
          <w:b/>
          <w:bCs/>
          <w:snapToGrid w:val="0"/>
          <w:lang w:eastAsia="en-US"/>
        </w:rPr>
        <w:t>Outcome:</w:t>
      </w:r>
    </w:p>
    <w:p w14:paraId="6DCCB9FC" w14:textId="77777777" w:rsidR="00C547B5" w:rsidRPr="00855489" w:rsidRDefault="00C547B5" w:rsidP="00C547B5">
      <w:pPr>
        <w:spacing w:after="120"/>
        <w:jc w:val="both"/>
        <w:rPr>
          <w:rFonts w:asciiTheme="minorHAnsi" w:hAnsiTheme="minorHAnsi"/>
          <w:bCs/>
          <w:snapToGrid w:val="0"/>
          <w:lang w:eastAsia="en-US"/>
        </w:rPr>
      </w:pPr>
      <w:r w:rsidRPr="00855489">
        <w:rPr>
          <w:rFonts w:asciiTheme="minorHAnsi" w:hAnsiTheme="minorHAnsi"/>
          <w:bCs/>
          <w:snapToGrid w:val="0"/>
          <w:lang w:eastAsia="en-US"/>
        </w:rPr>
        <w:t xml:space="preserve">Recommended </w:t>
      </w:r>
    </w:p>
    <w:p w14:paraId="6207F321" w14:textId="77777777" w:rsidR="00C547B5" w:rsidRPr="00855489" w:rsidRDefault="00C547B5" w:rsidP="003F7761">
      <w:pPr>
        <w:pStyle w:val="2-SectionHeading"/>
        <w:rPr>
          <w:lang w:eastAsia="en-US"/>
        </w:rPr>
      </w:pPr>
      <w:r w:rsidRPr="00855489">
        <w:rPr>
          <w:lang w:eastAsia="en-US"/>
        </w:rPr>
        <w:lastRenderedPageBreak/>
        <w:t>Recommended listing</w:t>
      </w:r>
    </w:p>
    <w:p w14:paraId="6607191F" w14:textId="77777777" w:rsidR="008C74AB" w:rsidRPr="00855489" w:rsidRDefault="008C74AB" w:rsidP="003F7761">
      <w:pPr>
        <w:pStyle w:val="3-BodyText"/>
        <w:keepNext/>
        <w:numPr>
          <w:ilvl w:val="0"/>
          <w:numId w:val="0"/>
        </w:numPr>
      </w:pPr>
      <w:r w:rsidRPr="00855489">
        <w:rPr>
          <w:rFonts w:cstheme="minorHAnsi"/>
        </w:rPr>
        <w:t xml:space="preserve">Add new </w:t>
      </w:r>
      <w:r w:rsidR="009A37A7" w:rsidRPr="00855489">
        <w:rPr>
          <w:rFonts w:cstheme="minorHAnsi"/>
        </w:rPr>
        <w:t xml:space="preserve">medicinal product </w:t>
      </w:r>
      <w:r w:rsidRPr="00855489">
        <w:rPr>
          <w:rFonts w:cstheme="minorHAnsi"/>
        </w:rPr>
        <w:t>as follows:</w:t>
      </w:r>
      <w:r w:rsidRPr="00855489" w:rsidDel="00055C37">
        <w:t xml:space="preserve"> </w:t>
      </w:r>
    </w:p>
    <w:p w14:paraId="395B95D3" w14:textId="77777777" w:rsidR="00166B09" w:rsidRPr="00855489" w:rsidRDefault="00166B09" w:rsidP="003F7761">
      <w:pPr>
        <w:keepNext/>
        <w:rPr>
          <w:rFonts w:asciiTheme="minorHAnsi" w:hAnsiTheme="minorHAnsi"/>
          <w:iCs/>
          <w:szCs w:val="22"/>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850"/>
        <w:gridCol w:w="709"/>
        <w:gridCol w:w="709"/>
        <w:gridCol w:w="708"/>
        <w:gridCol w:w="992"/>
      </w:tblGrid>
      <w:tr w:rsidR="00652863" w:rsidRPr="00855489" w14:paraId="0322744F" w14:textId="77777777" w:rsidTr="00913048">
        <w:trPr>
          <w:cantSplit/>
          <w:trHeight w:val="471"/>
        </w:trPr>
        <w:tc>
          <w:tcPr>
            <w:tcW w:w="4957" w:type="dxa"/>
          </w:tcPr>
          <w:p w14:paraId="098F9825" w14:textId="77777777" w:rsidR="00652863" w:rsidRPr="00855489" w:rsidRDefault="00652863" w:rsidP="003F7761">
            <w:pPr>
              <w:keepNext/>
              <w:ind w:left="-108"/>
              <w:jc w:val="both"/>
              <w:rPr>
                <w:rFonts w:ascii="Arial Narrow" w:hAnsi="Arial Narrow"/>
                <w:b/>
                <w:color w:val="000000" w:themeColor="text1"/>
                <w:sz w:val="18"/>
                <w:szCs w:val="18"/>
              </w:rPr>
            </w:pPr>
            <w:r w:rsidRPr="00855489">
              <w:rPr>
                <w:rFonts w:ascii="Arial Narrow" w:hAnsi="Arial Narrow"/>
                <w:b/>
                <w:color w:val="000000" w:themeColor="text1"/>
                <w:sz w:val="18"/>
                <w:szCs w:val="18"/>
              </w:rPr>
              <w:t>Name, Restriction,</w:t>
            </w:r>
          </w:p>
          <w:p w14:paraId="64CC8AC5" w14:textId="77777777" w:rsidR="00652863" w:rsidRPr="00855489" w:rsidRDefault="00652863" w:rsidP="003F7761">
            <w:pPr>
              <w:keepNext/>
              <w:ind w:left="-108"/>
              <w:jc w:val="both"/>
              <w:rPr>
                <w:rFonts w:ascii="Arial Narrow" w:hAnsi="Arial Narrow"/>
                <w:b/>
                <w:color w:val="000000" w:themeColor="text1"/>
                <w:sz w:val="18"/>
                <w:szCs w:val="18"/>
              </w:rPr>
            </w:pPr>
            <w:r w:rsidRPr="00855489">
              <w:rPr>
                <w:rFonts w:ascii="Arial Narrow" w:hAnsi="Arial Narrow"/>
                <w:b/>
                <w:color w:val="000000" w:themeColor="text1"/>
                <w:sz w:val="18"/>
                <w:szCs w:val="18"/>
              </w:rPr>
              <w:t>Manner of administration and form</w:t>
            </w:r>
          </w:p>
        </w:tc>
        <w:tc>
          <w:tcPr>
            <w:tcW w:w="850" w:type="dxa"/>
          </w:tcPr>
          <w:p w14:paraId="15F4A4C6" w14:textId="77777777" w:rsidR="00652863" w:rsidRPr="00855489" w:rsidRDefault="00652863" w:rsidP="003F7761">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PBS item code</w:t>
            </w:r>
          </w:p>
        </w:tc>
        <w:tc>
          <w:tcPr>
            <w:tcW w:w="709" w:type="dxa"/>
          </w:tcPr>
          <w:p w14:paraId="65620769" w14:textId="77777777" w:rsidR="00652863" w:rsidRPr="00855489" w:rsidRDefault="00652863" w:rsidP="003F7761">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Max. qty packs</w:t>
            </w:r>
          </w:p>
        </w:tc>
        <w:tc>
          <w:tcPr>
            <w:tcW w:w="709" w:type="dxa"/>
          </w:tcPr>
          <w:p w14:paraId="7CC32BEB" w14:textId="77777777" w:rsidR="00652863" w:rsidRPr="00855489" w:rsidRDefault="00652863" w:rsidP="003F7761">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Max. qty units</w:t>
            </w:r>
          </w:p>
        </w:tc>
        <w:tc>
          <w:tcPr>
            <w:tcW w:w="708" w:type="dxa"/>
          </w:tcPr>
          <w:p w14:paraId="6678E256" w14:textId="77777777" w:rsidR="00652863" w:rsidRPr="00855489" w:rsidRDefault="00652863" w:rsidP="003F7761">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№.of</w:t>
            </w:r>
          </w:p>
          <w:p w14:paraId="468FE2C5" w14:textId="77777777" w:rsidR="00652863" w:rsidRPr="00855489" w:rsidRDefault="00652863" w:rsidP="003F7761">
            <w:pPr>
              <w:keepNext/>
              <w:ind w:left="-108"/>
              <w:jc w:val="center"/>
              <w:rPr>
                <w:rFonts w:ascii="Arial Narrow" w:hAnsi="Arial Narrow"/>
                <w:b/>
                <w:color w:val="000000" w:themeColor="text1"/>
                <w:sz w:val="18"/>
                <w:szCs w:val="18"/>
              </w:rPr>
            </w:pPr>
            <w:r w:rsidRPr="00855489">
              <w:rPr>
                <w:rFonts w:ascii="Arial Narrow" w:hAnsi="Arial Narrow"/>
                <w:b/>
                <w:color w:val="000000" w:themeColor="text1"/>
                <w:sz w:val="18"/>
                <w:szCs w:val="18"/>
              </w:rPr>
              <w:t>Rpts</w:t>
            </w:r>
          </w:p>
        </w:tc>
        <w:tc>
          <w:tcPr>
            <w:tcW w:w="992" w:type="dxa"/>
          </w:tcPr>
          <w:p w14:paraId="18FB7E21" w14:textId="77777777" w:rsidR="00652863" w:rsidRPr="00855489" w:rsidRDefault="009A37A7" w:rsidP="003F7761">
            <w:pPr>
              <w:keepNext/>
              <w:rPr>
                <w:rFonts w:ascii="Arial Narrow" w:hAnsi="Arial Narrow"/>
                <w:b/>
                <w:color w:val="000000" w:themeColor="text1"/>
                <w:sz w:val="18"/>
                <w:szCs w:val="18"/>
              </w:rPr>
            </w:pPr>
            <w:r w:rsidRPr="00855489">
              <w:rPr>
                <w:rFonts w:ascii="Arial Narrow" w:hAnsi="Arial Narrow"/>
                <w:b/>
                <w:color w:val="000000" w:themeColor="text1"/>
                <w:sz w:val="18"/>
                <w:szCs w:val="18"/>
              </w:rPr>
              <w:t>Available brands</w:t>
            </w:r>
          </w:p>
        </w:tc>
      </w:tr>
      <w:tr w:rsidR="009A37A7" w:rsidRPr="00855489" w14:paraId="429E8B99" w14:textId="77777777" w:rsidTr="00913048">
        <w:trPr>
          <w:cantSplit/>
          <w:trHeight w:val="761"/>
        </w:trPr>
        <w:tc>
          <w:tcPr>
            <w:tcW w:w="4957" w:type="dxa"/>
          </w:tcPr>
          <w:p w14:paraId="5BD4B6A4" w14:textId="77777777" w:rsidR="009A37A7" w:rsidRPr="00855489" w:rsidRDefault="009A37A7" w:rsidP="003F7761">
            <w:pPr>
              <w:keepNext/>
              <w:ind w:left="-108"/>
              <w:rPr>
                <w:rFonts w:ascii="Arial Narrow" w:hAnsi="Arial Narrow"/>
                <w:caps/>
                <w:color w:val="000000" w:themeColor="text1"/>
                <w:sz w:val="18"/>
                <w:szCs w:val="18"/>
              </w:rPr>
            </w:pPr>
            <w:r w:rsidRPr="00855489">
              <w:rPr>
                <w:rFonts w:ascii="Arial Narrow" w:hAnsi="Arial Narrow"/>
                <w:caps/>
                <w:color w:val="000000" w:themeColor="text1"/>
                <w:sz w:val="18"/>
                <w:szCs w:val="18"/>
              </w:rPr>
              <w:t>Beclometasone + formoterol (EFORMOTEROL)</w:t>
            </w:r>
          </w:p>
          <w:p w14:paraId="0A6F9769" w14:textId="77777777" w:rsidR="009A37A7" w:rsidRPr="00855489" w:rsidRDefault="009A37A7" w:rsidP="003F7761">
            <w:pPr>
              <w:keepNext/>
              <w:ind w:left="-108"/>
              <w:rPr>
                <w:rFonts w:ascii="Arial Narrow" w:hAnsi="Arial Narrow"/>
                <w:color w:val="000000" w:themeColor="text1"/>
                <w:sz w:val="18"/>
                <w:szCs w:val="18"/>
              </w:rPr>
            </w:pPr>
            <w:r w:rsidRPr="00855489">
              <w:rPr>
                <w:rFonts w:ascii="Arial Narrow" w:hAnsi="Arial Narrow"/>
                <w:color w:val="000000" w:themeColor="text1"/>
                <w:sz w:val="18"/>
                <w:szCs w:val="18"/>
              </w:rPr>
              <w:t>beclometasone dipropionate 100 microgram/actuation + formoterol (eformoterol) fumarate dihydrate 6 microgram/actuation inhalation, 120 actuations</w:t>
            </w:r>
          </w:p>
        </w:tc>
        <w:tc>
          <w:tcPr>
            <w:tcW w:w="850" w:type="dxa"/>
          </w:tcPr>
          <w:p w14:paraId="76105BDA" w14:textId="77777777" w:rsidR="009A37A7" w:rsidRPr="00855489" w:rsidRDefault="009A37A7" w:rsidP="003F7761">
            <w:pPr>
              <w:keepNext/>
              <w:ind w:left="-108"/>
              <w:jc w:val="center"/>
              <w:rPr>
                <w:rFonts w:ascii="Arial Narrow" w:hAnsi="Arial Narrow"/>
                <w:color w:val="000000" w:themeColor="text1"/>
                <w:sz w:val="18"/>
                <w:szCs w:val="18"/>
              </w:rPr>
            </w:pPr>
          </w:p>
          <w:p w14:paraId="6CA0A9B0" w14:textId="77777777" w:rsidR="009A37A7" w:rsidRPr="00855489" w:rsidRDefault="009A37A7" w:rsidP="003F7761">
            <w:pPr>
              <w:keepNext/>
              <w:ind w:left="-108"/>
              <w:jc w:val="center"/>
              <w:rPr>
                <w:rFonts w:ascii="Arial Narrow" w:hAnsi="Arial Narrow"/>
                <w:color w:val="000000" w:themeColor="text1"/>
                <w:sz w:val="18"/>
                <w:szCs w:val="18"/>
              </w:rPr>
            </w:pPr>
          </w:p>
          <w:p w14:paraId="6A9AA990" w14:textId="77777777" w:rsidR="009A37A7" w:rsidRPr="00855489" w:rsidRDefault="009A37A7" w:rsidP="003F7761">
            <w:pPr>
              <w:keepNext/>
              <w:ind w:left="-108"/>
              <w:jc w:val="center"/>
              <w:rPr>
                <w:rFonts w:ascii="Arial Narrow" w:hAnsi="Arial Narrow"/>
                <w:color w:val="000000" w:themeColor="text1"/>
                <w:sz w:val="18"/>
                <w:szCs w:val="18"/>
              </w:rPr>
            </w:pPr>
            <w:r w:rsidRPr="00855489">
              <w:rPr>
                <w:rFonts w:ascii="Arial Narrow" w:hAnsi="Arial Narrow"/>
                <w:color w:val="000000" w:themeColor="text1"/>
                <w:sz w:val="18"/>
                <w:szCs w:val="18"/>
              </w:rPr>
              <w:t>NEW</w:t>
            </w:r>
          </w:p>
        </w:tc>
        <w:tc>
          <w:tcPr>
            <w:tcW w:w="709" w:type="dxa"/>
          </w:tcPr>
          <w:p w14:paraId="4A67F76B" w14:textId="77777777" w:rsidR="009A37A7" w:rsidRPr="00855489" w:rsidRDefault="009A37A7" w:rsidP="003F7761">
            <w:pPr>
              <w:keepNext/>
              <w:jc w:val="center"/>
              <w:rPr>
                <w:rFonts w:ascii="Arial Narrow" w:hAnsi="Arial Narrow"/>
                <w:color w:val="000000" w:themeColor="text1"/>
                <w:sz w:val="18"/>
                <w:szCs w:val="18"/>
              </w:rPr>
            </w:pPr>
          </w:p>
          <w:p w14:paraId="118B9240" w14:textId="77777777" w:rsidR="009A37A7" w:rsidRPr="00855489" w:rsidRDefault="009A37A7" w:rsidP="003F7761">
            <w:pPr>
              <w:keepNext/>
              <w:ind w:left="-108"/>
              <w:jc w:val="center"/>
              <w:rPr>
                <w:rFonts w:ascii="Arial Narrow" w:hAnsi="Arial Narrow"/>
                <w:color w:val="000000" w:themeColor="text1"/>
                <w:sz w:val="18"/>
                <w:szCs w:val="18"/>
              </w:rPr>
            </w:pPr>
          </w:p>
          <w:p w14:paraId="32765494" w14:textId="77777777" w:rsidR="009A37A7" w:rsidRPr="00855489" w:rsidRDefault="009A37A7" w:rsidP="003F7761">
            <w:pPr>
              <w:keepNext/>
              <w:jc w:val="center"/>
              <w:rPr>
                <w:rFonts w:ascii="Arial Narrow" w:hAnsi="Arial Narrow"/>
                <w:color w:val="000000" w:themeColor="text1"/>
                <w:sz w:val="18"/>
                <w:szCs w:val="18"/>
              </w:rPr>
            </w:pPr>
            <w:r w:rsidRPr="00855489">
              <w:rPr>
                <w:rFonts w:ascii="Arial Narrow" w:hAnsi="Arial Narrow"/>
                <w:color w:val="000000" w:themeColor="text1"/>
                <w:sz w:val="18"/>
                <w:szCs w:val="18"/>
              </w:rPr>
              <w:t>1</w:t>
            </w:r>
          </w:p>
        </w:tc>
        <w:tc>
          <w:tcPr>
            <w:tcW w:w="709" w:type="dxa"/>
          </w:tcPr>
          <w:p w14:paraId="00977581" w14:textId="77777777" w:rsidR="009A37A7" w:rsidRPr="00855489" w:rsidRDefault="009A37A7" w:rsidP="003F7761">
            <w:pPr>
              <w:keepNext/>
              <w:ind w:left="-108"/>
              <w:jc w:val="center"/>
              <w:rPr>
                <w:rFonts w:ascii="Arial Narrow" w:hAnsi="Arial Narrow"/>
                <w:color w:val="000000" w:themeColor="text1"/>
                <w:sz w:val="18"/>
                <w:szCs w:val="18"/>
              </w:rPr>
            </w:pPr>
          </w:p>
          <w:p w14:paraId="4D839122" w14:textId="77777777" w:rsidR="009A37A7" w:rsidRPr="00855489" w:rsidRDefault="009A37A7" w:rsidP="003F7761">
            <w:pPr>
              <w:keepNext/>
              <w:rPr>
                <w:rFonts w:ascii="Arial Narrow" w:hAnsi="Arial Narrow"/>
                <w:color w:val="000000" w:themeColor="text1"/>
                <w:sz w:val="18"/>
                <w:szCs w:val="18"/>
              </w:rPr>
            </w:pPr>
          </w:p>
          <w:p w14:paraId="4B6392D4" w14:textId="77777777" w:rsidR="009A37A7" w:rsidRPr="00855489" w:rsidRDefault="009A37A7" w:rsidP="003F7761">
            <w:pPr>
              <w:keepNext/>
              <w:ind w:left="-108"/>
              <w:jc w:val="center"/>
              <w:rPr>
                <w:rFonts w:ascii="Arial Narrow" w:hAnsi="Arial Narrow"/>
                <w:color w:val="000000" w:themeColor="text1"/>
                <w:sz w:val="18"/>
                <w:szCs w:val="18"/>
              </w:rPr>
            </w:pPr>
            <w:r w:rsidRPr="00855489">
              <w:rPr>
                <w:rFonts w:ascii="Arial Narrow" w:hAnsi="Arial Narrow"/>
                <w:color w:val="000000" w:themeColor="text1"/>
                <w:sz w:val="18"/>
                <w:szCs w:val="18"/>
              </w:rPr>
              <w:t>1</w:t>
            </w:r>
          </w:p>
        </w:tc>
        <w:tc>
          <w:tcPr>
            <w:tcW w:w="708" w:type="dxa"/>
          </w:tcPr>
          <w:p w14:paraId="4604AD46" w14:textId="77777777" w:rsidR="009A37A7" w:rsidRPr="00855489" w:rsidRDefault="009A37A7" w:rsidP="003F7761">
            <w:pPr>
              <w:keepNext/>
              <w:ind w:left="-108"/>
              <w:jc w:val="center"/>
              <w:rPr>
                <w:rFonts w:ascii="Arial Narrow" w:hAnsi="Arial Narrow"/>
                <w:color w:val="000000" w:themeColor="text1"/>
                <w:sz w:val="18"/>
                <w:szCs w:val="18"/>
              </w:rPr>
            </w:pPr>
          </w:p>
          <w:p w14:paraId="3C78439A" w14:textId="77777777" w:rsidR="009A37A7" w:rsidRPr="00855489" w:rsidRDefault="009A37A7" w:rsidP="003F7761">
            <w:pPr>
              <w:keepNext/>
              <w:ind w:left="-108"/>
              <w:jc w:val="center"/>
              <w:rPr>
                <w:rFonts w:ascii="Arial Narrow" w:hAnsi="Arial Narrow"/>
                <w:color w:val="000000" w:themeColor="text1"/>
                <w:sz w:val="18"/>
                <w:szCs w:val="18"/>
              </w:rPr>
            </w:pPr>
          </w:p>
          <w:p w14:paraId="6CC6375F" w14:textId="77777777" w:rsidR="009A37A7" w:rsidRPr="00855489" w:rsidRDefault="009A37A7" w:rsidP="003F7761">
            <w:pPr>
              <w:keepNext/>
              <w:ind w:left="-108"/>
              <w:jc w:val="center"/>
              <w:rPr>
                <w:rFonts w:ascii="Arial Narrow" w:hAnsi="Arial Narrow"/>
                <w:color w:val="000000" w:themeColor="text1"/>
                <w:sz w:val="18"/>
                <w:szCs w:val="18"/>
              </w:rPr>
            </w:pPr>
            <w:r w:rsidRPr="00855489">
              <w:rPr>
                <w:rFonts w:ascii="Arial Narrow" w:hAnsi="Arial Narrow"/>
                <w:color w:val="000000" w:themeColor="text1"/>
                <w:sz w:val="18"/>
                <w:szCs w:val="18"/>
              </w:rPr>
              <w:t>5</w:t>
            </w:r>
          </w:p>
          <w:p w14:paraId="0B471BD8" w14:textId="77777777" w:rsidR="009A37A7" w:rsidRPr="00855489" w:rsidRDefault="009A37A7" w:rsidP="003F7761">
            <w:pPr>
              <w:keepNext/>
              <w:rPr>
                <w:rFonts w:ascii="Arial Narrow" w:hAnsi="Arial Narrow"/>
                <w:color w:val="000000" w:themeColor="text1"/>
                <w:sz w:val="18"/>
                <w:szCs w:val="18"/>
              </w:rPr>
            </w:pPr>
          </w:p>
        </w:tc>
        <w:tc>
          <w:tcPr>
            <w:tcW w:w="992" w:type="dxa"/>
          </w:tcPr>
          <w:p w14:paraId="4203E956" w14:textId="77777777" w:rsidR="009A37A7" w:rsidRPr="00855489" w:rsidRDefault="009A37A7" w:rsidP="003F7761">
            <w:pPr>
              <w:keepNext/>
              <w:jc w:val="both"/>
              <w:rPr>
                <w:rFonts w:ascii="Arial Narrow" w:hAnsi="Arial Narrow"/>
                <w:color w:val="000000" w:themeColor="text1"/>
                <w:sz w:val="18"/>
                <w:szCs w:val="18"/>
              </w:rPr>
            </w:pPr>
          </w:p>
          <w:p w14:paraId="2B1B671A" w14:textId="77777777" w:rsidR="009A37A7" w:rsidRPr="00855489" w:rsidRDefault="009A37A7" w:rsidP="003F7761">
            <w:pPr>
              <w:keepNext/>
              <w:jc w:val="both"/>
              <w:rPr>
                <w:rFonts w:ascii="Arial Narrow" w:hAnsi="Arial Narrow"/>
                <w:color w:val="000000" w:themeColor="text1"/>
                <w:sz w:val="18"/>
                <w:szCs w:val="18"/>
              </w:rPr>
            </w:pPr>
          </w:p>
          <w:p w14:paraId="554F28A3" w14:textId="77777777" w:rsidR="009A37A7" w:rsidRPr="00855489" w:rsidRDefault="009A37A7" w:rsidP="003F7761">
            <w:pPr>
              <w:keepNext/>
              <w:rPr>
                <w:rFonts w:ascii="Arial Narrow" w:hAnsi="Arial Narrow"/>
                <w:color w:val="000000" w:themeColor="text1"/>
                <w:sz w:val="18"/>
                <w:szCs w:val="18"/>
              </w:rPr>
            </w:pPr>
            <w:r w:rsidRPr="00855489">
              <w:rPr>
                <w:rFonts w:ascii="Arial Narrow" w:hAnsi="Arial Narrow"/>
                <w:color w:val="000000" w:themeColor="text1"/>
                <w:sz w:val="18"/>
                <w:szCs w:val="18"/>
              </w:rPr>
              <w:t>Fostair</w:t>
            </w:r>
          </w:p>
          <w:p w14:paraId="58D6C709" w14:textId="77777777" w:rsidR="009A37A7" w:rsidRPr="00855489" w:rsidRDefault="009A37A7" w:rsidP="003F7761">
            <w:pPr>
              <w:keepNext/>
              <w:rPr>
                <w:rFonts w:ascii="Arial Narrow" w:hAnsi="Arial Narrow"/>
                <w:color w:val="000000" w:themeColor="text1"/>
                <w:sz w:val="18"/>
                <w:szCs w:val="18"/>
              </w:rPr>
            </w:pPr>
          </w:p>
        </w:tc>
      </w:tr>
    </w:tbl>
    <w:p w14:paraId="575E3290" w14:textId="77777777" w:rsidR="00652863" w:rsidRPr="00855489" w:rsidRDefault="00652863" w:rsidP="00652863">
      <w:pPr>
        <w:rPr>
          <w:rFonts w:ascii="Arial Narrow" w:hAnsi="Arial Narrow"/>
          <w:b/>
          <w:color w:val="000000" w:themeColor="text1"/>
          <w:sz w:val="18"/>
          <w:szCs w:val="18"/>
        </w:rPr>
      </w:pPr>
    </w:p>
    <w:p w14:paraId="53C6B12D" w14:textId="77777777" w:rsidR="00652863" w:rsidRPr="00855489" w:rsidRDefault="00652863" w:rsidP="00652863">
      <w:pPr>
        <w:rPr>
          <w:rFonts w:ascii="Arial Narrow" w:hAnsi="Arial Narrow"/>
          <w:b/>
          <w:color w:val="000000" w:themeColor="text1"/>
          <w:sz w:val="18"/>
          <w:szCs w:val="18"/>
        </w:rPr>
      </w:pPr>
      <w:r w:rsidRPr="00855489">
        <w:rPr>
          <w:rFonts w:ascii="Arial Narrow" w:hAnsi="Arial Narrow"/>
          <w:b/>
          <w:color w:val="000000" w:themeColor="text1"/>
          <w:sz w:val="18"/>
          <w:szCs w:val="18"/>
        </w:rPr>
        <w:t xml:space="preserve">Restriction Summary </w:t>
      </w:r>
      <w:r w:rsidR="00DB281B" w:rsidRPr="00855489">
        <w:rPr>
          <w:rFonts w:ascii="Arial Narrow" w:hAnsi="Arial Narrow"/>
          <w:b/>
          <w:color w:val="000000" w:themeColor="text1"/>
          <w:sz w:val="18"/>
          <w:szCs w:val="18"/>
        </w:rPr>
        <w:t>[new]</w:t>
      </w:r>
      <w:r w:rsidRPr="00855489">
        <w:rPr>
          <w:rFonts w:ascii="Arial Narrow" w:hAnsi="Arial Narrow"/>
          <w:b/>
          <w:color w:val="000000" w:themeColor="text1"/>
          <w:sz w:val="18"/>
          <w:szCs w:val="18"/>
        </w:rPr>
        <w:t xml:space="preserve"> / Treatment of Concept:  </w:t>
      </w:r>
      <w:r w:rsidR="00DB281B" w:rsidRPr="00855489">
        <w:rPr>
          <w:rFonts w:ascii="Arial Narrow" w:hAnsi="Arial Narrow"/>
          <w:b/>
          <w:color w:val="000000" w:themeColor="text1"/>
          <w:sz w:val="18"/>
          <w:szCs w:val="18"/>
        </w:rPr>
        <w:t xml:space="preserve">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913048" w:rsidRPr="00855489" w14:paraId="29A25016" w14:textId="77777777" w:rsidTr="00855489">
        <w:tc>
          <w:tcPr>
            <w:tcW w:w="553" w:type="pct"/>
            <w:vMerge w:val="restart"/>
            <w:tcBorders>
              <w:top w:val="single" w:sz="4" w:space="0" w:color="auto"/>
              <w:left w:val="single" w:sz="4" w:space="0" w:color="auto"/>
              <w:right w:val="single" w:sz="4" w:space="0" w:color="auto"/>
            </w:tcBorders>
          </w:tcPr>
          <w:p w14:paraId="0887F6A6" w14:textId="77777777" w:rsidR="00913048" w:rsidRPr="00855489" w:rsidRDefault="00913048" w:rsidP="00791F2E">
            <w:pPr>
              <w:jc w:val="center"/>
              <w:rPr>
                <w:rFonts w:ascii="Arial Narrow" w:hAnsi="Arial Narrow"/>
                <w:b/>
                <w:color w:val="000000" w:themeColor="text1"/>
                <w:sz w:val="18"/>
                <w:szCs w:val="18"/>
              </w:rPr>
            </w:pPr>
            <w:r w:rsidRPr="00855489">
              <w:rPr>
                <w:rFonts w:ascii="Arial Narrow" w:hAnsi="Arial Narrow"/>
                <w:b/>
                <w:color w:val="000000" w:themeColor="text1"/>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630DF5F9" w14:textId="7EA0CE31" w:rsidR="00913048" w:rsidRPr="00855489" w:rsidRDefault="00913048" w:rsidP="004753F9">
            <w:pPr>
              <w:jc w:val="both"/>
              <w:rPr>
                <w:rFonts w:ascii="Arial Narrow" w:hAnsi="Arial Narrow"/>
                <w:color w:val="000000" w:themeColor="text1"/>
                <w:sz w:val="18"/>
                <w:szCs w:val="18"/>
              </w:rPr>
            </w:pPr>
            <w:r w:rsidRPr="00855489">
              <w:rPr>
                <w:rFonts w:ascii="Arial Narrow" w:hAnsi="Arial Narrow"/>
                <w:b/>
                <w:color w:val="000000" w:themeColor="text1"/>
                <w:sz w:val="18"/>
                <w:szCs w:val="18"/>
              </w:rPr>
              <w:t xml:space="preserve">Category / Program:   </w:t>
            </w:r>
            <w:r w:rsidRPr="00855489">
              <w:rPr>
                <w:rFonts w:ascii="Arial Narrow" w:hAnsi="Arial Narrow"/>
                <w:color w:val="000000" w:themeColor="text1"/>
                <w:sz w:val="18"/>
                <w:szCs w:val="18"/>
              </w:rPr>
              <w:t xml:space="preserve">GENERAL – General Schedule (Code GE) </w:t>
            </w:r>
          </w:p>
        </w:tc>
      </w:tr>
      <w:tr w:rsidR="00913048" w:rsidRPr="00855489" w14:paraId="6B2D47A4" w14:textId="77777777" w:rsidTr="00855489">
        <w:trPr>
          <w:trHeight w:val="144"/>
        </w:trPr>
        <w:tc>
          <w:tcPr>
            <w:tcW w:w="553" w:type="pct"/>
            <w:vMerge/>
            <w:tcBorders>
              <w:left w:val="single" w:sz="4" w:space="0" w:color="auto"/>
              <w:right w:val="single" w:sz="4" w:space="0" w:color="auto"/>
            </w:tcBorders>
          </w:tcPr>
          <w:p w14:paraId="52E734C8" w14:textId="77777777" w:rsidR="00913048" w:rsidRPr="00855489" w:rsidRDefault="00913048" w:rsidP="00791F2E">
            <w:pPr>
              <w:jc w:val="both"/>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14:paraId="0AE0BFDD" w14:textId="77777777" w:rsidR="00913048" w:rsidRPr="00855489" w:rsidRDefault="00913048" w:rsidP="009A37A7">
            <w:pPr>
              <w:jc w:val="both"/>
              <w:rPr>
                <w:rFonts w:ascii="Arial Narrow" w:hAnsi="Arial Narrow"/>
                <w:color w:val="000000" w:themeColor="text1"/>
                <w:sz w:val="18"/>
                <w:szCs w:val="18"/>
              </w:rPr>
            </w:pPr>
            <w:r w:rsidRPr="00855489">
              <w:rPr>
                <w:rFonts w:ascii="Arial Narrow" w:hAnsi="Arial Narrow"/>
                <w:b/>
                <w:color w:val="000000" w:themeColor="text1"/>
                <w:sz w:val="18"/>
                <w:szCs w:val="18"/>
              </w:rPr>
              <w:t xml:space="preserve">Prescriber type:  </w:t>
            </w:r>
            <w:r w:rsidRPr="00855489">
              <w:rPr>
                <w:rFonts w:ascii="Arial Narrow" w:hAnsi="Arial Narrow"/>
                <w:color w:val="000000" w:themeColor="text1"/>
                <w:sz w:val="18"/>
                <w:szCs w:val="18"/>
              </w:rPr>
              <w:fldChar w:fldCharType="begin">
                <w:ffData>
                  <w:name w:val=""/>
                  <w:enabled/>
                  <w:calcOnExit w:val="0"/>
                  <w:checkBox>
                    <w:sizeAuto/>
                    <w:default w:val="1"/>
                  </w:checkBox>
                </w:ffData>
              </w:fldChar>
            </w:r>
            <w:r w:rsidRPr="00855489">
              <w:rPr>
                <w:rFonts w:ascii="Arial Narrow" w:hAnsi="Arial Narrow"/>
                <w:color w:val="000000" w:themeColor="text1"/>
                <w:sz w:val="18"/>
                <w:szCs w:val="18"/>
              </w:rPr>
              <w:instrText xml:space="preserve"> FORMCHECKBOX </w:instrText>
            </w:r>
            <w:r w:rsidR="00F273E4">
              <w:rPr>
                <w:rFonts w:ascii="Arial Narrow" w:hAnsi="Arial Narrow"/>
                <w:color w:val="000000" w:themeColor="text1"/>
                <w:sz w:val="18"/>
                <w:szCs w:val="18"/>
              </w:rPr>
            </w:r>
            <w:r w:rsidR="00F273E4">
              <w:rPr>
                <w:rFonts w:ascii="Arial Narrow" w:hAnsi="Arial Narrow"/>
                <w:color w:val="000000" w:themeColor="text1"/>
                <w:sz w:val="18"/>
                <w:szCs w:val="18"/>
              </w:rPr>
              <w:fldChar w:fldCharType="separate"/>
            </w:r>
            <w:r w:rsidRPr="00855489">
              <w:rPr>
                <w:rFonts w:ascii="Arial Narrow" w:hAnsi="Arial Narrow"/>
                <w:color w:val="000000" w:themeColor="text1"/>
                <w:sz w:val="18"/>
                <w:szCs w:val="18"/>
              </w:rPr>
              <w:fldChar w:fldCharType="end"/>
            </w:r>
            <w:r w:rsidRPr="00855489">
              <w:rPr>
                <w:rFonts w:ascii="Arial Narrow" w:hAnsi="Arial Narrow"/>
                <w:color w:val="000000" w:themeColor="text1"/>
                <w:sz w:val="18"/>
                <w:szCs w:val="18"/>
              </w:rPr>
              <w:t xml:space="preserve">Medical Practitioners  </w:t>
            </w:r>
            <w:r w:rsidRPr="00855489">
              <w:rPr>
                <w:rFonts w:ascii="Arial Narrow" w:hAnsi="Arial Narrow"/>
                <w:color w:val="000000" w:themeColor="text1"/>
                <w:sz w:val="18"/>
                <w:szCs w:val="18"/>
              </w:rPr>
              <w:fldChar w:fldCharType="begin">
                <w:ffData>
                  <w:name w:val="Check3"/>
                  <w:enabled/>
                  <w:calcOnExit w:val="0"/>
                  <w:checkBox>
                    <w:sizeAuto/>
                    <w:default w:val="1"/>
                  </w:checkBox>
                </w:ffData>
              </w:fldChar>
            </w:r>
            <w:r w:rsidRPr="00855489">
              <w:rPr>
                <w:rFonts w:ascii="Arial Narrow" w:hAnsi="Arial Narrow"/>
                <w:color w:val="000000" w:themeColor="text1"/>
                <w:sz w:val="18"/>
                <w:szCs w:val="18"/>
              </w:rPr>
              <w:instrText xml:space="preserve"> FORMCHECKBOX </w:instrText>
            </w:r>
            <w:r w:rsidR="00F273E4">
              <w:rPr>
                <w:rFonts w:ascii="Arial Narrow" w:hAnsi="Arial Narrow"/>
                <w:color w:val="000000" w:themeColor="text1"/>
                <w:sz w:val="18"/>
                <w:szCs w:val="18"/>
              </w:rPr>
            </w:r>
            <w:r w:rsidR="00F273E4">
              <w:rPr>
                <w:rFonts w:ascii="Arial Narrow" w:hAnsi="Arial Narrow"/>
                <w:color w:val="000000" w:themeColor="text1"/>
                <w:sz w:val="18"/>
                <w:szCs w:val="18"/>
              </w:rPr>
              <w:fldChar w:fldCharType="separate"/>
            </w:r>
            <w:r w:rsidRPr="00855489">
              <w:rPr>
                <w:rFonts w:ascii="Arial Narrow" w:hAnsi="Arial Narrow"/>
                <w:color w:val="000000" w:themeColor="text1"/>
                <w:sz w:val="18"/>
                <w:szCs w:val="18"/>
              </w:rPr>
              <w:fldChar w:fldCharType="end"/>
            </w:r>
            <w:r w:rsidRPr="00855489">
              <w:rPr>
                <w:rFonts w:ascii="Arial Narrow" w:hAnsi="Arial Narrow"/>
                <w:color w:val="000000" w:themeColor="text1"/>
                <w:sz w:val="18"/>
                <w:szCs w:val="18"/>
              </w:rPr>
              <w:t xml:space="preserve">Nurse practitioners  </w:t>
            </w:r>
          </w:p>
        </w:tc>
      </w:tr>
      <w:tr w:rsidR="00913048" w:rsidRPr="00855489" w14:paraId="1F254E40" w14:textId="77777777" w:rsidTr="00855489">
        <w:tc>
          <w:tcPr>
            <w:tcW w:w="553" w:type="pct"/>
            <w:vMerge/>
            <w:tcBorders>
              <w:left w:val="single" w:sz="4" w:space="0" w:color="auto"/>
              <w:bottom w:val="single" w:sz="4" w:space="0" w:color="auto"/>
              <w:right w:val="single" w:sz="4" w:space="0" w:color="auto"/>
            </w:tcBorders>
          </w:tcPr>
          <w:p w14:paraId="43224DEC" w14:textId="77777777" w:rsidR="00913048" w:rsidRPr="00855489" w:rsidRDefault="00913048" w:rsidP="00791F2E">
            <w:pPr>
              <w:jc w:val="both"/>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tcPr>
          <w:p w14:paraId="16142D94" w14:textId="77777777" w:rsidR="00913048" w:rsidRPr="00855489" w:rsidRDefault="00913048" w:rsidP="00791F2E">
            <w:pPr>
              <w:jc w:val="both"/>
              <w:rPr>
                <w:rFonts w:ascii="Arial Narrow" w:hAnsi="Arial Narrow"/>
                <w:b/>
                <w:color w:val="000000" w:themeColor="text1"/>
                <w:sz w:val="18"/>
                <w:szCs w:val="18"/>
              </w:rPr>
            </w:pPr>
            <w:r w:rsidRPr="00855489">
              <w:rPr>
                <w:rFonts w:ascii="Arial Narrow" w:hAnsi="Arial Narrow"/>
                <w:b/>
                <w:color w:val="000000" w:themeColor="text1"/>
                <w:sz w:val="18"/>
                <w:szCs w:val="18"/>
              </w:rPr>
              <w:t xml:space="preserve">Restriction Type / Method: </w:t>
            </w:r>
            <w:r w:rsidRPr="00855489">
              <w:rPr>
                <w:rFonts w:ascii="Arial Narrow" w:hAnsi="Arial Narrow"/>
                <w:color w:val="000000" w:themeColor="text1"/>
                <w:sz w:val="18"/>
                <w:szCs w:val="18"/>
              </w:rPr>
              <w:fldChar w:fldCharType="begin">
                <w:ffData>
                  <w:name w:val=""/>
                  <w:enabled/>
                  <w:calcOnExit w:val="0"/>
                  <w:checkBox>
                    <w:sizeAuto/>
                    <w:default w:val="1"/>
                  </w:checkBox>
                </w:ffData>
              </w:fldChar>
            </w:r>
            <w:r w:rsidRPr="00855489">
              <w:rPr>
                <w:rFonts w:ascii="Arial Narrow" w:hAnsi="Arial Narrow"/>
                <w:color w:val="000000" w:themeColor="text1"/>
                <w:sz w:val="18"/>
                <w:szCs w:val="18"/>
              </w:rPr>
              <w:instrText xml:space="preserve"> FORMCHECKBOX </w:instrText>
            </w:r>
            <w:r w:rsidR="00F273E4">
              <w:rPr>
                <w:rFonts w:ascii="Arial Narrow" w:hAnsi="Arial Narrow"/>
                <w:color w:val="000000" w:themeColor="text1"/>
                <w:sz w:val="18"/>
                <w:szCs w:val="18"/>
              </w:rPr>
            </w:r>
            <w:r w:rsidR="00F273E4">
              <w:rPr>
                <w:rFonts w:ascii="Arial Narrow" w:hAnsi="Arial Narrow"/>
                <w:color w:val="000000" w:themeColor="text1"/>
                <w:sz w:val="18"/>
                <w:szCs w:val="18"/>
              </w:rPr>
              <w:fldChar w:fldCharType="separate"/>
            </w:r>
            <w:r w:rsidRPr="00855489">
              <w:rPr>
                <w:rFonts w:ascii="Arial Narrow" w:hAnsi="Arial Narrow"/>
                <w:color w:val="000000" w:themeColor="text1"/>
                <w:sz w:val="18"/>
                <w:szCs w:val="18"/>
              </w:rPr>
              <w:fldChar w:fldCharType="end"/>
            </w:r>
            <w:r w:rsidRPr="00855489">
              <w:rPr>
                <w:rFonts w:ascii="Arial Narrow" w:hAnsi="Arial Narrow"/>
                <w:color w:val="000000" w:themeColor="text1"/>
                <w:sz w:val="18"/>
                <w:szCs w:val="18"/>
              </w:rPr>
              <w:t xml:space="preserve"> Authority Required – Streamlined (</w:t>
            </w:r>
            <w:r w:rsidR="009D66C5" w:rsidRPr="00855489">
              <w:rPr>
                <w:rFonts w:ascii="Arial Narrow" w:hAnsi="Arial Narrow"/>
                <w:color w:val="000000" w:themeColor="text1"/>
                <w:sz w:val="18"/>
                <w:szCs w:val="18"/>
              </w:rPr>
              <w:t>new code</w:t>
            </w:r>
            <w:r w:rsidRPr="00855489">
              <w:rPr>
                <w:rFonts w:ascii="Arial Narrow" w:hAnsi="Arial Narrow"/>
                <w:color w:val="000000" w:themeColor="text1"/>
                <w:sz w:val="18"/>
                <w:szCs w:val="18"/>
              </w:rPr>
              <w:t>)</w:t>
            </w:r>
          </w:p>
        </w:tc>
      </w:tr>
      <w:tr w:rsidR="00652863" w:rsidRPr="00855489" w14:paraId="611974F3" w14:textId="77777777" w:rsidTr="00791F2E">
        <w:tc>
          <w:tcPr>
            <w:tcW w:w="553" w:type="pct"/>
            <w:vAlign w:val="center"/>
            <w:hideMark/>
          </w:tcPr>
          <w:p w14:paraId="7537ABAA"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9277</w:t>
            </w:r>
          </w:p>
        </w:tc>
        <w:tc>
          <w:tcPr>
            <w:tcW w:w="4447" w:type="pct"/>
            <w:vAlign w:val="center"/>
            <w:hideMark/>
          </w:tcPr>
          <w:p w14:paraId="73C17E5C" w14:textId="77777777" w:rsidR="00652863" w:rsidRPr="00855489" w:rsidRDefault="00652863" w:rsidP="00791F2E">
            <w:pPr>
              <w:rPr>
                <w:rFonts w:ascii="Arial Narrow" w:hAnsi="Arial Narrow"/>
                <w:color w:val="000000" w:themeColor="text1"/>
                <w:sz w:val="18"/>
                <w:szCs w:val="18"/>
              </w:rPr>
            </w:pPr>
            <w:r w:rsidRPr="00855489">
              <w:rPr>
                <w:rFonts w:ascii="Arial Narrow" w:hAnsi="Arial Narrow"/>
                <w:b/>
                <w:bCs/>
                <w:color w:val="000000" w:themeColor="text1"/>
                <w:sz w:val="18"/>
                <w:szCs w:val="18"/>
              </w:rPr>
              <w:t>Indication:</w:t>
            </w:r>
            <w:r w:rsidRPr="00855489">
              <w:rPr>
                <w:rFonts w:ascii="Arial Narrow" w:hAnsi="Arial Narrow"/>
                <w:color w:val="000000" w:themeColor="text1"/>
                <w:sz w:val="18"/>
                <w:szCs w:val="18"/>
              </w:rPr>
              <w:t xml:space="preserve"> Asthma</w:t>
            </w:r>
          </w:p>
        </w:tc>
      </w:tr>
      <w:tr w:rsidR="00652863" w:rsidRPr="00855489" w14:paraId="6CE8EB6E" w14:textId="77777777" w:rsidTr="00791F2E">
        <w:tc>
          <w:tcPr>
            <w:tcW w:w="553" w:type="pct"/>
            <w:vAlign w:val="center"/>
            <w:hideMark/>
          </w:tcPr>
          <w:p w14:paraId="28A86CEA" w14:textId="77777777" w:rsidR="00652863" w:rsidRPr="00855489" w:rsidRDefault="00652863" w:rsidP="00791F2E">
            <w:pPr>
              <w:jc w:val="center"/>
              <w:rPr>
                <w:rFonts w:ascii="Arial Narrow" w:hAnsi="Arial Narrow"/>
                <w:color w:val="000000" w:themeColor="text1"/>
                <w:sz w:val="18"/>
                <w:szCs w:val="18"/>
              </w:rPr>
            </w:pPr>
          </w:p>
        </w:tc>
        <w:tc>
          <w:tcPr>
            <w:tcW w:w="4447" w:type="pct"/>
            <w:vAlign w:val="center"/>
            <w:hideMark/>
          </w:tcPr>
          <w:p w14:paraId="6067104B" w14:textId="77777777" w:rsidR="00652863" w:rsidRPr="00855489" w:rsidRDefault="00652863" w:rsidP="00652863">
            <w:pPr>
              <w:rPr>
                <w:rFonts w:ascii="Arial Narrow" w:hAnsi="Arial Narrow"/>
                <w:strike/>
                <w:color w:val="000000" w:themeColor="text1"/>
                <w:sz w:val="18"/>
                <w:szCs w:val="18"/>
              </w:rPr>
            </w:pPr>
            <w:r w:rsidRPr="00855489">
              <w:rPr>
                <w:rFonts w:ascii="Arial Narrow" w:hAnsi="Arial Narrow"/>
                <w:b/>
                <w:bCs/>
                <w:color w:val="000000" w:themeColor="text1"/>
                <w:sz w:val="18"/>
                <w:szCs w:val="18"/>
              </w:rPr>
              <w:t>Treatment Phase:</w:t>
            </w:r>
            <w:r w:rsidRPr="00855489">
              <w:rPr>
                <w:rFonts w:ascii="Arial Narrow" w:hAnsi="Arial Narrow"/>
                <w:color w:val="000000" w:themeColor="text1"/>
                <w:sz w:val="18"/>
                <w:szCs w:val="18"/>
              </w:rPr>
              <w:t>[blank]</w:t>
            </w:r>
          </w:p>
        </w:tc>
      </w:tr>
      <w:tr w:rsidR="00652863" w:rsidRPr="00855489" w14:paraId="29AF1ACB" w14:textId="77777777" w:rsidTr="00791F2E">
        <w:tc>
          <w:tcPr>
            <w:tcW w:w="553" w:type="pct"/>
            <w:vAlign w:val="center"/>
          </w:tcPr>
          <w:p w14:paraId="3E9CC12A"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9917</w:t>
            </w:r>
          </w:p>
        </w:tc>
        <w:tc>
          <w:tcPr>
            <w:tcW w:w="4447" w:type="pct"/>
            <w:vAlign w:val="center"/>
            <w:hideMark/>
          </w:tcPr>
          <w:p w14:paraId="1EAB38CF" w14:textId="77777777" w:rsidR="00652863" w:rsidRPr="00855489" w:rsidRDefault="00652863" w:rsidP="00791F2E">
            <w:pPr>
              <w:rPr>
                <w:rFonts w:ascii="Arial Narrow" w:hAnsi="Arial Narrow"/>
                <w:color w:val="000000" w:themeColor="text1"/>
                <w:sz w:val="18"/>
                <w:szCs w:val="18"/>
              </w:rPr>
            </w:pPr>
            <w:r w:rsidRPr="00855489">
              <w:rPr>
                <w:rFonts w:ascii="Arial Narrow" w:hAnsi="Arial Narrow"/>
                <w:b/>
                <w:bCs/>
                <w:color w:val="000000" w:themeColor="text1"/>
                <w:sz w:val="18"/>
                <w:szCs w:val="18"/>
              </w:rPr>
              <w:t>Clinical criteria:</w:t>
            </w:r>
          </w:p>
        </w:tc>
      </w:tr>
      <w:tr w:rsidR="00652863" w:rsidRPr="00855489" w14:paraId="0375025B" w14:textId="77777777" w:rsidTr="00791F2E">
        <w:tc>
          <w:tcPr>
            <w:tcW w:w="553" w:type="pct"/>
            <w:vAlign w:val="center"/>
          </w:tcPr>
          <w:p w14:paraId="3DA39D10"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9538</w:t>
            </w:r>
          </w:p>
        </w:tc>
        <w:tc>
          <w:tcPr>
            <w:tcW w:w="4447" w:type="pct"/>
            <w:vAlign w:val="center"/>
            <w:hideMark/>
          </w:tcPr>
          <w:p w14:paraId="48CD34F2" w14:textId="77777777" w:rsidR="00652863" w:rsidRPr="00855489" w:rsidRDefault="00652863" w:rsidP="00791F2E">
            <w:pPr>
              <w:rPr>
                <w:rFonts w:ascii="Arial Narrow" w:hAnsi="Arial Narrow"/>
                <w:color w:val="000000" w:themeColor="text1"/>
                <w:sz w:val="18"/>
                <w:szCs w:val="18"/>
              </w:rPr>
            </w:pPr>
            <w:r w:rsidRPr="00855489">
              <w:rPr>
                <w:rFonts w:ascii="Arial Narrow" w:hAnsi="Arial Narrow"/>
                <w:color w:val="000000" w:themeColor="text1"/>
                <w:sz w:val="18"/>
                <w:szCs w:val="18"/>
              </w:rPr>
              <w:t>Patient must have previously had frequent episodes of asthma while receiving treatment with oral corticosteroids or optimal dose</w:t>
            </w:r>
            <w:r w:rsidR="00E9353B" w:rsidRPr="00855489">
              <w:rPr>
                <w:rFonts w:ascii="Arial Narrow" w:hAnsi="Arial Narrow"/>
                <w:color w:val="000000" w:themeColor="text1"/>
                <w:sz w:val="18"/>
                <w:szCs w:val="18"/>
              </w:rPr>
              <w:t>s of inhaled corticosteroids</w:t>
            </w:r>
          </w:p>
        </w:tc>
      </w:tr>
      <w:tr w:rsidR="00DB281B" w:rsidRPr="00855489" w14:paraId="694A8DFD" w14:textId="77777777" w:rsidTr="00791F2E">
        <w:tc>
          <w:tcPr>
            <w:tcW w:w="553" w:type="pct"/>
            <w:vAlign w:val="center"/>
          </w:tcPr>
          <w:p w14:paraId="3AE819C0" w14:textId="77777777" w:rsidR="00DB281B" w:rsidRPr="00855489" w:rsidRDefault="00DB281B" w:rsidP="00791F2E">
            <w:pPr>
              <w:jc w:val="center"/>
              <w:rPr>
                <w:rFonts w:ascii="Arial Narrow" w:hAnsi="Arial Narrow"/>
                <w:color w:val="000000" w:themeColor="text1"/>
                <w:sz w:val="18"/>
                <w:szCs w:val="18"/>
              </w:rPr>
            </w:pPr>
          </w:p>
        </w:tc>
        <w:tc>
          <w:tcPr>
            <w:tcW w:w="4447" w:type="pct"/>
            <w:vAlign w:val="center"/>
          </w:tcPr>
          <w:p w14:paraId="7530B988" w14:textId="77777777" w:rsidR="00DB281B" w:rsidRPr="00855489" w:rsidRDefault="00DB281B" w:rsidP="00791F2E">
            <w:pPr>
              <w:rPr>
                <w:rFonts w:ascii="Arial Narrow" w:hAnsi="Arial Narrow"/>
                <w:b/>
                <w:color w:val="000000" w:themeColor="text1"/>
                <w:sz w:val="18"/>
                <w:szCs w:val="18"/>
              </w:rPr>
            </w:pPr>
            <w:r w:rsidRPr="00855489">
              <w:rPr>
                <w:rFonts w:ascii="Arial Narrow" w:hAnsi="Arial Narrow"/>
                <w:b/>
                <w:color w:val="000000" w:themeColor="text1"/>
                <w:sz w:val="18"/>
                <w:szCs w:val="18"/>
              </w:rPr>
              <w:t>AND</w:t>
            </w:r>
          </w:p>
        </w:tc>
      </w:tr>
      <w:tr w:rsidR="00652863" w:rsidRPr="00855489" w14:paraId="2198057B" w14:textId="77777777" w:rsidTr="00791F2E">
        <w:tc>
          <w:tcPr>
            <w:tcW w:w="553" w:type="pct"/>
            <w:vAlign w:val="center"/>
            <w:hideMark/>
          </w:tcPr>
          <w:p w14:paraId="6C361F37" w14:textId="77777777" w:rsidR="00652863" w:rsidRPr="00855489" w:rsidRDefault="009D66C5" w:rsidP="009A37A7">
            <w:pPr>
              <w:jc w:val="center"/>
              <w:rPr>
                <w:rFonts w:ascii="Arial Narrow" w:hAnsi="Arial Narrow"/>
                <w:color w:val="000000" w:themeColor="text1"/>
                <w:sz w:val="18"/>
                <w:szCs w:val="18"/>
              </w:rPr>
            </w:pPr>
            <w:r w:rsidRPr="00855489">
              <w:rPr>
                <w:rFonts w:ascii="Arial Narrow" w:hAnsi="Arial Narrow"/>
                <w:color w:val="000000" w:themeColor="text1"/>
                <w:sz w:val="18"/>
                <w:szCs w:val="18"/>
              </w:rPr>
              <w:t>8384</w:t>
            </w:r>
          </w:p>
        </w:tc>
        <w:tc>
          <w:tcPr>
            <w:tcW w:w="4447" w:type="pct"/>
            <w:vAlign w:val="center"/>
            <w:hideMark/>
          </w:tcPr>
          <w:p w14:paraId="735867EE" w14:textId="77777777" w:rsidR="00652863" w:rsidRPr="00855489" w:rsidRDefault="00DB281B" w:rsidP="00DB281B">
            <w:pPr>
              <w:rPr>
                <w:rFonts w:ascii="Arial Narrow" w:hAnsi="Arial Narrow"/>
                <w:color w:val="000000" w:themeColor="text1"/>
                <w:sz w:val="18"/>
                <w:szCs w:val="18"/>
              </w:rPr>
            </w:pPr>
            <w:r w:rsidRPr="00855489">
              <w:rPr>
                <w:rFonts w:ascii="Arial Narrow" w:hAnsi="Arial Narrow"/>
                <w:b/>
                <w:bCs/>
                <w:color w:val="000000" w:themeColor="text1"/>
                <w:sz w:val="18"/>
                <w:szCs w:val="18"/>
              </w:rPr>
              <w:t>Population criteria</w:t>
            </w:r>
            <w:r w:rsidR="00E9353B" w:rsidRPr="00855489">
              <w:rPr>
                <w:rFonts w:ascii="Arial Narrow" w:hAnsi="Arial Narrow"/>
                <w:b/>
                <w:bCs/>
                <w:color w:val="000000" w:themeColor="text1"/>
                <w:sz w:val="18"/>
                <w:szCs w:val="18"/>
              </w:rPr>
              <w:t xml:space="preserve">: </w:t>
            </w:r>
          </w:p>
        </w:tc>
      </w:tr>
      <w:tr w:rsidR="00DB281B" w:rsidRPr="00855489" w14:paraId="48133603" w14:textId="77777777" w:rsidTr="00791F2E">
        <w:tc>
          <w:tcPr>
            <w:tcW w:w="553" w:type="pct"/>
            <w:vAlign w:val="center"/>
          </w:tcPr>
          <w:p w14:paraId="60170870" w14:textId="77777777" w:rsidR="00DB281B" w:rsidRPr="00855489" w:rsidRDefault="009D66C5" w:rsidP="009A37A7">
            <w:pPr>
              <w:jc w:val="center"/>
              <w:rPr>
                <w:rFonts w:ascii="Arial Narrow" w:hAnsi="Arial Narrow"/>
                <w:color w:val="000000" w:themeColor="text1"/>
                <w:sz w:val="18"/>
                <w:szCs w:val="18"/>
              </w:rPr>
            </w:pPr>
            <w:r w:rsidRPr="00855489">
              <w:rPr>
                <w:rFonts w:ascii="Arial Narrow" w:hAnsi="Arial Narrow"/>
                <w:color w:val="000000" w:themeColor="text1"/>
                <w:sz w:val="18"/>
                <w:szCs w:val="18"/>
              </w:rPr>
              <w:t>8383</w:t>
            </w:r>
          </w:p>
        </w:tc>
        <w:tc>
          <w:tcPr>
            <w:tcW w:w="4447" w:type="pct"/>
            <w:vAlign w:val="center"/>
          </w:tcPr>
          <w:p w14:paraId="6EAB98D6" w14:textId="77777777" w:rsidR="00DB281B" w:rsidRPr="00855489" w:rsidRDefault="00DB281B" w:rsidP="00791F2E">
            <w:pPr>
              <w:rPr>
                <w:rFonts w:ascii="Arial Narrow" w:hAnsi="Arial Narrow"/>
                <w:b/>
                <w:bCs/>
                <w:color w:val="000000" w:themeColor="text1"/>
                <w:sz w:val="18"/>
                <w:szCs w:val="18"/>
              </w:rPr>
            </w:pPr>
            <w:r w:rsidRPr="00855489">
              <w:rPr>
                <w:rFonts w:ascii="Arial Narrow" w:hAnsi="Arial Narrow"/>
                <w:color w:val="000000" w:themeColor="text1"/>
                <w:sz w:val="18"/>
                <w:szCs w:val="18"/>
              </w:rPr>
              <w:t>Patient must be aged 18 years or older.</w:t>
            </w:r>
          </w:p>
        </w:tc>
      </w:tr>
      <w:tr w:rsidR="00652863" w:rsidRPr="00855489" w14:paraId="1BC3D149" w14:textId="77777777" w:rsidTr="00791F2E">
        <w:tc>
          <w:tcPr>
            <w:tcW w:w="553" w:type="pct"/>
            <w:vAlign w:val="center"/>
            <w:hideMark/>
          </w:tcPr>
          <w:p w14:paraId="240BFD10"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22301</w:t>
            </w:r>
          </w:p>
        </w:tc>
        <w:tc>
          <w:tcPr>
            <w:tcW w:w="4447" w:type="pct"/>
            <w:vAlign w:val="center"/>
            <w:hideMark/>
          </w:tcPr>
          <w:p w14:paraId="7AF81ED5" w14:textId="77777777" w:rsidR="00652863" w:rsidRPr="00855489" w:rsidRDefault="00652863" w:rsidP="00791F2E">
            <w:pPr>
              <w:rPr>
                <w:rFonts w:ascii="Arial Narrow" w:hAnsi="Arial Narrow"/>
                <w:color w:val="000000" w:themeColor="text1"/>
                <w:sz w:val="18"/>
                <w:szCs w:val="18"/>
              </w:rPr>
            </w:pPr>
            <w:r w:rsidRPr="00855489">
              <w:rPr>
                <w:rFonts w:ascii="Arial Narrow" w:hAnsi="Arial Narrow"/>
                <w:b/>
                <w:bCs/>
                <w:color w:val="000000" w:themeColor="text1"/>
                <w:sz w:val="18"/>
                <w:szCs w:val="18"/>
              </w:rPr>
              <w:t>Administrative Advice:</w:t>
            </w:r>
            <w:r w:rsidRPr="00855489">
              <w:rPr>
                <w:rFonts w:ascii="Arial Narrow" w:hAnsi="Arial Narrow"/>
                <w:bCs/>
                <w:color w:val="000000" w:themeColor="text1"/>
                <w:sz w:val="18"/>
                <w:szCs w:val="18"/>
              </w:rPr>
              <w:t xml:space="preserve"> This product is not indicated for the initiation of treatment in asthma.</w:t>
            </w:r>
          </w:p>
        </w:tc>
      </w:tr>
      <w:tr w:rsidR="00652863" w:rsidRPr="00855489" w14:paraId="77A0E496" w14:textId="77777777" w:rsidTr="00791F2E">
        <w:tc>
          <w:tcPr>
            <w:tcW w:w="553" w:type="pct"/>
            <w:vAlign w:val="center"/>
          </w:tcPr>
          <w:p w14:paraId="42409365"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10615</w:t>
            </w:r>
          </w:p>
        </w:tc>
        <w:tc>
          <w:tcPr>
            <w:tcW w:w="4447" w:type="pct"/>
            <w:vAlign w:val="center"/>
          </w:tcPr>
          <w:p w14:paraId="4263542C" w14:textId="77777777" w:rsidR="00652863" w:rsidRPr="00855489" w:rsidRDefault="00652863" w:rsidP="00791F2E">
            <w:pPr>
              <w:rPr>
                <w:rFonts w:ascii="Arial Narrow" w:hAnsi="Arial Narrow"/>
                <w:b/>
                <w:bCs/>
                <w:color w:val="000000" w:themeColor="text1"/>
                <w:sz w:val="18"/>
                <w:szCs w:val="18"/>
              </w:rPr>
            </w:pPr>
            <w:r w:rsidRPr="00855489">
              <w:rPr>
                <w:rFonts w:ascii="Arial Narrow" w:hAnsi="Arial Narrow"/>
                <w:b/>
                <w:bCs/>
                <w:color w:val="000000" w:themeColor="text1"/>
                <w:sz w:val="18"/>
                <w:szCs w:val="18"/>
              </w:rPr>
              <w:t>Administrative Advice:</w:t>
            </w:r>
            <w:r w:rsidR="00AB6221" w:rsidRPr="00855489">
              <w:rPr>
                <w:rFonts w:ascii="Arial Narrow" w:hAnsi="Arial Narrow"/>
                <w:b/>
                <w:bCs/>
                <w:color w:val="000000" w:themeColor="text1"/>
                <w:sz w:val="18"/>
                <w:szCs w:val="18"/>
              </w:rPr>
              <w:t xml:space="preserve"> </w:t>
            </w:r>
            <w:r w:rsidRPr="00855489">
              <w:rPr>
                <w:rFonts w:ascii="Arial Narrow" w:hAnsi="Arial Narrow"/>
                <w:bCs/>
                <w:color w:val="000000" w:themeColor="text1"/>
                <w:sz w:val="18"/>
                <w:szCs w:val="18"/>
              </w:rPr>
              <w:t>This drug is not PBS-subsidised for the treatment of chronic obstructive pulmonary disease (COPD)</w:t>
            </w:r>
          </w:p>
        </w:tc>
      </w:tr>
      <w:tr w:rsidR="00652863" w:rsidRPr="00855489" w14:paraId="76B7D228" w14:textId="77777777" w:rsidTr="00791F2E">
        <w:tc>
          <w:tcPr>
            <w:tcW w:w="553" w:type="pct"/>
            <w:vAlign w:val="center"/>
          </w:tcPr>
          <w:p w14:paraId="726E4F11"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22302</w:t>
            </w:r>
          </w:p>
        </w:tc>
        <w:tc>
          <w:tcPr>
            <w:tcW w:w="4447" w:type="pct"/>
            <w:vAlign w:val="center"/>
          </w:tcPr>
          <w:p w14:paraId="0CDC33B1" w14:textId="77777777" w:rsidR="00652863" w:rsidRPr="00855489" w:rsidRDefault="00652863" w:rsidP="00791F2E">
            <w:pPr>
              <w:rPr>
                <w:rFonts w:ascii="Arial Narrow" w:hAnsi="Arial Narrow"/>
                <w:b/>
                <w:bCs/>
                <w:color w:val="000000" w:themeColor="text1"/>
                <w:sz w:val="18"/>
                <w:szCs w:val="18"/>
              </w:rPr>
            </w:pPr>
            <w:r w:rsidRPr="00855489">
              <w:rPr>
                <w:rFonts w:ascii="Arial Narrow" w:hAnsi="Arial Narrow"/>
                <w:b/>
                <w:bCs/>
                <w:color w:val="000000" w:themeColor="text1"/>
                <w:sz w:val="18"/>
                <w:szCs w:val="18"/>
              </w:rPr>
              <w:t xml:space="preserve">Administrative Advice: </w:t>
            </w:r>
            <w:r w:rsidRPr="00855489">
              <w:rPr>
                <w:rFonts w:ascii="Arial Narrow" w:hAnsi="Arial Narrow"/>
                <w:bCs/>
                <w:color w:val="000000" w:themeColor="text1"/>
                <w:sz w:val="18"/>
                <w:szCs w:val="18"/>
              </w:rPr>
              <w:t>Patient must not be on a concomitant single agent long-acting-beta-2-agonist (LABA)</w:t>
            </w:r>
          </w:p>
        </w:tc>
      </w:tr>
      <w:tr w:rsidR="00652863" w:rsidRPr="00855489" w14:paraId="6B92E645" w14:textId="77777777" w:rsidTr="00791F2E">
        <w:tc>
          <w:tcPr>
            <w:tcW w:w="553" w:type="pct"/>
            <w:vAlign w:val="center"/>
          </w:tcPr>
          <w:p w14:paraId="050645F7"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21822</w:t>
            </w:r>
          </w:p>
        </w:tc>
        <w:tc>
          <w:tcPr>
            <w:tcW w:w="4447" w:type="pct"/>
            <w:vAlign w:val="center"/>
          </w:tcPr>
          <w:p w14:paraId="5CB6CAE7" w14:textId="77777777" w:rsidR="00652863" w:rsidRPr="00855489" w:rsidRDefault="00652863" w:rsidP="00791F2E">
            <w:pPr>
              <w:rPr>
                <w:rFonts w:ascii="Arial Narrow" w:hAnsi="Arial Narrow"/>
                <w:b/>
                <w:bCs/>
                <w:color w:val="000000" w:themeColor="text1"/>
                <w:sz w:val="18"/>
                <w:szCs w:val="18"/>
              </w:rPr>
            </w:pPr>
            <w:r w:rsidRPr="00855489">
              <w:rPr>
                <w:rFonts w:ascii="Arial Narrow" w:hAnsi="Arial Narrow"/>
                <w:b/>
                <w:bCs/>
                <w:color w:val="000000" w:themeColor="text1"/>
                <w:sz w:val="18"/>
                <w:szCs w:val="18"/>
              </w:rPr>
              <w:t xml:space="preserve">Administrative Advice: </w:t>
            </w:r>
            <w:r w:rsidRPr="00855489">
              <w:rPr>
                <w:rFonts w:ascii="Arial Narrow" w:hAnsi="Arial Narrow"/>
                <w:bCs/>
                <w:color w:val="000000" w:themeColor="text1"/>
                <w:sz w:val="18"/>
                <w:szCs w:val="18"/>
              </w:rPr>
              <w:t>A LABA includes olodaterol, indacaterol, salmeterol, formoterol or vilanterol.</w:t>
            </w:r>
          </w:p>
        </w:tc>
      </w:tr>
      <w:tr w:rsidR="00652863" w:rsidRPr="00855489" w14:paraId="63DC3E32" w14:textId="77777777" w:rsidTr="00791F2E">
        <w:tc>
          <w:tcPr>
            <w:tcW w:w="553" w:type="pct"/>
            <w:vAlign w:val="center"/>
            <w:hideMark/>
          </w:tcPr>
          <w:p w14:paraId="7D98C38C" w14:textId="77777777" w:rsidR="00652863" w:rsidRPr="00855489" w:rsidRDefault="00652863"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21825</w:t>
            </w:r>
          </w:p>
        </w:tc>
        <w:tc>
          <w:tcPr>
            <w:tcW w:w="4447" w:type="pct"/>
            <w:vAlign w:val="center"/>
            <w:hideMark/>
          </w:tcPr>
          <w:p w14:paraId="6892D402" w14:textId="77777777" w:rsidR="00652863" w:rsidRPr="00855489" w:rsidRDefault="00E9353B" w:rsidP="00791F2E">
            <w:pPr>
              <w:rPr>
                <w:rFonts w:ascii="Arial Narrow" w:hAnsi="Arial Narrow"/>
                <w:b/>
                <w:bCs/>
                <w:color w:val="000000" w:themeColor="text1"/>
                <w:sz w:val="18"/>
                <w:szCs w:val="18"/>
              </w:rPr>
            </w:pPr>
            <w:r w:rsidRPr="00855489">
              <w:rPr>
                <w:rFonts w:ascii="Arial Narrow" w:hAnsi="Arial Narrow"/>
                <w:b/>
                <w:bCs/>
                <w:color w:val="000000" w:themeColor="text1"/>
                <w:sz w:val="18"/>
                <w:szCs w:val="18"/>
              </w:rPr>
              <w:t xml:space="preserve">Administrative Advice: </w:t>
            </w:r>
            <w:r w:rsidR="00652863" w:rsidRPr="00855489">
              <w:rPr>
                <w:rFonts w:ascii="Arial Narrow" w:hAnsi="Arial Narrow"/>
                <w:bCs/>
                <w:color w:val="000000" w:themeColor="text1"/>
                <w:sz w:val="18"/>
                <w:szCs w:val="18"/>
              </w:rPr>
              <w:t>Adherence to current treatment and device (inhaler) technique should be reviewed at each clinical visit and before "stepping up" a patient's medication regimen.</w:t>
            </w:r>
          </w:p>
        </w:tc>
      </w:tr>
      <w:tr w:rsidR="00133F01" w:rsidRPr="00855489" w14:paraId="0C586D8F" w14:textId="77777777" w:rsidTr="00791F2E">
        <w:tc>
          <w:tcPr>
            <w:tcW w:w="553" w:type="pct"/>
            <w:vAlign w:val="center"/>
          </w:tcPr>
          <w:p w14:paraId="134AEC78" w14:textId="77777777" w:rsidR="00133F01" w:rsidRPr="00855489" w:rsidRDefault="00E43358"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new</w:t>
            </w:r>
          </w:p>
        </w:tc>
        <w:tc>
          <w:tcPr>
            <w:tcW w:w="4447" w:type="pct"/>
            <w:vAlign w:val="center"/>
          </w:tcPr>
          <w:p w14:paraId="3C5E6513" w14:textId="77777777" w:rsidR="00133F01" w:rsidRPr="00855489" w:rsidRDefault="00E9353B" w:rsidP="008C74AB">
            <w:pPr>
              <w:rPr>
                <w:rFonts w:ascii="Arial Narrow" w:hAnsi="Arial Narrow"/>
                <w:b/>
                <w:bCs/>
                <w:color w:val="000000" w:themeColor="text1"/>
                <w:sz w:val="18"/>
                <w:szCs w:val="18"/>
              </w:rPr>
            </w:pPr>
            <w:r w:rsidRPr="00855489">
              <w:rPr>
                <w:rFonts w:ascii="Arial Narrow" w:hAnsi="Arial Narrow"/>
                <w:b/>
                <w:bCs/>
                <w:color w:val="000000" w:themeColor="text1"/>
                <w:sz w:val="18"/>
                <w:szCs w:val="18"/>
              </w:rPr>
              <w:t xml:space="preserve">Administrative Note: </w:t>
            </w:r>
            <w:r w:rsidR="008C74AB" w:rsidRPr="00855489">
              <w:rPr>
                <w:rFonts w:ascii="Arial Narrow" w:hAnsi="Arial Narrow"/>
                <w:bCs/>
                <w:color w:val="000000" w:themeColor="text1"/>
                <w:sz w:val="18"/>
                <w:szCs w:val="18"/>
              </w:rPr>
              <w:t>This product</w:t>
            </w:r>
            <w:r w:rsidR="00133F01" w:rsidRPr="00855489">
              <w:rPr>
                <w:rFonts w:ascii="Arial Narrow" w:hAnsi="Arial Narrow"/>
                <w:bCs/>
                <w:color w:val="000000" w:themeColor="text1"/>
                <w:sz w:val="18"/>
                <w:szCs w:val="18"/>
              </w:rPr>
              <w:t xml:space="preserve"> is not PBS-subsidised for use as 'maintenance and reliever' therapy.</w:t>
            </w:r>
          </w:p>
        </w:tc>
      </w:tr>
      <w:tr w:rsidR="008C74AB" w:rsidRPr="00855489" w14:paraId="6F7AA8DF" w14:textId="77777777" w:rsidTr="00791F2E">
        <w:tc>
          <w:tcPr>
            <w:tcW w:w="553" w:type="pct"/>
            <w:vAlign w:val="center"/>
          </w:tcPr>
          <w:p w14:paraId="376FD0C1" w14:textId="77777777" w:rsidR="008C74AB" w:rsidRPr="00855489" w:rsidRDefault="008C74AB" w:rsidP="00791F2E">
            <w:pPr>
              <w:jc w:val="center"/>
              <w:rPr>
                <w:rFonts w:ascii="Arial Narrow" w:hAnsi="Arial Narrow"/>
                <w:color w:val="000000" w:themeColor="text1"/>
                <w:sz w:val="18"/>
                <w:szCs w:val="18"/>
              </w:rPr>
            </w:pPr>
            <w:r w:rsidRPr="00855489">
              <w:rPr>
                <w:rFonts w:ascii="Arial Narrow" w:hAnsi="Arial Narrow"/>
                <w:color w:val="000000" w:themeColor="text1"/>
                <w:sz w:val="18"/>
                <w:szCs w:val="18"/>
              </w:rPr>
              <w:t>new</w:t>
            </w:r>
          </w:p>
        </w:tc>
        <w:tc>
          <w:tcPr>
            <w:tcW w:w="4447" w:type="pct"/>
            <w:vAlign w:val="center"/>
          </w:tcPr>
          <w:p w14:paraId="57A852BB" w14:textId="77777777" w:rsidR="008C74AB" w:rsidRPr="00855489" w:rsidRDefault="008C74AB" w:rsidP="00791F2E">
            <w:pPr>
              <w:rPr>
                <w:rFonts w:ascii="Arial Narrow" w:hAnsi="Arial Narrow"/>
                <w:b/>
                <w:bCs/>
                <w:color w:val="000000" w:themeColor="text1"/>
                <w:sz w:val="18"/>
                <w:szCs w:val="18"/>
              </w:rPr>
            </w:pPr>
            <w:r w:rsidRPr="00855489">
              <w:rPr>
                <w:rFonts w:ascii="Arial Narrow" w:hAnsi="Arial Narrow"/>
                <w:b/>
                <w:bCs/>
                <w:color w:val="000000" w:themeColor="text1"/>
                <w:sz w:val="18"/>
                <w:szCs w:val="18"/>
              </w:rPr>
              <w:t>Administrative</w:t>
            </w:r>
            <w:r w:rsidR="00E9353B" w:rsidRPr="00855489">
              <w:rPr>
                <w:rFonts w:ascii="Arial Narrow" w:hAnsi="Arial Narrow"/>
                <w:b/>
                <w:bCs/>
                <w:color w:val="000000" w:themeColor="text1"/>
                <w:sz w:val="18"/>
                <w:szCs w:val="18"/>
              </w:rPr>
              <w:t xml:space="preserve"> Note: </w:t>
            </w:r>
            <w:r w:rsidRPr="00855489">
              <w:rPr>
                <w:rFonts w:ascii="Arial Narrow" w:hAnsi="Arial Narrow"/>
                <w:bCs/>
                <w:color w:val="000000" w:themeColor="text1"/>
                <w:sz w:val="18"/>
                <w:szCs w:val="18"/>
              </w:rPr>
              <w:t>This product is not PBS-subsidised for use as ‘anti-inflammatory reliever’ therapy for mild asthma.</w:t>
            </w:r>
          </w:p>
        </w:tc>
      </w:tr>
    </w:tbl>
    <w:p w14:paraId="4FAD6427" w14:textId="77777777" w:rsidR="00652863" w:rsidRPr="00855489" w:rsidRDefault="00652863" w:rsidP="00652863">
      <w:pPr>
        <w:rPr>
          <w:color w:val="000000" w:themeColor="text1"/>
        </w:rPr>
      </w:pPr>
    </w:p>
    <w:p w14:paraId="49E810CC" w14:textId="77777777" w:rsidR="008C74AB" w:rsidRPr="00855489" w:rsidRDefault="008C74AB" w:rsidP="008C74AB">
      <w:pPr>
        <w:pStyle w:val="Bodytextitalics"/>
        <w:ind w:left="0" w:firstLine="0"/>
        <w:jc w:val="both"/>
        <w:rPr>
          <w:b/>
          <w:color w:val="1F497D"/>
          <w:sz w:val="22"/>
        </w:rPr>
      </w:pPr>
      <w:r w:rsidRPr="00855489">
        <w:rPr>
          <w:b/>
        </w:rPr>
        <w:t>This restriction may be subject to further review. Should there be any changes made to the restriction the Sponsor will be informed.</w:t>
      </w:r>
    </w:p>
    <w:p w14:paraId="66D939C6" w14:textId="77777777" w:rsidR="00545778" w:rsidRDefault="00545778" w:rsidP="00545778">
      <w:pPr>
        <w:pStyle w:val="2-SectionHeading"/>
        <w:rPr>
          <w:b w:val="0"/>
        </w:rPr>
      </w:pPr>
      <w:r w:rsidRPr="00C07617">
        <w:t>Context for Decision</w:t>
      </w:r>
    </w:p>
    <w:p w14:paraId="368A4EB3" w14:textId="77777777" w:rsidR="00545778" w:rsidRPr="007129F2" w:rsidRDefault="00545778" w:rsidP="00545778">
      <w:pPr>
        <w:spacing w:after="120"/>
        <w:ind w:left="709"/>
        <w:jc w:val="both"/>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2FA06D6" w14:textId="77777777" w:rsidR="00545778" w:rsidRPr="00C07617" w:rsidRDefault="00545778" w:rsidP="00545778">
      <w:pPr>
        <w:pStyle w:val="2-SectionHeading"/>
        <w:rPr>
          <w:b w:val="0"/>
        </w:rPr>
      </w:pPr>
      <w:r w:rsidRPr="00C07617" w:rsidDel="007129F2">
        <w:lastRenderedPageBreak/>
        <w:t xml:space="preserve"> </w:t>
      </w:r>
      <w:r>
        <w:t>Sponsor’s Comment</w:t>
      </w:r>
    </w:p>
    <w:p w14:paraId="7CE52976" w14:textId="77777777" w:rsidR="00447A80" w:rsidRPr="00447A80" w:rsidRDefault="00447A80" w:rsidP="00447A80">
      <w:pPr>
        <w:pStyle w:val="3-BodyText"/>
        <w:numPr>
          <w:ilvl w:val="0"/>
          <w:numId w:val="0"/>
        </w:numPr>
        <w:ind w:left="720"/>
        <w:rPr>
          <w:bCs/>
          <w:lang w:val="en-GB"/>
        </w:rPr>
      </w:pPr>
      <w:r w:rsidRPr="00447A80">
        <w:rPr>
          <w:bCs/>
          <w:lang w:val="en-GB"/>
        </w:rPr>
        <w:t xml:space="preserve">Chiesi Australia thanks the PBAC for the recommendation and look forward to working on future listings for Fostair. </w:t>
      </w:r>
    </w:p>
    <w:p w14:paraId="679885DC" w14:textId="6E423225" w:rsidR="00EC0566" w:rsidRDefault="00EC0566" w:rsidP="00545778">
      <w:pPr>
        <w:pStyle w:val="3-BodyText"/>
        <w:numPr>
          <w:ilvl w:val="0"/>
          <w:numId w:val="0"/>
        </w:numPr>
        <w:ind w:left="720"/>
        <w:rPr>
          <w:bCs/>
          <w:lang w:val="en-GB"/>
        </w:rPr>
      </w:pPr>
      <w:r>
        <w:t xml:space="preserve">In relation to paragraphs 7.2 and 7.9, </w:t>
      </w:r>
      <w:r w:rsidRPr="00590B70">
        <w:t xml:space="preserve">Chiesi Australia </w:t>
      </w:r>
      <w:r>
        <w:t xml:space="preserve">notes that </w:t>
      </w:r>
      <w:r w:rsidRPr="00F24B61">
        <w:t>FOSTAIR has been available in the EU for more than 7 years (in MART) where SYMICORT and other reliever medications already exist. Also, the TGA have approved use of FOSTAIR as MART</w:t>
      </w:r>
      <w:r>
        <w:t>.</w:t>
      </w:r>
    </w:p>
    <w:p w14:paraId="7E749F75" w14:textId="1D0F1B56" w:rsidR="00545778" w:rsidRPr="00855489" w:rsidRDefault="00447A80" w:rsidP="00545778">
      <w:pPr>
        <w:pStyle w:val="3-BodyText"/>
        <w:numPr>
          <w:ilvl w:val="0"/>
          <w:numId w:val="0"/>
        </w:numPr>
        <w:ind w:left="720"/>
      </w:pPr>
      <w:r w:rsidRPr="00447A80">
        <w:rPr>
          <w:bCs/>
          <w:lang w:val="en-GB"/>
        </w:rPr>
        <w:t xml:space="preserve">The National Asthma Council has recently recommended Fostair as MART in the Australian Asthma Handbook. The NAC has since included Fostair as MART in the updated Asthma Handbook (1st September 2020). </w:t>
      </w:r>
    </w:p>
    <w:sectPr w:rsidR="00545778" w:rsidRPr="00855489" w:rsidSect="00530DC8">
      <w:headerReference w:type="default" r:id="rId9"/>
      <w:footerReference w:type="default" r:id="rId10"/>
      <w:type w:val="nextColumn"/>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8C7E9" w14:textId="77777777" w:rsidR="00F24B61" w:rsidRDefault="00F24B61" w:rsidP="00124A51">
      <w:r>
        <w:separator/>
      </w:r>
    </w:p>
    <w:p w14:paraId="03FA15A2" w14:textId="77777777" w:rsidR="00F24B61" w:rsidRDefault="00F24B61"/>
  </w:endnote>
  <w:endnote w:type="continuationSeparator" w:id="0">
    <w:p w14:paraId="5EAB2C44" w14:textId="77777777" w:rsidR="00F24B61" w:rsidRDefault="00F24B61" w:rsidP="00124A51">
      <w:r>
        <w:continuationSeparator/>
      </w:r>
    </w:p>
    <w:p w14:paraId="67CE19A6" w14:textId="77777777" w:rsidR="00F24B61" w:rsidRDefault="00F24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CBCD5" w14:textId="77777777" w:rsidR="00F24B61" w:rsidRDefault="00F24B61" w:rsidP="00401AC7">
    <w:pPr>
      <w:pStyle w:val="Footer"/>
      <w:jc w:val="center"/>
      <w:rPr>
        <w:b/>
      </w:rPr>
    </w:pPr>
  </w:p>
  <w:p w14:paraId="78250347" w14:textId="0F2ACCCA" w:rsidR="00F24B61" w:rsidRPr="00BF3760" w:rsidRDefault="00F24B61" w:rsidP="00401AC7">
    <w:pPr>
      <w:pStyle w:val="Footer"/>
      <w:jc w:val="center"/>
      <w:rPr>
        <w:b/>
      </w:rPr>
    </w:pPr>
    <w:r w:rsidRPr="00BF3760">
      <w:rPr>
        <w:b/>
      </w:rPr>
      <w:fldChar w:fldCharType="begin"/>
    </w:r>
    <w:r w:rsidRPr="00BF3760">
      <w:rPr>
        <w:b/>
      </w:rPr>
      <w:instrText xml:space="preserve"> PAGE   \* MERGEFORMAT </w:instrText>
    </w:r>
    <w:r w:rsidRPr="00BF3760">
      <w:rPr>
        <w:b/>
      </w:rPr>
      <w:fldChar w:fldCharType="separate"/>
    </w:r>
    <w:r w:rsidR="00F273E4">
      <w:rPr>
        <w:b/>
        <w:noProof/>
      </w:rPr>
      <w:t>20</w:t>
    </w:r>
    <w:r w:rsidRPr="00BF376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5B473" w14:textId="77777777" w:rsidR="00F24B61" w:rsidRDefault="00F24B61" w:rsidP="00124A51">
      <w:r>
        <w:separator/>
      </w:r>
    </w:p>
    <w:p w14:paraId="21C88AA1" w14:textId="77777777" w:rsidR="00F24B61" w:rsidRDefault="00F24B61"/>
  </w:footnote>
  <w:footnote w:type="continuationSeparator" w:id="0">
    <w:p w14:paraId="7957951B" w14:textId="77777777" w:rsidR="00F24B61" w:rsidRDefault="00F24B61" w:rsidP="00124A51">
      <w:r>
        <w:continuationSeparator/>
      </w:r>
    </w:p>
    <w:p w14:paraId="300029B7" w14:textId="77777777" w:rsidR="00F24B61" w:rsidRDefault="00F24B61"/>
  </w:footnote>
  <w:footnote w:id="1">
    <w:p w14:paraId="10100BFC" w14:textId="77777777" w:rsidR="00F24B61" w:rsidRPr="00341C73" w:rsidRDefault="00F24B61" w:rsidP="00341C73">
      <w:pPr>
        <w:pStyle w:val="Heading1"/>
        <w:shd w:val="clear" w:color="auto" w:fill="FFFFFF"/>
        <w:spacing w:after="266"/>
        <w:ind w:left="0" w:firstLine="0"/>
        <w:textAlignment w:val="baseline"/>
        <w:rPr>
          <w:rFonts w:asciiTheme="minorHAnsi" w:hAnsiTheme="minorHAnsi"/>
          <w:b w:val="0"/>
          <w:caps w:val="0"/>
          <w:snapToGrid w:val="0"/>
          <w:sz w:val="20"/>
          <w:szCs w:val="20"/>
        </w:rPr>
      </w:pPr>
      <w:r w:rsidRPr="00AB6A54">
        <w:rPr>
          <w:rStyle w:val="FootnoteReference"/>
          <w:b w:val="0"/>
          <w:sz w:val="20"/>
          <w:szCs w:val="20"/>
        </w:rPr>
        <w:footnoteRef/>
      </w:r>
      <w:r>
        <w:t xml:space="preserve"> </w:t>
      </w:r>
      <w:r>
        <w:rPr>
          <w:rFonts w:asciiTheme="minorHAnsi" w:hAnsiTheme="minorHAnsi"/>
          <w:b w:val="0"/>
          <w:caps w:val="0"/>
          <w:snapToGrid w:val="0"/>
          <w:sz w:val="20"/>
          <w:szCs w:val="20"/>
        </w:rPr>
        <w:t>National Asthma Council Australia, 2020. Preview to Australian Asthma H</w:t>
      </w:r>
      <w:r w:rsidRPr="00AB6A54">
        <w:rPr>
          <w:rFonts w:asciiTheme="minorHAnsi" w:hAnsiTheme="minorHAnsi"/>
          <w:b w:val="0"/>
          <w:caps w:val="0"/>
          <w:snapToGrid w:val="0"/>
          <w:sz w:val="20"/>
          <w:szCs w:val="20"/>
        </w:rPr>
        <w:t>andbook v2.1 released</w:t>
      </w:r>
      <w:r>
        <w:rPr>
          <w:rFonts w:asciiTheme="minorHAnsi" w:hAnsiTheme="minorHAnsi"/>
          <w:b w:val="0"/>
          <w:caps w:val="0"/>
          <w:snapToGrid w:val="0"/>
          <w:sz w:val="20"/>
          <w:szCs w:val="20"/>
        </w:rPr>
        <w:t xml:space="preserve">. </w:t>
      </w:r>
      <w:hyperlink r:id="rId1" w:history="1">
        <w:r w:rsidRPr="00341C73">
          <w:rPr>
            <w:rStyle w:val="Hyperlink"/>
            <w:b w:val="0"/>
            <w:caps w:val="0"/>
            <w:sz w:val="20"/>
            <w:szCs w:val="20"/>
          </w:rPr>
          <w:t>https://d8z57tiamduo7.cloudfront.net/resources/australian-asthma-handbook_-v2.1-preview-stepped-diagram_june-2020.pdf</w:t>
        </w:r>
      </w:hyperlink>
      <w:r>
        <w:rPr>
          <w:b w:val="0"/>
          <w:sz w:val="20"/>
          <w:szCs w:val="20"/>
        </w:rPr>
        <w:t xml:space="preserve"> </w:t>
      </w:r>
      <w:r>
        <w:rPr>
          <w:b w:val="0"/>
          <w:caps w:val="0"/>
          <w:sz w:val="20"/>
          <w:szCs w:val="20"/>
        </w:rPr>
        <w:t>[accessed 22 July 2020].</w:t>
      </w:r>
    </w:p>
  </w:footnote>
  <w:footnote w:id="2">
    <w:p w14:paraId="52A86AC8" w14:textId="77777777" w:rsidR="00F24B61" w:rsidRDefault="00F24B61" w:rsidP="009106A7">
      <w:pPr>
        <w:pStyle w:val="FootnoteText"/>
      </w:pPr>
      <w:r>
        <w:rPr>
          <w:rStyle w:val="FootnoteReference"/>
        </w:rPr>
        <w:footnoteRef/>
      </w:r>
      <w:r>
        <w:t xml:space="preserve"> National Asthma Council Australia, 2019. The Australian Asthma Handbook. asthmahandbook.org.au [accessed 1 April 2020].</w:t>
      </w:r>
    </w:p>
  </w:footnote>
  <w:footnote w:id="3">
    <w:p w14:paraId="22156941" w14:textId="77777777" w:rsidR="00F24B61" w:rsidRDefault="00F24B61" w:rsidP="009106A7">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C921" w14:textId="77777777" w:rsidR="00F24B61" w:rsidRPr="00BF3760" w:rsidRDefault="00F24B61" w:rsidP="00BF3760">
    <w:pPr>
      <w:pStyle w:val="Header"/>
      <w:ind w:left="360"/>
      <w:rPr>
        <w:rFonts w:asciiTheme="minorHAnsi" w:hAnsiTheme="minorHAnsi"/>
        <w:i/>
        <w:color w:val="000000" w:themeColor="text1"/>
      </w:rPr>
    </w:pPr>
    <w:r>
      <w:rPr>
        <w:rFonts w:asciiTheme="minorHAnsi" w:hAnsiTheme="minorHAnsi"/>
        <w:i/>
        <w:color w:val="000000" w:themeColor="text1"/>
      </w:rPr>
      <w:t xml:space="preserve">Public Summary Document </w:t>
    </w:r>
    <w:r w:rsidRPr="00BF3760">
      <w:rPr>
        <w:rFonts w:asciiTheme="minorHAnsi" w:hAnsiTheme="minorHAnsi"/>
        <w:i/>
        <w:color w:val="000000" w:themeColor="text1"/>
      </w:rPr>
      <w:t xml:space="preserve">– </w:t>
    </w:r>
    <w:r>
      <w:rPr>
        <w:rFonts w:asciiTheme="minorHAnsi" w:hAnsiTheme="minorHAnsi"/>
        <w:i/>
        <w:color w:val="000000" w:themeColor="text1"/>
      </w:rPr>
      <w:t xml:space="preserve">July 2020 </w:t>
    </w:r>
    <w:r w:rsidRPr="00BF3760">
      <w:rPr>
        <w:rFonts w:asciiTheme="minorHAnsi" w:hAnsiTheme="minorHAnsi"/>
        <w:i/>
        <w:color w:val="000000" w:themeColor="text1"/>
      </w:rPr>
      <w:t>PBAC Meeting</w:t>
    </w:r>
  </w:p>
  <w:p w14:paraId="03E4D806" w14:textId="77777777" w:rsidR="00F24B61" w:rsidRPr="00BF3760" w:rsidRDefault="00F24B61" w:rsidP="00BF3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F64F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C2F77"/>
    <w:multiLevelType w:val="hybridMultilevel"/>
    <w:tmpl w:val="80604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684362"/>
    <w:multiLevelType w:val="hybridMultilevel"/>
    <w:tmpl w:val="B5E485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54260F"/>
    <w:multiLevelType w:val="hybridMultilevel"/>
    <w:tmpl w:val="460CC794"/>
    <w:lvl w:ilvl="0" w:tplc="813692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A11EF6"/>
    <w:multiLevelType w:val="hybridMultilevel"/>
    <w:tmpl w:val="0BFE7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A24D4"/>
    <w:multiLevelType w:val="hybridMultilevel"/>
    <w:tmpl w:val="DE54DDFE"/>
    <w:lvl w:ilvl="0" w:tplc="A6A45D72">
      <w:start w:val="2"/>
      <w:numFmt w:val="bullet"/>
      <w:lvlText w:val="-"/>
      <w:lvlJc w:val="left"/>
      <w:pPr>
        <w:ind w:left="1440" w:hanging="360"/>
      </w:pPr>
      <w:rPr>
        <w:rFonts w:ascii="Arial Narrow" w:eastAsiaTheme="minorEastAsia" w:hAnsi="Arial Narrow"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3D59B0"/>
    <w:multiLevelType w:val="hybridMultilevel"/>
    <w:tmpl w:val="EF706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A40796"/>
    <w:multiLevelType w:val="hybridMultilevel"/>
    <w:tmpl w:val="54440482"/>
    <w:lvl w:ilvl="0" w:tplc="9EF2417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210AC66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0"/>
  </w:num>
  <w:num w:numId="4">
    <w:abstractNumId w:val="6"/>
  </w:num>
  <w:num w:numId="5">
    <w:abstractNumId w:val="8"/>
  </w:num>
  <w:num w:numId="6">
    <w:abstractNumId w:val="7"/>
  </w:num>
  <w:num w:numId="7">
    <w:abstractNumId w:val="15"/>
  </w:num>
  <w:num w:numId="8">
    <w:abstractNumId w:val="11"/>
  </w:num>
  <w:num w:numId="9">
    <w:abstractNumId w:val="5"/>
  </w:num>
  <w:num w:numId="10">
    <w:abstractNumId w:val="2"/>
  </w:num>
  <w:num w:numId="11">
    <w:abstractNumId w:val="14"/>
  </w:num>
  <w:num w:numId="12">
    <w:abstractNumId w:val="3"/>
  </w:num>
  <w:num w:numId="13">
    <w:abstractNumId w:val="1"/>
  </w:num>
  <w:num w:numId="14">
    <w:abstractNumId w:val="10"/>
  </w:num>
  <w:num w:numId="15">
    <w:abstractNumId w:val="12"/>
  </w:num>
  <w:num w:numId="16">
    <w:abstractNumId w:val="9"/>
  </w:num>
  <w:num w:numId="17">
    <w:abstractNumId w:val="4"/>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GB" w:vendorID="64" w:dllVersion="6" w:nlCheck="1" w:checkStyle="1"/>
  <w:activeWritingStyle w:appName="MSWord" w:lang="en-AU"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28D"/>
    <w:rsid w:val="00002D8A"/>
    <w:rsid w:val="000031CD"/>
    <w:rsid w:val="00003499"/>
    <w:rsid w:val="000039B7"/>
    <w:rsid w:val="000052F4"/>
    <w:rsid w:val="00005700"/>
    <w:rsid w:val="0000639A"/>
    <w:rsid w:val="00013127"/>
    <w:rsid w:val="00013247"/>
    <w:rsid w:val="000135B5"/>
    <w:rsid w:val="0001368E"/>
    <w:rsid w:val="000144BA"/>
    <w:rsid w:val="0001549D"/>
    <w:rsid w:val="00015886"/>
    <w:rsid w:val="000162EF"/>
    <w:rsid w:val="00016F27"/>
    <w:rsid w:val="00020722"/>
    <w:rsid w:val="000207C9"/>
    <w:rsid w:val="00020ED0"/>
    <w:rsid w:val="00021519"/>
    <w:rsid w:val="00021779"/>
    <w:rsid w:val="0002225F"/>
    <w:rsid w:val="00022BB2"/>
    <w:rsid w:val="00022F12"/>
    <w:rsid w:val="00022F35"/>
    <w:rsid w:val="0002346F"/>
    <w:rsid w:val="00023763"/>
    <w:rsid w:val="00024654"/>
    <w:rsid w:val="00025EC2"/>
    <w:rsid w:val="000263F2"/>
    <w:rsid w:val="00026F4E"/>
    <w:rsid w:val="000274B8"/>
    <w:rsid w:val="00030893"/>
    <w:rsid w:val="00031433"/>
    <w:rsid w:val="00031AA2"/>
    <w:rsid w:val="00033863"/>
    <w:rsid w:val="00033DFC"/>
    <w:rsid w:val="00035CA5"/>
    <w:rsid w:val="00035DC0"/>
    <w:rsid w:val="000367BE"/>
    <w:rsid w:val="00036829"/>
    <w:rsid w:val="000368A1"/>
    <w:rsid w:val="00036C12"/>
    <w:rsid w:val="00036CBF"/>
    <w:rsid w:val="00037ADC"/>
    <w:rsid w:val="00040895"/>
    <w:rsid w:val="00040F3A"/>
    <w:rsid w:val="00042074"/>
    <w:rsid w:val="000435EE"/>
    <w:rsid w:val="00043C37"/>
    <w:rsid w:val="00044040"/>
    <w:rsid w:val="00045017"/>
    <w:rsid w:val="00045A2B"/>
    <w:rsid w:val="0004698F"/>
    <w:rsid w:val="0004726C"/>
    <w:rsid w:val="00047CDA"/>
    <w:rsid w:val="00050124"/>
    <w:rsid w:val="000501DD"/>
    <w:rsid w:val="0005243D"/>
    <w:rsid w:val="00052AAE"/>
    <w:rsid w:val="00052B30"/>
    <w:rsid w:val="00053766"/>
    <w:rsid w:val="00053934"/>
    <w:rsid w:val="000539D0"/>
    <w:rsid w:val="00054621"/>
    <w:rsid w:val="000546D7"/>
    <w:rsid w:val="00055C37"/>
    <w:rsid w:val="00056340"/>
    <w:rsid w:val="00056B7C"/>
    <w:rsid w:val="00056ECF"/>
    <w:rsid w:val="00057F2E"/>
    <w:rsid w:val="000604DF"/>
    <w:rsid w:val="00061E62"/>
    <w:rsid w:val="000627AB"/>
    <w:rsid w:val="000653B5"/>
    <w:rsid w:val="000657AD"/>
    <w:rsid w:val="00066360"/>
    <w:rsid w:val="00066AF8"/>
    <w:rsid w:val="0006750F"/>
    <w:rsid w:val="00071248"/>
    <w:rsid w:val="000720B9"/>
    <w:rsid w:val="000728D7"/>
    <w:rsid w:val="000737F7"/>
    <w:rsid w:val="000747D5"/>
    <w:rsid w:val="00075307"/>
    <w:rsid w:val="00075834"/>
    <w:rsid w:val="00075B9E"/>
    <w:rsid w:val="0007672F"/>
    <w:rsid w:val="0007683E"/>
    <w:rsid w:val="00076B54"/>
    <w:rsid w:val="00076C47"/>
    <w:rsid w:val="000774F0"/>
    <w:rsid w:val="00080909"/>
    <w:rsid w:val="00080C8A"/>
    <w:rsid w:val="000812CA"/>
    <w:rsid w:val="00081AAE"/>
    <w:rsid w:val="00081E63"/>
    <w:rsid w:val="000822E9"/>
    <w:rsid w:val="000823AA"/>
    <w:rsid w:val="0008258D"/>
    <w:rsid w:val="000826FA"/>
    <w:rsid w:val="000830F5"/>
    <w:rsid w:val="0008330C"/>
    <w:rsid w:val="00083774"/>
    <w:rsid w:val="00083E99"/>
    <w:rsid w:val="00084357"/>
    <w:rsid w:val="00084931"/>
    <w:rsid w:val="00084FA8"/>
    <w:rsid w:val="000856C5"/>
    <w:rsid w:val="00085C31"/>
    <w:rsid w:val="00086420"/>
    <w:rsid w:val="000902D9"/>
    <w:rsid w:val="0009085C"/>
    <w:rsid w:val="000908B3"/>
    <w:rsid w:val="00090C7E"/>
    <w:rsid w:val="000918E0"/>
    <w:rsid w:val="00092600"/>
    <w:rsid w:val="0009262B"/>
    <w:rsid w:val="00092D11"/>
    <w:rsid w:val="00093310"/>
    <w:rsid w:val="00093734"/>
    <w:rsid w:val="00093AFC"/>
    <w:rsid w:val="00093F6F"/>
    <w:rsid w:val="0009445C"/>
    <w:rsid w:val="000950FD"/>
    <w:rsid w:val="00095200"/>
    <w:rsid w:val="00095E21"/>
    <w:rsid w:val="00095FE5"/>
    <w:rsid w:val="00096284"/>
    <w:rsid w:val="000A0FAF"/>
    <w:rsid w:val="000A1BC0"/>
    <w:rsid w:val="000A37CA"/>
    <w:rsid w:val="000A58FF"/>
    <w:rsid w:val="000A5975"/>
    <w:rsid w:val="000A5F82"/>
    <w:rsid w:val="000A6039"/>
    <w:rsid w:val="000A6E9C"/>
    <w:rsid w:val="000A7453"/>
    <w:rsid w:val="000A7474"/>
    <w:rsid w:val="000A7D08"/>
    <w:rsid w:val="000B0121"/>
    <w:rsid w:val="000B0670"/>
    <w:rsid w:val="000B0E75"/>
    <w:rsid w:val="000B1185"/>
    <w:rsid w:val="000B18AB"/>
    <w:rsid w:val="000B1B65"/>
    <w:rsid w:val="000B1D52"/>
    <w:rsid w:val="000B2DCB"/>
    <w:rsid w:val="000B3146"/>
    <w:rsid w:val="000B5CE0"/>
    <w:rsid w:val="000B6CAC"/>
    <w:rsid w:val="000B7144"/>
    <w:rsid w:val="000B7612"/>
    <w:rsid w:val="000B78AE"/>
    <w:rsid w:val="000C0F8E"/>
    <w:rsid w:val="000C12F5"/>
    <w:rsid w:val="000C32A5"/>
    <w:rsid w:val="000C3DF9"/>
    <w:rsid w:val="000C487D"/>
    <w:rsid w:val="000C519A"/>
    <w:rsid w:val="000C6713"/>
    <w:rsid w:val="000D0440"/>
    <w:rsid w:val="000D091E"/>
    <w:rsid w:val="000D1BFC"/>
    <w:rsid w:val="000D1D5D"/>
    <w:rsid w:val="000D2610"/>
    <w:rsid w:val="000D26E2"/>
    <w:rsid w:val="000D281A"/>
    <w:rsid w:val="000D2848"/>
    <w:rsid w:val="000D306F"/>
    <w:rsid w:val="000D326A"/>
    <w:rsid w:val="000D51FB"/>
    <w:rsid w:val="000D608F"/>
    <w:rsid w:val="000E0640"/>
    <w:rsid w:val="000E0D4F"/>
    <w:rsid w:val="000E135D"/>
    <w:rsid w:val="000E2D8A"/>
    <w:rsid w:val="000E430B"/>
    <w:rsid w:val="000E4A97"/>
    <w:rsid w:val="000F00BA"/>
    <w:rsid w:val="000F316A"/>
    <w:rsid w:val="000F3C74"/>
    <w:rsid w:val="000F4BB8"/>
    <w:rsid w:val="000F4FA9"/>
    <w:rsid w:val="000F53FB"/>
    <w:rsid w:val="000F6BCB"/>
    <w:rsid w:val="000F7127"/>
    <w:rsid w:val="000F7B54"/>
    <w:rsid w:val="0010013F"/>
    <w:rsid w:val="001002FE"/>
    <w:rsid w:val="00100F8A"/>
    <w:rsid w:val="001019BE"/>
    <w:rsid w:val="0010452E"/>
    <w:rsid w:val="00105A26"/>
    <w:rsid w:val="00105AE2"/>
    <w:rsid w:val="001060C6"/>
    <w:rsid w:val="00106B80"/>
    <w:rsid w:val="0011032E"/>
    <w:rsid w:val="001109B7"/>
    <w:rsid w:val="00112DCC"/>
    <w:rsid w:val="00113283"/>
    <w:rsid w:val="0011348B"/>
    <w:rsid w:val="0011368B"/>
    <w:rsid w:val="00114639"/>
    <w:rsid w:val="001155E6"/>
    <w:rsid w:val="00115982"/>
    <w:rsid w:val="00116C53"/>
    <w:rsid w:val="00117143"/>
    <w:rsid w:val="00117A80"/>
    <w:rsid w:val="00121799"/>
    <w:rsid w:val="00121B6E"/>
    <w:rsid w:val="00122264"/>
    <w:rsid w:val="001222FC"/>
    <w:rsid w:val="00123902"/>
    <w:rsid w:val="00124472"/>
    <w:rsid w:val="00124A51"/>
    <w:rsid w:val="0012527C"/>
    <w:rsid w:val="00125E7A"/>
    <w:rsid w:val="00126621"/>
    <w:rsid w:val="00126B1D"/>
    <w:rsid w:val="001301E9"/>
    <w:rsid w:val="001317D9"/>
    <w:rsid w:val="00131D82"/>
    <w:rsid w:val="00132B22"/>
    <w:rsid w:val="00133580"/>
    <w:rsid w:val="00133D36"/>
    <w:rsid w:val="00133F01"/>
    <w:rsid w:val="001355A5"/>
    <w:rsid w:val="001367D6"/>
    <w:rsid w:val="00137645"/>
    <w:rsid w:val="0014015A"/>
    <w:rsid w:val="00140E99"/>
    <w:rsid w:val="00140EE1"/>
    <w:rsid w:val="00142404"/>
    <w:rsid w:val="00143F67"/>
    <w:rsid w:val="00145540"/>
    <w:rsid w:val="001456B0"/>
    <w:rsid w:val="0014644F"/>
    <w:rsid w:val="00146F45"/>
    <w:rsid w:val="001510B1"/>
    <w:rsid w:val="0015219B"/>
    <w:rsid w:val="0015417A"/>
    <w:rsid w:val="001564F0"/>
    <w:rsid w:val="00156F8F"/>
    <w:rsid w:val="00157130"/>
    <w:rsid w:val="00157304"/>
    <w:rsid w:val="001576B1"/>
    <w:rsid w:val="0016047B"/>
    <w:rsid w:val="00160A4C"/>
    <w:rsid w:val="001610D9"/>
    <w:rsid w:val="00161C73"/>
    <w:rsid w:val="0016206E"/>
    <w:rsid w:val="00162468"/>
    <w:rsid w:val="00162913"/>
    <w:rsid w:val="00163A2D"/>
    <w:rsid w:val="00163EFF"/>
    <w:rsid w:val="00163F66"/>
    <w:rsid w:val="00166174"/>
    <w:rsid w:val="001661FB"/>
    <w:rsid w:val="00166B09"/>
    <w:rsid w:val="001671A0"/>
    <w:rsid w:val="00167336"/>
    <w:rsid w:val="0016767F"/>
    <w:rsid w:val="00173565"/>
    <w:rsid w:val="00173B07"/>
    <w:rsid w:val="00173BC2"/>
    <w:rsid w:val="001751FA"/>
    <w:rsid w:val="00180551"/>
    <w:rsid w:val="00181D9C"/>
    <w:rsid w:val="00183A64"/>
    <w:rsid w:val="0018401A"/>
    <w:rsid w:val="0018471F"/>
    <w:rsid w:val="00184B0E"/>
    <w:rsid w:val="001858EC"/>
    <w:rsid w:val="00186A57"/>
    <w:rsid w:val="00186B71"/>
    <w:rsid w:val="0018752F"/>
    <w:rsid w:val="00187DA6"/>
    <w:rsid w:val="001914B8"/>
    <w:rsid w:val="00192899"/>
    <w:rsid w:val="00193506"/>
    <w:rsid w:val="00193838"/>
    <w:rsid w:val="00194953"/>
    <w:rsid w:val="00194AD8"/>
    <w:rsid w:val="00195222"/>
    <w:rsid w:val="00196A7E"/>
    <w:rsid w:val="001975C9"/>
    <w:rsid w:val="001975D8"/>
    <w:rsid w:val="001A161B"/>
    <w:rsid w:val="001A178E"/>
    <w:rsid w:val="001A26AE"/>
    <w:rsid w:val="001A2791"/>
    <w:rsid w:val="001A307C"/>
    <w:rsid w:val="001A31F8"/>
    <w:rsid w:val="001A43FA"/>
    <w:rsid w:val="001A47C5"/>
    <w:rsid w:val="001A5467"/>
    <w:rsid w:val="001A59FB"/>
    <w:rsid w:val="001A5E9E"/>
    <w:rsid w:val="001A6354"/>
    <w:rsid w:val="001A6366"/>
    <w:rsid w:val="001A7AE8"/>
    <w:rsid w:val="001A7D33"/>
    <w:rsid w:val="001B0B64"/>
    <w:rsid w:val="001B19A1"/>
    <w:rsid w:val="001B204E"/>
    <w:rsid w:val="001B2372"/>
    <w:rsid w:val="001B307B"/>
    <w:rsid w:val="001B3443"/>
    <w:rsid w:val="001B4A40"/>
    <w:rsid w:val="001B4A49"/>
    <w:rsid w:val="001B4D20"/>
    <w:rsid w:val="001B7F78"/>
    <w:rsid w:val="001C09F9"/>
    <w:rsid w:val="001C144F"/>
    <w:rsid w:val="001C1B1A"/>
    <w:rsid w:val="001C2A9B"/>
    <w:rsid w:val="001C4299"/>
    <w:rsid w:val="001C4874"/>
    <w:rsid w:val="001C5F94"/>
    <w:rsid w:val="001C6E66"/>
    <w:rsid w:val="001C7EC0"/>
    <w:rsid w:val="001C7EE2"/>
    <w:rsid w:val="001D1100"/>
    <w:rsid w:val="001D1391"/>
    <w:rsid w:val="001D1811"/>
    <w:rsid w:val="001D1A4E"/>
    <w:rsid w:val="001D25D7"/>
    <w:rsid w:val="001D328C"/>
    <w:rsid w:val="001D50B2"/>
    <w:rsid w:val="001D7645"/>
    <w:rsid w:val="001D7E9A"/>
    <w:rsid w:val="001D7F42"/>
    <w:rsid w:val="001E0365"/>
    <w:rsid w:val="001E0825"/>
    <w:rsid w:val="001E107D"/>
    <w:rsid w:val="001E1DD8"/>
    <w:rsid w:val="001E1E86"/>
    <w:rsid w:val="001E238E"/>
    <w:rsid w:val="001E2483"/>
    <w:rsid w:val="001E284A"/>
    <w:rsid w:val="001E2B1E"/>
    <w:rsid w:val="001E2CFF"/>
    <w:rsid w:val="001E2F24"/>
    <w:rsid w:val="001E30D4"/>
    <w:rsid w:val="001E34DF"/>
    <w:rsid w:val="001E3EEE"/>
    <w:rsid w:val="001E4D10"/>
    <w:rsid w:val="001E52EB"/>
    <w:rsid w:val="001E56F5"/>
    <w:rsid w:val="001E61D2"/>
    <w:rsid w:val="001E740C"/>
    <w:rsid w:val="001E7868"/>
    <w:rsid w:val="001F1235"/>
    <w:rsid w:val="001F1CB3"/>
    <w:rsid w:val="001F374C"/>
    <w:rsid w:val="001F38B5"/>
    <w:rsid w:val="001F4081"/>
    <w:rsid w:val="001F5796"/>
    <w:rsid w:val="001F7361"/>
    <w:rsid w:val="002011B0"/>
    <w:rsid w:val="00203181"/>
    <w:rsid w:val="00203783"/>
    <w:rsid w:val="0020385F"/>
    <w:rsid w:val="0020474C"/>
    <w:rsid w:val="00204A9D"/>
    <w:rsid w:val="002068A0"/>
    <w:rsid w:val="00207021"/>
    <w:rsid w:val="002071FA"/>
    <w:rsid w:val="0020732F"/>
    <w:rsid w:val="00207904"/>
    <w:rsid w:val="00207D00"/>
    <w:rsid w:val="002105C1"/>
    <w:rsid w:val="002109FA"/>
    <w:rsid w:val="00211A25"/>
    <w:rsid w:val="00211D07"/>
    <w:rsid w:val="00212826"/>
    <w:rsid w:val="002138CC"/>
    <w:rsid w:val="00213B70"/>
    <w:rsid w:val="00213EF5"/>
    <w:rsid w:val="00215230"/>
    <w:rsid w:val="00216779"/>
    <w:rsid w:val="00216BF5"/>
    <w:rsid w:val="002203D7"/>
    <w:rsid w:val="0022078B"/>
    <w:rsid w:val="00221791"/>
    <w:rsid w:val="00223346"/>
    <w:rsid w:val="00223B49"/>
    <w:rsid w:val="00223D5A"/>
    <w:rsid w:val="00224DD4"/>
    <w:rsid w:val="002250F1"/>
    <w:rsid w:val="00225CFF"/>
    <w:rsid w:val="002278A0"/>
    <w:rsid w:val="00227B9A"/>
    <w:rsid w:val="002309CC"/>
    <w:rsid w:val="00230B5E"/>
    <w:rsid w:val="00231966"/>
    <w:rsid w:val="0023209F"/>
    <w:rsid w:val="0023306C"/>
    <w:rsid w:val="00233C01"/>
    <w:rsid w:val="0023413C"/>
    <w:rsid w:val="002346F0"/>
    <w:rsid w:val="002356CB"/>
    <w:rsid w:val="00235C1A"/>
    <w:rsid w:val="0023629D"/>
    <w:rsid w:val="00237255"/>
    <w:rsid w:val="00240206"/>
    <w:rsid w:val="002424AF"/>
    <w:rsid w:val="002439DC"/>
    <w:rsid w:val="00243FEC"/>
    <w:rsid w:val="002441D2"/>
    <w:rsid w:val="00244DC8"/>
    <w:rsid w:val="002458BA"/>
    <w:rsid w:val="00245CE9"/>
    <w:rsid w:val="0024636C"/>
    <w:rsid w:val="00246696"/>
    <w:rsid w:val="00247925"/>
    <w:rsid w:val="002509E1"/>
    <w:rsid w:val="00251006"/>
    <w:rsid w:val="002521ED"/>
    <w:rsid w:val="002524D5"/>
    <w:rsid w:val="00253B1D"/>
    <w:rsid w:val="0025460D"/>
    <w:rsid w:val="00254ADD"/>
    <w:rsid w:val="00254DCF"/>
    <w:rsid w:val="00254F10"/>
    <w:rsid w:val="0025534B"/>
    <w:rsid w:val="002556CD"/>
    <w:rsid w:val="00255BB7"/>
    <w:rsid w:val="00255D4E"/>
    <w:rsid w:val="00257541"/>
    <w:rsid w:val="00257A39"/>
    <w:rsid w:val="00257A85"/>
    <w:rsid w:val="00257AC4"/>
    <w:rsid w:val="00260247"/>
    <w:rsid w:val="002614DF"/>
    <w:rsid w:val="00261EEF"/>
    <w:rsid w:val="00262A1A"/>
    <w:rsid w:val="00262A87"/>
    <w:rsid w:val="002636BE"/>
    <w:rsid w:val="002638F2"/>
    <w:rsid w:val="00263C5C"/>
    <w:rsid w:val="00263EEC"/>
    <w:rsid w:val="002640F8"/>
    <w:rsid w:val="00264C32"/>
    <w:rsid w:val="00264D26"/>
    <w:rsid w:val="00266D33"/>
    <w:rsid w:val="00267642"/>
    <w:rsid w:val="00267AEA"/>
    <w:rsid w:val="002700E6"/>
    <w:rsid w:val="00270D1A"/>
    <w:rsid w:val="00270EC0"/>
    <w:rsid w:val="00270FAD"/>
    <w:rsid w:val="00271229"/>
    <w:rsid w:val="00271558"/>
    <w:rsid w:val="0027294B"/>
    <w:rsid w:val="00273EB4"/>
    <w:rsid w:val="00274682"/>
    <w:rsid w:val="00275129"/>
    <w:rsid w:val="00275C5A"/>
    <w:rsid w:val="002766C1"/>
    <w:rsid w:val="00280338"/>
    <w:rsid w:val="00281014"/>
    <w:rsid w:val="00281E63"/>
    <w:rsid w:val="002839DA"/>
    <w:rsid w:val="002843FE"/>
    <w:rsid w:val="0028665D"/>
    <w:rsid w:val="00290958"/>
    <w:rsid w:val="0029100D"/>
    <w:rsid w:val="00293211"/>
    <w:rsid w:val="00296896"/>
    <w:rsid w:val="00297C34"/>
    <w:rsid w:val="002A0662"/>
    <w:rsid w:val="002A11BD"/>
    <w:rsid w:val="002A14AB"/>
    <w:rsid w:val="002A2ADE"/>
    <w:rsid w:val="002A2F50"/>
    <w:rsid w:val="002A300F"/>
    <w:rsid w:val="002A7092"/>
    <w:rsid w:val="002B05A1"/>
    <w:rsid w:val="002B09A4"/>
    <w:rsid w:val="002B1C1F"/>
    <w:rsid w:val="002B301F"/>
    <w:rsid w:val="002B432F"/>
    <w:rsid w:val="002B62B3"/>
    <w:rsid w:val="002B6754"/>
    <w:rsid w:val="002B69DF"/>
    <w:rsid w:val="002B6CCE"/>
    <w:rsid w:val="002B6D8B"/>
    <w:rsid w:val="002C113F"/>
    <w:rsid w:val="002C15D4"/>
    <w:rsid w:val="002C2205"/>
    <w:rsid w:val="002C2510"/>
    <w:rsid w:val="002C2775"/>
    <w:rsid w:val="002C27C1"/>
    <w:rsid w:val="002C3B8B"/>
    <w:rsid w:val="002C3D67"/>
    <w:rsid w:val="002C5099"/>
    <w:rsid w:val="002C54C6"/>
    <w:rsid w:val="002C5889"/>
    <w:rsid w:val="002C65C7"/>
    <w:rsid w:val="002C71CE"/>
    <w:rsid w:val="002D04C3"/>
    <w:rsid w:val="002D08F8"/>
    <w:rsid w:val="002D12CA"/>
    <w:rsid w:val="002D577C"/>
    <w:rsid w:val="002D7D62"/>
    <w:rsid w:val="002E0D83"/>
    <w:rsid w:val="002E103A"/>
    <w:rsid w:val="002E1071"/>
    <w:rsid w:val="002E15B9"/>
    <w:rsid w:val="002E2158"/>
    <w:rsid w:val="002E2F26"/>
    <w:rsid w:val="002E4F02"/>
    <w:rsid w:val="002E51B6"/>
    <w:rsid w:val="002E7722"/>
    <w:rsid w:val="002E78E2"/>
    <w:rsid w:val="002E7D8B"/>
    <w:rsid w:val="002F07BA"/>
    <w:rsid w:val="002F0DA9"/>
    <w:rsid w:val="002F1014"/>
    <w:rsid w:val="002F49A2"/>
    <w:rsid w:val="002F5CD9"/>
    <w:rsid w:val="002F643C"/>
    <w:rsid w:val="002F65F2"/>
    <w:rsid w:val="002F71C0"/>
    <w:rsid w:val="002F74F1"/>
    <w:rsid w:val="00301017"/>
    <w:rsid w:val="0030155F"/>
    <w:rsid w:val="00304FB3"/>
    <w:rsid w:val="0030587B"/>
    <w:rsid w:val="00306D98"/>
    <w:rsid w:val="003072D6"/>
    <w:rsid w:val="0030786C"/>
    <w:rsid w:val="0031031A"/>
    <w:rsid w:val="00310981"/>
    <w:rsid w:val="00310A02"/>
    <w:rsid w:val="00310CDF"/>
    <w:rsid w:val="003124D9"/>
    <w:rsid w:val="0031251A"/>
    <w:rsid w:val="00312594"/>
    <w:rsid w:val="00313727"/>
    <w:rsid w:val="0031431D"/>
    <w:rsid w:val="00315498"/>
    <w:rsid w:val="00315D64"/>
    <w:rsid w:val="00316474"/>
    <w:rsid w:val="0031744F"/>
    <w:rsid w:val="00322107"/>
    <w:rsid w:val="00322355"/>
    <w:rsid w:val="00322846"/>
    <w:rsid w:val="00323CB9"/>
    <w:rsid w:val="00324A22"/>
    <w:rsid w:val="00326DA7"/>
    <w:rsid w:val="003270E4"/>
    <w:rsid w:val="0032799E"/>
    <w:rsid w:val="00330DAA"/>
    <w:rsid w:val="00330F5C"/>
    <w:rsid w:val="00335DBA"/>
    <w:rsid w:val="003366C9"/>
    <w:rsid w:val="00336A1C"/>
    <w:rsid w:val="003371B0"/>
    <w:rsid w:val="00337515"/>
    <w:rsid w:val="00340CC7"/>
    <w:rsid w:val="00340DF1"/>
    <w:rsid w:val="00341C73"/>
    <w:rsid w:val="0034245B"/>
    <w:rsid w:val="003452C4"/>
    <w:rsid w:val="00346BAF"/>
    <w:rsid w:val="003517F9"/>
    <w:rsid w:val="00351BA9"/>
    <w:rsid w:val="00351FBE"/>
    <w:rsid w:val="0035401C"/>
    <w:rsid w:val="00354F64"/>
    <w:rsid w:val="0035620E"/>
    <w:rsid w:val="00356D5A"/>
    <w:rsid w:val="00360345"/>
    <w:rsid w:val="00361A05"/>
    <w:rsid w:val="003624C4"/>
    <w:rsid w:val="00363B00"/>
    <w:rsid w:val="003654AC"/>
    <w:rsid w:val="00365B9E"/>
    <w:rsid w:val="00365BD8"/>
    <w:rsid w:val="00366136"/>
    <w:rsid w:val="0037054D"/>
    <w:rsid w:val="003710CF"/>
    <w:rsid w:val="00371DB3"/>
    <w:rsid w:val="0037213C"/>
    <w:rsid w:val="0037326C"/>
    <w:rsid w:val="0037358A"/>
    <w:rsid w:val="0037415F"/>
    <w:rsid w:val="003750F6"/>
    <w:rsid w:val="0037549B"/>
    <w:rsid w:val="003760FC"/>
    <w:rsid w:val="00376D33"/>
    <w:rsid w:val="00376E0D"/>
    <w:rsid w:val="00380452"/>
    <w:rsid w:val="00381D8B"/>
    <w:rsid w:val="0038365C"/>
    <w:rsid w:val="0038369B"/>
    <w:rsid w:val="00383B78"/>
    <w:rsid w:val="00385421"/>
    <w:rsid w:val="00385A9D"/>
    <w:rsid w:val="003863A8"/>
    <w:rsid w:val="00386C14"/>
    <w:rsid w:val="00386CE7"/>
    <w:rsid w:val="00387430"/>
    <w:rsid w:val="003902B1"/>
    <w:rsid w:val="0039179C"/>
    <w:rsid w:val="003918A3"/>
    <w:rsid w:val="00392D79"/>
    <w:rsid w:val="00394847"/>
    <w:rsid w:val="00394E5B"/>
    <w:rsid w:val="0039582C"/>
    <w:rsid w:val="003964A2"/>
    <w:rsid w:val="00396896"/>
    <w:rsid w:val="00396927"/>
    <w:rsid w:val="00396FD0"/>
    <w:rsid w:val="00397D30"/>
    <w:rsid w:val="003A1003"/>
    <w:rsid w:val="003A17BA"/>
    <w:rsid w:val="003A1A7A"/>
    <w:rsid w:val="003A2392"/>
    <w:rsid w:val="003A2831"/>
    <w:rsid w:val="003A3354"/>
    <w:rsid w:val="003A3CB6"/>
    <w:rsid w:val="003A3ED1"/>
    <w:rsid w:val="003A3FDB"/>
    <w:rsid w:val="003A44DB"/>
    <w:rsid w:val="003A4564"/>
    <w:rsid w:val="003A552D"/>
    <w:rsid w:val="003B0B4E"/>
    <w:rsid w:val="003B13F4"/>
    <w:rsid w:val="003B1844"/>
    <w:rsid w:val="003B20EF"/>
    <w:rsid w:val="003B3971"/>
    <w:rsid w:val="003B5063"/>
    <w:rsid w:val="003B5585"/>
    <w:rsid w:val="003B55D1"/>
    <w:rsid w:val="003B5828"/>
    <w:rsid w:val="003B5873"/>
    <w:rsid w:val="003B5B61"/>
    <w:rsid w:val="003C031F"/>
    <w:rsid w:val="003C152B"/>
    <w:rsid w:val="003C1654"/>
    <w:rsid w:val="003C18EB"/>
    <w:rsid w:val="003C1D75"/>
    <w:rsid w:val="003C4CF8"/>
    <w:rsid w:val="003C5542"/>
    <w:rsid w:val="003C6034"/>
    <w:rsid w:val="003C64B9"/>
    <w:rsid w:val="003C7AA6"/>
    <w:rsid w:val="003C7D19"/>
    <w:rsid w:val="003C7D2F"/>
    <w:rsid w:val="003D1828"/>
    <w:rsid w:val="003D186A"/>
    <w:rsid w:val="003D1B02"/>
    <w:rsid w:val="003D1DE4"/>
    <w:rsid w:val="003D1E9A"/>
    <w:rsid w:val="003D2422"/>
    <w:rsid w:val="003D2B3D"/>
    <w:rsid w:val="003D39A1"/>
    <w:rsid w:val="003D3BEA"/>
    <w:rsid w:val="003D3FBF"/>
    <w:rsid w:val="003D4A30"/>
    <w:rsid w:val="003D6DA5"/>
    <w:rsid w:val="003D7452"/>
    <w:rsid w:val="003D79BB"/>
    <w:rsid w:val="003D7C98"/>
    <w:rsid w:val="003D7D9D"/>
    <w:rsid w:val="003E0543"/>
    <w:rsid w:val="003E120F"/>
    <w:rsid w:val="003E15EA"/>
    <w:rsid w:val="003E239F"/>
    <w:rsid w:val="003E31FC"/>
    <w:rsid w:val="003E418D"/>
    <w:rsid w:val="003E422D"/>
    <w:rsid w:val="003E46C8"/>
    <w:rsid w:val="003E749E"/>
    <w:rsid w:val="003F0454"/>
    <w:rsid w:val="003F4156"/>
    <w:rsid w:val="003F42A1"/>
    <w:rsid w:val="003F5ADF"/>
    <w:rsid w:val="003F7761"/>
    <w:rsid w:val="00400B29"/>
    <w:rsid w:val="00401AC7"/>
    <w:rsid w:val="0040504B"/>
    <w:rsid w:val="004059F4"/>
    <w:rsid w:val="00407FE5"/>
    <w:rsid w:val="004101B0"/>
    <w:rsid w:val="00410326"/>
    <w:rsid w:val="00410708"/>
    <w:rsid w:val="004109F4"/>
    <w:rsid w:val="00410EC7"/>
    <w:rsid w:val="00411104"/>
    <w:rsid w:val="004112C1"/>
    <w:rsid w:val="00411B39"/>
    <w:rsid w:val="00411F84"/>
    <w:rsid w:val="004120C8"/>
    <w:rsid w:val="00412326"/>
    <w:rsid w:val="004127A7"/>
    <w:rsid w:val="00413A1E"/>
    <w:rsid w:val="00413EF0"/>
    <w:rsid w:val="00414418"/>
    <w:rsid w:val="0041446D"/>
    <w:rsid w:val="00414476"/>
    <w:rsid w:val="00414C2E"/>
    <w:rsid w:val="004151CF"/>
    <w:rsid w:val="004153B6"/>
    <w:rsid w:val="00415B7F"/>
    <w:rsid w:val="00416364"/>
    <w:rsid w:val="0042047F"/>
    <w:rsid w:val="00420AA6"/>
    <w:rsid w:val="00420B9F"/>
    <w:rsid w:val="0042169D"/>
    <w:rsid w:val="0042192C"/>
    <w:rsid w:val="0042221B"/>
    <w:rsid w:val="00422260"/>
    <w:rsid w:val="00422697"/>
    <w:rsid w:val="0042413F"/>
    <w:rsid w:val="00425B31"/>
    <w:rsid w:val="00426777"/>
    <w:rsid w:val="00426CA3"/>
    <w:rsid w:val="00427FD8"/>
    <w:rsid w:val="004319F8"/>
    <w:rsid w:val="00431E40"/>
    <w:rsid w:val="00431E55"/>
    <w:rsid w:val="004321F6"/>
    <w:rsid w:val="004328ED"/>
    <w:rsid w:val="00433044"/>
    <w:rsid w:val="00433745"/>
    <w:rsid w:val="00434088"/>
    <w:rsid w:val="00434918"/>
    <w:rsid w:val="00435BD5"/>
    <w:rsid w:val="0043671E"/>
    <w:rsid w:val="004375B9"/>
    <w:rsid w:val="004376DD"/>
    <w:rsid w:val="00437EEA"/>
    <w:rsid w:val="004418FF"/>
    <w:rsid w:val="00441BB5"/>
    <w:rsid w:val="004428D0"/>
    <w:rsid w:val="00442971"/>
    <w:rsid w:val="00444185"/>
    <w:rsid w:val="004443A7"/>
    <w:rsid w:val="0044442C"/>
    <w:rsid w:val="00445941"/>
    <w:rsid w:val="0044595F"/>
    <w:rsid w:val="00445AB7"/>
    <w:rsid w:val="004463C2"/>
    <w:rsid w:val="004464EB"/>
    <w:rsid w:val="00447A80"/>
    <w:rsid w:val="00447D26"/>
    <w:rsid w:val="00447DFC"/>
    <w:rsid w:val="004510DC"/>
    <w:rsid w:val="00451EE2"/>
    <w:rsid w:val="00452F65"/>
    <w:rsid w:val="00455D45"/>
    <w:rsid w:val="00456E77"/>
    <w:rsid w:val="00457265"/>
    <w:rsid w:val="00460995"/>
    <w:rsid w:val="00461260"/>
    <w:rsid w:val="00461C91"/>
    <w:rsid w:val="00464595"/>
    <w:rsid w:val="004658B5"/>
    <w:rsid w:val="004673C0"/>
    <w:rsid w:val="00467A62"/>
    <w:rsid w:val="00470941"/>
    <w:rsid w:val="004716D5"/>
    <w:rsid w:val="00471EA5"/>
    <w:rsid w:val="00472A79"/>
    <w:rsid w:val="00473F19"/>
    <w:rsid w:val="004753F9"/>
    <w:rsid w:val="00475E22"/>
    <w:rsid w:val="00476606"/>
    <w:rsid w:val="00477146"/>
    <w:rsid w:val="00477FC2"/>
    <w:rsid w:val="0048088E"/>
    <w:rsid w:val="00480F2B"/>
    <w:rsid w:val="00482720"/>
    <w:rsid w:val="004835E7"/>
    <w:rsid w:val="00486137"/>
    <w:rsid w:val="004867E2"/>
    <w:rsid w:val="004901E0"/>
    <w:rsid w:val="00490B17"/>
    <w:rsid w:val="00491B3A"/>
    <w:rsid w:val="00492CFD"/>
    <w:rsid w:val="00494207"/>
    <w:rsid w:val="00494297"/>
    <w:rsid w:val="004945E5"/>
    <w:rsid w:val="00494B20"/>
    <w:rsid w:val="00494DD5"/>
    <w:rsid w:val="004962D2"/>
    <w:rsid w:val="004A0DA1"/>
    <w:rsid w:val="004A0F48"/>
    <w:rsid w:val="004A13D6"/>
    <w:rsid w:val="004A1513"/>
    <w:rsid w:val="004A2D62"/>
    <w:rsid w:val="004A52E9"/>
    <w:rsid w:val="004A6040"/>
    <w:rsid w:val="004A6597"/>
    <w:rsid w:val="004A7848"/>
    <w:rsid w:val="004B1375"/>
    <w:rsid w:val="004B1CB4"/>
    <w:rsid w:val="004B2F18"/>
    <w:rsid w:val="004B3DDB"/>
    <w:rsid w:val="004B44FD"/>
    <w:rsid w:val="004B5CFC"/>
    <w:rsid w:val="004B691B"/>
    <w:rsid w:val="004B6F79"/>
    <w:rsid w:val="004B774D"/>
    <w:rsid w:val="004C2FAF"/>
    <w:rsid w:val="004C3288"/>
    <w:rsid w:val="004C3C04"/>
    <w:rsid w:val="004C3F93"/>
    <w:rsid w:val="004C4605"/>
    <w:rsid w:val="004C4AED"/>
    <w:rsid w:val="004C527A"/>
    <w:rsid w:val="004C5885"/>
    <w:rsid w:val="004C6C55"/>
    <w:rsid w:val="004C6FB2"/>
    <w:rsid w:val="004C774F"/>
    <w:rsid w:val="004D00A4"/>
    <w:rsid w:val="004D1115"/>
    <w:rsid w:val="004D2110"/>
    <w:rsid w:val="004D2C2D"/>
    <w:rsid w:val="004D3F57"/>
    <w:rsid w:val="004D5D37"/>
    <w:rsid w:val="004D69B5"/>
    <w:rsid w:val="004D6FAB"/>
    <w:rsid w:val="004D70F6"/>
    <w:rsid w:val="004D7227"/>
    <w:rsid w:val="004E002D"/>
    <w:rsid w:val="004E0E7F"/>
    <w:rsid w:val="004E0EB8"/>
    <w:rsid w:val="004E18E9"/>
    <w:rsid w:val="004E193D"/>
    <w:rsid w:val="004E1F07"/>
    <w:rsid w:val="004E2ADC"/>
    <w:rsid w:val="004E43B2"/>
    <w:rsid w:val="004E5F80"/>
    <w:rsid w:val="004E7BA4"/>
    <w:rsid w:val="004E7C82"/>
    <w:rsid w:val="004F1056"/>
    <w:rsid w:val="004F1A13"/>
    <w:rsid w:val="004F1D02"/>
    <w:rsid w:val="004F2679"/>
    <w:rsid w:val="004F2F21"/>
    <w:rsid w:val="004F3854"/>
    <w:rsid w:val="004F3DE5"/>
    <w:rsid w:val="004F4746"/>
    <w:rsid w:val="004F5937"/>
    <w:rsid w:val="004F6913"/>
    <w:rsid w:val="004F7865"/>
    <w:rsid w:val="0050174E"/>
    <w:rsid w:val="00501854"/>
    <w:rsid w:val="0050185E"/>
    <w:rsid w:val="0050219B"/>
    <w:rsid w:val="005034B2"/>
    <w:rsid w:val="00503740"/>
    <w:rsid w:val="00503F17"/>
    <w:rsid w:val="00505F2D"/>
    <w:rsid w:val="00506928"/>
    <w:rsid w:val="00506D76"/>
    <w:rsid w:val="005077EF"/>
    <w:rsid w:val="00511AD5"/>
    <w:rsid w:val="00511DC7"/>
    <w:rsid w:val="0051423D"/>
    <w:rsid w:val="005142C5"/>
    <w:rsid w:val="00514830"/>
    <w:rsid w:val="0051501B"/>
    <w:rsid w:val="005152B5"/>
    <w:rsid w:val="00516CF0"/>
    <w:rsid w:val="00517964"/>
    <w:rsid w:val="0052028A"/>
    <w:rsid w:val="00520B28"/>
    <w:rsid w:val="0052123C"/>
    <w:rsid w:val="00521319"/>
    <w:rsid w:val="0052142A"/>
    <w:rsid w:val="00521814"/>
    <w:rsid w:val="00522BC8"/>
    <w:rsid w:val="0052303C"/>
    <w:rsid w:val="00523597"/>
    <w:rsid w:val="0052384D"/>
    <w:rsid w:val="00523983"/>
    <w:rsid w:val="00523C28"/>
    <w:rsid w:val="005247DD"/>
    <w:rsid w:val="00525059"/>
    <w:rsid w:val="00525A72"/>
    <w:rsid w:val="00525D9B"/>
    <w:rsid w:val="0052770E"/>
    <w:rsid w:val="00530DC8"/>
    <w:rsid w:val="0053176B"/>
    <w:rsid w:val="005336F1"/>
    <w:rsid w:val="00533820"/>
    <w:rsid w:val="00536F42"/>
    <w:rsid w:val="00537182"/>
    <w:rsid w:val="0054022F"/>
    <w:rsid w:val="005418E1"/>
    <w:rsid w:val="00541EDD"/>
    <w:rsid w:val="00542743"/>
    <w:rsid w:val="00542C2D"/>
    <w:rsid w:val="00542FFD"/>
    <w:rsid w:val="0054437A"/>
    <w:rsid w:val="00545778"/>
    <w:rsid w:val="00547268"/>
    <w:rsid w:val="005478BD"/>
    <w:rsid w:val="005479E3"/>
    <w:rsid w:val="00550C70"/>
    <w:rsid w:val="00551985"/>
    <w:rsid w:val="00552BD3"/>
    <w:rsid w:val="00552C20"/>
    <w:rsid w:val="0055301B"/>
    <w:rsid w:val="005532A0"/>
    <w:rsid w:val="00553500"/>
    <w:rsid w:val="00555109"/>
    <w:rsid w:val="0055626E"/>
    <w:rsid w:val="00556276"/>
    <w:rsid w:val="00556AC3"/>
    <w:rsid w:val="00556B35"/>
    <w:rsid w:val="0055741A"/>
    <w:rsid w:val="005577E7"/>
    <w:rsid w:val="005611B7"/>
    <w:rsid w:val="005618D4"/>
    <w:rsid w:val="0056215B"/>
    <w:rsid w:val="0056313E"/>
    <w:rsid w:val="00565DF0"/>
    <w:rsid w:val="0056696F"/>
    <w:rsid w:val="005711F4"/>
    <w:rsid w:val="005713B5"/>
    <w:rsid w:val="00572269"/>
    <w:rsid w:val="0057244A"/>
    <w:rsid w:val="00572896"/>
    <w:rsid w:val="00572B0D"/>
    <w:rsid w:val="00572F26"/>
    <w:rsid w:val="00573104"/>
    <w:rsid w:val="005750C5"/>
    <w:rsid w:val="005752DE"/>
    <w:rsid w:val="00575D8D"/>
    <w:rsid w:val="00576972"/>
    <w:rsid w:val="00576CEC"/>
    <w:rsid w:val="005775BF"/>
    <w:rsid w:val="00583699"/>
    <w:rsid w:val="0058403D"/>
    <w:rsid w:val="00584D27"/>
    <w:rsid w:val="005856A6"/>
    <w:rsid w:val="00585CDD"/>
    <w:rsid w:val="0058617D"/>
    <w:rsid w:val="005862DA"/>
    <w:rsid w:val="00586B53"/>
    <w:rsid w:val="00587058"/>
    <w:rsid w:val="00590B70"/>
    <w:rsid w:val="0059176D"/>
    <w:rsid w:val="00591820"/>
    <w:rsid w:val="00591957"/>
    <w:rsid w:val="00592F2C"/>
    <w:rsid w:val="005940A7"/>
    <w:rsid w:val="00595D52"/>
    <w:rsid w:val="005974D3"/>
    <w:rsid w:val="005976DE"/>
    <w:rsid w:val="00597BF9"/>
    <w:rsid w:val="005A02F9"/>
    <w:rsid w:val="005A309A"/>
    <w:rsid w:val="005A323A"/>
    <w:rsid w:val="005A373D"/>
    <w:rsid w:val="005A5DEE"/>
    <w:rsid w:val="005A6DA2"/>
    <w:rsid w:val="005A6F05"/>
    <w:rsid w:val="005A7B39"/>
    <w:rsid w:val="005B0B58"/>
    <w:rsid w:val="005B4E53"/>
    <w:rsid w:val="005B5857"/>
    <w:rsid w:val="005B5ACD"/>
    <w:rsid w:val="005C10A8"/>
    <w:rsid w:val="005C1B83"/>
    <w:rsid w:val="005C2553"/>
    <w:rsid w:val="005C25FF"/>
    <w:rsid w:val="005C2D55"/>
    <w:rsid w:val="005C346B"/>
    <w:rsid w:val="005C45BC"/>
    <w:rsid w:val="005D044D"/>
    <w:rsid w:val="005D0ABD"/>
    <w:rsid w:val="005D18AD"/>
    <w:rsid w:val="005D2482"/>
    <w:rsid w:val="005D26B4"/>
    <w:rsid w:val="005D7F27"/>
    <w:rsid w:val="005E0292"/>
    <w:rsid w:val="005E11D6"/>
    <w:rsid w:val="005E2073"/>
    <w:rsid w:val="005E274A"/>
    <w:rsid w:val="005E2FC3"/>
    <w:rsid w:val="005E4E79"/>
    <w:rsid w:val="005E5529"/>
    <w:rsid w:val="005E6CBC"/>
    <w:rsid w:val="005E72FF"/>
    <w:rsid w:val="005E73C0"/>
    <w:rsid w:val="005F2706"/>
    <w:rsid w:val="005F29AB"/>
    <w:rsid w:val="005F4261"/>
    <w:rsid w:val="005F5F82"/>
    <w:rsid w:val="005F64F2"/>
    <w:rsid w:val="005F6A7E"/>
    <w:rsid w:val="005F6A8F"/>
    <w:rsid w:val="005F6BB7"/>
    <w:rsid w:val="005F6F69"/>
    <w:rsid w:val="005F7588"/>
    <w:rsid w:val="005F7D85"/>
    <w:rsid w:val="00600CD6"/>
    <w:rsid w:val="006011DD"/>
    <w:rsid w:val="00602F69"/>
    <w:rsid w:val="0060339D"/>
    <w:rsid w:val="00603792"/>
    <w:rsid w:val="00603DB9"/>
    <w:rsid w:val="00604A1B"/>
    <w:rsid w:val="006064F8"/>
    <w:rsid w:val="00606FBA"/>
    <w:rsid w:val="00607669"/>
    <w:rsid w:val="006076F4"/>
    <w:rsid w:val="00607AFD"/>
    <w:rsid w:val="00610A72"/>
    <w:rsid w:val="00611A5A"/>
    <w:rsid w:val="0061210E"/>
    <w:rsid w:val="0061268C"/>
    <w:rsid w:val="00612A0A"/>
    <w:rsid w:val="00612DC9"/>
    <w:rsid w:val="00612F97"/>
    <w:rsid w:val="0061345D"/>
    <w:rsid w:val="00613CED"/>
    <w:rsid w:val="00613D5A"/>
    <w:rsid w:val="0061456E"/>
    <w:rsid w:val="0061549B"/>
    <w:rsid w:val="00616351"/>
    <w:rsid w:val="00616802"/>
    <w:rsid w:val="00617E12"/>
    <w:rsid w:val="00620C25"/>
    <w:rsid w:val="00621477"/>
    <w:rsid w:val="00621ADA"/>
    <w:rsid w:val="00623242"/>
    <w:rsid w:val="00623F7B"/>
    <w:rsid w:val="00625D6B"/>
    <w:rsid w:val="00626A83"/>
    <w:rsid w:val="00630ABA"/>
    <w:rsid w:val="00630ACC"/>
    <w:rsid w:val="0063158F"/>
    <w:rsid w:val="00631D6B"/>
    <w:rsid w:val="00632183"/>
    <w:rsid w:val="006330A1"/>
    <w:rsid w:val="0063479F"/>
    <w:rsid w:val="006353F0"/>
    <w:rsid w:val="006357B5"/>
    <w:rsid w:val="006364A1"/>
    <w:rsid w:val="0063678E"/>
    <w:rsid w:val="00636C2B"/>
    <w:rsid w:val="006373BC"/>
    <w:rsid w:val="00637BFD"/>
    <w:rsid w:val="006402BD"/>
    <w:rsid w:val="006406B2"/>
    <w:rsid w:val="00640B8A"/>
    <w:rsid w:val="00641764"/>
    <w:rsid w:val="00641C4E"/>
    <w:rsid w:val="00641FB3"/>
    <w:rsid w:val="00642ACF"/>
    <w:rsid w:val="0064434C"/>
    <w:rsid w:val="00644A8B"/>
    <w:rsid w:val="00645E96"/>
    <w:rsid w:val="006471CC"/>
    <w:rsid w:val="00647A29"/>
    <w:rsid w:val="0065079F"/>
    <w:rsid w:val="00650F2C"/>
    <w:rsid w:val="0065161E"/>
    <w:rsid w:val="00652863"/>
    <w:rsid w:val="00652A28"/>
    <w:rsid w:val="00652E1F"/>
    <w:rsid w:val="0065379F"/>
    <w:rsid w:val="0065388F"/>
    <w:rsid w:val="00653AF7"/>
    <w:rsid w:val="00653CFE"/>
    <w:rsid w:val="006558F2"/>
    <w:rsid w:val="00656188"/>
    <w:rsid w:val="0065660B"/>
    <w:rsid w:val="0065715A"/>
    <w:rsid w:val="006610F1"/>
    <w:rsid w:val="00661243"/>
    <w:rsid w:val="00661C6B"/>
    <w:rsid w:val="00662ED0"/>
    <w:rsid w:val="00664999"/>
    <w:rsid w:val="00665EC2"/>
    <w:rsid w:val="006671D7"/>
    <w:rsid w:val="0066798D"/>
    <w:rsid w:val="00671004"/>
    <w:rsid w:val="006724B5"/>
    <w:rsid w:val="00672646"/>
    <w:rsid w:val="00674990"/>
    <w:rsid w:val="00674E42"/>
    <w:rsid w:val="006813F8"/>
    <w:rsid w:val="00682112"/>
    <w:rsid w:val="00682BA6"/>
    <w:rsid w:val="0068387B"/>
    <w:rsid w:val="006855F0"/>
    <w:rsid w:val="00685A00"/>
    <w:rsid w:val="00686957"/>
    <w:rsid w:val="00686C10"/>
    <w:rsid w:val="006872BA"/>
    <w:rsid w:val="00690102"/>
    <w:rsid w:val="00690795"/>
    <w:rsid w:val="00690A7C"/>
    <w:rsid w:val="00691648"/>
    <w:rsid w:val="0069167A"/>
    <w:rsid w:val="0069174E"/>
    <w:rsid w:val="006917D7"/>
    <w:rsid w:val="00691BE8"/>
    <w:rsid w:val="00692DF1"/>
    <w:rsid w:val="00693503"/>
    <w:rsid w:val="0069434C"/>
    <w:rsid w:val="00694F44"/>
    <w:rsid w:val="00696F51"/>
    <w:rsid w:val="00697115"/>
    <w:rsid w:val="00697616"/>
    <w:rsid w:val="006979A5"/>
    <w:rsid w:val="00697BA5"/>
    <w:rsid w:val="006A0BE0"/>
    <w:rsid w:val="006A1650"/>
    <w:rsid w:val="006A1D97"/>
    <w:rsid w:val="006A208E"/>
    <w:rsid w:val="006A2EFE"/>
    <w:rsid w:val="006A3C4B"/>
    <w:rsid w:val="006A4889"/>
    <w:rsid w:val="006A68B4"/>
    <w:rsid w:val="006A6B99"/>
    <w:rsid w:val="006A7E5F"/>
    <w:rsid w:val="006B143A"/>
    <w:rsid w:val="006B261B"/>
    <w:rsid w:val="006B2C90"/>
    <w:rsid w:val="006B35E6"/>
    <w:rsid w:val="006B3636"/>
    <w:rsid w:val="006B465A"/>
    <w:rsid w:val="006B4D21"/>
    <w:rsid w:val="006B52DE"/>
    <w:rsid w:val="006B6D34"/>
    <w:rsid w:val="006B6DD0"/>
    <w:rsid w:val="006B7606"/>
    <w:rsid w:val="006C0399"/>
    <w:rsid w:val="006C098D"/>
    <w:rsid w:val="006C0B51"/>
    <w:rsid w:val="006C10AD"/>
    <w:rsid w:val="006C2A8E"/>
    <w:rsid w:val="006C3255"/>
    <w:rsid w:val="006C373B"/>
    <w:rsid w:val="006C3F26"/>
    <w:rsid w:val="006C60D4"/>
    <w:rsid w:val="006D0130"/>
    <w:rsid w:val="006D09ED"/>
    <w:rsid w:val="006D0D17"/>
    <w:rsid w:val="006D0FA4"/>
    <w:rsid w:val="006D3C7D"/>
    <w:rsid w:val="006D441F"/>
    <w:rsid w:val="006D4659"/>
    <w:rsid w:val="006D53C6"/>
    <w:rsid w:val="006D5D5F"/>
    <w:rsid w:val="006D68FB"/>
    <w:rsid w:val="006E01AF"/>
    <w:rsid w:val="006E21B0"/>
    <w:rsid w:val="006E227C"/>
    <w:rsid w:val="006E2868"/>
    <w:rsid w:val="006E50CF"/>
    <w:rsid w:val="006E5487"/>
    <w:rsid w:val="006E56D1"/>
    <w:rsid w:val="006E5B78"/>
    <w:rsid w:val="006F061F"/>
    <w:rsid w:val="006F0F97"/>
    <w:rsid w:val="006F306C"/>
    <w:rsid w:val="006F320F"/>
    <w:rsid w:val="006F3B2C"/>
    <w:rsid w:val="006F63A5"/>
    <w:rsid w:val="006F685A"/>
    <w:rsid w:val="006F797C"/>
    <w:rsid w:val="0070142B"/>
    <w:rsid w:val="0070276E"/>
    <w:rsid w:val="00702F8F"/>
    <w:rsid w:val="0070772A"/>
    <w:rsid w:val="007079FC"/>
    <w:rsid w:val="00710737"/>
    <w:rsid w:val="007110C6"/>
    <w:rsid w:val="00711A36"/>
    <w:rsid w:val="0071268B"/>
    <w:rsid w:val="0071327D"/>
    <w:rsid w:val="007145FA"/>
    <w:rsid w:val="00714C26"/>
    <w:rsid w:val="0071529C"/>
    <w:rsid w:val="007170DA"/>
    <w:rsid w:val="007172AD"/>
    <w:rsid w:val="0071795C"/>
    <w:rsid w:val="00720801"/>
    <w:rsid w:val="00720A5E"/>
    <w:rsid w:val="00722B1B"/>
    <w:rsid w:val="0072385A"/>
    <w:rsid w:val="0072416F"/>
    <w:rsid w:val="00724A1C"/>
    <w:rsid w:val="00727703"/>
    <w:rsid w:val="00727C94"/>
    <w:rsid w:val="00730EB0"/>
    <w:rsid w:val="00731B0A"/>
    <w:rsid w:val="00731EAE"/>
    <w:rsid w:val="00733073"/>
    <w:rsid w:val="00735033"/>
    <w:rsid w:val="00735328"/>
    <w:rsid w:val="0073685B"/>
    <w:rsid w:val="00736DAC"/>
    <w:rsid w:val="00741662"/>
    <w:rsid w:val="007418EB"/>
    <w:rsid w:val="00743E8A"/>
    <w:rsid w:val="007447AF"/>
    <w:rsid w:val="007449BF"/>
    <w:rsid w:val="00745364"/>
    <w:rsid w:val="00745D3B"/>
    <w:rsid w:val="00746BC0"/>
    <w:rsid w:val="007510B4"/>
    <w:rsid w:val="00752142"/>
    <w:rsid w:val="007523F9"/>
    <w:rsid w:val="00753354"/>
    <w:rsid w:val="0075357E"/>
    <w:rsid w:val="007550DB"/>
    <w:rsid w:val="00755B06"/>
    <w:rsid w:val="00757084"/>
    <w:rsid w:val="007573E8"/>
    <w:rsid w:val="00760B9F"/>
    <w:rsid w:val="00760C4E"/>
    <w:rsid w:val="00760F9E"/>
    <w:rsid w:val="007627BE"/>
    <w:rsid w:val="007647E2"/>
    <w:rsid w:val="00764A63"/>
    <w:rsid w:val="00764F03"/>
    <w:rsid w:val="00765B1A"/>
    <w:rsid w:val="00771118"/>
    <w:rsid w:val="00777335"/>
    <w:rsid w:val="00780495"/>
    <w:rsid w:val="007832B6"/>
    <w:rsid w:val="007843F2"/>
    <w:rsid w:val="00785278"/>
    <w:rsid w:val="00785A9F"/>
    <w:rsid w:val="00787A5C"/>
    <w:rsid w:val="00791F2E"/>
    <w:rsid w:val="007920BE"/>
    <w:rsid w:val="007925DF"/>
    <w:rsid w:val="00792AE7"/>
    <w:rsid w:val="00792CE3"/>
    <w:rsid w:val="007976FB"/>
    <w:rsid w:val="00797972"/>
    <w:rsid w:val="007A072E"/>
    <w:rsid w:val="007A08AA"/>
    <w:rsid w:val="007A0993"/>
    <w:rsid w:val="007A0A12"/>
    <w:rsid w:val="007A132D"/>
    <w:rsid w:val="007A1345"/>
    <w:rsid w:val="007A2DDB"/>
    <w:rsid w:val="007A3CCF"/>
    <w:rsid w:val="007A4689"/>
    <w:rsid w:val="007A55B3"/>
    <w:rsid w:val="007A56E9"/>
    <w:rsid w:val="007A68CB"/>
    <w:rsid w:val="007A70BA"/>
    <w:rsid w:val="007A7810"/>
    <w:rsid w:val="007B0693"/>
    <w:rsid w:val="007B0869"/>
    <w:rsid w:val="007B0A52"/>
    <w:rsid w:val="007B0D68"/>
    <w:rsid w:val="007B251D"/>
    <w:rsid w:val="007B3044"/>
    <w:rsid w:val="007B4F58"/>
    <w:rsid w:val="007B528D"/>
    <w:rsid w:val="007B5E1B"/>
    <w:rsid w:val="007B63CA"/>
    <w:rsid w:val="007B77D1"/>
    <w:rsid w:val="007C07C7"/>
    <w:rsid w:val="007C083B"/>
    <w:rsid w:val="007C08AA"/>
    <w:rsid w:val="007C1CD9"/>
    <w:rsid w:val="007C32EF"/>
    <w:rsid w:val="007C361D"/>
    <w:rsid w:val="007C4701"/>
    <w:rsid w:val="007C4B84"/>
    <w:rsid w:val="007C657F"/>
    <w:rsid w:val="007C6DB8"/>
    <w:rsid w:val="007C6DFE"/>
    <w:rsid w:val="007C70FF"/>
    <w:rsid w:val="007C7C25"/>
    <w:rsid w:val="007D004F"/>
    <w:rsid w:val="007D0B38"/>
    <w:rsid w:val="007D12AC"/>
    <w:rsid w:val="007D290A"/>
    <w:rsid w:val="007D434A"/>
    <w:rsid w:val="007D4D1D"/>
    <w:rsid w:val="007D5440"/>
    <w:rsid w:val="007D62AC"/>
    <w:rsid w:val="007D69C2"/>
    <w:rsid w:val="007D69EB"/>
    <w:rsid w:val="007E128F"/>
    <w:rsid w:val="007E1B6F"/>
    <w:rsid w:val="007E3EA8"/>
    <w:rsid w:val="007E48D2"/>
    <w:rsid w:val="007E6607"/>
    <w:rsid w:val="007E7BF9"/>
    <w:rsid w:val="007F1017"/>
    <w:rsid w:val="007F17C5"/>
    <w:rsid w:val="007F1AE2"/>
    <w:rsid w:val="007F24AD"/>
    <w:rsid w:val="007F4495"/>
    <w:rsid w:val="007F4A3F"/>
    <w:rsid w:val="007F4A61"/>
    <w:rsid w:val="007F5255"/>
    <w:rsid w:val="007F56CC"/>
    <w:rsid w:val="007F61C2"/>
    <w:rsid w:val="007F776E"/>
    <w:rsid w:val="008013AD"/>
    <w:rsid w:val="00803399"/>
    <w:rsid w:val="00804CAE"/>
    <w:rsid w:val="00805142"/>
    <w:rsid w:val="00805FCE"/>
    <w:rsid w:val="00806D8A"/>
    <w:rsid w:val="00807A8B"/>
    <w:rsid w:val="00811383"/>
    <w:rsid w:val="00811E61"/>
    <w:rsid w:val="00812149"/>
    <w:rsid w:val="008125F9"/>
    <w:rsid w:val="00812CAC"/>
    <w:rsid w:val="00816361"/>
    <w:rsid w:val="008166EF"/>
    <w:rsid w:val="00816FEF"/>
    <w:rsid w:val="0081730A"/>
    <w:rsid w:val="0082027F"/>
    <w:rsid w:val="00820A8C"/>
    <w:rsid w:val="00820F7F"/>
    <w:rsid w:val="00821490"/>
    <w:rsid w:val="008215FB"/>
    <w:rsid w:val="00821F17"/>
    <w:rsid w:val="00823174"/>
    <w:rsid w:val="008244FF"/>
    <w:rsid w:val="00824590"/>
    <w:rsid w:val="00824F72"/>
    <w:rsid w:val="00825751"/>
    <w:rsid w:val="00825940"/>
    <w:rsid w:val="008264EB"/>
    <w:rsid w:val="0082659E"/>
    <w:rsid w:val="00832182"/>
    <w:rsid w:val="00832A86"/>
    <w:rsid w:val="00832EB0"/>
    <w:rsid w:val="008333FC"/>
    <w:rsid w:val="00833B05"/>
    <w:rsid w:val="00834324"/>
    <w:rsid w:val="008362B4"/>
    <w:rsid w:val="00836337"/>
    <w:rsid w:val="00840CA2"/>
    <w:rsid w:val="0084374F"/>
    <w:rsid w:val="00843C30"/>
    <w:rsid w:val="00844A22"/>
    <w:rsid w:val="008453CC"/>
    <w:rsid w:val="00847703"/>
    <w:rsid w:val="00847DF5"/>
    <w:rsid w:val="00850F35"/>
    <w:rsid w:val="00851064"/>
    <w:rsid w:val="00851DF0"/>
    <w:rsid w:val="00853060"/>
    <w:rsid w:val="0085309D"/>
    <w:rsid w:val="008533B2"/>
    <w:rsid w:val="00855489"/>
    <w:rsid w:val="00856897"/>
    <w:rsid w:val="00856E9A"/>
    <w:rsid w:val="0086075D"/>
    <w:rsid w:val="00862502"/>
    <w:rsid w:val="00862CC1"/>
    <w:rsid w:val="00863F4B"/>
    <w:rsid w:val="00864697"/>
    <w:rsid w:val="00865ABF"/>
    <w:rsid w:val="008660D4"/>
    <w:rsid w:val="0086671A"/>
    <w:rsid w:val="00867771"/>
    <w:rsid w:val="0087084B"/>
    <w:rsid w:val="008718B1"/>
    <w:rsid w:val="00871FA9"/>
    <w:rsid w:val="008728E9"/>
    <w:rsid w:val="00873B00"/>
    <w:rsid w:val="0087440D"/>
    <w:rsid w:val="00876AD3"/>
    <w:rsid w:val="00882177"/>
    <w:rsid w:val="00882874"/>
    <w:rsid w:val="00882882"/>
    <w:rsid w:val="00882E3C"/>
    <w:rsid w:val="00883787"/>
    <w:rsid w:val="00884AB1"/>
    <w:rsid w:val="008855E4"/>
    <w:rsid w:val="00886CD2"/>
    <w:rsid w:val="00890177"/>
    <w:rsid w:val="008912DD"/>
    <w:rsid w:val="0089154D"/>
    <w:rsid w:val="008919D6"/>
    <w:rsid w:val="00891E6F"/>
    <w:rsid w:val="0089275D"/>
    <w:rsid w:val="00892A36"/>
    <w:rsid w:val="00893239"/>
    <w:rsid w:val="0089343B"/>
    <w:rsid w:val="00894489"/>
    <w:rsid w:val="00895F09"/>
    <w:rsid w:val="008963A5"/>
    <w:rsid w:val="00896D5D"/>
    <w:rsid w:val="00897FCB"/>
    <w:rsid w:val="008A19DC"/>
    <w:rsid w:val="008A3363"/>
    <w:rsid w:val="008A3371"/>
    <w:rsid w:val="008A3718"/>
    <w:rsid w:val="008A3C3E"/>
    <w:rsid w:val="008A4855"/>
    <w:rsid w:val="008A5BFC"/>
    <w:rsid w:val="008A79DE"/>
    <w:rsid w:val="008A7ADB"/>
    <w:rsid w:val="008B08D5"/>
    <w:rsid w:val="008B1757"/>
    <w:rsid w:val="008B1EAC"/>
    <w:rsid w:val="008B2FA4"/>
    <w:rsid w:val="008B32EC"/>
    <w:rsid w:val="008B456A"/>
    <w:rsid w:val="008B50C1"/>
    <w:rsid w:val="008B7992"/>
    <w:rsid w:val="008B7D7E"/>
    <w:rsid w:val="008B7D8D"/>
    <w:rsid w:val="008C06FB"/>
    <w:rsid w:val="008C0C95"/>
    <w:rsid w:val="008C26CB"/>
    <w:rsid w:val="008C2B7F"/>
    <w:rsid w:val="008C2F94"/>
    <w:rsid w:val="008C47FD"/>
    <w:rsid w:val="008C482D"/>
    <w:rsid w:val="008C4D24"/>
    <w:rsid w:val="008C5610"/>
    <w:rsid w:val="008C5739"/>
    <w:rsid w:val="008C6ECF"/>
    <w:rsid w:val="008C74AB"/>
    <w:rsid w:val="008C7B51"/>
    <w:rsid w:val="008C7ECB"/>
    <w:rsid w:val="008D180C"/>
    <w:rsid w:val="008D1AF3"/>
    <w:rsid w:val="008D2B44"/>
    <w:rsid w:val="008D3B6C"/>
    <w:rsid w:val="008D3B86"/>
    <w:rsid w:val="008D4755"/>
    <w:rsid w:val="008D4C3D"/>
    <w:rsid w:val="008D6DBE"/>
    <w:rsid w:val="008D743C"/>
    <w:rsid w:val="008E0D3C"/>
    <w:rsid w:val="008E1549"/>
    <w:rsid w:val="008E1B9E"/>
    <w:rsid w:val="008E3205"/>
    <w:rsid w:val="008E55AB"/>
    <w:rsid w:val="008E63C5"/>
    <w:rsid w:val="008E7A66"/>
    <w:rsid w:val="008F08B9"/>
    <w:rsid w:val="008F120A"/>
    <w:rsid w:val="008F130A"/>
    <w:rsid w:val="008F27E0"/>
    <w:rsid w:val="008F29E4"/>
    <w:rsid w:val="008F48EB"/>
    <w:rsid w:val="008F4F0B"/>
    <w:rsid w:val="008F51B2"/>
    <w:rsid w:val="008F5614"/>
    <w:rsid w:val="008F5836"/>
    <w:rsid w:val="008F6A07"/>
    <w:rsid w:val="008F7646"/>
    <w:rsid w:val="009046C4"/>
    <w:rsid w:val="0090476B"/>
    <w:rsid w:val="009062A5"/>
    <w:rsid w:val="00906AA6"/>
    <w:rsid w:val="009071C8"/>
    <w:rsid w:val="009106A7"/>
    <w:rsid w:val="009106D3"/>
    <w:rsid w:val="009107B2"/>
    <w:rsid w:val="00910FA7"/>
    <w:rsid w:val="00911272"/>
    <w:rsid w:val="009128D9"/>
    <w:rsid w:val="00913048"/>
    <w:rsid w:val="009135D6"/>
    <w:rsid w:val="00914021"/>
    <w:rsid w:val="00914C77"/>
    <w:rsid w:val="009152F0"/>
    <w:rsid w:val="009167B6"/>
    <w:rsid w:val="0091706F"/>
    <w:rsid w:val="00921ACB"/>
    <w:rsid w:val="009226B4"/>
    <w:rsid w:val="0092369B"/>
    <w:rsid w:val="00925FD7"/>
    <w:rsid w:val="00934988"/>
    <w:rsid w:val="00937089"/>
    <w:rsid w:val="0094196D"/>
    <w:rsid w:val="0094263F"/>
    <w:rsid w:val="00943E25"/>
    <w:rsid w:val="00944F8A"/>
    <w:rsid w:val="00945940"/>
    <w:rsid w:val="00950692"/>
    <w:rsid w:val="00950E95"/>
    <w:rsid w:val="009510A2"/>
    <w:rsid w:val="00951176"/>
    <w:rsid w:val="0095152D"/>
    <w:rsid w:val="00953257"/>
    <w:rsid w:val="0095474C"/>
    <w:rsid w:val="00955D1C"/>
    <w:rsid w:val="009603AA"/>
    <w:rsid w:val="00961761"/>
    <w:rsid w:val="009628A7"/>
    <w:rsid w:val="0096297A"/>
    <w:rsid w:val="00962CB9"/>
    <w:rsid w:val="00962F91"/>
    <w:rsid w:val="00964312"/>
    <w:rsid w:val="00965327"/>
    <w:rsid w:val="00965863"/>
    <w:rsid w:val="00965A2D"/>
    <w:rsid w:val="00965B8A"/>
    <w:rsid w:val="00966587"/>
    <w:rsid w:val="0096666A"/>
    <w:rsid w:val="00967E56"/>
    <w:rsid w:val="0097071F"/>
    <w:rsid w:val="009717AC"/>
    <w:rsid w:val="0097192C"/>
    <w:rsid w:val="0097256A"/>
    <w:rsid w:val="009751C1"/>
    <w:rsid w:val="009756DB"/>
    <w:rsid w:val="00975B43"/>
    <w:rsid w:val="009764B8"/>
    <w:rsid w:val="0097709C"/>
    <w:rsid w:val="00977772"/>
    <w:rsid w:val="009811F1"/>
    <w:rsid w:val="009819B0"/>
    <w:rsid w:val="00981CB0"/>
    <w:rsid w:val="00983E57"/>
    <w:rsid w:val="00984504"/>
    <w:rsid w:val="00985B14"/>
    <w:rsid w:val="00985DE2"/>
    <w:rsid w:val="0098675D"/>
    <w:rsid w:val="009870C3"/>
    <w:rsid w:val="009926E0"/>
    <w:rsid w:val="009929C5"/>
    <w:rsid w:val="00994171"/>
    <w:rsid w:val="0099451E"/>
    <w:rsid w:val="00996B1A"/>
    <w:rsid w:val="00996E06"/>
    <w:rsid w:val="0099705C"/>
    <w:rsid w:val="009A0602"/>
    <w:rsid w:val="009A0914"/>
    <w:rsid w:val="009A2DCC"/>
    <w:rsid w:val="009A318D"/>
    <w:rsid w:val="009A37A7"/>
    <w:rsid w:val="009A5A02"/>
    <w:rsid w:val="009A5ABC"/>
    <w:rsid w:val="009A7F10"/>
    <w:rsid w:val="009B2371"/>
    <w:rsid w:val="009B3E26"/>
    <w:rsid w:val="009B4417"/>
    <w:rsid w:val="009B5872"/>
    <w:rsid w:val="009B6A3D"/>
    <w:rsid w:val="009B6C16"/>
    <w:rsid w:val="009B74CC"/>
    <w:rsid w:val="009B773E"/>
    <w:rsid w:val="009B79B9"/>
    <w:rsid w:val="009B7E93"/>
    <w:rsid w:val="009C098F"/>
    <w:rsid w:val="009C21E4"/>
    <w:rsid w:val="009C3706"/>
    <w:rsid w:val="009C3A3A"/>
    <w:rsid w:val="009C3EC3"/>
    <w:rsid w:val="009C58F5"/>
    <w:rsid w:val="009C6CEA"/>
    <w:rsid w:val="009C6E9E"/>
    <w:rsid w:val="009C7520"/>
    <w:rsid w:val="009C78FD"/>
    <w:rsid w:val="009C7B85"/>
    <w:rsid w:val="009D0254"/>
    <w:rsid w:val="009D0560"/>
    <w:rsid w:val="009D1170"/>
    <w:rsid w:val="009D1689"/>
    <w:rsid w:val="009D1A64"/>
    <w:rsid w:val="009D34CA"/>
    <w:rsid w:val="009D39CB"/>
    <w:rsid w:val="009D466C"/>
    <w:rsid w:val="009D506E"/>
    <w:rsid w:val="009D5B91"/>
    <w:rsid w:val="009D66B8"/>
    <w:rsid w:val="009D66C5"/>
    <w:rsid w:val="009D6799"/>
    <w:rsid w:val="009D7085"/>
    <w:rsid w:val="009D7087"/>
    <w:rsid w:val="009D792E"/>
    <w:rsid w:val="009E0B5C"/>
    <w:rsid w:val="009E0DFE"/>
    <w:rsid w:val="009E27F7"/>
    <w:rsid w:val="009E31F6"/>
    <w:rsid w:val="009E3F70"/>
    <w:rsid w:val="009E4C07"/>
    <w:rsid w:val="009F0272"/>
    <w:rsid w:val="009F06B7"/>
    <w:rsid w:val="009F0DEE"/>
    <w:rsid w:val="009F1CBE"/>
    <w:rsid w:val="009F281B"/>
    <w:rsid w:val="009F31A3"/>
    <w:rsid w:val="009F34AA"/>
    <w:rsid w:val="009F4B99"/>
    <w:rsid w:val="009F51A5"/>
    <w:rsid w:val="009F560C"/>
    <w:rsid w:val="009F5895"/>
    <w:rsid w:val="009F6101"/>
    <w:rsid w:val="009F7E35"/>
    <w:rsid w:val="00A01184"/>
    <w:rsid w:val="00A011E8"/>
    <w:rsid w:val="00A02A37"/>
    <w:rsid w:val="00A033D8"/>
    <w:rsid w:val="00A03507"/>
    <w:rsid w:val="00A037C2"/>
    <w:rsid w:val="00A03D43"/>
    <w:rsid w:val="00A04380"/>
    <w:rsid w:val="00A05472"/>
    <w:rsid w:val="00A05501"/>
    <w:rsid w:val="00A05C32"/>
    <w:rsid w:val="00A05D2D"/>
    <w:rsid w:val="00A0653F"/>
    <w:rsid w:val="00A11619"/>
    <w:rsid w:val="00A11CD0"/>
    <w:rsid w:val="00A13948"/>
    <w:rsid w:val="00A13E41"/>
    <w:rsid w:val="00A14C25"/>
    <w:rsid w:val="00A1555B"/>
    <w:rsid w:val="00A155C5"/>
    <w:rsid w:val="00A16AD8"/>
    <w:rsid w:val="00A21C95"/>
    <w:rsid w:val="00A21CF3"/>
    <w:rsid w:val="00A21F18"/>
    <w:rsid w:val="00A247C6"/>
    <w:rsid w:val="00A24813"/>
    <w:rsid w:val="00A27385"/>
    <w:rsid w:val="00A27AEC"/>
    <w:rsid w:val="00A27E46"/>
    <w:rsid w:val="00A30D32"/>
    <w:rsid w:val="00A320DB"/>
    <w:rsid w:val="00A32D56"/>
    <w:rsid w:val="00A34753"/>
    <w:rsid w:val="00A35D16"/>
    <w:rsid w:val="00A3640F"/>
    <w:rsid w:val="00A36B2D"/>
    <w:rsid w:val="00A37BCD"/>
    <w:rsid w:val="00A40FF2"/>
    <w:rsid w:val="00A41689"/>
    <w:rsid w:val="00A42592"/>
    <w:rsid w:val="00A43C59"/>
    <w:rsid w:val="00A4556E"/>
    <w:rsid w:val="00A45769"/>
    <w:rsid w:val="00A479FD"/>
    <w:rsid w:val="00A47D1D"/>
    <w:rsid w:val="00A50871"/>
    <w:rsid w:val="00A50C0E"/>
    <w:rsid w:val="00A50ECD"/>
    <w:rsid w:val="00A518F3"/>
    <w:rsid w:val="00A51E9A"/>
    <w:rsid w:val="00A52729"/>
    <w:rsid w:val="00A53675"/>
    <w:rsid w:val="00A550D5"/>
    <w:rsid w:val="00A564D7"/>
    <w:rsid w:val="00A56B6A"/>
    <w:rsid w:val="00A578DC"/>
    <w:rsid w:val="00A634DD"/>
    <w:rsid w:val="00A640E2"/>
    <w:rsid w:val="00A64D65"/>
    <w:rsid w:val="00A6581A"/>
    <w:rsid w:val="00A66748"/>
    <w:rsid w:val="00A6725B"/>
    <w:rsid w:val="00A70605"/>
    <w:rsid w:val="00A7104D"/>
    <w:rsid w:val="00A73134"/>
    <w:rsid w:val="00A73E64"/>
    <w:rsid w:val="00A76001"/>
    <w:rsid w:val="00A76E59"/>
    <w:rsid w:val="00A777B2"/>
    <w:rsid w:val="00A81C1B"/>
    <w:rsid w:val="00A825D4"/>
    <w:rsid w:val="00A828F6"/>
    <w:rsid w:val="00A82B73"/>
    <w:rsid w:val="00A830AF"/>
    <w:rsid w:val="00A8353C"/>
    <w:rsid w:val="00A83BE9"/>
    <w:rsid w:val="00A84665"/>
    <w:rsid w:val="00A84891"/>
    <w:rsid w:val="00A851E5"/>
    <w:rsid w:val="00A854F5"/>
    <w:rsid w:val="00A86E8B"/>
    <w:rsid w:val="00A87164"/>
    <w:rsid w:val="00A87625"/>
    <w:rsid w:val="00A87C08"/>
    <w:rsid w:val="00A87CB3"/>
    <w:rsid w:val="00A90F81"/>
    <w:rsid w:val="00A9114C"/>
    <w:rsid w:val="00A91AF5"/>
    <w:rsid w:val="00A93072"/>
    <w:rsid w:val="00A938BD"/>
    <w:rsid w:val="00A938D0"/>
    <w:rsid w:val="00A93953"/>
    <w:rsid w:val="00A94A32"/>
    <w:rsid w:val="00A959D8"/>
    <w:rsid w:val="00AA113D"/>
    <w:rsid w:val="00AA26CE"/>
    <w:rsid w:val="00AA3773"/>
    <w:rsid w:val="00AA37D7"/>
    <w:rsid w:val="00AA4CCC"/>
    <w:rsid w:val="00AA5C5C"/>
    <w:rsid w:val="00AA5F0F"/>
    <w:rsid w:val="00AA6BD5"/>
    <w:rsid w:val="00AA6BD8"/>
    <w:rsid w:val="00AA6C7D"/>
    <w:rsid w:val="00AA79A3"/>
    <w:rsid w:val="00AA7FD6"/>
    <w:rsid w:val="00AB042A"/>
    <w:rsid w:val="00AB0A42"/>
    <w:rsid w:val="00AB19EF"/>
    <w:rsid w:val="00AB2D34"/>
    <w:rsid w:val="00AB3430"/>
    <w:rsid w:val="00AB37B9"/>
    <w:rsid w:val="00AB3A68"/>
    <w:rsid w:val="00AB4AD1"/>
    <w:rsid w:val="00AB5E07"/>
    <w:rsid w:val="00AB6221"/>
    <w:rsid w:val="00AB6A54"/>
    <w:rsid w:val="00AB6C64"/>
    <w:rsid w:val="00AB7CFA"/>
    <w:rsid w:val="00AC0032"/>
    <w:rsid w:val="00AC191F"/>
    <w:rsid w:val="00AC5B48"/>
    <w:rsid w:val="00AD1450"/>
    <w:rsid w:val="00AD39E8"/>
    <w:rsid w:val="00AD6502"/>
    <w:rsid w:val="00AD6773"/>
    <w:rsid w:val="00AD71A3"/>
    <w:rsid w:val="00AD75A2"/>
    <w:rsid w:val="00AE0695"/>
    <w:rsid w:val="00AE16EB"/>
    <w:rsid w:val="00AE3D22"/>
    <w:rsid w:val="00AE3E7E"/>
    <w:rsid w:val="00AE43AD"/>
    <w:rsid w:val="00AE6A3B"/>
    <w:rsid w:val="00AE76A5"/>
    <w:rsid w:val="00AE7B19"/>
    <w:rsid w:val="00AE7C75"/>
    <w:rsid w:val="00AF0087"/>
    <w:rsid w:val="00AF07E0"/>
    <w:rsid w:val="00AF1315"/>
    <w:rsid w:val="00AF13B1"/>
    <w:rsid w:val="00AF19BF"/>
    <w:rsid w:val="00AF2360"/>
    <w:rsid w:val="00AF2AC3"/>
    <w:rsid w:val="00AF2DC3"/>
    <w:rsid w:val="00AF3D06"/>
    <w:rsid w:val="00AF6F66"/>
    <w:rsid w:val="00B033E5"/>
    <w:rsid w:val="00B03A63"/>
    <w:rsid w:val="00B04786"/>
    <w:rsid w:val="00B04DF9"/>
    <w:rsid w:val="00B06256"/>
    <w:rsid w:val="00B068EE"/>
    <w:rsid w:val="00B11899"/>
    <w:rsid w:val="00B13EAF"/>
    <w:rsid w:val="00B13F03"/>
    <w:rsid w:val="00B1429C"/>
    <w:rsid w:val="00B14A4D"/>
    <w:rsid w:val="00B15071"/>
    <w:rsid w:val="00B15BF2"/>
    <w:rsid w:val="00B1779B"/>
    <w:rsid w:val="00B201A4"/>
    <w:rsid w:val="00B201D1"/>
    <w:rsid w:val="00B20BD6"/>
    <w:rsid w:val="00B213A6"/>
    <w:rsid w:val="00B23074"/>
    <w:rsid w:val="00B235B0"/>
    <w:rsid w:val="00B24DF6"/>
    <w:rsid w:val="00B269D8"/>
    <w:rsid w:val="00B26DB7"/>
    <w:rsid w:val="00B30F00"/>
    <w:rsid w:val="00B33821"/>
    <w:rsid w:val="00B34FE2"/>
    <w:rsid w:val="00B35166"/>
    <w:rsid w:val="00B357D8"/>
    <w:rsid w:val="00B35B58"/>
    <w:rsid w:val="00B360F4"/>
    <w:rsid w:val="00B364C8"/>
    <w:rsid w:val="00B36718"/>
    <w:rsid w:val="00B36A00"/>
    <w:rsid w:val="00B37BFC"/>
    <w:rsid w:val="00B40358"/>
    <w:rsid w:val="00B4091F"/>
    <w:rsid w:val="00B41614"/>
    <w:rsid w:val="00B41C13"/>
    <w:rsid w:val="00B42851"/>
    <w:rsid w:val="00B42D5B"/>
    <w:rsid w:val="00B42F80"/>
    <w:rsid w:val="00B43399"/>
    <w:rsid w:val="00B435CB"/>
    <w:rsid w:val="00B50297"/>
    <w:rsid w:val="00B505C8"/>
    <w:rsid w:val="00B50640"/>
    <w:rsid w:val="00B50DB8"/>
    <w:rsid w:val="00B51349"/>
    <w:rsid w:val="00B51621"/>
    <w:rsid w:val="00B5230B"/>
    <w:rsid w:val="00B53654"/>
    <w:rsid w:val="00B53905"/>
    <w:rsid w:val="00B54B5B"/>
    <w:rsid w:val="00B5562E"/>
    <w:rsid w:val="00B55D65"/>
    <w:rsid w:val="00B564E9"/>
    <w:rsid w:val="00B57000"/>
    <w:rsid w:val="00B60939"/>
    <w:rsid w:val="00B60AFD"/>
    <w:rsid w:val="00B61CD9"/>
    <w:rsid w:val="00B61FEE"/>
    <w:rsid w:val="00B62715"/>
    <w:rsid w:val="00B638BD"/>
    <w:rsid w:val="00B651E2"/>
    <w:rsid w:val="00B65611"/>
    <w:rsid w:val="00B67C23"/>
    <w:rsid w:val="00B70261"/>
    <w:rsid w:val="00B70E8E"/>
    <w:rsid w:val="00B72ADE"/>
    <w:rsid w:val="00B737B2"/>
    <w:rsid w:val="00B74BBA"/>
    <w:rsid w:val="00B76C92"/>
    <w:rsid w:val="00B77418"/>
    <w:rsid w:val="00B8091D"/>
    <w:rsid w:val="00B818A4"/>
    <w:rsid w:val="00B82436"/>
    <w:rsid w:val="00B82603"/>
    <w:rsid w:val="00B84117"/>
    <w:rsid w:val="00B858F0"/>
    <w:rsid w:val="00B85AA2"/>
    <w:rsid w:val="00B85F46"/>
    <w:rsid w:val="00B85FBB"/>
    <w:rsid w:val="00B8649C"/>
    <w:rsid w:val="00B8695D"/>
    <w:rsid w:val="00B87F0A"/>
    <w:rsid w:val="00B90D14"/>
    <w:rsid w:val="00B91147"/>
    <w:rsid w:val="00B923FE"/>
    <w:rsid w:val="00B92CA0"/>
    <w:rsid w:val="00B92D0B"/>
    <w:rsid w:val="00B94945"/>
    <w:rsid w:val="00B94DD6"/>
    <w:rsid w:val="00B97638"/>
    <w:rsid w:val="00BA0768"/>
    <w:rsid w:val="00BA0ECA"/>
    <w:rsid w:val="00BA1CCB"/>
    <w:rsid w:val="00BA2106"/>
    <w:rsid w:val="00BA2F95"/>
    <w:rsid w:val="00BA322D"/>
    <w:rsid w:val="00BA33F4"/>
    <w:rsid w:val="00BA63FA"/>
    <w:rsid w:val="00BA7418"/>
    <w:rsid w:val="00BB00B3"/>
    <w:rsid w:val="00BB0B5F"/>
    <w:rsid w:val="00BB0BDD"/>
    <w:rsid w:val="00BB0F82"/>
    <w:rsid w:val="00BB15FA"/>
    <w:rsid w:val="00BB176C"/>
    <w:rsid w:val="00BB2A73"/>
    <w:rsid w:val="00BB3A45"/>
    <w:rsid w:val="00BB3C4B"/>
    <w:rsid w:val="00BB401F"/>
    <w:rsid w:val="00BB4713"/>
    <w:rsid w:val="00BB4ACC"/>
    <w:rsid w:val="00BB5128"/>
    <w:rsid w:val="00BB5D80"/>
    <w:rsid w:val="00BB6829"/>
    <w:rsid w:val="00BB703E"/>
    <w:rsid w:val="00BB732D"/>
    <w:rsid w:val="00BB7405"/>
    <w:rsid w:val="00BC3631"/>
    <w:rsid w:val="00BC3E3A"/>
    <w:rsid w:val="00BC436C"/>
    <w:rsid w:val="00BC4449"/>
    <w:rsid w:val="00BC4CB8"/>
    <w:rsid w:val="00BC591F"/>
    <w:rsid w:val="00BC629F"/>
    <w:rsid w:val="00BC71F9"/>
    <w:rsid w:val="00BC7D6D"/>
    <w:rsid w:val="00BD0845"/>
    <w:rsid w:val="00BD2108"/>
    <w:rsid w:val="00BD2146"/>
    <w:rsid w:val="00BD2FA0"/>
    <w:rsid w:val="00BD6087"/>
    <w:rsid w:val="00BD642E"/>
    <w:rsid w:val="00BD68A3"/>
    <w:rsid w:val="00BD6938"/>
    <w:rsid w:val="00BD6CF3"/>
    <w:rsid w:val="00BE0ECA"/>
    <w:rsid w:val="00BE1796"/>
    <w:rsid w:val="00BE1B7F"/>
    <w:rsid w:val="00BE2180"/>
    <w:rsid w:val="00BE21F2"/>
    <w:rsid w:val="00BE24BF"/>
    <w:rsid w:val="00BE2AE7"/>
    <w:rsid w:val="00BE3FC5"/>
    <w:rsid w:val="00BE4275"/>
    <w:rsid w:val="00BE45DE"/>
    <w:rsid w:val="00BE4EDF"/>
    <w:rsid w:val="00BE6650"/>
    <w:rsid w:val="00BE766B"/>
    <w:rsid w:val="00BE7C1C"/>
    <w:rsid w:val="00BF06AE"/>
    <w:rsid w:val="00BF0E34"/>
    <w:rsid w:val="00BF0F95"/>
    <w:rsid w:val="00BF165E"/>
    <w:rsid w:val="00BF2142"/>
    <w:rsid w:val="00BF2188"/>
    <w:rsid w:val="00BF2433"/>
    <w:rsid w:val="00BF2E02"/>
    <w:rsid w:val="00BF30EE"/>
    <w:rsid w:val="00BF3760"/>
    <w:rsid w:val="00BF61C9"/>
    <w:rsid w:val="00BF6C94"/>
    <w:rsid w:val="00BF7D8C"/>
    <w:rsid w:val="00C00424"/>
    <w:rsid w:val="00C02897"/>
    <w:rsid w:val="00C02F6E"/>
    <w:rsid w:val="00C05E2D"/>
    <w:rsid w:val="00C109D2"/>
    <w:rsid w:val="00C1119C"/>
    <w:rsid w:val="00C1179F"/>
    <w:rsid w:val="00C12088"/>
    <w:rsid w:val="00C12BC7"/>
    <w:rsid w:val="00C12C14"/>
    <w:rsid w:val="00C12C5A"/>
    <w:rsid w:val="00C12D2F"/>
    <w:rsid w:val="00C15F04"/>
    <w:rsid w:val="00C166B4"/>
    <w:rsid w:val="00C167DA"/>
    <w:rsid w:val="00C179B3"/>
    <w:rsid w:val="00C17E3F"/>
    <w:rsid w:val="00C200AA"/>
    <w:rsid w:val="00C20467"/>
    <w:rsid w:val="00C20517"/>
    <w:rsid w:val="00C20AC8"/>
    <w:rsid w:val="00C20E07"/>
    <w:rsid w:val="00C228B0"/>
    <w:rsid w:val="00C237ED"/>
    <w:rsid w:val="00C24207"/>
    <w:rsid w:val="00C24632"/>
    <w:rsid w:val="00C248C4"/>
    <w:rsid w:val="00C24D87"/>
    <w:rsid w:val="00C25418"/>
    <w:rsid w:val="00C25D9C"/>
    <w:rsid w:val="00C25FB4"/>
    <w:rsid w:val="00C2778B"/>
    <w:rsid w:val="00C31649"/>
    <w:rsid w:val="00C3194C"/>
    <w:rsid w:val="00C31FC4"/>
    <w:rsid w:val="00C33173"/>
    <w:rsid w:val="00C33365"/>
    <w:rsid w:val="00C33474"/>
    <w:rsid w:val="00C33680"/>
    <w:rsid w:val="00C33874"/>
    <w:rsid w:val="00C342BE"/>
    <w:rsid w:val="00C3434C"/>
    <w:rsid w:val="00C35924"/>
    <w:rsid w:val="00C3631D"/>
    <w:rsid w:val="00C37264"/>
    <w:rsid w:val="00C40385"/>
    <w:rsid w:val="00C41768"/>
    <w:rsid w:val="00C41996"/>
    <w:rsid w:val="00C4253D"/>
    <w:rsid w:val="00C4336C"/>
    <w:rsid w:val="00C43887"/>
    <w:rsid w:val="00C45083"/>
    <w:rsid w:val="00C470CD"/>
    <w:rsid w:val="00C475AA"/>
    <w:rsid w:val="00C5156D"/>
    <w:rsid w:val="00C51A4A"/>
    <w:rsid w:val="00C53C98"/>
    <w:rsid w:val="00C546CC"/>
    <w:rsid w:val="00C547B5"/>
    <w:rsid w:val="00C5490A"/>
    <w:rsid w:val="00C551E9"/>
    <w:rsid w:val="00C56FCF"/>
    <w:rsid w:val="00C573FE"/>
    <w:rsid w:val="00C57603"/>
    <w:rsid w:val="00C57B6C"/>
    <w:rsid w:val="00C628A6"/>
    <w:rsid w:val="00C62E45"/>
    <w:rsid w:val="00C64344"/>
    <w:rsid w:val="00C64A83"/>
    <w:rsid w:val="00C65108"/>
    <w:rsid w:val="00C653FD"/>
    <w:rsid w:val="00C65576"/>
    <w:rsid w:val="00C66165"/>
    <w:rsid w:val="00C7060A"/>
    <w:rsid w:val="00C70A75"/>
    <w:rsid w:val="00C7151A"/>
    <w:rsid w:val="00C717E3"/>
    <w:rsid w:val="00C71F60"/>
    <w:rsid w:val="00C72241"/>
    <w:rsid w:val="00C736A3"/>
    <w:rsid w:val="00C7503B"/>
    <w:rsid w:val="00C750C8"/>
    <w:rsid w:val="00C7560F"/>
    <w:rsid w:val="00C7783B"/>
    <w:rsid w:val="00C80A0E"/>
    <w:rsid w:val="00C80B53"/>
    <w:rsid w:val="00C80EA1"/>
    <w:rsid w:val="00C81D61"/>
    <w:rsid w:val="00C8213F"/>
    <w:rsid w:val="00C82802"/>
    <w:rsid w:val="00C85154"/>
    <w:rsid w:val="00C8529A"/>
    <w:rsid w:val="00C85F3F"/>
    <w:rsid w:val="00C871C2"/>
    <w:rsid w:val="00C8797A"/>
    <w:rsid w:val="00C87AE4"/>
    <w:rsid w:val="00C900B8"/>
    <w:rsid w:val="00C902FB"/>
    <w:rsid w:val="00C90C71"/>
    <w:rsid w:val="00C90FE4"/>
    <w:rsid w:val="00C91FD1"/>
    <w:rsid w:val="00C931CF"/>
    <w:rsid w:val="00C93258"/>
    <w:rsid w:val="00C938CF"/>
    <w:rsid w:val="00C94053"/>
    <w:rsid w:val="00C94704"/>
    <w:rsid w:val="00C9525F"/>
    <w:rsid w:val="00C9624D"/>
    <w:rsid w:val="00C969DA"/>
    <w:rsid w:val="00C96B02"/>
    <w:rsid w:val="00C96B15"/>
    <w:rsid w:val="00CA0DDC"/>
    <w:rsid w:val="00CA2C77"/>
    <w:rsid w:val="00CA2CD1"/>
    <w:rsid w:val="00CA3C21"/>
    <w:rsid w:val="00CA444F"/>
    <w:rsid w:val="00CA508F"/>
    <w:rsid w:val="00CA5245"/>
    <w:rsid w:val="00CA5844"/>
    <w:rsid w:val="00CA65D8"/>
    <w:rsid w:val="00CA71F4"/>
    <w:rsid w:val="00CA7B09"/>
    <w:rsid w:val="00CB12A5"/>
    <w:rsid w:val="00CB12FF"/>
    <w:rsid w:val="00CB1CAC"/>
    <w:rsid w:val="00CB2F2A"/>
    <w:rsid w:val="00CB5B1A"/>
    <w:rsid w:val="00CB6272"/>
    <w:rsid w:val="00CB6B22"/>
    <w:rsid w:val="00CB7F5F"/>
    <w:rsid w:val="00CC1B39"/>
    <w:rsid w:val="00CC35EA"/>
    <w:rsid w:val="00CC3848"/>
    <w:rsid w:val="00CC40DD"/>
    <w:rsid w:val="00CD1551"/>
    <w:rsid w:val="00CD2100"/>
    <w:rsid w:val="00CD25C3"/>
    <w:rsid w:val="00CD2C1B"/>
    <w:rsid w:val="00CD32A8"/>
    <w:rsid w:val="00CD3E6F"/>
    <w:rsid w:val="00CD3F77"/>
    <w:rsid w:val="00CD401D"/>
    <w:rsid w:val="00CD4035"/>
    <w:rsid w:val="00CD429B"/>
    <w:rsid w:val="00CD4848"/>
    <w:rsid w:val="00CD6ADC"/>
    <w:rsid w:val="00CD7193"/>
    <w:rsid w:val="00CD747F"/>
    <w:rsid w:val="00CD77AA"/>
    <w:rsid w:val="00CE0733"/>
    <w:rsid w:val="00CE1AAC"/>
    <w:rsid w:val="00CE1D04"/>
    <w:rsid w:val="00CE306C"/>
    <w:rsid w:val="00CE38C8"/>
    <w:rsid w:val="00CE49F1"/>
    <w:rsid w:val="00CE58D8"/>
    <w:rsid w:val="00CE6274"/>
    <w:rsid w:val="00CE6282"/>
    <w:rsid w:val="00CE6AE0"/>
    <w:rsid w:val="00CE77B6"/>
    <w:rsid w:val="00CE7FFA"/>
    <w:rsid w:val="00CF07F1"/>
    <w:rsid w:val="00CF1B10"/>
    <w:rsid w:val="00CF1F54"/>
    <w:rsid w:val="00CF2247"/>
    <w:rsid w:val="00CF2B8D"/>
    <w:rsid w:val="00CF2CEA"/>
    <w:rsid w:val="00CF456B"/>
    <w:rsid w:val="00CF4880"/>
    <w:rsid w:val="00CF567C"/>
    <w:rsid w:val="00CF5A22"/>
    <w:rsid w:val="00CF69D3"/>
    <w:rsid w:val="00CF6A67"/>
    <w:rsid w:val="00CF74BE"/>
    <w:rsid w:val="00D0044C"/>
    <w:rsid w:val="00D0262E"/>
    <w:rsid w:val="00D03B94"/>
    <w:rsid w:val="00D04BEF"/>
    <w:rsid w:val="00D05E3D"/>
    <w:rsid w:val="00D05F83"/>
    <w:rsid w:val="00D06139"/>
    <w:rsid w:val="00D10373"/>
    <w:rsid w:val="00D110BD"/>
    <w:rsid w:val="00D1258F"/>
    <w:rsid w:val="00D133AD"/>
    <w:rsid w:val="00D13675"/>
    <w:rsid w:val="00D141E1"/>
    <w:rsid w:val="00D14947"/>
    <w:rsid w:val="00D14D53"/>
    <w:rsid w:val="00D15314"/>
    <w:rsid w:val="00D16F26"/>
    <w:rsid w:val="00D17AE8"/>
    <w:rsid w:val="00D17D6C"/>
    <w:rsid w:val="00D17D75"/>
    <w:rsid w:val="00D2155B"/>
    <w:rsid w:val="00D23D11"/>
    <w:rsid w:val="00D244B6"/>
    <w:rsid w:val="00D2558A"/>
    <w:rsid w:val="00D26794"/>
    <w:rsid w:val="00D2754D"/>
    <w:rsid w:val="00D27B27"/>
    <w:rsid w:val="00D30144"/>
    <w:rsid w:val="00D32358"/>
    <w:rsid w:val="00D3350C"/>
    <w:rsid w:val="00D33648"/>
    <w:rsid w:val="00D33BE9"/>
    <w:rsid w:val="00D33F93"/>
    <w:rsid w:val="00D34B0E"/>
    <w:rsid w:val="00D34DB7"/>
    <w:rsid w:val="00D357FF"/>
    <w:rsid w:val="00D3630A"/>
    <w:rsid w:val="00D36ADE"/>
    <w:rsid w:val="00D41A2F"/>
    <w:rsid w:val="00D424C7"/>
    <w:rsid w:val="00D42F71"/>
    <w:rsid w:val="00D43B2A"/>
    <w:rsid w:val="00D43BCA"/>
    <w:rsid w:val="00D43D83"/>
    <w:rsid w:val="00D4491E"/>
    <w:rsid w:val="00D45C35"/>
    <w:rsid w:val="00D46985"/>
    <w:rsid w:val="00D4710D"/>
    <w:rsid w:val="00D47575"/>
    <w:rsid w:val="00D4771B"/>
    <w:rsid w:val="00D47949"/>
    <w:rsid w:val="00D47AA0"/>
    <w:rsid w:val="00D5042C"/>
    <w:rsid w:val="00D50D2B"/>
    <w:rsid w:val="00D5243B"/>
    <w:rsid w:val="00D533EC"/>
    <w:rsid w:val="00D53C99"/>
    <w:rsid w:val="00D55DA4"/>
    <w:rsid w:val="00D56A95"/>
    <w:rsid w:val="00D60A65"/>
    <w:rsid w:val="00D62183"/>
    <w:rsid w:val="00D62AC0"/>
    <w:rsid w:val="00D636A7"/>
    <w:rsid w:val="00D638D7"/>
    <w:rsid w:val="00D64779"/>
    <w:rsid w:val="00D65585"/>
    <w:rsid w:val="00D67BBA"/>
    <w:rsid w:val="00D70F16"/>
    <w:rsid w:val="00D71D19"/>
    <w:rsid w:val="00D7264D"/>
    <w:rsid w:val="00D728DD"/>
    <w:rsid w:val="00D72B4A"/>
    <w:rsid w:val="00D72F57"/>
    <w:rsid w:val="00D7312A"/>
    <w:rsid w:val="00D73E19"/>
    <w:rsid w:val="00D74E9B"/>
    <w:rsid w:val="00D76A44"/>
    <w:rsid w:val="00D80196"/>
    <w:rsid w:val="00D80868"/>
    <w:rsid w:val="00D815EF"/>
    <w:rsid w:val="00D81F26"/>
    <w:rsid w:val="00D822DC"/>
    <w:rsid w:val="00D842A6"/>
    <w:rsid w:val="00D856E7"/>
    <w:rsid w:val="00D861D6"/>
    <w:rsid w:val="00D86231"/>
    <w:rsid w:val="00D86997"/>
    <w:rsid w:val="00D86CB1"/>
    <w:rsid w:val="00D91285"/>
    <w:rsid w:val="00D91923"/>
    <w:rsid w:val="00D91F58"/>
    <w:rsid w:val="00D92F88"/>
    <w:rsid w:val="00D93753"/>
    <w:rsid w:val="00D9454D"/>
    <w:rsid w:val="00D94C73"/>
    <w:rsid w:val="00D95221"/>
    <w:rsid w:val="00D95874"/>
    <w:rsid w:val="00D9695F"/>
    <w:rsid w:val="00D975A5"/>
    <w:rsid w:val="00DA1654"/>
    <w:rsid w:val="00DA3167"/>
    <w:rsid w:val="00DA3450"/>
    <w:rsid w:val="00DA4DC3"/>
    <w:rsid w:val="00DA73C6"/>
    <w:rsid w:val="00DA7589"/>
    <w:rsid w:val="00DA7672"/>
    <w:rsid w:val="00DA77A5"/>
    <w:rsid w:val="00DA797A"/>
    <w:rsid w:val="00DB0857"/>
    <w:rsid w:val="00DB281B"/>
    <w:rsid w:val="00DB3DBF"/>
    <w:rsid w:val="00DB484F"/>
    <w:rsid w:val="00DB55FD"/>
    <w:rsid w:val="00DB6238"/>
    <w:rsid w:val="00DB76EB"/>
    <w:rsid w:val="00DC04F6"/>
    <w:rsid w:val="00DC05B1"/>
    <w:rsid w:val="00DC0690"/>
    <w:rsid w:val="00DC14D2"/>
    <w:rsid w:val="00DC1692"/>
    <w:rsid w:val="00DC1D65"/>
    <w:rsid w:val="00DC238C"/>
    <w:rsid w:val="00DC3C57"/>
    <w:rsid w:val="00DC443D"/>
    <w:rsid w:val="00DC5501"/>
    <w:rsid w:val="00DC6CD0"/>
    <w:rsid w:val="00DC6D57"/>
    <w:rsid w:val="00DC7154"/>
    <w:rsid w:val="00DC7633"/>
    <w:rsid w:val="00DC7758"/>
    <w:rsid w:val="00DC7E8A"/>
    <w:rsid w:val="00DD096C"/>
    <w:rsid w:val="00DD0F78"/>
    <w:rsid w:val="00DD15AA"/>
    <w:rsid w:val="00DD24B7"/>
    <w:rsid w:val="00DD2733"/>
    <w:rsid w:val="00DD273C"/>
    <w:rsid w:val="00DD35A7"/>
    <w:rsid w:val="00DD3F28"/>
    <w:rsid w:val="00DD4537"/>
    <w:rsid w:val="00DD4E15"/>
    <w:rsid w:val="00DD6DF4"/>
    <w:rsid w:val="00DE1B23"/>
    <w:rsid w:val="00DE1EBB"/>
    <w:rsid w:val="00DE2304"/>
    <w:rsid w:val="00DE3138"/>
    <w:rsid w:val="00DE3436"/>
    <w:rsid w:val="00DE37F8"/>
    <w:rsid w:val="00DE4271"/>
    <w:rsid w:val="00DE4558"/>
    <w:rsid w:val="00DE4FCB"/>
    <w:rsid w:val="00DE5A6B"/>
    <w:rsid w:val="00DE5D07"/>
    <w:rsid w:val="00DE6468"/>
    <w:rsid w:val="00DE6BA3"/>
    <w:rsid w:val="00DE72A7"/>
    <w:rsid w:val="00DE7832"/>
    <w:rsid w:val="00DE79B4"/>
    <w:rsid w:val="00DF0944"/>
    <w:rsid w:val="00DF09EA"/>
    <w:rsid w:val="00DF1697"/>
    <w:rsid w:val="00DF18FC"/>
    <w:rsid w:val="00DF2A87"/>
    <w:rsid w:val="00DF2D07"/>
    <w:rsid w:val="00DF49F3"/>
    <w:rsid w:val="00DF5D2B"/>
    <w:rsid w:val="00DF680E"/>
    <w:rsid w:val="00DF7B27"/>
    <w:rsid w:val="00DF7D86"/>
    <w:rsid w:val="00E0060D"/>
    <w:rsid w:val="00E00CA1"/>
    <w:rsid w:val="00E00E8E"/>
    <w:rsid w:val="00E023B9"/>
    <w:rsid w:val="00E03286"/>
    <w:rsid w:val="00E03A99"/>
    <w:rsid w:val="00E05630"/>
    <w:rsid w:val="00E0564E"/>
    <w:rsid w:val="00E06DBB"/>
    <w:rsid w:val="00E07632"/>
    <w:rsid w:val="00E10149"/>
    <w:rsid w:val="00E11267"/>
    <w:rsid w:val="00E11340"/>
    <w:rsid w:val="00E122A1"/>
    <w:rsid w:val="00E12B39"/>
    <w:rsid w:val="00E138AD"/>
    <w:rsid w:val="00E15EF6"/>
    <w:rsid w:val="00E1630D"/>
    <w:rsid w:val="00E16372"/>
    <w:rsid w:val="00E17D9D"/>
    <w:rsid w:val="00E2053C"/>
    <w:rsid w:val="00E20E4D"/>
    <w:rsid w:val="00E20EB0"/>
    <w:rsid w:val="00E20ED6"/>
    <w:rsid w:val="00E21358"/>
    <w:rsid w:val="00E221A7"/>
    <w:rsid w:val="00E2249B"/>
    <w:rsid w:val="00E22A0D"/>
    <w:rsid w:val="00E244F6"/>
    <w:rsid w:val="00E25619"/>
    <w:rsid w:val="00E25ECF"/>
    <w:rsid w:val="00E26ACC"/>
    <w:rsid w:val="00E276B8"/>
    <w:rsid w:val="00E2771E"/>
    <w:rsid w:val="00E27A9A"/>
    <w:rsid w:val="00E27E83"/>
    <w:rsid w:val="00E311EF"/>
    <w:rsid w:val="00E32180"/>
    <w:rsid w:val="00E3295C"/>
    <w:rsid w:val="00E34948"/>
    <w:rsid w:val="00E37569"/>
    <w:rsid w:val="00E401B2"/>
    <w:rsid w:val="00E405CC"/>
    <w:rsid w:val="00E40FFF"/>
    <w:rsid w:val="00E41E30"/>
    <w:rsid w:val="00E42F73"/>
    <w:rsid w:val="00E43358"/>
    <w:rsid w:val="00E43D70"/>
    <w:rsid w:val="00E44BB6"/>
    <w:rsid w:val="00E45D48"/>
    <w:rsid w:val="00E466F3"/>
    <w:rsid w:val="00E47B2C"/>
    <w:rsid w:val="00E501EF"/>
    <w:rsid w:val="00E51560"/>
    <w:rsid w:val="00E51ED0"/>
    <w:rsid w:val="00E529E7"/>
    <w:rsid w:val="00E53AD4"/>
    <w:rsid w:val="00E53FC8"/>
    <w:rsid w:val="00E54347"/>
    <w:rsid w:val="00E55424"/>
    <w:rsid w:val="00E55915"/>
    <w:rsid w:val="00E55BB5"/>
    <w:rsid w:val="00E55CAE"/>
    <w:rsid w:val="00E5762E"/>
    <w:rsid w:val="00E627DF"/>
    <w:rsid w:val="00E62A28"/>
    <w:rsid w:val="00E65E79"/>
    <w:rsid w:val="00E66BA2"/>
    <w:rsid w:val="00E67416"/>
    <w:rsid w:val="00E70141"/>
    <w:rsid w:val="00E706C9"/>
    <w:rsid w:val="00E70C6F"/>
    <w:rsid w:val="00E715D1"/>
    <w:rsid w:val="00E718B6"/>
    <w:rsid w:val="00E723BA"/>
    <w:rsid w:val="00E73581"/>
    <w:rsid w:val="00E80A90"/>
    <w:rsid w:val="00E80C02"/>
    <w:rsid w:val="00E833F7"/>
    <w:rsid w:val="00E83BDF"/>
    <w:rsid w:val="00E845B5"/>
    <w:rsid w:val="00E84FE9"/>
    <w:rsid w:val="00E85913"/>
    <w:rsid w:val="00E86F34"/>
    <w:rsid w:val="00E87370"/>
    <w:rsid w:val="00E87A1D"/>
    <w:rsid w:val="00E87BE0"/>
    <w:rsid w:val="00E9094A"/>
    <w:rsid w:val="00E911F4"/>
    <w:rsid w:val="00E919E1"/>
    <w:rsid w:val="00E91D35"/>
    <w:rsid w:val="00E926A5"/>
    <w:rsid w:val="00E9353B"/>
    <w:rsid w:val="00EA0032"/>
    <w:rsid w:val="00EA17C3"/>
    <w:rsid w:val="00EA2C38"/>
    <w:rsid w:val="00EA2CAA"/>
    <w:rsid w:val="00EA3864"/>
    <w:rsid w:val="00EA3D24"/>
    <w:rsid w:val="00EA4EEF"/>
    <w:rsid w:val="00EA5798"/>
    <w:rsid w:val="00EA6EE5"/>
    <w:rsid w:val="00EA7ECE"/>
    <w:rsid w:val="00EA7F1C"/>
    <w:rsid w:val="00EB0BAB"/>
    <w:rsid w:val="00EB15B6"/>
    <w:rsid w:val="00EB1FED"/>
    <w:rsid w:val="00EB34DE"/>
    <w:rsid w:val="00EB3D06"/>
    <w:rsid w:val="00EB4916"/>
    <w:rsid w:val="00EB781B"/>
    <w:rsid w:val="00EB7AAC"/>
    <w:rsid w:val="00EC00B7"/>
    <w:rsid w:val="00EC00C9"/>
    <w:rsid w:val="00EC04C2"/>
    <w:rsid w:val="00EC0566"/>
    <w:rsid w:val="00EC0DD9"/>
    <w:rsid w:val="00EC1C93"/>
    <w:rsid w:val="00EC2649"/>
    <w:rsid w:val="00EC31ED"/>
    <w:rsid w:val="00EC3C6B"/>
    <w:rsid w:val="00EC509B"/>
    <w:rsid w:val="00EC5181"/>
    <w:rsid w:val="00EC5836"/>
    <w:rsid w:val="00EC66D0"/>
    <w:rsid w:val="00EC688C"/>
    <w:rsid w:val="00EC7AE4"/>
    <w:rsid w:val="00ED01EF"/>
    <w:rsid w:val="00ED4777"/>
    <w:rsid w:val="00ED57EA"/>
    <w:rsid w:val="00ED5BD4"/>
    <w:rsid w:val="00EE07D3"/>
    <w:rsid w:val="00EE0CE6"/>
    <w:rsid w:val="00EE1996"/>
    <w:rsid w:val="00EE1C01"/>
    <w:rsid w:val="00EE22AF"/>
    <w:rsid w:val="00EE3F00"/>
    <w:rsid w:val="00EE6E67"/>
    <w:rsid w:val="00EF0171"/>
    <w:rsid w:val="00EF048C"/>
    <w:rsid w:val="00EF073B"/>
    <w:rsid w:val="00EF1B25"/>
    <w:rsid w:val="00EF1DA0"/>
    <w:rsid w:val="00EF2E06"/>
    <w:rsid w:val="00EF36EA"/>
    <w:rsid w:val="00EF4530"/>
    <w:rsid w:val="00EF4747"/>
    <w:rsid w:val="00EF4BF8"/>
    <w:rsid w:val="00EF4F32"/>
    <w:rsid w:val="00EF50D4"/>
    <w:rsid w:val="00EF5D29"/>
    <w:rsid w:val="00F00985"/>
    <w:rsid w:val="00F02253"/>
    <w:rsid w:val="00F02944"/>
    <w:rsid w:val="00F02C04"/>
    <w:rsid w:val="00F03208"/>
    <w:rsid w:val="00F03972"/>
    <w:rsid w:val="00F03C2E"/>
    <w:rsid w:val="00F04A66"/>
    <w:rsid w:val="00F04B4B"/>
    <w:rsid w:val="00F0516C"/>
    <w:rsid w:val="00F05DDD"/>
    <w:rsid w:val="00F05EE0"/>
    <w:rsid w:val="00F062F9"/>
    <w:rsid w:val="00F067A2"/>
    <w:rsid w:val="00F077E2"/>
    <w:rsid w:val="00F07B9E"/>
    <w:rsid w:val="00F1101E"/>
    <w:rsid w:val="00F1116F"/>
    <w:rsid w:val="00F1163B"/>
    <w:rsid w:val="00F1263A"/>
    <w:rsid w:val="00F1374B"/>
    <w:rsid w:val="00F14C3F"/>
    <w:rsid w:val="00F152EA"/>
    <w:rsid w:val="00F15B77"/>
    <w:rsid w:val="00F17097"/>
    <w:rsid w:val="00F21EFC"/>
    <w:rsid w:val="00F24080"/>
    <w:rsid w:val="00F24837"/>
    <w:rsid w:val="00F24B61"/>
    <w:rsid w:val="00F24D78"/>
    <w:rsid w:val="00F2575F"/>
    <w:rsid w:val="00F25E2E"/>
    <w:rsid w:val="00F27294"/>
    <w:rsid w:val="00F273E4"/>
    <w:rsid w:val="00F27565"/>
    <w:rsid w:val="00F310D4"/>
    <w:rsid w:val="00F31D5A"/>
    <w:rsid w:val="00F31E25"/>
    <w:rsid w:val="00F3330D"/>
    <w:rsid w:val="00F33975"/>
    <w:rsid w:val="00F33C68"/>
    <w:rsid w:val="00F33DE9"/>
    <w:rsid w:val="00F35E6D"/>
    <w:rsid w:val="00F3619A"/>
    <w:rsid w:val="00F40AAA"/>
    <w:rsid w:val="00F40BA7"/>
    <w:rsid w:val="00F40F9D"/>
    <w:rsid w:val="00F410FE"/>
    <w:rsid w:val="00F417EC"/>
    <w:rsid w:val="00F41ACD"/>
    <w:rsid w:val="00F42FF9"/>
    <w:rsid w:val="00F445F9"/>
    <w:rsid w:val="00F465D1"/>
    <w:rsid w:val="00F46CB6"/>
    <w:rsid w:val="00F4756D"/>
    <w:rsid w:val="00F47DE8"/>
    <w:rsid w:val="00F50CB2"/>
    <w:rsid w:val="00F542C1"/>
    <w:rsid w:val="00F55E73"/>
    <w:rsid w:val="00F55EDA"/>
    <w:rsid w:val="00F567C7"/>
    <w:rsid w:val="00F56AB1"/>
    <w:rsid w:val="00F56C80"/>
    <w:rsid w:val="00F60092"/>
    <w:rsid w:val="00F61C18"/>
    <w:rsid w:val="00F61EEF"/>
    <w:rsid w:val="00F622A0"/>
    <w:rsid w:val="00F6246C"/>
    <w:rsid w:val="00F63F9D"/>
    <w:rsid w:val="00F6489B"/>
    <w:rsid w:val="00F65639"/>
    <w:rsid w:val="00F65F4B"/>
    <w:rsid w:val="00F65F65"/>
    <w:rsid w:val="00F66126"/>
    <w:rsid w:val="00F66516"/>
    <w:rsid w:val="00F6772C"/>
    <w:rsid w:val="00F67A69"/>
    <w:rsid w:val="00F70BFF"/>
    <w:rsid w:val="00F70C9D"/>
    <w:rsid w:val="00F71CEE"/>
    <w:rsid w:val="00F729D6"/>
    <w:rsid w:val="00F74469"/>
    <w:rsid w:val="00F74CD9"/>
    <w:rsid w:val="00F77729"/>
    <w:rsid w:val="00F77C36"/>
    <w:rsid w:val="00F80A7B"/>
    <w:rsid w:val="00F80E5D"/>
    <w:rsid w:val="00F80F01"/>
    <w:rsid w:val="00F817B4"/>
    <w:rsid w:val="00F81E78"/>
    <w:rsid w:val="00F8265E"/>
    <w:rsid w:val="00F839C1"/>
    <w:rsid w:val="00F851CE"/>
    <w:rsid w:val="00F85D01"/>
    <w:rsid w:val="00F87A50"/>
    <w:rsid w:val="00F90122"/>
    <w:rsid w:val="00F90CB2"/>
    <w:rsid w:val="00F91219"/>
    <w:rsid w:val="00F91274"/>
    <w:rsid w:val="00F92444"/>
    <w:rsid w:val="00F92877"/>
    <w:rsid w:val="00F92A49"/>
    <w:rsid w:val="00F9393E"/>
    <w:rsid w:val="00F942F0"/>
    <w:rsid w:val="00F95190"/>
    <w:rsid w:val="00F96FD0"/>
    <w:rsid w:val="00F97A78"/>
    <w:rsid w:val="00FA05AF"/>
    <w:rsid w:val="00FA0B20"/>
    <w:rsid w:val="00FA1173"/>
    <w:rsid w:val="00FA24E7"/>
    <w:rsid w:val="00FA30ED"/>
    <w:rsid w:val="00FA3A30"/>
    <w:rsid w:val="00FA3B08"/>
    <w:rsid w:val="00FA5EE6"/>
    <w:rsid w:val="00FA60E1"/>
    <w:rsid w:val="00FA7956"/>
    <w:rsid w:val="00FB17E8"/>
    <w:rsid w:val="00FB2FCB"/>
    <w:rsid w:val="00FB7C55"/>
    <w:rsid w:val="00FB7C71"/>
    <w:rsid w:val="00FB7CB6"/>
    <w:rsid w:val="00FB7D09"/>
    <w:rsid w:val="00FC1074"/>
    <w:rsid w:val="00FC1884"/>
    <w:rsid w:val="00FC1BC8"/>
    <w:rsid w:val="00FC2CAA"/>
    <w:rsid w:val="00FC371D"/>
    <w:rsid w:val="00FC4051"/>
    <w:rsid w:val="00FC5F0B"/>
    <w:rsid w:val="00FD066E"/>
    <w:rsid w:val="00FD2100"/>
    <w:rsid w:val="00FD35F1"/>
    <w:rsid w:val="00FD436C"/>
    <w:rsid w:val="00FD446D"/>
    <w:rsid w:val="00FD47A2"/>
    <w:rsid w:val="00FD4CB2"/>
    <w:rsid w:val="00FD4F2C"/>
    <w:rsid w:val="00FD61D3"/>
    <w:rsid w:val="00FD6394"/>
    <w:rsid w:val="00FD67A4"/>
    <w:rsid w:val="00FD7B12"/>
    <w:rsid w:val="00FE093C"/>
    <w:rsid w:val="00FE0B6F"/>
    <w:rsid w:val="00FE0E6C"/>
    <w:rsid w:val="00FE1CDC"/>
    <w:rsid w:val="00FE315C"/>
    <w:rsid w:val="00FE3ADC"/>
    <w:rsid w:val="00FE70C3"/>
    <w:rsid w:val="00FE7EB1"/>
    <w:rsid w:val="00FF0234"/>
    <w:rsid w:val="00FF2AD9"/>
    <w:rsid w:val="00FF359F"/>
    <w:rsid w:val="00FF3A4D"/>
    <w:rsid w:val="00FF3D1A"/>
    <w:rsid w:val="00FF3DCF"/>
    <w:rsid w:val="00FF42E7"/>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DA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773"/>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Table Legend,Bullet1,Bullet 1,Bullet List,Section 5"/>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FigNoteLast">
    <w:name w:val="TableFigNote Last"/>
    <w:basedOn w:val="Normal"/>
    <w:qFormat/>
    <w:rsid w:val="00E5762E"/>
    <w:pPr>
      <w:spacing w:after="360"/>
      <w:contextualSpacing/>
    </w:pPr>
    <w:rPr>
      <w:rFonts w:ascii="Garamond" w:eastAsiaTheme="minorHAnsi" w:hAnsi="Garamond" w:cstheme="minorBidi"/>
      <w:sz w:val="18"/>
      <w:szCs w:val="22"/>
      <w:lang w:eastAsia="en-US"/>
    </w:rPr>
  </w:style>
  <w:style w:type="character" w:customStyle="1" w:styleId="NoSpacingChar">
    <w:name w:val="No Spacing Char"/>
    <w:aliases w:val="Main text Char,Title Page text Char"/>
    <w:basedOn w:val="DefaultParagraphFont"/>
    <w:link w:val="NoSpacing"/>
    <w:uiPriority w:val="1"/>
    <w:rsid w:val="00E5762E"/>
    <w:rPr>
      <w:rFonts w:ascii="Arial" w:hAnsi="Arial" w:cs="Arial"/>
      <w:snapToGrid w:val="0"/>
      <w:sz w:val="22"/>
      <w:lang w:eastAsia="en-US"/>
    </w:rPr>
  </w:style>
  <w:style w:type="character" w:styleId="PlaceholderText">
    <w:name w:val="Placeholder Text"/>
    <w:basedOn w:val="DefaultParagraphFont"/>
    <w:uiPriority w:val="99"/>
    <w:semiHidden/>
    <w:rsid w:val="00CE7FFA"/>
    <w:rPr>
      <w:color w:val="808080"/>
    </w:rPr>
  </w:style>
  <w:style w:type="table" w:customStyle="1" w:styleId="TableGrid5">
    <w:name w:val="Table Grid5"/>
    <w:basedOn w:val="TableNormal"/>
    <w:next w:val="TableGrid"/>
    <w:rsid w:val="00876AD3"/>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21791"/>
    <w:rPr>
      <w:b w:val="0"/>
      <w:i/>
      <w:iCs/>
    </w:rPr>
  </w:style>
  <w:style w:type="paragraph" w:customStyle="1" w:styleId="TableHeading0">
    <w:name w:val="Table Heading"/>
    <w:basedOn w:val="Normal"/>
    <w:qFormat/>
    <w:rsid w:val="00221791"/>
    <w:pPr>
      <w:spacing w:after="60"/>
    </w:pPr>
    <w:rPr>
      <w:rFonts w:ascii="Garamond" w:eastAsiaTheme="minorHAnsi" w:hAnsi="Garamond" w:cstheme="minorBidi"/>
      <w:b/>
      <w:sz w:val="22"/>
      <w:szCs w:val="22"/>
      <w:lang w:eastAsia="en-US"/>
    </w:rPr>
  </w:style>
  <w:style w:type="paragraph" w:customStyle="1" w:styleId="TableFigHeading">
    <w:name w:val="Table&amp;Fig Heading"/>
    <w:qFormat/>
    <w:rsid w:val="00FE3ADC"/>
    <w:pPr>
      <w:spacing w:after="60"/>
      <w:jc w:val="both"/>
    </w:pPr>
    <w:rPr>
      <w:rFonts w:ascii="Garamond" w:eastAsiaTheme="minorHAnsi" w:hAnsi="Garamond" w:cstheme="minorBidi"/>
      <w:b/>
      <w:sz w:val="22"/>
      <w:szCs w:val="22"/>
      <w:lang w:eastAsia="en-US"/>
    </w:rPr>
  </w:style>
  <w:style w:type="character" w:customStyle="1" w:styleId="MainBodyTextEmphasiswithBold">
    <w:name w:val="Main Body Text Emphasis with Bold"/>
    <w:qFormat/>
    <w:rsid w:val="002C3B8B"/>
    <w:rPr>
      <w:b/>
    </w:rPr>
  </w:style>
  <w:style w:type="paragraph" w:styleId="FootnoteText">
    <w:name w:val="footnote text"/>
    <w:basedOn w:val="Normal"/>
    <w:link w:val="FootnoteTextChar"/>
    <w:semiHidden/>
    <w:unhideWhenUsed/>
    <w:rsid w:val="0005243D"/>
    <w:pPr>
      <w:widowControl w:val="0"/>
      <w:jc w:val="both"/>
    </w:pPr>
    <w:rPr>
      <w:snapToGrid w:val="0"/>
      <w:sz w:val="20"/>
      <w:szCs w:val="20"/>
      <w:lang w:eastAsia="en-US"/>
    </w:rPr>
  </w:style>
  <w:style w:type="character" w:customStyle="1" w:styleId="FootnoteTextChar">
    <w:name w:val="Footnote Text Char"/>
    <w:basedOn w:val="DefaultParagraphFont"/>
    <w:link w:val="FootnoteText"/>
    <w:semiHidden/>
    <w:rsid w:val="0005243D"/>
    <w:rPr>
      <w:rFonts w:ascii="Calibri" w:hAnsi="Calibri" w:cs="Arial"/>
      <w:snapToGrid w:val="0"/>
      <w:lang w:eastAsia="en-US"/>
    </w:rPr>
  </w:style>
  <w:style w:type="character" w:styleId="FootnoteReference">
    <w:name w:val="footnote reference"/>
    <w:basedOn w:val="DefaultParagraphFont"/>
    <w:semiHidden/>
    <w:unhideWhenUsed/>
    <w:rsid w:val="00906AA6"/>
    <w:rPr>
      <w:vertAlign w:val="superscript"/>
    </w:rPr>
  </w:style>
  <w:style w:type="character" w:customStyle="1" w:styleId="TableHeadingChar">
    <w:name w:val="TableHeading Char"/>
    <w:link w:val="TableHeading"/>
    <w:rsid w:val="00257A85"/>
    <w:rPr>
      <w:rFonts w:ascii="Arial Narrow" w:hAnsi="Arial Narrow" w:cs="Arial Narrow"/>
      <w:b/>
      <w:bCs/>
      <w:snapToGrid w:val="0"/>
      <w:szCs w:val="24"/>
    </w:rPr>
  </w:style>
  <w:style w:type="table" w:styleId="PlainTable4">
    <w:name w:val="Plain Table 4"/>
    <w:basedOn w:val="TableNormal"/>
    <w:uiPriority w:val="44"/>
    <w:rsid w:val="00415B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031AA2"/>
    <w:rPr>
      <w:rFonts w:ascii="Calibri" w:hAnsi="Calibri" w:cs="Arial"/>
      <w:b/>
      <w:caps/>
      <w:sz w:val="32"/>
      <w:szCs w:val="24"/>
    </w:rPr>
  </w:style>
  <w:style w:type="character" w:customStyle="1" w:styleId="Heading3Char">
    <w:name w:val="Heading 3 Char"/>
    <w:basedOn w:val="DefaultParagraphFont"/>
    <w:link w:val="Heading3"/>
    <w:rsid w:val="00031AA2"/>
    <w:rPr>
      <w:rFonts w:ascii="Calibri" w:hAnsi="Calibri" w:cs="Arial"/>
      <w:sz w:val="24"/>
      <w:szCs w:val="24"/>
      <w:u w:val="single"/>
    </w:rPr>
  </w:style>
  <w:style w:type="character" w:customStyle="1" w:styleId="Heading4Char">
    <w:name w:val="Heading 4 Char"/>
    <w:basedOn w:val="DefaultParagraphFont"/>
    <w:link w:val="Heading4"/>
    <w:rsid w:val="00031AA2"/>
    <w:rPr>
      <w:rFonts w:ascii="Calibri" w:hAnsi="Calibri" w:cs="Arial"/>
      <w:b/>
      <w:bCs/>
      <w:i/>
      <w:sz w:val="26"/>
      <w:szCs w:val="28"/>
    </w:rPr>
  </w:style>
  <w:style w:type="character" w:customStyle="1" w:styleId="Heading5Char">
    <w:name w:val="Heading 5 Char"/>
    <w:basedOn w:val="DefaultParagraphFont"/>
    <w:link w:val="Heading5"/>
    <w:rsid w:val="00031AA2"/>
    <w:rPr>
      <w:rFonts w:ascii="Calibri" w:hAnsi="Calibri" w:cs="Arial"/>
      <w:b/>
      <w:bCs/>
      <w:iCs/>
      <w:sz w:val="26"/>
      <w:szCs w:val="26"/>
    </w:rPr>
  </w:style>
  <w:style w:type="character" w:customStyle="1" w:styleId="Heading6Char">
    <w:name w:val="Heading 6 Char"/>
    <w:basedOn w:val="DefaultParagraphFont"/>
    <w:link w:val="Heading6"/>
    <w:rsid w:val="00031AA2"/>
    <w:rPr>
      <w:rFonts w:ascii="Calibri" w:hAnsi="Calibri" w:cs="Arial"/>
      <w:b/>
      <w:bCs/>
      <w:i/>
      <w:sz w:val="24"/>
      <w:szCs w:val="24"/>
    </w:rPr>
  </w:style>
  <w:style w:type="paragraph" w:customStyle="1" w:styleId="msonormal0">
    <w:name w:val="msonormal"/>
    <w:basedOn w:val="Normal"/>
    <w:uiPriority w:val="99"/>
    <w:rsid w:val="00031AA2"/>
    <w:pPr>
      <w:snapToGrid w:val="0"/>
      <w:spacing w:before="100" w:after="100"/>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031AA2"/>
    <w:rPr>
      <w:rFonts w:ascii="Calibri" w:hAnsi="Calibri" w:cs="Arial"/>
      <w:sz w:val="24"/>
      <w:szCs w:val="24"/>
    </w:rPr>
  </w:style>
  <w:style w:type="paragraph" w:customStyle="1" w:styleId="Default">
    <w:name w:val="Default"/>
    <w:rsid w:val="003D2B3D"/>
    <w:pPr>
      <w:autoSpaceDE w:val="0"/>
      <w:autoSpaceDN w:val="0"/>
      <w:adjustRightInd w:val="0"/>
    </w:pPr>
    <w:rPr>
      <w:color w:val="000000"/>
      <w:sz w:val="24"/>
      <w:szCs w:val="24"/>
    </w:rPr>
  </w:style>
  <w:style w:type="paragraph" w:customStyle="1" w:styleId="2Sections">
    <w:name w:val="2. Sections"/>
    <w:qFormat/>
    <w:rsid w:val="00AE76A5"/>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AE76A5"/>
    <w:pPr>
      <w:spacing w:after="120"/>
      <w:ind w:left="720" w:hanging="720"/>
    </w:pPr>
    <w:rPr>
      <w:rFonts w:asciiTheme="minorHAnsi" w:eastAsiaTheme="minorHAnsi" w:hAnsiTheme="minorHAnsi" w:cstheme="minorBidi"/>
      <w:i/>
      <w:szCs w:val="22"/>
    </w:rPr>
  </w:style>
  <w:style w:type="character" w:styleId="IntenseReference">
    <w:name w:val="Intense Reference"/>
    <w:basedOn w:val="DefaultParagraphFont"/>
    <w:uiPriority w:val="32"/>
    <w:qFormat/>
    <w:rsid w:val="005F64F2"/>
    <w:rPr>
      <w:b/>
      <w:bCs/>
      <w:i/>
      <w:smallCaps/>
      <w:color w:val="C0504D" w:themeColor="accent2"/>
      <w:spacing w:val="5"/>
      <w:u w:val="none"/>
    </w:rPr>
  </w:style>
  <w:style w:type="paragraph" w:customStyle="1" w:styleId="ExecSumBodyText">
    <w:name w:val="Exec Sum Body Text"/>
    <w:basedOn w:val="Normal"/>
    <w:link w:val="ExecSumBodyTextChar"/>
    <w:qFormat/>
    <w:rsid w:val="00D33648"/>
    <w:pPr>
      <w:spacing w:after="120"/>
      <w:ind w:left="720" w:hanging="720"/>
      <w:jc w:val="both"/>
    </w:pPr>
    <w:rPr>
      <w:rFonts w:asciiTheme="minorHAnsi" w:hAnsiTheme="minorHAnsi"/>
      <w:snapToGrid w:val="0"/>
    </w:rPr>
  </w:style>
  <w:style w:type="character" w:customStyle="1" w:styleId="ExecSumBodyTextChar">
    <w:name w:val="Exec Sum Body Text Char"/>
    <w:basedOn w:val="DefaultParagraphFont"/>
    <w:link w:val="ExecSumBodyText"/>
    <w:rsid w:val="00D33648"/>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3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789809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7067088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6343089">
      <w:bodyDiv w:val="1"/>
      <w:marLeft w:val="0"/>
      <w:marRight w:val="0"/>
      <w:marTop w:val="0"/>
      <w:marBottom w:val="0"/>
      <w:divBdr>
        <w:top w:val="none" w:sz="0" w:space="0" w:color="auto"/>
        <w:left w:val="none" w:sz="0" w:space="0" w:color="auto"/>
        <w:bottom w:val="none" w:sz="0" w:space="0" w:color="auto"/>
        <w:right w:val="none" w:sz="0" w:space="0" w:color="auto"/>
      </w:divBdr>
    </w:div>
    <w:div w:id="500582465">
      <w:bodyDiv w:val="1"/>
      <w:marLeft w:val="0"/>
      <w:marRight w:val="0"/>
      <w:marTop w:val="0"/>
      <w:marBottom w:val="0"/>
      <w:divBdr>
        <w:top w:val="none" w:sz="0" w:space="0" w:color="auto"/>
        <w:left w:val="none" w:sz="0" w:space="0" w:color="auto"/>
        <w:bottom w:val="none" w:sz="0" w:space="0" w:color="auto"/>
        <w:right w:val="none" w:sz="0" w:space="0" w:color="auto"/>
      </w:divBdr>
    </w:div>
    <w:div w:id="669214181">
      <w:bodyDiv w:val="1"/>
      <w:marLeft w:val="0"/>
      <w:marRight w:val="0"/>
      <w:marTop w:val="0"/>
      <w:marBottom w:val="0"/>
      <w:divBdr>
        <w:top w:val="none" w:sz="0" w:space="0" w:color="auto"/>
        <w:left w:val="none" w:sz="0" w:space="0" w:color="auto"/>
        <w:bottom w:val="none" w:sz="0" w:space="0" w:color="auto"/>
        <w:right w:val="none" w:sz="0" w:space="0" w:color="auto"/>
      </w:divBdr>
    </w:div>
    <w:div w:id="711806787">
      <w:bodyDiv w:val="1"/>
      <w:marLeft w:val="0"/>
      <w:marRight w:val="0"/>
      <w:marTop w:val="0"/>
      <w:marBottom w:val="0"/>
      <w:divBdr>
        <w:top w:val="none" w:sz="0" w:space="0" w:color="auto"/>
        <w:left w:val="none" w:sz="0" w:space="0" w:color="auto"/>
        <w:bottom w:val="none" w:sz="0" w:space="0" w:color="auto"/>
        <w:right w:val="none" w:sz="0" w:space="0" w:color="auto"/>
      </w:divBdr>
    </w:div>
    <w:div w:id="715199383">
      <w:bodyDiv w:val="1"/>
      <w:marLeft w:val="0"/>
      <w:marRight w:val="0"/>
      <w:marTop w:val="0"/>
      <w:marBottom w:val="0"/>
      <w:divBdr>
        <w:top w:val="none" w:sz="0" w:space="0" w:color="auto"/>
        <w:left w:val="none" w:sz="0" w:space="0" w:color="auto"/>
        <w:bottom w:val="none" w:sz="0" w:space="0" w:color="auto"/>
        <w:right w:val="none" w:sz="0" w:space="0" w:color="auto"/>
      </w:divBdr>
    </w:div>
    <w:div w:id="926228194">
      <w:bodyDiv w:val="1"/>
      <w:marLeft w:val="0"/>
      <w:marRight w:val="0"/>
      <w:marTop w:val="0"/>
      <w:marBottom w:val="0"/>
      <w:divBdr>
        <w:top w:val="none" w:sz="0" w:space="0" w:color="auto"/>
        <w:left w:val="none" w:sz="0" w:space="0" w:color="auto"/>
        <w:bottom w:val="none" w:sz="0" w:space="0" w:color="auto"/>
        <w:right w:val="none" w:sz="0" w:space="0" w:color="auto"/>
      </w:divBdr>
    </w:div>
    <w:div w:id="927925743">
      <w:bodyDiv w:val="1"/>
      <w:marLeft w:val="0"/>
      <w:marRight w:val="0"/>
      <w:marTop w:val="0"/>
      <w:marBottom w:val="0"/>
      <w:divBdr>
        <w:top w:val="none" w:sz="0" w:space="0" w:color="auto"/>
        <w:left w:val="none" w:sz="0" w:space="0" w:color="auto"/>
        <w:bottom w:val="none" w:sz="0" w:space="0" w:color="auto"/>
        <w:right w:val="none" w:sz="0" w:space="0" w:color="auto"/>
      </w:divBdr>
    </w:div>
    <w:div w:id="948703690">
      <w:bodyDiv w:val="1"/>
      <w:marLeft w:val="0"/>
      <w:marRight w:val="0"/>
      <w:marTop w:val="0"/>
      <w:marBottom w:val="0"/>
      <w:divBdr>
        <w:top w:val="none" w:sz="0" w:space="0" w:color="auto"/>
        <w:left w:val="none" w:sz="0" w:space="0" w:color="auto"/>
        <w:bottom w:val="none" w:sz="0" w:space="0" w:color="auto"/>
        <w:right w:val="none" w:sz="0" w:space="0" w:color="auto"/>
      </w:divBdr>
    </w:div>
    <w:div w:id="1009798108">
      <w:bodyDiv w:val="1"/>
      <w:marLeft w:val="0"/>
      <w:marRight w:val="0"/>
      <w:marTop w:val="0"/>
      <w:marBottom w:val="0"/>
      <w:divBdr>
        <w:top w:val="none" w:sz="0" w:space="0" w:color="auto"/>
        <w:left w:val="none" w:sz="0" w:space="0" w:color="auto"/>
        <w:bottom w:val="none" w:sz="0" w:space="0" w:color="auto"/>
        <w:right w:val="none" w:sz="0" w:space="0" w:color="auto"/>
      </w:divBdr>
    </w:div>
    <w:div w:id="1071388640">
      <w:bodyDiv w:val="1"/>
      <w:marLeft w:val="0"/>
      <w:marRight w:val="0"/>
      <w:marTop w:val="0"/>
      <w:marBottom w:val="0"/>
      <w:divBdr>
        <w:top w:val="none" w:sz="0" w:space="0" w:color="auto"/>
        <w:left w:val="none" w:sz="0" w:space="0" w:color="auto"/>
        <w:bottom w:val="none" w:sz="0" w:space="0" w:color="auto"/>
        <w:right w:val="none" w:sz="0" w:space="0" w:color="auto"/>
      </w:divBdr>
    </w:div>
    <w:div w:id="1103378824">
      <w:bodyDiv w:val="1"/>
      <w:marLeft w:val="0"/>
      <w:marRight w:val="0"/>
      <w:marTop w:val="0"/>
      <w:marBottom w:val="0"/>
      <w:divBdr>
        <w:top w:val="none" w:sz="0" w:space="0" w:color="auto"/>
        <w:left w:val="none" w:sz="0" w:space="0" w:color="auto"/>
        <w:bottom w:val="none" w:sz="0" w:space="0" w:color="auto"/>
        <w:right w:val="none" w:sz="0" w:space="0" w:color="auto"/>
      </w:divBdr>
    </w:div>
    <w:div w:id="1134904138">
      <w:bodyDiv w:val="1"/>
      <w:marLeft w:val="0"/>
      <w:marRight w:val="0"/>
      <w:marTop w:val="0"/>
      <w:marBottom w:val="0"/>
      <w:divBdr>
        <w:top w:val="none" w:sz="0" w:space="0" w:color="auto"/>
        <w:left w:val="none" w:sz="0" w:space="0" w:color="auto"/>
        <w:bottom w:val="none" w:sz="0" w:space="0" w:color="auto"/>
        <w:right w:val="none" w:sz="0" w:space="0" w:color="auto"/>
      </w:divBdr>
    </w:div>
    <w:div w:id="11440820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407">
      <w:bodyDiv w:val="1"/>
      <w:marLeft w:val="0"/>
      <w:marRight w:val="0"/>
      <w:marTop w:val="0"/>
      <w:marBottom w:val="0"/>
      <w:divBdr>
        <w:top w:val="none" w:sz="0" w:space="0" w:color="auto"/>
        <w:left w:val="none" w:sz="0" w:space="0" w:color="auto"/>
        <w:bottom w:val="none" w:sz="0" w:space="0" w:color="auto"/>
        <w:right w:val="none" w:sz="0" w:space="0" w:color="auto"/>
      </w:divBdr>
    </w:div>
    <w:div w:id="1259219563">
      <w:bodyDiv w:val="1"/>
      <w:marLeft w:val="0"/>
      <w:marRight w:val="0"/>
      <w:marTop w:val="0"/>
      <w:marBottom w:val="0"/>
      <w:divBdr>
        <w:top w:val="none" w:sz="0" w:space="0" w:color="auto"/>
        <w:left w:val="none" w:sz="0" w:space="0" w:color="auto"/>
        <w:bottom w:val="none" w:sz="0" w:space="0" w:color="auto"/>
        <w:right w:val="none" w:sz="0" w:space="0" w:color="auto"/>
      </w:divBdr>
    </w:div>
    <w:div w:id="1273896877">
      <w:bodyDiv w:val="1"/>
      <w:marLeft w:val="0"/>
      <w:marRight w:val="0"/>
      <w:marTop w:val="0"/>
      <w:marBottom w:val="0"/>
      <w:divBdr>
        <w:top w:val="none" w:sz="0" w:space="0" w:color="auto"/>
        <w:left w:val="none" w:sz="0" w:space="0" w:color="auto"/>
        <w:bottom w:val="none" w:sz="0" w:space="0" w:color="auto"/>
        <w:right w:val="none" w:sz="0" w:space="0" w:color="auto"/>
      </w:divBdr>
    </w:div>
    <w:div w:id="1299995708">
      <w:bodyDiv w:val="1"/>
      <w:marLeft w:val="0"/>
      <w:marRight w:val="0"/>
      <w:marTop w:val="0"/>
      <w:marBottom w:val="0"/>
      <w:divBdr>
        <w:top w:val="none" w:sz="0" w:space="0" w:color="auto"/>
        <w:left w:val="none" w:sz="0" w:space="0" w:color="auto"/>
        <w:bottom w:val="none" w:sz="0" w:space="0" w:color="auto"/>
        <w:right w:val="none" w:sz="0" w:space="0" w:color="auto"/>
      </w:divBdr>
    </w:div>
    <w:div w:id="1320309362">
      <w:bodyDiv w:val="1"/>
      <w:marLeft w:val="0"/>
      <w:marRight w:val="0"/>
      <w:marTop w:val="0"/>
      <w:marBottom w:val="0"/>
      <w:divBdr>
        <w:top w:val="none" w:sz="0" w:space="0" w:color="auto"/>
        <w:left w:val="none" w:sz="0" w:space="0" w:color="auto"/>
        <w:bottom w:val="none" w:sz="0" w:space="0" w:color="auto"/>
        <w:right w:val="none" w:sz="0" w:space="0" w:color="auto"/>
      </w:divBdr>
    </w:div>
    <w:div w:id="1380665208">
      <w:bodyDiv w:val="1"/>
      <w:marLeft w:val="0"/>
      <w:marRight w:val="0"/>
      <w:marTop w:val="0"/>
      <w:marBottom w:val="0"/>
      <w:divBdr>
        <w:top w:val="none" w:sz="0" w:space="0" w:color="auto"/>
        <w:left w:val="none" w:sz="0" w:space="0" w:color="auto"/>
        <w:bottom w:val="none" w:sz="0" w:space="0" w:color="auto"/>
        <w:right w:val="none" w:sz="0" w:space="0" w:color="auto"/>
      </w:divBdr>
    </w:div>
    <w:div w:id="1415589427">
      <w:bodyDiv w:val="1"/>
      <w:marLeft w:val="0"/>
      <w:marRight w:val="0"/>
      <w:marTop w:val="0"/>
      <w:marBottom w:val="0"/>
      <w:divBdr>
        <w:top w:val="none" w:sz="0" w:space="0" w:color="auto"/>
        <w:left w:val="none" w:sz="0" w:space="0" w:color="auto"/>
        <w:bottom w:val="none" w:sz="0" w:space="0" w:color="auto"/>
        <w:right w:val="none" w:sz="0" w:space="0" w:color="auto"/>
      </w:divBdr>
    </w:div>
    <w:div w:id="1417357636">
      <w:bodyDiv w:val="1"/>
      <w:marLeft w:val="0"/>
      <w:marRight w:val="0"/>
      <w:marTop w:val="0"/>
      <w:marBottom w:val="0"/>
      <w:divBdr>
        <w:top w:val="none" w:sz="0" w:space="0" w:color="auto"/>
        <w:left w:val="none" w:sz="0" w:space="0" w:color="auto"/>
        <w:bottom w:val="none" w:sz="0" w:space="0" w:color="auto"/>
        <w:right w:val="none" w:sz="0" w:space="0" w:color="auto"/>
      </w:divBdr>
    </w:div>
    <w:div w:id="1503159722">
      <w:bodyDiv w:val="1"/>
      <w:marLeft w:val="0"/>
      <w:marRight w:val="0"/>
      <w:marTop w:val="0"/>
      <w:marBottom w:val="0"/>
      <w:divBdr>
        <w:top w:val="none" w:sz="0" w:space="0" w:color="auto"/>
        <w:left w:val="none" w:sz="0" w:space="0" w:color="auto"/>
        <w:bottom w:val="none" w:sz="0" w:space="0" w:color="auto"/>
        <w:right w:val="none" w:sz="0" w:space="0" w:color="auto"/>
      </w:divBdr>
    </w:div>
    <w:div w:id="1599674210">
      <w:bodyDiv w:val="1"/>
      <w:marLeft w:val="0"/>
      <w:marRight w:val="0"/>
      <w:marTop w:val="0"/>
      <w:marBottom w:val="0"/>
      <w:divBdr>
        <w:top w:val="none" w:sz="0" w:space="0" w:color="auto"/>
        <w:left w:val="none" w:sz="0" w:space="0" w:color="auto"/>
        <w:bottom w:val="none" w:sz="0" w:space="0" w:color="auto"/>
        <w:right w:val="none" w:sz="0" w:space="0" w:color="auto"/>
      </w:divBdr>
    </w:div>
    <w:div w:id="1660109113">
      <w:bodyDiv w:val="1"/>
      <w:marLeft w:val="0"/>
      <w:marRight w:val="0"/>
      <w:marTop w:val="0"/>
      <w:marBottom w:val="0"/>
      <w:divBdr>
        <w:top w:val="none" w:sz="0" w:space="0" w:color="auto"/>
        <w:left w:val="none" w:sz="0" w:space="0" w:color="auto"/>
        <w:bottom w:val="none" w:sz="0" w:space="0" w:color="auto"/>
        <w:right w:val="none" w:sz="0" w:space="0" w:color="auto"/>
      </w:divBdr>
    </w:div>
    <w:div w:id="1682589801">
      <w:bodyDiv w:val="1"/>
      <w:marLeft w:val="0"/>
      <w:marRight w:val="0"/>
      <w:marTop w:val="0"/>
      <w:marBottom w:val="0"/>
      <w:divBdr>
        <w:top w:val="none" w:sz="0" w:space="0" w:color="auto"/>
        <w:left w:val="none" w:sz="0" w:space="0" w:color="auto"/>
        <w:bottom w:val="none" w:sz="0" w:space="0" w:color="auto"/>
        <w:right w:val="none" w:sz="0" w:space="0" w:color="auto"/>
      </w:divBdr>
    </w:div>
    <w:div w:id="1705250931">
      <w:bodyDiv w:val="1"/>
      <w:marLeft w:val="0"/>
      <w:marRight w:val="0"/>
      <w:marTop w:val="0"/>
      <w:marBottom w:val="0"/>
      <w:divBdr>
        <w:top w:val="none" w:sz="0" w:space="0" w:color="auto"/>
        <w:left w:val="none" w:sz="0" w:space="0" w:color="auto"/>
        <w:bottom w:val="none" w:sz="0" w:space="0" w:color="auto"/>
        <w:right w:val="none" w:sz="0" w:space="0" w:color="auto"/>
      </w:divBdr>
    </w:div>
    <w:div w:id="183922833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91077378">
      <w:bodyDiv w:val="1"/>
      <w:marLeft w:val="0"/>
      <w:marRight w:val="0"/>
      <w:marTop w:val="0"/>
      <w:marBottom w:val="0"/>
      <w:divBdr>
        <w:top w:val="none" w:sz="0" w:space="0" w:color="auto"/>
        <w:left w:val="none" w:sz="0" w:space="0" w:color="auto"/>
        <w:bottom w:val="none" w:sz="0" w:space="0" w:color="auto"/>
        <w:right w:val="none" w:sz="0" w:space="0" w:color="auto"/>
      </w:divBdr>
    </w:div>
    <w:div w:id="20980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8z57tiamduo7.cloudfront.net/resources/Australian-Asthma-Handbook_-v2.1-Preview-stepped-diagram_June-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56D3-0CB5-4344-8007-8CAD6A24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9084</Words>
  <Characters>53295</Characters>
  <Application>Microsoft Office Word</Application>
  <DocSecurity>0</DocSecurity>
  <Lines>444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2020-10-25T22:55:00Z</dcterms:created>
  <dcterms:modified xsi:type="dcterms:W3CDTF">2020-10-25T22:55:00Z</dcterms:modified>
</cp:coreProperties>
</file>