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EE9" w:rsidRPr="00E63DF4" w:rsidRDefault="008A6951" w:rsidP="007B5AC9">
      <w:pPr>
        <w:pStyle w:val="1-MainHeading"/>
      </w:pPr>
      <w:bookmarkStart w:id="0" w:name="_Toc22898842"/>
      <w:bookmarkStart w:id="1" w:name="_Toc40710582"/>
      <w:r w:rsidRPr="00E63DF4">
        <w:t>6</w:t>
      </w:r>
      <w:r w:rsidR="00DC0EE9" w:rsidRPr="00E63DF4">
        <w:t>.</w:t>
      </w:r>
      <w:r w:rsidRPr="00E63DF4">
        <w:t>01</w:t>
      </w:r>
      <w:r w:rsidR="004F6588" w:rsidRPr="00E63DF4">
        <w:tab/>
        <w:t>ATEZOLIZUMAB,</w:t>
      </w:r>
      <w:r w:rsidR="004F6588" w:rsidRPr="00E63DF4">
        <w:br/>
        <w:t>solution concentrate for I.V.</w:t>
      </w:r>
      <w:r w:rsidR="00DC0EE9" w:rsidRPr="00E63DF4">
        <w:t xml:space="preserve"> infusion</w:t>
      </w:r>
      <w:r w:rsidR="004F6588" w:rsidRPr="00E63DF4">
        <w:t xml:space="preserve"> 1200 mg</w:t>
      </w:r>
      <w:r w:rsidR="006B25D7" w:rsidRPr="00E63DF4">
        <w:t xml:space="preserve"> in </w:t>
      </w:r>
      <w:r w:rsidR="004F6588" w:rsidRPr="00E63DF4">
        <w:t>20</w:t>
      </w:r>
      <w:r w:rsidR="00BB3828" w:rsidRPr="00E63DF4">
        <w:t> </w:t>
      </w:r>
      <w:r w:rsidR="004F6588" w:rsidRPr="00E63DF4">
        <w:t>mL</w:t>
      </w:r>
      <w:r w:rsidR="00DC0EE9" w:rsidRPr="00E63DF4">
        <w:t>,</w:t>
      </w:r>
      <w:r w:rsidR="004F6588" w:rsidRPr="00E63DF4">
        <w:t xml:space="preserve"> </w:t>
      </w:r>
      <w:r w:rsidR="003D56EA">
        <w:br/>
      </w:r>
      <w:r w:rsidR="004F6588" w:rsidRPr="00E63DF4">
        <w:t>solution concentrate for I.V. infusion 840 mg</w:t>
      </w:r>
      <w:r w:rsidR="006B25D7" w:rsidRPr="00E63DF4">
        <w:t xml:space="preserve"> in</w:t>
      </w:r>
      <w:r w:rsidR="00BB3828" w:rsidRPr="00E63DF4">
        <w:t xml:space="preserve"> </w:t>
      </w:r>
      <w:r w:rsidR="004F6588" w:rsidRPr="00E63DF4">
        <w:t>14</w:t>
      </w:r>
      <w:r w:rsidR="00BB3828" w:rsidRPr="00E63DF4">
        <w:t> </w:t>
      </w:r>
      <w:r w:rsidR="004F6588" w:rsidRPr="00E63DF4">
        <w:t>mL,</w:t>
      </w:r>
      <w:r w:rsidR="00DC0EE9" w:rsidRPr="00E63DF4">
        <w:br/>
        <w:t>Tecentriq</w:t>
      </w:r>
      <w:r w:rsidR="00DC0EE9" w:rsidRPr="00E63DF4">
        <w:rPr>
          <w:vertAlign w:val="superscript"/>
        </w:rPr>
        <w:t>®</w:t>
      </w:r>
      <w:r w:rsidR="00DC0EE9" w:rsidRPr="00E63DF4">
        <w:t xml:space="preserve"> </w:t>
      </w:r>
      <w:r w:rsidR="003D56EA">
        <w:br/>
      </w:r>
      <w:r w:rsidR="004F6588" w:rsidRPr="00E63DF4">
        <w:t>plus</w:t>
      </w:r>
      <w:r w:rsidR="007C6AF9" w:rsidRPr="00E63DF4">
        <w:br/>
        <w:t>BEVACIZUMAB,</w:t>
      </w:r>
      <w:r w:rsidR="007C6AF9" w:rsidRPr="00E63DF4">
        <w:br/>
        <w:t>solution for I.V. infusion 100 mg</w:t>
      </w:r>
      <w:r w:rsidR="006B25D7" w:rsidRPr="00E63DF4">
        <w:t xml:space="preserve"> in</w:t>
      </w:r>
      <w:r w:rsidR="00176C7A" w:rsidRPr="00E63DF4">
        <w:t xml:space="preserve"> </w:t>
      </w:r>
      <w:r w:rsidR="007C6AF9" w:rsidRPr="00E63DF4">
        <w:t xml:space="preserve">4 mL, </w:t>
      </w:r>
      <w:r w:rsidR="003D56EA">
        <w:br/>
      </w:r>
      <w:r w:rsidR="007C6AF9" w:rsidRPr="00E63DF4">
        <w:t>solution for I.V. infusion 400 mg</w:t>
      </w:r>
      <w:r w:rsidR="006B25D7" w:rsidRPr="00E63DF4">
        <w:t xml:space="preserve"> in</w:t>
      </w:r>
      <w:r w:rsidR="00176C7A" w:rsidRPr="00E63DF4">
        <w:t xml:space="preserve"> </w:t>
      </w:r>
      <w:r w:rsidR="007C6AF9" w:rsidRPr="00E63DF4">
        <w:t>16 mL,</w:t>
      </w:r>
      <w:r w:rsidR="007C6AF9" w:rsidRPr="00E63DF4">
        <w:br/>
      </w:r>
      <w:r w:rsidR="00DC0EE9" w:rsidRPr="00E63DF4">
        <w:t>Avastin</w:t>
      </w:r>
      <w:r w:rsidR="00DC0EE9" w:rsidRPr="00E63DF4">
        <w:rPr>
          <w:vertAlign w:val="superscript"/>
        </w:rPr>
        <w:t>®</w:t>
      </w:r>
      <w:r w:rsidR="00DC0EE9" w:rsidRPr="00E63DF4">
        <w:t>,</w:t>
      </w:r>
      <w:r w:rsidR="004F6588" w:rsidRPr="00E63DF4">
        <w:br/>
        <w:t>Roche Products Pty Ltd</w:t>
      </w:r>
      <w:r w:rsidR="00DC0EE9" w:rsidRPr="00E63DF4">
        <w:t>.</w:t>
      </w:r>
      <w:bookmarkEnd w:id="0"/>
      <w:bookmarkEnd w:id="1"/>
    </w:p>
    <w:p w:rsidR="00B50DB8" w:rsidRPr="00E63DF4" w:rsidRDefault="00B50DB8" w:rsidP="004A6040">
      <w:pPr>
        <w:pStyle w:val="2-SectionHeading"/>
      </w:pPr>
      <w:bookmarkStart w:id="2" w:name="_Toc40710584"/>
      <w:r w:rsidRPr="00E63DF4">
        <w:t xml:space="preserve">Purpose of </w:t>
      </w:r>
      <w:r w:rsidR="00CD7193" w:rsidRPr="00E63DF4">
        <w:t>s</w:t>
      </w:r>
      <w:r w:rsidR="00BB3A45" w:rsidRPr="00E63DF4">
        <w:t>ubmission</w:t>
      </w:r>
      <w:bookmarkEnd w:id="2"/>
    </w:p>
    <w:p w:rsidR="002C2775" w:rsidRPr="00E63DF4" w:rsidRDefault="007170DA" w:rsidP="004E18E9">
      <w:pPr>
        <w:pStyle w:val="3-BodyText"/>
      </w:pPr>
      <w:r w:rsidRPr="00E63DF4">
        <w:t xml:space="preserve">The submission requested </w:t>
      </w:r>
      <w:r w:rsidR="007660FC" w:rsidRPr="00E63DF4">
        <w:t xml:space="preserve">a </w:t>
      </w:r>
      <w:r w:rsidR="008B1757" w:rsidRPr="00E63DF4">
        <w:t>Section 100</w:t>
      </w:r>
      <w:r w:rsidR="007660FC" w:rsidRPr="00E63DF4">
        <w:t xml:space="preserve"> listing (Efficient Funding </w:t>
      </w:r>
      <w:r w:rsidR="00946D71" w:rsidRPr="00E63DF4">
        <w:t xml:space="preserve">of </w:t>
      </w:r>
      <w:r w:rsidR="007660FC" w:rsidRPr="00E63DF4">
        <w:t xml:space="preserve">Chemotherapy) for </w:t>
      </w:r>
      <w:r w:rsidR="007660FC" w:rsidRPr="00E63DF4">
        <w:rPr>
          <w:bCs/>
          <w:iCs/>
        </w:rPr>
        <w:t xml:space="preserve">atezolizumab 1,200 mg in combination with bevacizumab 15 mg/kg (Atezo+Bev) </w:t>
      </w:r>
      <w:r w:rsidR="00672669" w:rsidRPr="00E63DF4">
        <w:rPr>
          <w:bCs/>
          <w:iCs/>
        </w:rPr>
        <w:t xml:space="preserve">for use as an intravenous injection once every three weeks (Q3W) </w:t>
      </w:r>
      <w:r w:rsidR="007660FC" w:rsidRPr="00E63DF4">
        <w:rPr>
          <w:bCs/>
          <w:iCs/>
        </w:rPr>
        <w:t>for the treatment of patients with unresectable locally advanced or metastatic Barcelona Clinic Liver Cancer (BCLC) stage B or stage C hepatocellular carcinoma (HCC) who have not received prior systemic treatment.</w:t>
      </w:r>
    </w:p>
    <w:p w:rsidR="00C8742B" w:rsidRPr="00E63DF4" w:rsidRDefault="005750C5" w:rsidP="004A6040">
      <w:pPr>
        <w:pStyle w:val="3-BodyText"/>
        <w:rPr>
          <w:rStyle w:val="CommentReference"/>
          <w:rFonts w:asciiTheme="minorHAnsi" w:hAnsiTheme="minorHAnsi"/>
          <w:b w:val="0"/>
          <w:sz w:val="24"/>
          <w:szCs w:val="24"/>
        </w:rPr>
      </w:pPr>
      <w:r w:rsidRPr="00E63DF4">
        <w:t xml:space="preserve">Listing was requested on the basis of a </w:t>
      </w:r>
      <w:r w:rsidR="008E6068" w:rsidRPr="00E63DF4">
        <w:t>cost-effectiveness</w:t>
      </w:r>
      <w:r w:rsidRPr="00E63DF4">
        <w:t xml:space="preserve"> analysis versus</w:t>
      </w:r>
      <w:r w:rsidR="008E6068" w:rsidRPr="00E63DF4">
        <w:t xml:space="preserve"> sorafenib</w:t>
      </w:r>
      <w:r w:rsidRPr="00E63DF4">
        <w:t>.</w:t>
      </w:r>
      <w:r w:rsidR="00DA6CCF" w:rsidRPr="00E63DF4">
        <w:t xml:space="preserve"> The key components addressed by the submission are presented in Table 1.</w:t>
      </w:r>
      <w:r w:rsidR="00946D71" w:rsidRPr="00E63DF4">
        <w:t xml:space="preserve"> </w:t>
      </w:r>
    </w:p>
    <w:p w:rsidR="00C8742B" w:rsidRPr="00E63DF4" w:rsidRDefault="00C8742B" w:rsidP="00A00982">
      <w:pPr>
        <w:pStyle w:val="TableFigureHeading"/>
        <w:keepLines/>
      </w:pPr>
      <w:r w:rsidRPr="00E63DF4">
        <w:rPr>
          <w:rStyle w:val="CommentReference"/>
          <w:b/>
          <w:szCs w:val="24"/>
        </w:rPr>
        <w:lastRenderedPageBreak/>
        <w:t>Table 1: Key components of the clinical issue addressed by the submission</w:t>
      </w:r>
      <w:r w:rsidR="00DA6CCF" w:rsidRPr="00E63DF4">
        <w:rPr>
          <w:rStyle w:val="CommentReference"/>
          <w:b/>
          <w:szCs w:val="24"/>
        </w:rPr>
        <w:t xml:space="preserve"> (as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7393"/>
      </w:tblGrid>
      <w:tr w:rsidR="00C8742B" w:rsidRPr="00E63DF4" w:rsidTr="005A76D6">
        <w:trPr>
          <w:tblHeader/>
        </w:trPr>
        <w:tc>
          <w:tcPr>
            <w:tcW w:w="911" w:type="pct"/>
            <w:vAlign w:val="center"/>
          </w:tcPr>
          <w:p w:rsidR="00C8742B" w:rsidRPr="00E63DF4" w:rsidRDefault="00C8742B" w:rsidP="00A00982">
            <w:pPr>
              <w:pStyle w:val="In-tableHeading"/>
              <w:keepLines/>
              <w:rPr>
                <w:lang w:val="en-AU"/>
              </w:rPr>
            </w:pPr>
            <w:r w:rsidRPr="00E63DF4">
              <w:rPr>
                <w:lang w:val="en-AU"/>
              </w:rPr>
              <w:t>Component</w:t>
            </w:r>
          </w:p>
        </w:tc>
        <w:tc>
          <w:tcPr>
            <w:tcW w:w="4089" w:type="pct"/>
            <w:vAlign w:val="center"/>
          </w:tcPr>
          <w:p w:rsidR="00C8742B" w:rsidRPr="00E63DF4" w:rsidRDefault="00C8742B" w:rsidP="00A00982">
            <w:pPr>
              <w:pStyle w:val="In-tableHeading"/>
              <w:keepLines/>
              <w:rPr>
                <w:lang w:val="en-AU"/>
              </w:rPr>
            </w:pPr>
            <w:r w:rsidRPr="00E63DF4">
              <w:rPr>
                <w:lang w:val="en-AU"/>
              </w:rPr>
              <w:t>Description</w:t>
            </w:r>
          </w:p>
        </w:tc>
      </w:tr>
      <w:tr w:rsidR="00C8742B" w:rsidRPr="00E63DF4" w:rsidTr="005A76D6">
        <w:tc>
          <w:tcPr>
            <w:tcW w:w="911" w:type="pct"/>
            <w:vAlign w:val="center"/>
          </w:tcPr>
          <w:p w:rsidR="00C8742B" w:rsidRPr="00E63DF4" w:rsidRDefault="00C8742B" w:rsidP="00A00982">
            <w:pPr>
              <w:pStyle w:val="TableText0"/>
              <w:keepLines/>
            </w:pPr>
            <w:r w:rsidRPr="00E63DF4">
              <w:t>Population</w:t>
            </w:r>
          </w:p>
        </w:tc>
        <w:tc>
          <w:tcPr>
            <w:tcW w:w="4089" w:type="pct"/>
          </w:tcPr>
          <w:p w:rsidR="00C8742B" w:rsidRPr="00E63DF4" w:rsidRDefault="00C8742B" w:rsidP="00A00982">
            <w:pPr>
              <w:pStyle w:val="TableText0"/>
              <w:keepLines/>
            </w:pPr>
            <w:r w:rsidRPr="00E63DF4">
              <w:t xml:space="preserve">Patients with locally advanced or metastatic BCLC </w:t>
            </w:r>
            <w:r w:rsidR="00B475E0" w:rsidRPr="00E63DF4">
              <w:t>s</w:t>
            </w:r>
            <w:r w:rsidRPr="00E63DF4">
              <w:t>tage B or C HCC who have not received prior systemic treatment</w:t>
            </w:r>
            <w:r w:rsidR="00A9436B" w:rsidRPr="00E63DF4">
              <w:t>.</w:t>
            </w:r>
          </w:p>
        </w:tc>
      </w:tr>
      <w:tr w:rsidR="00C8742B" w:rsidRPr="00E63DF4" w:rsidTr="005A76D6">
        <w:tc>
          <w:tcPr>
            <w:tcW w:w="911" w:type="pct"/>
            <w:vAlign w:val="center"/>
          </w:tcPr>
          <w:p w:rsidR="00C8742B" w:rsidRPr="00E63DF4" w:rsidRDefault="00C8742B" w:rsidP="00A00982">
            <w:pPr>
              <w:pStyle w:val="TableText0"/>
              <w:keepLines/>
            </w:pPr>
            <w:r w:rsidRPr="00E63DF4">
              <w:t>Intervention</w:t>
            </w:r>
          </w:p>
        </w:tc>
        <w:tc>
          <w:tcPr>
            <w:tcW w:w="4089" w:type="pct"/>
          </w:tcPr>
          <w:p w:rsidR="00C8742B" w:rsidRPr="00E63DF4" w:rsidRDefault="00C8742B" w:rsidP="00A00982">
            <w:pPr>
              <w:pStyle w:val="TableText0"/>
              <w:keepLines/>
            </w:pPr>
            <w:r w:rsidRPr="00E63DF4">
              <w:t>Atezolizumab 1,200 mg and bevacizumab 15 mg/kg for intravenous infusion once every three weeks (</w:t>
            </w:r>
            <w:r w:rsidR="00243C24" w:rsidRPr="00E63DF4">
              <w:t>Q</w:t>
            </w:r>
            <w:r w:rsidR="00A9436B" w:rsidRPr="00E63DF4">
              <w:t>3</w:t>
            </w:r>
            <w:r w:rsidR="00243C24" w:rsidRPr="00E63DF4">
              <w:t>W</w:t>
            </w:r>
            <w:r w:rsidR="00A9436B" w:rsidRPr="00E63DF4">
              <w:t>).</w:t>
            </w:r>
          </w:p>
        </w:tc>
      </w:tr>
      <w:tr w:rsidR="00C8742B" w:rsidRPr="00E63DF4" w:rsidTr="005A76D6">
        <w:tc>
          <w:tcPr>
            <w:tcW w:w="911" w:type="pct"/>
            <w:vAlign w:val="center"/>
          </w:tcPr>
          <w:p w:rsidR="00C8742B" w:rsidRPr="00E63DF4" w:rsidRDefault="00C8742B" w:rsidP="00A00982">
            <w:pPr>
              <w:pStyle w:val="TableText0"/>
              <w:keepLines/>
            </w:pPr>
            <w:r w:rsidRPr="00E63DF4">
              <w:t>Comparator</w:t>
            </w:r>
          </w:p>
        </w:tc>
        <w:tc>
          <w:tcPr>
            <w:tcW w:w="4089" w:type="pct"/>
          </w:tcPr>
          <w:p w:rsidR="00C8742B" w:rsidRPr="00E63DF4" w:rsidRDefault="00C8742B" w:rsidP="00A00982">
            <w:pPr>
              <w:pStyle w:val="TableText0"/>
              <w:keepLines/>
            </w:pPr>
            <w:r w:rsidRPr="00E63DF4">
              <w:t>Tyrosine kinase inhibitors (TKIs) using sorafenib 400 mg tablet twice daily (BID) as the primary comparator</w:t>
            </w:r>
            <w:r w:rsidR="00A9436B" w:rsidRPr="00E63DF4">
              <w:t>.</w:t>
            </w:r>
          </w:p>
        </w:tc>
      </w:tr>
      <w:tr w:rsidR="00C8742B" w:rsidRPr="00E63DF4" w:rsidTr="005A76D6">
        <w:tc>
          <w:tcPr>
            <w:tcW w:w="911" w:type="pct"/>
            <w:vAlign w:val="center"/>
          </w:tcPr>
          <w:p w:rsidR="00C8742B" w:rsidRPr="00E63DF4" w:rsidRDefault="00C8742B" w:rsidP="00A00982">
            <w:pPr>
              <w:pStyle w:val="TableText0"/>
              <w:keepLines/>
            </w:pPr>
            <w:r w:rsidRPr="00E63DF4">
              <w:t>Outcomes</w:t>
            </w:r>
          </w:p>
        </w:tc>
        <w:tc>
          <w:tcPr>
            <w:tcW w:w="4089" w:type="pct"/>
          </w:tcPr>
          <w:p w:rsidR="00C8742B" w:rsidRPr="00E63DF4" w:rsidRDefault="00C8742B" w:rsidP="00A00982">
            <w:pPr>
              <w:pStyle w:val="TableText0"/>
              <w:keepLines/>
            </w:pPr>
            <w:r w:rsidRPr="00E63DF4">
              <w:t>Overall survival (OS), Progression-free survival (PFS), objective response rate (ORR), duration of response (DOR), time to progression (TTP), time to deterioration of patient-reported outcomes (</w:t>
            </w:r>
            <w:r w:rsidR="00A9436B" w:rsidRPr="00E63DF4">
              <w:t>PROs).</w:t>
            </w:r>
          </w:p>
        </w:tc>
      </w:tr>
      <w:tr w:rsidR="00C8742B" w:rsidRPr="00E63DF4" w:rsidTr="005A76D6">
        <w:tc>
          <w:tcPr>
            <w:tcW w:w="911" w:type="pct"/>
            <w:vAlign w:val="center"/>
          </w:tcPr>
          <w:p w:rsidR="00C8742B" w:rsidRPr="00E63DF4" w:rsidRDefault="00C8742B" w:rsidP="00A00982">
            <w:pPr>
              <w:pStyle w:val="TableText0"/>
              <w:keepLines/>
            </w:pPr>
            <w:r w:rsidRPr="00E63DF4">
              <w:t>Clinical claim</w:t>
            </w:r>
          </w:p>
        </w:tc>
        <w:tc>
          <w:tcPr>
            <w:tcW w:w="4089" w:type="pct"/>
          </w:tcPr>
          <w:p w:rsidR="00C8742B" w:rsidRPr="00E63DF4" w:rsidRDefault="00C8742B" w:rsidP="00A00982">
            <w:pPr>
              <w:pStyle w:val="TableText0"/>
              <w:keepLines/>
            </w:pPr>
            <w:r w:rsidRPr="00E63DF4">
              <w:t>Atezolizumab and bevacizumab (Atezo+Bev) is superior in efficacy to sorafenib as demonstrated by a statistically significant and clinically meaningful improvement in OS and PFS compared to sorafenib; and non-inferior in terms of safety (with respect to event rates) with a different adverse event profile. Treatment with Atezo+Bev is also associated with improvements in patient-reported outcomes, specifically a clinically meaningful delay in the deterioration of patient-reported physical functioning, role functioning, quality of life and symptoms compared to sorafenib.</w:t>
            </w:r>
          </w:p>
        </w:tc>
      </w:tr>
    </w:tbl>
    <w:p w:rsidR="00C8742B" w:rsidRPr="00E63DF4" w:rsidRDefault="00C8742B" w:rsidP="00A00982">
      <w:pPr>
        <w:pStyle w:val="TableFigureFooter"/>
        <w:keepNext/>
        <w:keepLines/>
      </w:pPr>
      <w:r w:rsidRPr="00E63DF4">
        <w:t>Source: Table 1.1, p20 of the submission.</w:t>
      </w:r>
    </w:p>
    <w:p w:rsidR="00C8742B" w:rsidRPr="00E63DF4" w:rsidRDefault="00C8742B" w:rsidP="00A00982">
      <w:pPr>
        <w:pStyle w:val="TableFigureFooter"/>
        <w:keepNext/>
        <w:keepLines/>
      </w:pPr>
      <w:r w:rsidRPr="00E63DF4">
        <w:t xml:space="preserve">Abbreviations: Atezo+Bev = </w:t>
      </w:r>
      <w:r w:rsidR="004279B1" w:rsidRPr="00E63DF4">
        <w:t>a</w:t>
      </w:r>
      <w:r w:rsidRPr="00E63DF4">
        <w:t xml:space="preserve">tezolizumab </w:t>
      </w:r>
      <w:r w:rsidR="004279B1" w:rsidRPr="00E63DF4">
        <w:t>plus</w:t>
      </w:r>
      <w:r w:rsidRPr="00E63DF4">
        <w:t xml:space="preserve"> bevacizumab; DOR = </w:t>
      </w:r>
      <w:r w:rsidR="004279B1" w:rsidRPr="00E63DF4">
        <w:t>d</w:t>
      </w:r>
      <w:r w:rsidRPr="00E63DF4">
        <w:t xml:space="preserve">uration of response; OS = </w:t>
      </w:r>
      <w:r w:rsidR="004279B1" w:rsidRPr="00E63DF4">
        <w:t>o</w:t>
      </w:r>
      <w:r w:rsidRPr="00E63DF4">
        <w:t xml:space="preserve">verall survival; PFS = </w:t>
      </w:r>
      <w:r w:rsidR="004279B1" w:rsidRPr="00E63DF4">
        <w:t>p</w:t>
      </w:r>
      <w:r w:rsidRPr="00E63DF4">
        <w:t>rogression</w:t>
      </w:r>
      <w:r w:rsidR="006011FD" w:rsidRPr="00E63DF4">
        <w:t>-</w:t>
      </w:r>
      <w:r w:rsidRPr="00E63DF4">
        <w:t xml:space="preserve">free survival; PRO = </w:t>
      </w:r>
      <w:r w:rsidR="004279B1" w:rsidRPr="00E63DF4">
        <w:t>p</w:t>
      </w:r>
      <w:r w:rsidRPr="00E63DF4">
        <w:t>atient</w:t>
      </w:r>
      <w:r w:rsidR="00F20693" w:rsidRPr="00E63DF4">
        <w:t>-</w:t>
      </w:r>
      <w:r w:rsidRPr="00E63DF4">
        <w:t xml:space="preserve">reported outcomes; q3w = once every 3 weeks; TKI = </w:t>
      </w:r>
      <w:r w:rsidR="004279B1" w:rsidRPr="00E63DF4">
        <w:t>t</w:t>
      </w:r>
      <w:r w:rsidRPr="00E63DF4">
        <w:t xml:space="preserve">yrosine kinase inhibitor; TTP = </w:t>
      </w:r>
      <w:r w:rsidR="004279B1" w:rsidRPr="00E63DF4">
        <w:t>t</w:t>
      </w:r>
      <w:r w:rsidRPr="00E63DF4">
        <w:t>ime to progression</w:t>
      </w:r>
    </w:p>
    <w:p w:rsidR="005C25FF" w:rsidRPr="00E63DF4" w:rsidRDefault="005C25FF" w:rsidP="004A6040">
      <w:pPr>
        <w:pStyle w:val="2-SectionHeading"/>
      </w:pPr>
      <w:bookmarkStart w:id="3" w:name="_Toc40710585"/>
      <w:r w:rsidRPr="00E63DF4">
        <w:t>Background</w:t>
      </w:r>
      <w:bookmarkEnd w:id="3"/>
    </w:p>
    <w:p w:rsidR="005C25FF" w:rsidRPr="00E63DF4" w:rsidRDefault="005C25FF" w:rsidP="004A6040">
      <w:pPr>
        <w:pStyle w:val="4-SubsectionHeading"/>
      </w:pPr>
      <w:bookmarkStart w:id="4" w:name="_Toc22897638"/>
      <w:bookmarkStart w:id="5" w:name="_Toc40710586"/>
      <w:r w:rsidRPr="00E63DF4">
        <w:t>Registration status</w:t>
      </w:r>
      <w:bookmarkEnd w:id="4"/>
      <w:bookmarkEnd w:id="5"/>
    </w:p>
    <w:p w:rsidR="004A2F8D" w:rsidRPr="00E63DF4" w:rsidRDefault="00A65930" w:rsidP="000E1B1E">
      <w:pPr>
        <w:pStyle w:val="3-BodyText"/>
      </w:pPr>
      <w:r w:rsidRPr="00E63DF4">
        <w:t xml:space="preserve">The submission was </w:t>
      </w:r>
      <w:r w:rsidR="00946D71" w:rsidRPr="00E63DF4">
        <w:t xml:space="preserve">lodged </w:t>
      </w:r>
      <w:r w:rsidRPr="00E63DF4">
        <w:t xml:space="preserve">under the TGA/PBAC Parallel Process. </w:t>
      </w:r>
      <w:r w:rsidR="004A2F8D" w:rsidRPr="00E63DF4">
        <w:t>A priority review for atezolizumab was granted by the TGA on 10</w:t>
      </w:r>
      <w:r w:rsidR="004A2F8D" w:rsidRPr="00E63DF4">
        <w:rPr>
          <w:vertAlign w:val="superscript"/>
        </w:rPr>
        <w:t>th</w:t>
      </w:r>
      <w:r w:rsidR="004A2F8D" w:rsidRPr="00E63DF4">
        <w:t xml:space="preserve"> January 2020 for the indication of “Tecentriq, in combination with bevacizumab, is indicated for the treatment of patients with unresectable hepatocellular carcinoma (HCC) who have not received prior systemic therapy” and t</w:t>
      </w:r>
      <w:r w:rsidR="000B4225" w:rsidRPr="00E63DF4">
        <w:t>he sponsor submitted an application for market</w:t>
      </w:r>
      <w:r w:rsidR="004279B1" w:rsidRPr="00E63DF4">
        <w:t>ing</w:t>
      </w:r>
      <w:r w:rsidR="000B4225" w:rsidRPr="00E63DF4">
        <w:t xml:space="preserve"> </w:t>
      </w:r>
      <w:r w:rsidRPr="00E63DF4">
        <w:t>authorisation to the TGA on 24</w:t>
      </w:r>
      <w:r w:rsidRPr="00E63DF4">
        <w:rPr>
          <w:vertAlign w:val="superscript"/>
        </w:rPr>
        <w:t>th</w:t>
      </w:r>
      <w:r w:rsidRPr="00E63DF4">
        <w:t xml:space="preserve"> </w:t>
      </w:r>
      <w:r w:rsidR="000B4225" w:rsidRPr="00E63DF4">
        <w:t>January 2020</w:t>
      </w:r>
      <w:r w:rsidR="00C77A50" w:rsidRPr="00E63DF4">
        <w:t xml:space="preserve">. </w:t>
      </w:r>
      <w:r w:rsidR="000B4225" w:rsidRPr="00E63DF4">
        <w:t>The application was identified for</w:t>
      </w:r>
      <w:r w:rsidR="004D6ACF" w:rsidRPr="00E63DF4">
        <w:t xml:space="preserve"> </w:t>
      </w:r>
      <w:r w:rsidR="004279B1" w:rsidRPr="00E63DF4">
        <w:t xml:space="preserve">consideration under </w:t>
      </w:r>
      <w:r w:rsidR="004D6ACF" w:rsidRPr="00E63DF4">
        <w:t xml:space="preserve">the United States Food and </w:t>
      </w:r>
      <w:r w:rsidR="000B4225" w:rsidRPr="00E63DF4">
        <w:t>Drug Administration’s (FDA) Project Orbis</w:t>
      </w:r>
      <w:r w:rsidR="00973055" w:rsidRPr="00E63DF4">
        <w:t xml:space="preserve"> and </w:t>
      </w:r>
      <w:r w:rsidR="00C77A50" w:rsidRPr="00E63DF4">
        <w:t>TGA</w:t>
      </w:r>
      <w:r w:rsidR="00973055" w:rsidRPr="00E63DF4">
        <w:t xml:space="preserve"> Clinical Evaluation Reports</w:t>
      </w:r>
      <w:r w:rsidR="00C77A50" w:rsidRPr="00E63DF4">
        <w:t xml:space="preserve"> </w:t>
      </w:r>
      <w:r w:rsidR="00973055" w:rsidRPr="00E63DF4">
        <w:t xml:space="preserve">were not </w:t>
      </w:r>
      <w:r w:rsidR="009134B6" w:rsidRPr="00E63DF4">
        <w:t xml:space="preserve">available </w:t>
      </w:r>
      <w:r w:rsidR="00973055" w:rsidRPr="00E63DF4">
        <w:t xml:space="preserve">during evaluation. </w:t>
      </w:r>
    </w:p>
    <w:p w:rsidR="00AC14A0" w:rsidRPr="00E63DF4" w:rsidRDefault="004A2F8D" w:rsidP="000C4281">
      <w:pPr>
        <w:pStyle w:val="3-BodyText"/>
      </w:pPr>
      <w:r w:rsidRPr="00E63DF4">
        <w:t xml:space="preserve">The </w:t>
      </w:r>
      <w:r w:rsidR="0026102D" w:rsidRPr="00E63DF4">
        <w:t>TGA Delegate’s Overview</w:t>
      </w:r>
      <w:r w:rsidRPr="00E63DF4">
        <w:t xml:space="preserve"> </w:t>
      </w:r>
      <w:r w:rsidR="0026102D" w:rsidRPr="00E63DF4">
        <w:t>was</w:t>
      </w:r>
      <w:r w:rsidRPr="00E63DF4">
        <w:t xml:space="preserve"> received prior to PBAC consideration and the Delegate</w:t>
      </w:r>
      <w:r w:rsidR="00973055" w:rsidRPr="00E63DF4">
        <w:t xml:space="preserve"> recommended approval of the proposed indication (see </w:t>
      </w:r>
      <w:r w:rsidR="00973055" w:rsidRPr="00EE28E1">
        <w:t>paragraph 2.1).</w:t>
      </w:r>
      <w:r w:rsidR="002D02D2" w:rsidRPr="00E63DF4">
        <w:t xml:space="preserve"> </w:t>
      </w:r>
      <w:r w:rsidR="0026102D" w:rsidRPr="00E63DF4">
        <w:t>R</w:t>
      </w:r>
      <w:r w:rsidR="002D02D2" w:rsidRPr="00E63DF4">
        <w:t>egistration on the Australian Register of Therapeutic Goods (ARTG) is expected in early October</w:t>
      </w:r>
      <w:r w:rsidR="00273D55" w:rsidRPr="00E63DF4">
        <w:t xml:space="preserve"> 2020</w:t>
      </w:r>
      <w:r w:rsidR="002D02D2" w:rsidRPr="00E63DF4">
        <w:t>.</w:t>
      </w:r>
      <w:r w:rsidR="000C4281" w:rsidRPr="00E63DF4">
        <w:t xml:space="preserve"> The TGA Delegate </w:t>
      </w:r>
      <w:r w:rsidR="00492189" w:rsidRPr="00E63DF4">
        <w:t>considered</w:t>
      </w:r>
      <w:r w:rsidR="007A1AF2" w:rsidRPr="00E63DF4">
        <w:t xml:space="preserve"> that</w:t>
      </w:r>
      <w:r w:rsidR="00492189" w:rsidRPr="00E63DF4">
        <w:t xml:space="preserve"> although the early data indicated a significant improvement in OS, the data remained immature and longer term follow up would be informative.</w:t>
      </w:r>
      <w:r w:rsidR="007A1AF2" w:rsidRPr="00E63DF4">
        <w:t xml:space="preserve"> The TGA Delegate considered</w:t>
      </w:r>
      <w:r w:rsidR="00492189" w:rsidRPr="00E63DF4">
        <w:t xml:space="preserve"> </w:t>
      </w:r>
      <w:r w:rsidR="000C4281" w:rsidRPr="00E63DF4">
        <w:t>the safety of Atezo+Bev h</w:t>
      </w:r>
      <w:r w:rsidR="007A1AF2" w:rsidRPr="00E63DF4">
        <w:t>ad</w:t>
      </w:r>
      <w:r w:rsidR="000C4281" w:rsidRPr="00E63DF4">
        <w:t xml:space="preserve"> not been established in patients who had incompletely treated varices or who were at high risk of bleeding, and cannot be recommended for use in these patients</w:t>
      </w:r>
      <w:r w:rsidR="004A26A0" w:rsidRPr="00E63DF4">
        <w:t xml:space="preserve"> (</w:t>
      </w:r>
      <w:r w:rsidR="00A84238" w:rsidRPr="00E63DF4">
        <w:t>p6</w:t>
      </w:r>
      <w:r w:rsidR="004A26A0" w:rsidRPr="00E63DF4">
        <w:t>,</w:t>
      </w:r>
      <w:r w:rsidR="000C4281" w:rsidRPr="00E63DF4">
        <w:t xml:space="preserve"> Delegate’s Overview</w:t>
      </w:r>
      <w:r w:rsidR="004A26A0" w:rsidRPr="00E63DF4">
        <w:t>)</w:t>
      </w:r>
      <w:r w:rsidR="000C4281" w:rsidRPr="00E63DF4">
        <w:t>.</w:t>
      </w:r>
    </w:p>
    <w:p w:rsidR="00100457" w:rsidRPr="005A76D6" w:rsidRDefault="000B4225" w:rsidP="009E060C">
      <w:pPr>
        <w:pStyle w:val="3-BodyText"/>
      </w:pPr>
      <w:r w:rsidRPr="005A76D6">
        <w:t xml:space="preserve">Atezo+Bev, in combination with platinum-doublet chemotherapy, is currently registered </w:t>
      </w:r>
      <w:r w:rsidR="003E1FA0" w:rsidRPr="005A76D6">
        <w:t xml:space="preserve">and reimbursed </w:t>
      </w:r>
      <w:r w:rsidRPr="005A76D6">
        <w:t>for the first-line treatment of adult patients with metastatic non-squamous non-small cell lung cancer (NSCLC).</w:t>
      </w:r>
    </w:p>
    <w:p w:rsidR="00AC14A0" w:rsidRPr="00E63DF4" w:rsidRDefault="00AC14A0" w:rsidP="00AC14A0">
      <w:pPr>
        <w:pStyle w:val="3-BodyText"/>
        <w:numPr>
          <w:ilvl w:val="0"/>
          <w:numId w:val="0"/>
        </w:numPr>
        <w:ind w:left="720"/>
      </w:pPr>
      <w:r w:rsidRPr="00E63DF4">
        <w:rPr>
          <w:i/>
        </w:rPr>
        <w:t>For more detail on PBAC’s view, see section 7 PBAC outcome.</w:t>
      </w:r>
    </w:p>
    <w:p w:rsidR="00B60939" w:rsidRPr="00E63DF4" w:rsidRDefault="00B50DB8" w:rsidP="004B1CB4">
      <w:pPr>
        <w:pStyle w:val="2-SectionHeading"/>
      </w:pPr>
      <w:bookmarkStart w:id="6" w:name="_Toc40710587"/>
      <w:r w:rsidRPr="00E63DF4">
        <w:lastRenderedPageBreak/>
        <w:t>Requested listing</w:t>
      </w:r>
      <w:bookmarkEnd w:id="6"/>
    </w:p>
    <w:p w:rsidR="00360212" w:rsidRPr="00E63DF4" w:rsidRDefault="00360212" w:rsidP="00360212">
      <w:pPr>
        <w:pStyle w:val="3-BodyText"/>
      </w:pPr>
      <w:r w:rsidRPr="00E63DF4">
        <w:t xml:space="preserve">The requested listings </w:t>
      </w:r>
      <w:r w:rsidR="007A1AF2" w:rsidRPr="00E63DF4">
        <w:t xml:space="preserve">proposed in the submission </w:t>
      </w:r>
      <w:r w:rsidRPr="00E63DF4">
        <w:t>are summarised below for atezolizumab and bevacizumab</w:t>
      </w:r>
      <w:r w:rsidR="007A1AF2" w:rsidRPr="00E63DF4">
        <w:t xml:space="preserve"> with s</w:t>
      </w:r>
      <w:r w:rsidR="00276778" w:rsidRPr="00E63DF4">
        <w:t xml:space="preserve">uggested additions in italics and deletions in strikethrough. </w:t>
      </w:r>
      <w:r w:rsidR="00672669" w:rsidRPr="00E63DF4">
        <w:t>The submission requested separate listing</w:t>
      </w:r>
      <w:r w:rsidR="00946D71" w:rsidRPr="00E63DF4">
        <w:t>s</w:t>
      </w:r>
      <w:r w:rsidR="00672669" w:rsidRPr="00E63DF4">
        <w:t xml:space="preserve"> for atezolizumab monotherapy </w:t>
      </w:r>
      <w:r w:rsidR="00AB1716" w:rsidRPr="00E63DF4">
        <w:t>1,680 mg every four weeks (Q4W;</w:t>
      </w:r>
      <w:r w:rsidR="00672669" w:rsidRPr="00E63DF4">
        <w:t xml:space="preserve"> if bevacizumab is discontinued due to </w:t>
      </w:r>
      <w:r w:rsidR="002F49EE" w:rsidRPr="00E63DF4">
        <w:t>intolerance</w:t>
      </w:r>
      <w:r w:rsidR="00AB1716" w:rsidRPr="00E63DF4">
        <w:t>)</w:t>
      </w:r>
      <w:r w:rsidR="00685D9D" w:rsidRPr="00E63DF4">
        <w:t xml:space="preserve"> and </w:t>
      </w:r>
      <w:r w:rsidR="00946D71" w:rsidRPr="00E63DF4">
        <w:t>for the use of Atezo+Bev in</w:t>
      </w:r>
      <w:r w:rsidR="00685D9D" w:rsidRPr="00E63DF4">
        <w:t xml:space="preserve"> grandfathered patients</w:t>
      </w:r>
      <w:r w:rsidR="00946D71" w:rsidRPr="00E63DF4">
        <w:t xml:space="preserve"> (</w:t>
      </w:r>
      <w:r w:rsidR="00557B18" w:rsidRPr="00E63DF4">
        <w:t xml:space="preserve">both of these listings </w:t>
      </w:r>
      <w:r w:rsidR="00946D71" w:rsidRPr="00E63DF4">
        <w:t>not shown</w:t>
      </w:r>
      <w:r w:rsidR="00685D9D" w:rsidRPr="00E63DF4">
        <w:t xml:space="preserve"> </w:t>
      </w:r>
      <w:r w:rsidR="00557B18" w:rsidRPr="00E63DF4">
        <w:t xml:space="preserve">below </w:t>
      </w:r>
      <w:r w:rsidR="00685D9D" w:rsidRPr="00E63DF4">
        <w:t>for brevity</w:t>
      </w:r>
      <w:r w:rsidR="00946D71" w:rsidRPr="00E63DF4">
        <w:t>)</w:t>
      </w:r>
      <w:r w:rsidR="00685D9D" w:rsidRPr="00E63DF4">
        <w:t>.</w:t>
      </w:r>
    </w:p>
    <w:p w:rsidR="00946D71" w:rsidRPr="00E63DF4" w:rsidRDefault="00946D71" w:rsidP="0072492C">
      <w:pPr>
        <w:pStyle w:val="3-BodyText"/>
        <w:rPr>
          <w:bCs/>
          <w:iCs/>
          <w:color w:val="000000"/>
        </w:rPr>
      </w:pPr>
      <w:r w:rsidRPr="00E63DF4">
        <w:t xml:space="preserve">The submission proposed the application of a Special Pricing Arrangement (SPA) with the </w:t>
      </w:r>
      <w:r w:rsidR="00957A28" w:rsidRPr="00E63DF4">
        <w:t xml:space="preserve">effective </w:t>
      </w:r>
      <w:r w:rsidRPr="00E63DF4">
        <w:t xml:space="preserve">ex-manufacturer price for atezolizumab </w:t>
      </w:r>
      <w:r w:rsidR="00957A28" w:rsidRPr="00E63DF4">
        <w:t xml:space="preserve">and bevacizumab </w:t>
      </w:r>
      <w:r w:rsidR="004F2C15" w:rsidRPr="00E63DF4">
        <w:t xml:space="preserve">being </w:t>
      </w:r>
      <w:r w:rsidR="008A0CD0">
        <w:rPr>
          <w:noProof/>
          <w:color w:val="000000"/>
          <w:highlight w:val="black"/>
        </w:rPr>
        <w:t>'''''''''</w:t>
      </w:r>
      <w:r w:rsidRPr="00E63DF4">
        <w:t xml:space="preserve">% </w:t>
      </w:r>
      <w:r w:rsidR="00957A28" w:rsidRPr="00E63DF4">
        <w:t xml:space="preserve">and </w:t>
      </w:r>
      <w:r w:rsidR="008A0CD0">
        <w:rPr>
          <w:noProof/>
          <w:color w:val="000000"/>
          <w:highlight w:val="black"/>
        </w:rPr>
        <w:t>'''''''</w:t>
      </w:r>
      <w:r w:rsidR="00957A28" w:rsidRPr="00E63DF4">
        <w:t>% lower than the published price, respectively</w:t>
      </w:r>
      <w:r w:rsidR="00D76527" w:rsidRPr="00E63DF4">
        <w:t>.</w:t>
      </w:r>
      <w:r w:rsidR="00957A28" w:rsidRPr="00E63DF4">
        <w:t xml:space="preserve"> </w:t>
      </w:r>
      <w:r w:rsidR="00FB22BD" w:rsidRPr="00E63DF4">
        <w:t xml:space="preserve">The submission did not include public and </w:t>
      </w:r>
      <w:r w:rsidR="007F462B" w:rsidRPr="00E63DF4">
        <w:t>private dispensing f</w:t>
      </w:r>
      <w:r w:rsidR="00FB22BD" w:rsidRPr="00E63DF4">
        <w:t xml:space="preserve">ees for bevacizumab in the proposed SPA. In NSCLC, there is a </w:t>
      </w:r>
      <w:r w:rsidR="008A0CD0">
        <w:rPr>
          <w:noProof/>
          <w:color w:val="000000"/>
          <w:highlight w:val="black"/>
        </w:rPr>
        <w:t>''''''''''</w:t>
      </w:r>
      <w:r w:rsidR="00FB22BD" w:rsidRPr="00E63DF4">
        <w:t xml:space="preserve"> rebate on all Commonwealth expenditure fo</w:t>
      </w:r>
      <w:r w:rsidR="007F462B" w:rsidRPr="00E63DF4">
        <w:t>r bevaci</w:t>
      </w:r>
      <w:r w:rsidR="00FB22BD" w:rsidRPr="00E63DF4">
        <w:t>zumab (including dispensing fees and mark-ups).</w:t>
      </w:r>
    </w:p>
    <w:p w:rsidR="00946D71" w:rsidRPr="008A0CD0" w:rsidRDefault="008A0CD0" w:rsidP="008A0CD0">
      <w:pPr>
        <w:pStyle w:val="3-BodyText"/>
        <w:numPr>
          <w:ilvl w:val="0"/>
          <w:numId w:val="0"/>
        </w:numPr>
        <w:ind w:left="720" w:hanging="720"/>
        <w:rPr>
          <w:bCs/>
          <w:iCs/>
          <w:color w:val="000000"/>
          <w:highlight w:val="black"/>
        </w:rPr>
      </w:pPr>
      <w:r>
        <w:rPr>
          <w:rFonts w:cstheme="minorHAnsi"/>
          <w:noProof/>
          <w:color w:val="000000"/>
          <w:highlight w:val="black"/>
          <w14:scene3d>
            <w14:camera w14:prst="orthographicFront"/>
            <w14:lightRig w14:rig="threePt" w14:dir="t">
              <w14:rot w14:lat="0" w14:lon="0" w14:rev="0"/>
            </w14:lightRig>
          </w14:scene3d>
        </w:rPr>
        <w:t>'''''''''''' '''''''''''''''''''' '''''''''''' ''''' '''''''''''''''''''''' '''' '''''''' ''''''' ''''''''''''''''''''' ''''''''' '''''' ''''''''''''''''''''''' '''''''''''' '''' ''''''''' ''''''' '''''''''''''''''' '''''''''''''' '''''''' '''''' ''''''''''''''''''''''' ''''' ''''''''''' ''''''' '''''''''''''''''''''' '''''''' '''''''''''''''' '''''''''''''</w:t>
      </w:r>
    </w:p>
    <w:p w:rsidR="00946D71" w:rsidRPr="00AD2948" w:rsidRDefault="00946D71" w:rsidP="00AD2948">
      <w:pPr>
        <w:pStyle w:val="3-BodyText"/>
        <w:numPr>
          <w:ilvl w:val="1"/>
          <w:numId w:val="37"/>
        </w:numPr>
        <w:rPr>
          <w:bCs/>
          <w:iCs/>
          <w:color w:val="000000"/>
        </w:rPr>
      </w:pPr>
      <w:r w:rsidRPr="00AD2948">
        <w:rPr>
          <w:bCs/>
          <w:iCs/>
          <w:color w:val="000000"/>
        </w:rPr>
        <w:t>The submission requested a PBS listing restricted to patients with WHO performance status (PS) of 0 to 1, in line with the pivotal trial IMbrave150. The current listings for sorafenib and lenvatinib are for patients with WHO PS 0–2. The submission sought the PBAC’s consideration for an ‘alternative’ PBS restriction which would allow use in patients with WHO PS 0-2. The submission has not considered the cost-effectiveness or financial implications of the use of Atezo+Bev in patients with</w:t>
      </w:r>
      <w:r w:rsidR="004F2C15" w:rsidRPr="00AD2948">
        <w:rPr>
          <w:bCs/>
          <w:iCs/>
          <w:color w:val="000000"/>
        </w:rPr>
        <w:t xml:space="preserve"> a</w:t>
      </w:r>
      <w:r w:rsidRPr="00AD2948">
        <w:rPr>
          <w:bCs/>
          <w:iCs/>
          <w:color w:val="000000"/>
        </w:rPr>
        <w:t xml:space="preserve"> PS</w:t>
      </w:r>
      <w:r w:rsidR="004F2C15" w:rsidRPr="00AD2948">
        <w:rPr>
          <w:bCs/>
          <w:iCs/>
          <w:color w:val="000000"/>
        </w:rPr>
        <w:t xml:space="preserve"> of </w:t>
      </w:r>
      <w:r w:rsidRPr="00AD2948">
        <w:rPr>
          <w:bCs/>
          <w:iCs/>
          <w:color w:val="000000"/>
        </w:rPr>
        <w:t>2.</w:t>
      </w:r>
      <w:r w:rsidR="00495B73" w:rsidRPr="00AD2948">
        <w:rPr>
          <w:bCs/>
          <w:iCs/>
          <w:color w:val="000000"/>
        </w:rPr>
        <w:t xml:space="preserve"> </w:t>
      </w:r>
      <w:r w:rsidR="007E2D54" w:rsidRPr="00AD2948">
        <w:rPr>
          <w:bCs/>
          <w:iCs/>
          <w:color w:val="000000"/>
        </w:rPr>
        <w:t>The ESC considered</w:t>
      </w:r>
      <w:r w:rsidR="00B40264" w:rsidRPr="00AD2948">
        <w:rPr>
          <w:bCs/>
          <w:iCs/>
          <w:color w:val="000000"/>
        </w:rPr>
        <w:t xml:space="preserve"> </w:t>
      </w:r>
      <w:r w:rsidR="007E2D54" w:rsidRPr="00AD2948">
        <w:rPr>
          <w:bCs/>
          <w:iCs/>
          <w:color w:val="000000"/>
        </w:rPr>
        <w:t xml:space="preserve">that allowing access to patients with WHO PS 2 </w:t>
      </w:r>
      <w:r w:rsidR="007B311F" w:rsidRPr="00AD2948">
        <w:rPr>
          <w:bCs/>
          <w:iCs/>
          <w:color w:val="000000"/>
        </w:rPr>
        <w:t>would</w:t>
      </w:r>
      <w:r w:rsidR="00B40264" w:rsidRPr="00AD2948">
        <w:rPr>
          <w:bCs/>
          <w:iCs/>
          <w:color w:val="000000"/>
        </w:rPr>
        <w:t xml:space="preserve"> </w:t>
      </w:r>
      <w:r w:rsidR="007E2D54" w:rsidRPr="00AD2948">
        <w:rPr>
          <w:bCs/>
          <w:iCs/>
          <w:color w:val="000000"/>
        </w:rPr>
        <w:t xml:space="preserve">have significant clinical and financial implications. </w:t>
      </w:r>
    </w:p>
    <w:p w:rsidR="00FE006B" w:rsidRPr="00E63DF4" w:rsidRDefault="00946D71" w:rsidP="0072492C">
      <w:pPr>
        <w:pStyle w:val="3-BodyText"/>
      </w:pPr>
      <w:r w:rsidRPr="00E63DF4">
        <w:rPr>
          <w:bCs/>
          <w:iCs/>
          <w:color w:val="000000"/>
        </w:rPr>
        <w:t>The submissio</w:t>
      </w:r>
      <w:r w:rsidRPr="00E63DF4">
        <w:t xml:space="preserve">n proposed the inclusion of the following clinical criterion as part of the eligibility criteria to initiate treatment with atezolizumab and bevacizumab: “Patient must have developed intolerance to a vascular endothelial growth factor (VEGF) tyrosine kinase inhibitor (TKI) of a severity necessitating permanent treatment withdrawal”. While this criterion is consistent with the listings for the TKIs in this setting (sorafenib and lenvatinib), the pivotal trial IMbrave150 only included patients </w:t>
      </w:r>
      <w:r w:rsidR="00F0770B" w:rsidRPr="00E63DF4">
        <w:t>naïve to</w:t>
      </w:r>
      <w:r w:rsidRPr="00E63DF4">
        <w:t xml:space="preserve"> prior systemic therapy (which reflects the other clinical criterion in the PBS listing proposed) and there was no evidence presented in the submission to support the sequential use of Atezo+Bev following a VEGF TKI (including intolerance) in the treatment of HCC.</w:t>
      </w:r>
      <w:r w:rsidR="002829F3" w:rsidRPr="00E63DF4">
        <w:t xml:space="preserve"> </w:t>
      </w:r>
      <w:r w:rsidR="002829F3" w:rsidRPr="00E63DF4">
        <w:rPr>
          <w:rFonts w:ascii="Calibri" w:hAnsi="Calibri" w:cs="Calibri"/>
          <w:bCs/>
          <w:szCs w:val="22"/>
        </w:rPr>
        <w:t>The Sponsor stated in their Pre-Sub-Committee Response (PSCR) that the “treatment intolerance” criterion was included for consistency with existing listings and that trial evidence underpinning the use of sorafenib and lenvatinib did not include evidence of their respective use after VEGF TKI intolerance.</w:t>
      </w:r>
    </w:p>
    <w:p w:rsidR="00946D71" w:rsidRPr="00E63DF4" w:rsidRDefault="00FE006B" w:rsidP="007F7262">
      <w:pPr>
        <w:pStyle w:val="3-BodyText"/>
      </w:pPr>
      <w:r w:rsidRPr="00E63DF4">
        <w:t>The submission proposed that sorafenib and lenvatinib will remain as first line options for patients with WHO (ECOG) performance status (PS) 0-2</w:t>
      </w:r>
      <w:r w:rsidR="006A3BBE" w:rsidRPr="00E63DF4">
        <w:t xml:space="preserve"> (see Figure 1)</w:t>
      </w:r>
      <w:r w:rsidRPr="00E63DF4">
        <w:t xml:space="preserve">. In IMbrave150, the most common follow-up systemic therapy for patients was a TKI </w:t>
      </w:r>
      <w:r w:rsidRPr="00E63DF4">
        <w:lastRenderedPageBreak/>
        <w:t>(26.1% and 18.8% in the sorafenib and Atezo+Bev arms, respectiv</w:t>
      </w:r>
      <w:r w:rsidR="00A42B20" w:rsidRPr="00E63DF4">
        <w:t xml:space="preserve">ely). </w:t>
      </w:r>
      <w:r w:rsidR="007B021E" w:rsidRPr="00E63DF4">
        <w:t>Given the lack of</w:t>
      </w:r>
      <w:r w:rsidR="00F43BA8" w:rsidRPr="00E63DF4">
        <w:t xml:space="preserve"> specific</w:t>
      </w:r>
      <w:r w:rsidR="007B021E" w:rsidRPr="00E63DF4">
        <w:t xml:space="preserve"> second-line treatment options</w:t>
      </w:r>
      <w:r w:rsidR="00020DC8" w:rsidRPr="00E63DF4">
        <w:t xml:space="preserve"> and the fact that the restrictions for </w:t>
      </w:r>
      <w:r w:rsidR="007B021E" w:rsidRPr="00E63DF4">
        <w:t>sorafenib</w:t>
      </w:r>
      <w:r w:rsidR="00020DC8" w:rsidRPr="00E63DF4">
        <w:t xml:space="preserve"> and</w:t>
      </w:r>
      <w:r w:rsidR="007B021E" w:rsidRPr="00E63DF4">
        <w:t xml:space="preserve"> lenvatinib</w:t>
      </w:r>
      <w:r w:rsidR="00020DC8" w:rsidRPr="00E63DF4">
        <w:t xml:space="preserve"> do not specify the line of therapy </w:t>
      </w:r>
      <w:r w:rsidR="005D279B" w:rsidRPr="00E63DF4">
        <w:t xml:space="preserve">(only that </w:t>
      </w:r>
      <w:r w:rsidR="00F43BA8" w:rsidRPr="00E63DF4">
        <w:t>patients</w:t>
      </w:r>
      <w:r w:rsidR="005D279B" w:rsidRPr="00E63DF4">
        <w:t xml:space="preserve"> must not have received prior treatment with a VEGF TKI), these agents</w:t>
      </w:r>
      <w:r w:rsidR="007B021E" w:rsidRPr="00E63DF4">
        <w:t xml:space="preserve"> could likely be used following Atezo+Bev (i.e. second-line)</w:t>
      </w:r>
      <w:r w:rsidR="007B021E" w:rsidRPr="00E63DF4">
        <w:rPr>
          <w:iCs/>
        </w:rPr>
        <w:t>, which may have implications on the cost-effectiveness and financial estimates of the use of Atezo+Bev.</w:t>
      </w:r>
      <w:r w:rsidRPr="00E63DF4">
        <w:t xml:space="preserve"> </w:t>
      </w:r>
      <w:r w:rsidR="007F7262" w:rsidRPr="00E63DF4">
        <w:t>The TGA indication for sorafenib does not specify treatment by line of therapy while lenvatinib is TGA-approved as a first-line treatment in HCC.</w:t>
      </w:r>
      <w:r w:rsidR="00273D55" w:rsidRPr="00E63DF4">
        <w:t xml:space="preserve"> The ESC considered that there is a high risk of post-progression TKI use without clarification</w:t>
      </w:r>
      <w:r w:rsidR="005F3222" w:rsidRPr="00E63DF4">
        <w:t>, and there is no clinical evidence to support this use</w:t>
      </w:r>
      <w:r w:rsidR="00273D55" w:rsidRPr="00E63DF4">
        <w:t>.</w:t>
      </w:r>
    </w:p>
    <w:p w:rsidR="00946D71" w:rsidRPr="00E63DF4" w:rsidRDefault="00946D71" w:rsidP="007C6543">
      <w:pPr>
        <w:pStyle w:val="3-BodyText"/>
      </w:pPr>
      <w:r w:rsidRPr="00E63DF4">
        <w:t>The submission proposed the following clinical criteri</w:t>
      </w:r>
      <w:r w:rsidR="00886056" w:rsidRPr="00E63DF4">
        <w:t>a</w:t>
      </w:r>
      <w:r w:rsidRPr="00E63DF4">
        <w:t xml:space="preserve"> be included as part of the continuation restriction: “Patient must have stable or responding disease” for atezolizumab and “Patient must not develop disease progression while receiving treatment with this drug for t</w:t>
      </w:r>
      <w:r w:rsidR="003C01AE" w:rsidRPr="00E63DF4">
        <w:t>his condition” for bevacizumab.</w:t>
      </w:r>
      <w:r w:rsidR="00DA3B1B" w:rsidRPr="00E63DF4">
        <w:t xml:space="preserve"> Patients in the IMbrave150 trial were allowed to continue treatment with Atezo+Bev or sorafenib beyond disease progression until loss of clinical benefit or unacceptable toxicity. This is not reflected in the </w:t>
      </w:r>
      <w:r w:rsidR="00DA3B1B" w:rsidRPr="00E63DF4">
        <w:rPr>
          <w:bCs/>
          <w:iCs/>
        </w:rPr>
        <w:t xml:space="preserve">proposed listing for bevacizumab (restricted to non-progressing patients) or the current listing for sorafenib. It is unclear if the comparative efficacy of </w:t>
      </w:r>
      <w:r w:rsidR="00DA3B1B" w:rsidRPr="00E63DF4">
        <w:t xml:space="preserve">Atezo+Bev </w:t>
      </w:r>
      <w:r w:rsidR="00DA3B1B" w:rsidRPr="00E63DF4">
        <w:rPr>
          <w:bCs/>
          <w:iCs/>
        </w:rPr>
        <w:t xml:space="preserve">would be maintained if patients were to cease treatment with bevacizumab or sorafenib at progression. </w:t>
      </w:r>
      <w:r w:rsidR="007929EB" w:rsidRPr="00E63DF4">
        <w:t>The Sponsor responded in the PSCR that</w:t>
      </w:r>
      <w:r w:rsidR="007C6543" w:rsidRPr="00E63DF4">
        <w:t xml:space="preserve"> similar proportions of patients received treatment beyond progression in both treatment arms in IMbrave150, and therefore comparative efficacy is likely to have been maintained and can be expected to hold in the Australian context.</w:t>
      </w:r>
      <w:r w:rsidR="007929EB" w:rsidRPr="00E63DF4">
        <w:t xml:space="preserve"> </w:t>
      </w:r>
      <w:r w:rsidR="007C6543" w:rsidRPr="00E63DF4">
        <w:t>The Sponsor is</w:t>
      </w:r>
      <w:r w:rsidR="007929EB" w:rsidRPr="00E63DF4">
        <w:t xml:space="preserve"> amenable to the Secretariat’s amendments to the proposed continuation criteria for </w:t>
      </w:r>
      <w:r w:rsidR="007C6543" w:rsidRPr="00E63DF4">
        <w:t xml:space="preserve">atezolizumab (i.e. </w:t>
      </w:r>
      <w:r w:rsidR="003A58C3" w:rsidRPr="00E63DF4">
        <w:t>p</w:t>
      </w:r>
      <w:r w:rsidR="007C6543" w:rsidRPr="00E63DF4">
        <w:t>atient must not have developed disease progression).</w:t>
      </w:r>
    </w:p>
    <w:p w:rsidR="00360212" w:rsidRPr="00E63DF4" w:rsidRDefault="00360212" w:rsidP="002E5F64">
      <w:pPr>
        <w:pStyle w:val="3-BodyText"/>
        <w:keepNext/>
        <w:keepLines/>
        <w:numPr>
          <w:ilvl w:val="0"/>
          <w:numId w:val="0"/>
        </w:numPr>
        <w:rPr>
          <w:b/>
        </w:rPr>
      </w:pPr>
      <w:r w:rsidRPr="00E63DF4">
        <w:rPr>
          <w:b/>
        </w:rPr>
        <w:t>Atezolizumab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1866"/>
        <w:gridCol w:w="1148"/>
        <w:gridCol w:w="1148"/>
        <w:gridCol w:w="2155"/>
      </w:tblGrid>
      <w:tr w:rsidR="002E5F64" w:rsidRPr="005A76D6" w:rsidTr="005A76D6">
        <w:trPr>
          <w:cantSplit/>
          <w:trHeight w:val="471"/>
        </w:trPr>
        <w:tc>
          <w:tcPr>
            <w:tcW w:w="1506" w:type="pct"/>
          </w:tcPr>
          <w:p w:rsidR="002E5F64" w:rsidRPr="005A76D6" w:rsidRDefault="002E5F64" w:rsidP="002E5F64">
            <w:pPr>
              <w:keepNext/>
              <w:keepLines/>
              <w:ind w:left="-108"/>
              <w:rPr>
                <w:rFonts w:ascii="Arial Narrow" w:hAnsi="Arial Narrow"/>
                <w:b/>
                <w:sz w:val="18"/>
                <w:szCs w:val="18"/>
              </w:rPr>
            </w:pPr>
            <w:r w:rsidRPr="005A76D6">
              <w:rPr>
                <w:rFonts w:ascii="Arial Narrow" w:hAnsi="Arial Narrow"/>
                <w:b/>
                <w:sz w:val="18"/>
                <w:szCs w:val="18"/>
              </w:rPr>
              <w:t>Name, Restriction,</w:t>
            </w:r>
          </w:p>
          <w:p w:rsidR="002E5F64" w:rsidRPr="005A76D6" w:rsidRDefault="002E5F64" w:rsidP="002E5F64">
            <w:pPr>
              <w:keepNext/>
              <w:keepLines/>
              <w:ind w:left="-108"/>
              <w:rPr>
                <w:rFonts w:ascii="Arial Narrow" w:hAnsi="Arial Narrow"/>
                <w:b/>
                <w:sz w:val="18"/>
                <w:szCs w:val="18"/>
              </w:rPr>
            </w:pPr>
            <w:r w:rsidRPr="005A76D6">
              <w:rPr>
                <w:rFonts w:ascii="Arial Narrow" w:hAnsi="Arial Narrow"/>
                <w:b/>
                <w:sz w:val="18"/>
                <w:szCs w:val="18"/>
              </w:rPr>
              <w:t>Manner of administration and form</w:t>
            </w:r>
          </w:p>
        </w:tc>
        <w:tc>
          <w:tcPr>
            <w:tcW w:w="1032" w:type="pct"/>
          </w:tcPr>
          <w:p w:rsidR="002E5F64" w:rsidRPr="005A76D6" w:rsidRDefault="002E5F64" w:rsidP="002E5F64">
            <w:pPr>
              <w:keepNext/>
              <w:keepLines/>
              <w:ind w:left="-108"/>
              <w:jc w:val="center"/>
              <w:rPr>
                <w:rFonts w:ascii="Arial Narrow" w:hAnsi="Arial Narrow"/>
                <w:b/>
                <w:sz w:val="18"/>
                <w:szCs w:val="18"/>
              </w:rPr>
            </w:pPr>
            <w:r w:rsidRPr="005A76D6">
              <w:rPr>
                <w:rFonts w:ascii="Arial Narrow" w:hAnsi="Arial Narrow"/>
                <w:b/>
                <w:sz w:val="18"/>
                <w:szCs w:val="18"/>
              </w:rPr>
              <w:t>PBS item code</w:t>
            </w:r>
          </w:p>
        </w:tc>
        <w:tc>
          <w:tcPr>
            <w:tcW w:w="635" w:type="pct"/>
          </w:tcPr>
          <w:p w:rsidR="002E5F64" w:rsidRPr="005A76D6" w:rsidRDefault="002E5F64" w:rsidP="002E5F64">
            <w:pPr>
              <w:keepNext/>
              <w:keepLines/>
              <w:ind w:left="-108"/>
              <w:jc w:val="center"/>
              <w:rPr>
                <w:rFonts w:ascii="Arial Narrow" w:hAnsi="Arial Narrow"/>
                <w:b/>
                <w:sz w:val="18"/>
                <w:szCs w:val="18"/>
              </w:rPr>
            </w:pPr>
            <w:r w:rsidRPr="005A76D6">
              <w:rPr>
                <w:rFonts w:ascii="Arial Narrow" w:hAnsi="Arial Narrow"/>
                <w:b/>
                <w:sz w:val="18"/>
                <w:szCs w:val="18"/>
              </w:rPr>
              <w:t>Max.</w:t>
            </w:r>
          </w:p>
          <w:p w:rsidR="002E5F64" w:rsidRPr="005A76D6" w:rsidRDefault="002E5F64" w:rsidP="002E5F64">
            <w:pPr>
              <w:keepNext/>
              <w:keepLines/>
              <w:ind w:left="-108"/>
              <w:jc w:val="center"/>
              <w:rPr>
                <w:rFonts w:ascii="Arial Narrow" w:hAnsi="Arial Narrow"/>
                <w:b/>
                <w:sz w:val="18"/>
                <w:szCs w:val="18"/>
              </w:rPr>
            </w:pPr>
            <w:r w:rsidRPr="005A76D6">
              <w:rPr>
                <w:rFonts w:ascii="Arial Narrow" w:hAnsi="Arial Narrow"/>
                <w:b/>
                <w:sz w:val="18"/>
                <w:szCs w:val="18"/>
              </w:rPr>
              <w:t>Amount</w:t>
            </w:r>
          </w:p>
        </w:tc>
        <w:tc>
          <w:tcPr>
            <w:tcW w:w="635" w:type="pct"/>
          </w:tcPr>
          <w:p w:rsidR="002E5F64" w:rsidRPr="005A76D6" w:rsidRDefault="002E5F64" w:rsidP="002E5F64">
            <w:pPr>
              <w:keepNext/>
              <w:keepLines/>
              <w:ind w:left="-108"/>
              <w:jc w:val="center"/>
              <w:rPr>
                <w:rFonts w:ascii="Arial Narrow" w:hAnsi="Arial Narrow"/>
                <w:b/>
                <w:sz w:val="18"/>
                <w:szCs w:val="18"/>
              </w:rPr>
            </w:pPr>
            <w:r w:rsidRPr="005A76D6">
              <w:rPr>
                <w:rFonts w:ascii="Arial Narrow" w:hAnsi="Arial Narrow"/>
                <w:b/>
                <w:sz w:val="18"/>
                <w:szCs w:val="18"/>
              </w:rPr>
              <w:t>№.of</w:t>
            </w:r>
          </w:p>
          <w:p w:rsidR="002E5F64" w:rsidRPr="005A76D6" w:rsidRDefault="002E5F64" w:rsidP="002E5F64">
            <w:pPr>
              <w:keepNext/>
              <w:keepLines/>
              <w:ind w:left="-108"/>
              <w:jc w:val="center"/>
              <w:rPr>
                <w:rFonts w:ascii="Arial Narrow" w:hAnsi="Arial Narrow"/>
                <w:b/>
                <w:sz w:val="18"/>
                <w:szCs w:val="18"/>
              </w:rPr>
            </w:pPr>
            <w:r w:rsidRPr="005A76D6">
              <w:rPr>
                <w:rFonts w:ascii="Arial Narrow" w:hAnsi="Arial Narrow"/>
                <w:b/>
                <w:sz w:val="18"/>
                <w:szCs w:val="18"/>
              </w:rPr>
              <w:t>Rpts</w:t>
            </w:r>
          </w:p>
        </w:tc>
        <w:tc>
          <w:tcPr>
            <w:tcW w:w="1191" w:type="pct"/>
          </w:tcPr>
          <w:p w:rsidR="002E5F64" w:rsidRPr="005A76D6" w:rsidRDefault="002E5F64" w:rsidP="002E5F64">
            <w:pPr>
              <w:keepNext/>
              <w:keepLines/>
              <w:rPr>
                <w:rFonts w:ascii="Arial Narrow" w:hAnsi="Arial Narrow"/>
                <w:b/>
                <w:sz w:val="18"/>
                <w:szCs w:val="18"/>
              </w:rPr>
            </w:pPr>
            <w:r w:rsidRPr="005A76D6">
              <w:rPr>
                <w:rFonts w:ascii="Arial Narrow" w:hAnsi="Arial Narrow"/>
                <w:b/>
                <w:sz w:val="18"/>
                <w:szCs w:val="18"/>
              </w:rPr>
              <w:t>Manufacturer</w:t>
            </w:r>
          </w:p>
        </w:tc>
      </w:tr>
      <w:tr w:rsidR="002E5F64" w:rsidRPr="005A76D6" w:rsidTr="005A76D6">
        <w:trPr>
          <w:cantSplit/>
          <w:trHeight w:val="577"/>
        </w:trPr>
        <w:tc>
          <w:tcPr>
            <w:tcW w:w="1506" w:type="pct"/>
          </w:tcPr>
          <w:p w:rsidR="002E5F64" w:rsidRPr="005A76D6" w:rsidRDefault="002E5F64" w:rsidP="002E5F64">
            <w:pPr>
              <w:keepNext/>
              <w:keepLines/>
              <w:ind w:left="-108"/>
              <w:rPr>
                <w:rFonts w:ascii="Arial Narrow" w:hAnsi="Arial Narrow"/>
                <w:sz w:val="18"/>
                <w:szCs w:val="18"/>
              </w:rPr>
            </w:pPr>
            <w:r w:rsidRPr="005A76D6">
              <w:rPr>
                <w:rFonts w:ascii="Arial Narrow" w:hAnsi="Arial Narrow"/>
                <w:sz w:val="18"/>
                <w:szCs w:val="18"/>
              </w:rPr>
              <w:t xml:space="preserve">ATEZOLIZUMAB </w:t>
            </w:r>
          </w:p>
          <w:p w:rsidR="002E5F64" w:rsidRPr="005A76D6" w:rsidRDefault="002E5F64" w:rsidP="002E5F64">
            <w:pPr>
              <w:keepNext/>
              <w:keepLines/>
              <w:ind w:left="-108"/>
              <w:rPr>
                <w:rFonts w:ascii="Arial Narrow" w:hAnsi="Arial Narrow"/>
                <w:sz w:val="18"/>
                <w:szCs w:val="18"/>
              </w:rPr>
            </w:pPr>
            <w:r w:rsidRPr="005A76D6">
              <w:rPr>
                <w:rFonts w:ascii="Arial Narrow" w:hAnsi="Arial Narrow" w:cs="Arial Narrow"/>
                <w:sz w:val="18"/>
                <w:szCs w:val="18"/>
              </w:rPr>
              <w:t xml:space="preserve">Injection </w:t>
            </w:r>
          </w:p>
        </w:tc>
        <w:tc>
          <w:tcPr>
            <w:tcW w:w="1032" w:type="pct"/>
          </w:tcPr>
          <w:p w:rsidR="002E5F64" w:rsidRPr="005A76D6" w:rsidRDefault="002E5F64" w:rsidP="002E5F64">
            <w:pPr>
              <w:keepNext/>
              <w:keepLines/>
              <w:ind w:left="-108"/>
              <w:jc w:val="center"/>
              <w:rPr>
                <w:rFonts w:ascii="Arial Narrow" w:hAnsi="Arial Narrow"/>
                <w:sz w:val="18"/>
                <w:szCs w:val="18"/>
              </w:rPr>
            </w:pPr>
          </w:p>
          <w:p w:rsidR="002E5F64" w:rsidRPr="005A76D6" w:rsidRDefault="002E5F64" w:rsidP="002E5F64">
            <w:pPr>
              <w:keepNext/>
              <w:keepLines/>
              <w:ind w:left="-108"/>
              <w:jc w:val="center"/>
              <w:rPr>
                <w:rFonts w:ascii="Arial Narrow" w:hAnsi="Arial Narrow"/>
                <w:sz w:val="18"/>
                <w:szCs w:val="18"/>
              </w:rPr>
            </w:pPr>
            <w:r w:rsidRPr="005A76D6">
              <w:rPr>
                <w:rFonts w:ascii="Arial Narrow" w:hAnsi="Arial Narrow"/>
                <w:sz w:val="18"/>
                <w:szCs w:val="18"/>
              </w:rPr>
              <w:t>11926Q (Public)</w:t>
            </w:r>
          </w:p>
          <w:p w:rsidR="002E5F64" w:rsidRPr="005A76D6" w:rsidRDefault="002E5F64" w:rsidP="002E5F64">
            <w:pPr>
              <w:keepNext/>
              <w:keepLines/>
              <w:ind w:left="-108"/>
              <w:jc w:val="center"/>
              <w:rPr>
                <w:rFonts w:ascii="Arial Narrow" w:hAnsi="Arial Narrow"/>
                <w:sz w:val="18"/>
                <w:szCs w:val="18"/>
              </w:rPr>
            </w:pPr>
            <w:r w:rsidRPr="005A76D6">
              <w:rPr>
                <w:rFonts w:ascii="Arial Narrow" w:hAnsi="Arial Narrow"/>
                <w:sz w:val="18"/>
                <w:szCs w:val="18"/>
              </w:rPr>
              <w:t>11927R (Private)</w:t>
            </w:r>
          </w:p>
        </w:tc>
        <w:tc>
          <w:tcPr>
            <w:tcW w:w="635" w:type="pct"/>
          </w:tcPr>
          <w:p w:rsidR="002E5F64" w:rsidRPr="005A76D6" w:rsidRDefault="002E5F64" w:rsidP="002E5F64">
            <w:pPr>
              <w:keepNext/>
              <w:keepLines/>
              <w:ind w:left="-108"/>
              <w:jc w:val="center"/>
              <w:rPr>
                <w:rFonts w:ascii="Arial Narrow" w:hAnsi="Arial Narrow"/>
                <w:sz w:val="18"/>
                <w:szCs w:val="18"/>
              </w:rPr>
            </w:pPr>
          </w:p>
          <w:p w:rsidR="002E5F64" w:rsidRPr="005A76D6" w:rsidRDefault="002E5F64" w:rsidP="002E5F64">
            <w:pPr>
              <w:keepNext/>
              <w:keepLines/>
              <w:ind w:left="-108"/>
              <w:jc w:val="center"/>
              <w:rPr>
                <w:rFonts w:ascii="Arial Narrow" w:hAnsi="Arial Narrow"/>
                <w:sz w:val="18"/>
                <w:szCs w:val="18"/>
              </w:rPr>
            </w:pPr>
            <w:r w:rsidRPr="005A76D6">
              <w:rPr>
                <w:rFonts w:ascii="Arial Narrow" w:hAnsi="Arial Narrow"/>
                <w:sz w:val="18"/>
                <w:szCs w:val="18"/>
              </w:rPr>
              <w:t>1200 mg</w:t>
            </w:r>
          </w:p>
        </w:tc>
        <w:tc>
          <w:tcPr>
            <w:tcW w:w="635" w:type="pct"/>
          </w:tcPr>
          <w:p w:rsidR="002E5F64" w:rsidRPr="005A76D6" w:rsidRDefault="002E5F64" w:rsidP="002E5F64">
            <w:pPr>
              <w:keepNext/>
              <w:keepLines/>
              <w:ind w:left="-108"/>
              <w:jc w:val="center"/>
              <w:rPr>
                <w:rFonts w:ascii="Arial Narrow" w:hAnsi="Arial Narrow"/>
                <w:i/>
                <w:sz w:val="18"/>
                <w:szCs w:val="18"/>
              </w:rPr>
            </w:pPr>
          </w:p>
          <w:p w:rsidR="002E5F64" w:rsidRPr="005A76D6" w:rsidRDefault="002E5F64" w:rsidP="002E5F64">
            <w:pPr>
              <w:keepNext/>
              <w:keepLines/>
              <w:ind w:left="-108"/>
              <w:jc w:val="center"/>
              <w:rPr>
                <w:rFonts w:ascii="Arial Narrow" w:hAnsi="Arial Narrow"/>
                <w:sz w:val="18"/>
                <w:szCs w:val="18"/>
              </w:rPr>
            </w:pPr>
            <w:r w:rsidRPr="005A76D6">
              <w:rPr>
                <w:rFonts w:ascii="Arial Narrow" w:hAnsi="Arial Narrow"/>
                <w:sz w:val="18"/>
                <w:szCs w:val="18"/>
              </w:rPr>
              <w:t>3</w:t>
            </w:r>
          </w:p>
        </w:tc>
        <w:tc>
          <w:tcPr>
            <w:tcW w:w="1191" w:type="pct"/>
          </w:tcPr>
          <w:p w:rsidR="002E5F64" w:rsidRPr="005A76D6" w:rsidRDefault="002E5F64" w:rsidP="002E5F64">
            <w:pPr>
              <w:keepNext/>
              <w:keepLines/>
              <w:rPr>
                <w:rFonts w:ascii="Arial Narrow" w:hAnsi="Arial Narrow"/>
                <w:sz w:val="18"/>
                <w:szCs w:val="18"/>
              </w:rPr>
            </w:pPr>
          </w:p>
          <w:p w:rsidR="002E5F64" w:rsidRPr="005A76D6" w:rsidRDefault="002E5F64" w:rsidP="002E5F64">
            <w:pPr>
              <w:keepNext/>
              <w:keepLines/>
              <w:rPr>
                <w:rFonts w:ascii="Arial Narrow" w:hAnsi="Arial Narrow"/>
                <w:sz w:val="18"/>
                <w:szCs w:val="18"/>
              </w:rPr>
            </w:pPr>
            <w:r w:rsidRPr="005A76D6">
              <w:rPr>
                <w:rFonts w:ascii="Arial Narrow" w:hAnsi="Arial Narrow"/>
                <w:sz w:val="18"/>
                <w:szCs w:val="18"/>
              </w:rPr>
              <w:t>Roche Products Pty Ltd</w:t>
            </w:r>
          </w:p>
        </w:tc>
      </w:tr>
      <w:tr w:rsidR="002E5F64" w:rsidRPr="005A76D6" w:rsidTr="005A76D6">
        <w:trPr>
          <w:cantSplit/>
          <w:trHeight w:val="225"/>
        </w:trPr>
        <w:tc>
          <w:tcPr>
            <w:tcW w:w="5000" w:type="pct"/>
            <w:gridSpan w:val="5"/>
          </w:tcPr>
          <w:p w:rsidR="002E5F64" w:rsidRPr="005A76D6" w:rsidRDefault="002E5F64" w:rsidP="002E5F64">
            <w:pPr>
              <w:keepNext/>
              <w:keepLines/>
              <w:rPr>
                <w:rFonts w:ascii="Arial Narrow" w:hAnsi="Arial Narrow"/>
                <w:b/>
                <w:sz w:val="18"/>
                <w:szCs w:val="18"/>
              </w:rPr>
            </w:pPr>
            <w:r w:rsidRPr="005A76D6">
              <w:rPr>
                <w:rFonts w:ascii="Arial Narrow" w:hAnsi="Arial Narrow"/>
                <w:b/>
                <w:sz w:val="18"/>
                <w:szCs w:val="18"/>
              </w:rPr>
              <w:t>Available brands</w:t>
            </w:r>
          </w:p>
        </w:tc>
      </w:tr>
      <w:tr w:rsidR="002E5F64" w:rsidRPr="00F45892" w:rsidTr="005A76D6">
        <w:trPr>
          <w:cantSplit/>
          <w:trHeight w:val="360"/>
        </w:trPr>
        <w:tc>
          <w:tcPr>
            <w:tcW w:w="5000" w:type="pct"/>
            <w:gridSpan w:val="5"/>
          </w:tcPr>
          <w:p w:rsidR="002E5F64" w:rsidRPr="00F45892" w:rsidRDefault="002E5F64" w:rsidP="002E5F64">
            <w:pPr>
              <w:keepNext/>
              <w:keepLines/>
              <w:rPr>
                <w:rFonts w:ascii="Arial Narrow" w:hAnsi="Arial Narrow"/>
                <w:sz w:val="18"/>
                <w:szCs w:val="18"/>
                <w:lang w:val="fr-FR"/>
              </w:rPr>
            </w:pPr>
            <w:r w:rsidRPr="00F45892">
              <w:rPr>
                <w:rFonts w:ascii="Arial Narrow" w:hAnsi="Arial Narrow"/>
                <w:sz w:val="18"/>
                <w:szCs w:val="18"/>
                <w:lang w:val="fr-FR"/>
              </w:rPr>
              <w:t>Tecentriq</w:t>
            </w:r>
          </w:p>
          <w:p w:rsidR="002E5F64" w:rsidRPr="00F45892" w:rsidRDefault="002E5F64" w:rsidP="002E5F64">
            <w:pPr>
              <w:keepNext/>
              <w:keepLines/>
              <w:rPr>
                <w:rFonts w:ascii="Arial Narrow" w:hAnsi="Arial Narrow"/>
                <w:sz w:val="18"/>
                <w:szCs w:val="18"/>
                <w:lang w:val="fr-FR"/>
              </w:rPr>
            </w:pPr>
            <w:r w:rsidRPr="00F45892">
              <w:rPr>
                <w:rFonts w:ascii="Arial Narrow" w:hAnsi="Arial Narrow"/>
                <w:sz w:val="18"/>
                <w:szCs w:val="18"/>
                <w:lang w:val="fr-FR"/>
              </w:rPr>
              <w:t>(atezolizumab 1.2 g/20 mL injection, 20 mL vial)</w:t>
            </w:r>
          </w:p>
        </w:tc>
      </w:tr>
    </w:tbl>
    <w:p w:rsidR="00360212" w:rsidRPr="00F45892" w:rsidRDefault="00360212" w:rsidP="002E5F64">
      <w:pPr>
        <w:pStyle w:val="TableFigureHeading"/>
        <w:keepNext w:val="0"/>
        <w:rPr>
          <w:rStyle w:val="CommentReference"/>
          <w:b/>
          <w:sz w:val="18"/>
          <w:szCs w:val="18"/>
          <w:lang w:val="fr-FR"/>
        </w:rPr>
      </w:pPr>
    </w:p>
    <w:p w:rsidR="002E5F64" w:rsidRPr="005A76D6" w:rsidRDefault="002E5F64" w:rsidP="005A76D6">
      <w:pPr>
        <w:pStyle w:val="In-tableHeading"/>
        <w:keepLines/>
        <w:rPr>
          <w:sz w:val="18"/>
          <w:szCs w:val="18"/>
          <w:lang w:val="en-AU"/>
        </w:rPr>
      </w:pPr>
      <w:r w:rsidRPr="005A76D6">
        <w:rPr>
          <w:sz w:val="18"/>
          <w:szCs w:val="18"/>
          <w:lang w:val="en-AU"/>
        </w:rPr>
        <w:lastRenderedPageBreak/>
        <w:t>Initial treatment Restriction summary [new]</w:t>
      </w:r>
    </w:p>
    <w:tbl>
      <w:tblPr>
        <w:tblW w:w="5000" w:type="pct"/>
        <w:tblLook w:val="0000" w:firstRow="0" w:lastRow="0" w:firstColumn="0" w:lastColumn="0" w:noHBand="0" w:noVBand="0"/>
      </w:tblPr>
      <w:tblGrid>
        <w:gridCol w:w="9040"/>
      </w:tblGrid>
      <w:tr w:rsidR="00246FC6" w:rsidRPr="005A76D6" w:rsidTr="005A76D6">
        <w:trPr>
          <w:cantSplit/>
          <w:trHeight w:val="290"/>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i/>
                <w:sz w:val="18"/>
                <w:szCs w:val="18"/>
              </w:rPr>
            </w:pPr>
            <w:r w:rsidRPr="005A76D6">
              <w:rPr>
                <w:rFonts w:ascii="Arial Narrow" w:hAnsi="Arial Narrow"/>
                <w:b/>
                <w:i/>
                <w:sz w:val="18"/>
                <w:szCs w:val="18"/>
              </w:rPr>
              <w:t>Category / Program:</w:t>
            </w:r>
            <w:r w:rsidRPr="005A76D6">
              <w:rPr>
                <w:rFonts w:ascii="Arial Narrow" w:hAnsi="Arial Narrow"/>
                <w:i/>
                <w:sz w:val="18"/>
                <w:szCs w:val="18"/>
              </w:rPr>
              <w:t xml:space="preserve"> Section 100 – Efficient Funding of Chemotherapy (Public/Private hospital)</w:t>
            </w:r>
          </w:p>
        </w:tc>
      </w:tr>
      <w:tr w:rsidR="00246FC6" w:rsidRPr="005A76D6" w:rsidTr="005A76D6">
        <w:trPr>
          <w:cantSplit/>
          <w:trHeight w:val="265"/>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i/>
                <w:sz w:val="18"/>
                <w:szCs w:val="18"/>
              </w:rPr>
            </w:pPr>
            <w:r w:rsidRPr="005A76D6">
              <w:rPr>
                <w:rFonts w:ascii="Arial Narrow" w:hAnsi="Arial Narrow"/>
                <w:b/>
                <w:i/>
                <w:sz w:val="18"/>
                <w:szCs w:val="18"/>
              </w:rPr>
              <w:t>Prescriber type:</w:t>
            </w:r>
            <w:r w:rsidRPr="005A76D6">
              <w:rPr>
                <w:rFonts w:ascii="Arial Narrow" w:hAnsi="Arial Narrow"/>
                <w:i/>
                <w:sz w:val="18"/>
                <w:szCs w:val="18"/>
              </w:rPr>
              <w:t xml:space="preserve">   </w:t>
            </w:r>
            <w:r w:rsidRPr="005A76D6">
              <w:rPr>
                <w:rFonts w:ascii="Arial Narrow" w:hAnsi="Arial Narrow"/>
                <w:i/>
                <w:sz w:val="18"/>
                <w:szCs w:val="18"/>
              </w:rPr>
              <w:fldChar w:fldCharType="begin">
                <w:ffData>
                  <w:name w:val="Check1"/>
                  <w:enabled/>
                  <w:calcOnExit w:val="0"/>
                  <w:checkBox>
                    <w:sizeAuto/>
                    <w:default w:val="0"/>
                  </w:checkBox>
                </w:ffData>
              </w:fldChar>
            </w:r>
            <w:r w:rsidRPr="005A76D6">
              <w:rPr>
                <w:rFonts w:ascii="Arial Narrow" w:hAnsi="Arial Narrow"/>
                <w:i/>
                <w:sz w:val="18"/>
                <w:szCs w:val="18"/>
              </w:rPr>
              <w:instrText xml:space="preserve"> FORMCHECKBOX </w:instrText>
            </w:r>
            <w:r w:rsidR="00E4568F">
              <w:rPr>
                <w:rFonts w:ascii="Arial Narrow" w:hAnsi="Arial Narrow"/>
                <w:i/>
                <w:sz w:val="18"/>
                <w:szCs w:val="18"/>
              </w:rPr>
            </w:r>
            <w:r w:rsidR="00E4568F">
              <w:rPr>
                <w:rFonts w:ascii="Arial Narrow" w:hAnsi="Arial Narrow"/>
                <w:i/>
                <w:sz w:val="18"/>
                <w:szCs w:val="18"/>
              </w:rPr>
              <w:fldChar w:fldCharType="separate"/>
            </w:r>
            <w:r w:rsidRPr="005A76D6">
              <w:rPr>
                <w:rFonts w:ascii="Arial Narrow" w:hAnsi="Arial Narrow"/>
                <w:i/>
                <w:sz w:val="18"/>
                <w:szCs w:val="18"/>
              </w:rPr>
              <w:fldChar w:fldCharType="end"/>
            </w:r>
            <w:r w:rsidRPr="005A76D6">
              <w:rPr>
                <w:rFonts w:ascii="Arial Narrow" w:hAnsi="Arial Narrow"/>
                <w:i/>
                <w:sz w:val="18"/>
                <w:szCs w:val="18"/>
              </w:rPr>
              <w:t xml:space="preserve">Dental   </w:t>
            </w:r>
            <w:r w:rsidRPr="005A76D6">
              <w:rPr>
                <w:rFonts w:ascii="Arial Narrow" w:hAnsi="Arial Narrow"/>
                <w:i/>
                <w:sz w:val="18"/>
                <w:szCs w:val="18"/>
              </w:rPr>
              <w:fldChar w:fldCharType="begin">
                <w:ffData>
                  <w:name w:val=""/>
                  <w:enabled/>
                  <w:calcOnExit w:val="0"/>
                  <w:checkBox>
                    <w:sizeAuto/>
                    <w:default w:val="1"/>
                  </w:checkBox>
                </w:ffData>
              </w:fldChar>
            </w:r>
            <w:r w:rsidRPr="005A76D6">
              <w:rPr>
                <w:rFonts w:ascii="Arial Narrow" w:hAnsi="Arial Narrow"/>
                <w:i/>
                <w:sz w:val="18"/>
                <w:szCs w:val="18"/>
              </w:rPr>
              <w:instrText xml:space="preserve"> FORMCHECKBOX </w:instrText>
            </w:r>
            <w:r w:rsidR="00E4568F">
              <w:rPr>
                <w:rFonts w:ascii="Arial Narrow" w:hAnsi="Arial Narrow"/>
                <w:i/>
                <w:sz w:val="18"/>
                <w:szCs w:val="18"/>
              </w:rPr>
            </w:r>
            <w:r w:rsidR="00E4568F">
              <w:rPr>
                <w:rFonts w:ascii="Arial Narrow" w:hAnsi="Arial Narrow"/>
                <w:i/>
                <w:sz w:val="18"/>
                <w:szCs w:val="18"/>
              </w:rPr>
              <w:fldChar w:fldCharType="separate"/>
            </w:r>
            <w:r w:rsidRPr="005A76D6">
              <w:rPr>
                <w:rFonts w:ascii="Arial Narrow" w:hAnsi="Arial Narrow"/>
                <w:i/>
                <w:sz w:val="18"/>
                <w:szCs w:val="18"/>
              </w:rPr>
              <w:fldChar w:fldCharType="end"/>
            </w:r>
            <w:r w:rsidRPr="005A76D6">
              <w:rPr>
                <w:rFonts w:ascii="Arial Narrow" w:hAnsi="Arial Narrow"/>
                <w:i/>
                <w:sz w:val="18"/>
                <w:szCs w:val="18"/>
              </w:rPr>
              <w:t xml:space="preserve">Medical Practitioners </w:t>
            </w:r>
            <w:r w:rsidRPr="005A76D6">
              <w:rPr>
                <w:rFonts w:ascii="Arial Narrow" w:hAnsi="Arial Narrow"/>
                <w:i/>
                <w:sz w:val="18"/>
                <w:szCs w:val="18"/>
              </w:rPr>
              <w:fldChar w:fldCharType="begin">
                <w:ffData>
                  <w:name w:val="Check3"/>
                  <w:enabled/>
                  <w:calcOnExit w:val="0"/>
                  <w:checkBox>
                    <w:sizeAuto/>
                    <w:default w:val="0"/>
                  </w:checkBox>
                </w:ffData>
              </w:fldChar>
            </w:r>
            <w:r w:rsidRPr="005A76D6">
              <w:rPr>
                <w:rFonts w:ascii="Arial Narrow" w:hAnsi="Arial Narrow"/>
                <w:i/>
                <w:sz w:val="18"/>
                <w:szCs w:val="18"/>
              </w:rPr>
              <w:instrText xml:space="preserve"> FORMCHECKBOX </w:instrText>
            </w:r>
            <w:r w:rsidR="00E4568F">
              <w:rPr>
                <w:rFonts w:ascii="Arial Narrow" w:hAnsi="Arial Narrow"/>
                <w:i/>
                <w:sz w:val="18"/>
                <w:szCs w:val="18"/>
              </w:rPr>
            </w:r>
            <w:r w:rsidR="00E4568F">
              <w:rPr>
                <w:rFonts w:ascii="Arial Narrow" w:hAnsi="Arial Narrow"/>
                <w:i/>
                <w:sz w:val="18"/>
                <w:szCs w:val="18"/>
              </w:rPr>
              <w:fldChar w:fldCharType="separate"/>
            </w:r>
            <w:r w:rsidRPr="005A76D6">
              <w:rPr>
                <w:rFonts w:ascii="Arial Narrow" w:hAnsi="Arial Narrow"/>
                <w:i/>
                <w:sz w:val="18"/>
                <w:szCs w:val="18"/>
              </w:rPr>
              <w:fldChar w:fldCharType="end"/>
            </w:r>
            <w:r w:rsidRPr="005A76D6">
              <w:rPr>
                <w:rFonts w:ascii="Arial Narrow" w:hAnsi="Arial Narrow"/>
                <w:i/>
                <w:sz w:val="18"/>
                <w:szCs w:val="18"/>
              </w:rPr>
              <w:t xml:space="preserve">Nurse practitioners  </w:t>
            </w:r>
            <w:r w:rsidRPr="005A76D6">
              <w:rPr>
                <w:rFonts w:ascii="Arial Narrow" w:hAnsi="Arial Narrow"/>
                <w:i/>
                <w:sz w:val="18"/>
                <w:szCs w:val="18"/>
              </w:rPr>
              <w:fldChar w:fldCharType="begin">
                <w:ffData>
                  <w:name w:val=""/>
                  <w:enabled/>
                  <w:calcOnExit w:val="0"/>
                  <w:checkBox>
                    <w:sizeAuto/>
                    <w:default w:val="0"/>
                  </w:checkBox>
                </w:ffData>
              </w:fldChar>
            </w:r>
            <w:r w:rsidRPr="005A76D6">
              <w:rPr>
                <w:rFonts w:ascii="Arial Narrow" w:hAnsi="Arial Narrow"/>
                <w:i/>
                <w:sz w:val="18"/>
                <w:szCs w:val="18"/>
              </w:rPr>
              <w:instrText xml:space="preserve"> FORMCHECKBOX </w:instrText>
            </w:r>
            <w:r w:rsidR="00E4568F">
              <w:rPr>
                <w:rFonts w:ascii="Arial Narrow" w:hAnsi="Arial Narrow"/>
                <w:i/>
                <w:sz w:val="18"/>
                <w:szCs w:val="18"/>
              </w:rPr>
            </w:r>
            <w:r w:rsidR="00E4568F">
              <w:rPr>
                <w:rFonts w:ascii="Arial Narrow" w:hAnsi="Arial Narrow"/>
                <w:i/>
                <w:sz w:val="18"/>
                <w:szCs w:val="18"/>
              </w:rPr>
              <w:fldChar w:fldCharType="separate"/>
            </w:r>
            <w:r w:rsidRPr="005A76D6">
              <w:rPr>
                <w:rFonts w:ascii="Arial Narrow" w:hAnsi="Arial Narrow"/>
                <w:i/>
                <w:sz w:val="18"/>
                <w:szCs w:val="18"/>
              </w:rPr>
              <w:fldChar w:fldCharType="end"/>
            </w:r>
            <w:r w:rsidRPr="005A76D6">
              <w:rPr>
                <w:rFonts w:ascii="Arial Narrow" w:hAnsi="Arial Narrow"/>
                <w:i/>
                <w:sz w:val="18"/>
                <w:szCs w:val="18"/>
              </w:rPr>
              <w:t xml:space="preserve">Optometrists   </w:t>
            </w:r>
            <w:r w:rsidRPr="005A76D6">
              <w:rPr>
                <w:rFonts w:ascii="Arial Narrow" w:hAnsi="Arial Narrow"/>
                <w:i/>
                <w:sz w:val="18"/>
                <w:szCs w:val="18"/>
              </w:rPr>
              <w:fldChar w:fldCharType="begin">
                <w:ffData>
                  <w:name w:val="Check5"/>
                  <w:enabled/>
                  <w:calcOnExit w:val="0"/>
                  <w:checkBox>
                    <w:sizeAuto/>
                    <w:default w:val="0"/>
                  </w:checkBox>
                </w:ffData>
              </w:fldChar>
            </w:r>
            <w:r w:rsidRPr="005A76D6">
              <w:rPr>
                <w:rFonts w:ascii="Arial Narrow" w:hAnsi="Arial Narrow"/>
                <w:i/>
                <w:sz w:val="18"/>
                <w:szCs w:val="18"/>
              </w:rPr>
              <w:instrText xml:space="preserve"> FORMCHECKBOX </w:instrText>
            </w:r>
            <w:r w:rsidR="00E4568F">
              <w:rPr>
                <w:rFonts w:ascii="Arial Narrow" w:hAnsi="Arial Narrow"/>
                <w:i/>
                <w:sz w:val="18"/>
                <w:szCs w:val="18"/>
              </w:rPr>
            </w:r>
            <w:r w:rsidR="00E4568F">
              <w:rPr>
                <w:rFonts w:ascii="Arial Narrow" w:hAnsi="Arial Narrow"/>
                <w:i/>
                <w:sz w:val="18"/>
                <w:szCs w:val="18"/>
              </w:rPr>
              <w:fldChar w:fldCharType="separate"/>
            </w:r>
            <w:r w:rsidRPr="005A76D6">
              <w:rPr>
                <w:rFonts w:ascii="Arial Narrow" w:hAnsi="Arial Narrow"/>
                <w:i/>
                <w:sz w:val="18"/>
                <w:szCs w:val="18"/>
              </w:rPr>
              <w:fldChar w:fldCharType="end"/>
            </w:r>
            <w:r w:rsidRPr="005A76D6">
              <w:rPr>
                <w:rFonts w:ascii="Arial Narrow" w:hAnsi="Arial Narrow"/>
                <w:i/>
                <w:sz w:val="18"/>
                <w:szCs w:val="18"/>
              </w:rPr>
              <w:t>Midwives</w:t>
            </w:r>
          </w:p>
        </w:tc>
      </w:tr>
      <w:tr w:rsidR="00246FC6" w:rsidRPr="005A76D6" w:rsidTr="005A76D6">
        <w:trPr>
          <w:cantSplit/>
          <w:trHeight w:val="142"/>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i/>
                <w:sz w:val="18"/>
                <w:szCs w:val="18"/>
              </w:rPr>
            </w:pPr>
            <w:r w:rsidRPr="005A76D6">
              <w:rPr>
                <w:rFonts w:ascii="Arial Narrow" w:hAnsi="Arial Narrow"/>
                <w:b/>
                <w:sz w:val="18"/>
                <w:szCs w:val="18"/>
              </w:rPr>
              <w:t xml:space="preserve">Restriction </w:t>
            </w:r>
            <w:r w:rsidR="00F02CA6" w:rsidRPr="005A76D6">
              <w:rPr>
                <w:rFonts w:ascii="Arial Narrow" w:hAnsi="Arial Narrow"/>
                <w:b/>
                <w:sz w:val="18"/>
                <w:szCs w:val="18"/>
              </w:rPr>
              <w:t>type</w:t>
            </w:r>
            <w:r w:rsidRPr="005A76D6">
              <w:rPr>
                <w:rFonts w:ascii="Arial Narrow" w:hAnsi="Arial Narrow"/>
                <w:b/>
                <w:sz w:val="18"/>
                <w:szCs w:val="18"/>
              </w:rPr>
              <w:t>/method</w:t>
            </w:r>
            <w:r w:rsidRPr="005A76D6">
              <w:rPr>
                <w:rFonts w:ascii="Arial Narrow" w:hAnsi="Arial Narrow"/>
                <w:b/>
                <w:i/>
                <w:sz w:val="18"/>
                <w:szCs w:val="18"/>
              </w:rPr>
              <w:t>:</w:t>
            </w:r>
            <w:r w:rsidRPr="005A76D6">
              <w:rPr>
                <w:rFonts w:ascii="Arial Narrow" w:hAnsi="Arial Narrow"/>
                <w:sz w:val="18"/>
                <w:szCs w:val="18"/>
              </w:rPr>
              <w:t xml:space="preserve"> </w:t>
            </w:r>
            <w:r w:rsidRPr="005A76D6">
              <w:rPr>
                <w:rFonts w:ascii="Arial Narrow" w:hAnsi="Arial Narrow"/>
                <w:sz w:val="18"/>
                <w:szCs w:val="18"/>
              </w:rPr>
              <w:fldChar w:fldCharType="begin">
                <w:ffData>
                  <w:name w:val=""/>
                  <w:enabled/>
                  <w:calcOnExit w:val="0"/>
                  <w:checkBox>
                    <w:sizeAuto/>
                    <w:default w:val="1"/>
                  </w:checkBox>
                </w:ffData>
              </w:fldChar>
            </w:r>
            <w:r w:rsidRPr="005A76D6">
              <w:rPr>
                <w:rFonts w:ascii="Arial Narrow" w:hAnsi="Arial Narrow"/>
                <w:sz w:val="18"/>
                <w:szCs w:val="18"/>
              </w:rPr>
              <w:instrText xml:space="preserve"> FORMCHECKBOX </w:instrText>
            </w:r>
            <w:r w:rsidR="00E4568F">
              <w:rPr>
                <w:rFonts w:ascii="Arial Narrow" w:hAnsi="Arial Narrow"/>
                <w:sz w:val="18"/>
                <w:szCs w:val="18"/>
              </w:rPr>
            </w:r>
            <w:r w:rsidR="00E4568F">
              <w:rPr>
                <w:rFonts w:ascii="Arial Narrow" w:hAnsi="Arial Narrow"/>
                <w:sz w:val="18"/>
                <w:szCs w:val="18"/>
              </w:rPr>
              <w:fldChar w:fldCharType="separate"/>
            </w:r>
            <w:r w:rsidRPr="005A76D6">
              <w:rPr>
                <w:rFonts w:ascii="Arial Narrow" w:hAnsi="Arial Narrow"/>
                <w:sz w:val="18"/>
                <w:szCs w:val="18"/>
              </w:rPr>
              <w:fldChar w:fldCharType="end"/>
            </w:r>
            <w:r w:rsidRPr="005A76D6">
              <w:rPr>
                <w:rFonts w:ascii="Arial Narrow" w:hAnsi="Arial Narrow"/>
                <w:sz w:val="18"/>
                <w:szCs w:val="18"/>
              </w:rPr>
              <w:t xml:space="preserve"> Authority Required – Streamlined </w:t>
            </w:r>
            <w:r w:rsidRPr="005A76D6">
              <w:rPr>
                <w:rFonts w:ascii="Arial Narrow" w:hAnsi="Arial Narrow"/>
                <w:i/>
                <w:sz w:val="18"/>
                <w:szCs w:val="18"/>
              </w:rPr>
              <w:t>(new code)</w:t>
            </w:r>
          </w:p>
        </w:tc>
      </w:tr>
      <w:tr w:rsidR="00246FC6" w:rsidRPr="005A76D6" w:rsidTr="005A76D6">
        <w:trPr>
          <w:cantSplit/>
          <w:trHeight w:val="201"/>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iCs/>
                <w:sz w:val="18"/>
                <w:szCs w:val="18"/>
              </w:rPr>
            </w:pPr>
            <w:r w:rsidRPr="005A76D6">
              <w:rPr>
                <w:rFonts w:ascii="Arial Narrow" w:hAnsi="Arial Narrow"/>
                <w:b/>
                <w:sz w:val="18"/>
                <w:szCs w:val="18"/>
              </w:rPr>
              <w:t>Episodicity:</w:t>
            </w:r>
            <w:r w:rsidRPr="005A76D6">
              <w:rPr>
                <w:rFonts w:ascii="Arial Narrow" w:hAnsi="Arial Narrow"/>
                <w:sz w:val="18"/>
                <w:szCs w:val="18"/>
              </w:rPr>
              <w:t xml:space="preserve"> </w:t>
            </w:r>
            <w:r w:rsidRPr="005A76D6">
              <w:rPr>
                <w:rFonts w:ascii="Arial Narrow" w:hAnsi="Arial Narrow"/>
                <w:i/>
                <w:sz w:val="18"/>
                <w:szCs w:val="18"/>
              </w:rPr>
              <w:t>[blank]</w:t>
            </w:r>
          </w:p>
        </w:tc>
      </w:tr>
      <w:tr w:rsidR="00246FC6" w:rsidRPr="005A76D6" w:rsidTr="005A76D6">
        <w:trPr>
          <w:cantSplit/>
          <w:trHeight w:val="360"/>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iCs/>
                <w:sz w:val="18"/>
                <w:szCs w:val="18"/>
              </w:rPr>
            </w:pPr>
            <w:r w:rsidRPr="005A76D6">
              <w:rPr>
                <w:rFonts w:ascii="Arial Narrow" w:hAnsi="Arial Narrow"/>
                <w:b/>
                <w:sz w:val="18"/>
                <w:szCs w:val="18"/>
              </w:rPr>
              <w:t xml:space="preserve">Severity: </w:t>
            </w:r>
            <w:r w:rsidRPr="005A76D6">
              <w:rPr>
                <w:rFonts w:ascii="Arial Narrow" w:hAnsi="Arial Narrow"/>
                <w:iCs/>
                <w:sz w:val="18"/>
                <w:szCs w:val="18"/>
              </w:rPr>
              <w:t>Advanced (</w:t>
            </w:r>
            <w:r w:rsidRPr="005A76D6">
              <w:rPr>
                <w:rFonts w:ascii="Arial Narrow" w:hAnsi="Arial Narrow"/>
                <w:i/>
                <w:iCs/>
                <w:sz w:val="18"/>
                <w:szCs w:val="18"/>
              </w:rPr>
              <w:t>unresectable)</w:t>
            </w:r>
            <w:r w:rsidRPr="005A76D6">
              <w:rPr>
                <w:rFonts w:ascii="Arial Narrow" w:hAnsi="Arial Narrow"/>
                <w:iCs/>
                <w:sz w:val="18"/>
                <w:szCs w:val="18"/>
              </w:rPr>
              <w:t xml:space="preserve"> Barcelona Clinic Liver Cancer </w:t>
            </w:r>
            <w:r w:rsidRPr="005A76D6">
              <w:rPr>
                <w:rFonts w:ascii="Arial Narrow" w:hAnsi="Arial Narrow"/>
                <w:iCs/>
                <w:strike/>
                <w:sz w:val="18"/>
                <w:szCs w:val="18"/>
              </w:rPr>
              <w:t>(BCLC)</w:t>
            </w:r>
            <w:r w:rsidRPr="005A76D6">
              <w:rPr>
                <w:rFonts w:ascii="Arial Narrow" w:hAnsi="Arial Narrow"/>
                <w:iCs/>
                <w:sz w:val="18"/>
                <w:szCs w:val="18"/>
              </w:rPr>
              <w:t xml:space="preserve"> Stage B or Stage C </w:t>
            </w:r>
          </w:p>
        </w:tc>
      </w:tr>
      <w:tr w:rsidR="00246FC6" w:rsidRPr="005A76D6" w:rsidTr="005A76D6">
        <w:trPr>
          <w:cantSplit/>
          <w:trHeight w:val="204"/>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i/>
                <w:iCs/>
                <w:sz w:val="18"/>
                <w:szCs w:val="18"/>
              </w:rPr>
            </w:pPr>
            <w:r w:rsidRPr="005A76D6">
              <w:rPr>
                <w:rFonts w:ascii="Arial Narrow" w:hAnsi="Arial Narrow"/>
                <w:b/>
                <w:sz w:val="18"/>
                <w:szCs w:val="18"/>
              </w:rPr>
              <w:t xml:space="preserve">Condition: </w:t>
            </w:r>
            <w:r w:rsidRPr="005A76D6">
              <w:rPr>
                <w:rFonts w:ascii="Arial Narrow" w:hAnsi="Arial Narrow"/>
                <w:sz w:val="18"/>
                <w:szCs w:val="18"/>
              </w:rPr>
              <w:t>h</w:t>
            </w:r>
            <w:r w:rsidRPr="005A76D6">
              <w:rPr>
                <w:rFonts w:ascii="Arial Narrow" w:hAnsi="Arial Narrow"/>
                <w:iCs/>
                <w:sz w:val="18"/>
                <w:szCs w:val="18"/>
              </w:rPr>
              <w:t xml:space="preserve">epatocellular carcinoma </w:t>
            </w:r>
            <w:r w:rsidRPr="005A76D6">
              <w:rPr>
                <w:rFonts w:ascii="Arial Narrow" w:hAnsi="Arial Narrow"/>
                <w:iCs/>
                <w:strike/>
                <w:sz w:val="18"/>
                <w:szCs w:val="18"/>
              </w:rPr>
              <w:t>(HCC)</w:t>
            </w:r>
          </w:p>
        </w:tc>
      </w:tr>
      <w:tr w:rsidR="00246FC6" w:rsidRPr="005A76D6" w:rsidTr="005A76D6">
        <w:trPr>
          <w:cantSplit/>
          <w:trHeight w:val="405"/>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iCs/>
                <w:sz w:val="18"/>
                <w:szCs w:val="18"/>
              </w:rPr>
            </w:pPr>
            <w:r w:rsidRPr="005A76D6">
              <w:rPr>
                <w:rFonts w:ascii="Arial Narrow" w:hAnsi="Arial Narrow"/>
                <w:b/>
                <w:i/>
                <w:sz w:val="18"/>
                <w:szCs w:val="18"/>
              </w:rPr>
              <w:t>PBS Indication</w:t>
            </w:r>
            <w:r w:rsidRPr="005A76D6">
              <w:rPr>
                <w:rFonts w:ascii="Arial Narrow" w:hAnsi="Arial Narrow"/>
                <w:b/>
                <w:sz w:val="18"/>
                <w:szCs w:val="18"/>
              </w:rPr>
              <w:t xml:space="preserve"> [episodicity + severity + condition]:</w:t>
            </w:r>
            <w:r w:rsidRPr="005A76D6">
              <w:rPr>
                <w:rFonts w:ascii="Arial Narrow" w:hAnsi="Arial Narrow"/>
                <w:iCs/>
                <w:sz w:val="18"/>
                <w:szCs w:val="18"/>
              </w:rPr>
              <w:t xml:space="preserve"> </w:t>
            </w:r>
            <w:r w:rsidRPr="005A76D6">
              <w:rPr>
                <w:rFonts w:ascii="Arial Narrow" w:hAnsi="Arial Narrow"/>
                <w:i/>
                <w:iCs/>
                <w:sz w:val="18"/>
                <w:szCs w:val="18"/>
              </w:rPr>
              <w:t>Advanced (unresectable) Barcelona Clinic Liver Cancer Stage B or Stage C hepatocellular carcinoma</w:t>
            </w:r>
          </w:p>
        </w:tc>
      </w:tr>
      <w:tr w:rsidR="00246FC6" w:rsidRPr="005A76D6" w:rsidTr="005A76D6">
        <w:trPr>
          <w:cantSplit/>
          <w:trHeight w:val="257"/>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sz w:val="18"/>
                <w:szCs w:val="18"/>
              </w:rPr>
            </w:pPr>
            <w:r w:rsidRPr="005A76D6">
              <w:rPr>
                <w:rFonts w:ascii="Arial Narrow" w:hAnsi="Arial Narrow"/>
                <w:b/>
                <w:sz w:val="18"/>
                <w:szCs w:val="18"/>
              </w:rPr>
              <w:t>Treatment phase:</w:t>
            </w:r>
            <w:r w:rsidRPr="005A76D6">
              <w:rPr>
                <w:rFonts w:ascii="Arial Narrow" w:hAnsi="Arial Narrow"/>
                <w:sz w:val="18"/>
                <w:szCs w:val="18"/>
              </w:rPr>
              <w:t xml:space="preserve"> </w:t>
            </w:r>
            <w:r w:rsidRPr="005A76D6">
              <w:rPr>
                <w:rFonts w:ascii="Arial Narrow" w:hAnsi="Arial Narrow"/>
                <w:iCs/>
                <w:sz w:val="18"/>
                <w:szCs w:val="18"/>
              </w:rPr>
              <w:t xml:space="preserve">Initial </w:t>
            </w:r>
            <w:r w:rsidRPr="005A76D6">
              <w:rPr>
                <w:rFonts w:ascii="Arial Narrow" w:hAnsi="Arial Narrow"/>
                <w:i/>
                <w:iCs/>
                <w:sz w:val="18"/>
                <w:szCs w:val="18"/>
              </w:rPr>
              <w:t>treatment</w:t>
            </w:r>
          </w:p>
        </w:tc>
      </w:tr>
      <w:tr w:rsidR="00246FC6" w:rsidRPr="005A76D6" w:rsidTr="005A76D6">
        <w:trPr>
          <w:cantSplit/>
          <w:trHeight w:val="150"/>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b/>
                <w:sz w:val="18"/>
                <w:szCs w:val="18"/>
              </w:rPr>
            </w:pPr>
            <w:r w:rsidRPr="005A76D6">
              <w:rPr>
                <w:rFonts w:ascii="Arial Narrow" w:hAnsi="Arial Narrow"/>
                <w:b/>
                <w:sz w:val="18"/>
                <w:szCs w:val="18"/>
              </w:rPr>
              <w:t xml:space="preserve">Clinical criteria: </w:t>
            </w:r>
          </w:p>
        </w:tc>
      </w:tr>
      <w:tr w:rsidR="00246FC6" w:rsidRPr="005A76D6" w:rsidTr="005A76D6">
        <w:trPr>
          <w:cantSplit/>
          <w:trHeight w:val="209"/>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sz w:val="18"/>
                <w:szCs w:val="18"/>
              </w:rPr>
            </w:pPr>
            <w:r w:rsidRPr="005A76D6">
              <w:rPr>
                <w:rFonts w:ascii="Arial Narrow" w:hAnsi="Arial Narrow"/>
                <w:sz w:val="18"/>
                <w:szCs w:val="18"/>
              </w:rPr>
              <w:t>Patient must be undergoing combination treatment with bevacizumab</w:t>
            </w:r>
          </w:p>
        </w:tc>
      </w:tr>
      <w:tr w:rsidR="00246FC6" w:rsidRPr="005A76D6" w:rsidTr="005A76D6">
        <w:trPr>
          <w:cantSplit/>
          <w:trHeight w:val="132"/>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b/>
                <w:sz w:val="18"/>
                <w:szCs w:val="18"/>
              </w:rPr>
            </w:pPr>
            <w:r w:rsidRPr="005A76D6">
              <w:rPr>
                <w:rFonts w:ascii="Arial Narrow" w:hAnsi="Arial Narrow"/>
                <w:b/>
                <w:sz w:val="18"/>
                <w:szCs w:val="18"/>
              </w:rPr>
              <w:t>AND</w:t>
            </w:r>
          </w:p>
        </w:tc>
      </w:tr>
      <w:tr w:rsidR="00246FC6" w:rsidRPr="005A76D6" w:rsidTr="005A76D6">
        <w:trPr>
          <w:cantSplit/>
          <w:trHeight w:val="231"/>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sz w:val="18"/>
                <w:szCs w:val="18"/>
              </w:rPr>
            </w:pPr>
            <w:r w:rsidRPr="005A76D6">
              <w:rPr>
                <w:rFonts w:ascii="Arial Narrow" w:hAnsi="Arial Narrow"/>
                <w:sz w:val="18"/>
                <w:szCs w:val="18"/>
              </w:rPr>
              <w:t>Patient must have a WHO performance status of 0 or 1</w:t>
            </w:r>
          </w:p>
        </w:tc>
      </w:tr>
      <w:tr w:rsidR="00246FC6" w:rsidRPr="005A76D6" w:rsidTr="005A76D6">
        <w:trPr>
          <w:cantSplit/>
          <w:trHeight w:val="138"/>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b/>
                <w:sz w:val="18"/>
                <w:szCs w:val="18"/>
              </w:rPr>
            </w:pPr>
            <w:r w:rsidRPr="005A76D6">
              <w:rPr>
                <w:rFonts w:ascii="Arial Narrow" w:hAnsi="Arial Narrow"/>
                <w:b/>
                <w:sz w:val="18"/>
                <w:szCs w:val="18"/>
              </w:rPr>
              <w:t>AND</w:t>
            </w:r>
          </w:p>
        </w:tc>
      </w:tr>
      <w:tr w:rsidR="00246FC6" w:rsidRPr="005A76D6" w:rsidTr="005A76D6">
        <w:trPr>
          <w:cantSplit/>
          <w:trHeight w:val="211"/>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b/>
                <w:sz w:val="18"/>
                <w:szCs w:val="18"/>
              </w:rPr>
            </w:pPr>
            <w:r w:rsidRPr="005A76D6">
              <w:rPr>
                <w:rFonts w:ascii="Arial Narrow" w:hAnsi="Arial Narrow"/>
                <w:sz w:val="18"/>
                <w:szCs w:val="18"/>
              </w:rPr>
              <w:t>Patient must not be suitable for transarterial chemoembolization</w:t>
            </w:r>
          </w:p>
        </w:tc>
      </w:tr>
      <w:tr w:rsidR="00246FC6" w:rsidRPr="005A76D6" w:rsidTr="005A76D6">
        <w:trPr>
          <w:cantSplit/>
          <w:trHeight w:val="211"/>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b/>
                <w:sz w:val="18"/>
                <w:szCs w:val="18"/>
              </w:rPr>
            </w:pPr>
            <w:r w:rsidRPr="005A76D6">
              <w:rPr>
                <w:rFonts w:ascii="Arial Narrow" w:hAnsi="Arial Narrow"/>
                <w:b/>
                <w:sz w:val="18"/>
                <w:szCs w:val="18"/>
              </w:rPr>
              <w:t>AND</w:t>
            </w:r>
          </w:p>
        </w:tc>
      </w:tr>
      <w:tr w:rsidR="00246FC6" w:rsidRPr="005A76D6" w:rsidTr="005A76D6">
        <w:trPr>
          <w:cantSplit/>
          <w:trHeight w:val="157"/>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sz w:val="18"/>
                <w:szCs w:val="18"/>
              </w:rPr>
            </w:pPr>
            <w:r w:rsidRPr="005A76D6">
              <w:rPr>
                <w:rFonts w:ascii="Arial Narrow" w:hAnsi="Arial Narrow"/>
                <w:sz w:val="18"/>
                <w:szCs w:val="18"/>
              </w:rPr>
              <w:t>Patient must have Child Pugh class A</w:t>
            </w:r>
          </w:p>
        </w:tc>
      </w:tr>
      <w:tr w:rsidR="00246FC6" w:rsidRPr="005A76D6" w:rsidTr="005A76D6">
        <w:trPr>
          <w:cantSplit/>
          <w:trHeight w:val="157"/>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b/>
                <w:sz w:val="18"/>
                <w:szCs w:val="18"/>
              </w:rPr>
            </w:pPr>
            <w:r w:rsidRPr="005A76D6">
              <w:rPr>
                <w:rFonts w:ascii="Arial Narrow" w:hAnsi="Arial Narrow"/>
                <w:b/>
                <w:sz w:val="18"/>
                <w:szCs w:val="18"/>
              </w:rPr>
              <w:t>AND</w:t>
            </w:r>
          </w:p>
        </w:tc>
      </w:tr>
      <w:tr w:rsidR="00246FC6" w:rsidRPr="005A76D6" w:rsidTr="005A76D6">
        <w:trPr>
          <w:cantSplit/>
          <w:trHeight w:val="433"/>
        </w:trPr>
        <w:tc>
          <w:tcPr>
            <w:tcW w:w="5000" w:type="pct"/>
            <w:tcBorders>
              <w:top w:val="single" w:sz="4" w:space="0" w:color="auto"/>
              <w:left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b/>
                <w:sz w:val="18"/>
                <w:szCs w:val="18"/>
              </w:rPr>
            </w:pPr>
            <w:r w:rsidRPr="005A76D6">
              <w:rPr>
                <w:rFonts w:ascii="Arial Narrow" w:hAnsi="Arial Narrow"/>
                <w:sz w:val="18"/>
                <w:szCs w:val="18"/>
              </w:rPr>
              <w:t>Patient must not have received prior treatment with a vascular endothelial growth factor (VEGF) tyrosine kinase inhibitor (TKI) for this condition; OR</w:t>
            </w:r>
          </w:p>
        </w:tc>
      </w:tr>
      <w:tr w:rsidR="00246FC6" w:rsidRPr="005A76D6" w:rsidTr="005A76D6">
        <w:trPr>
          <w:cantSplit/>
          <w:trHeight w:val="270"/>
        </w:trPr>
        <w:tc>
          <w:tcPr>
            <w:tcW w:w="5000" w:type="pct"/>
            <w:tcBorders>
              <w:top w:val="single" w:sz="4" w:space="0" w:color="auto"/>
              <w:left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sz w:val="18"/>
                <w:szCs w:val="18"/>
              </w:rPr>
            </w:pPr>
            <w:r w:rsidRPr="005A76D6">
              <w:rPr>
                <w:rFonts w:ascii="Arial Narrow" w:hAnsi="Arial Narrow"/>
                <w:sz w:val="18"/>
                <w:szCs w:val="18"/>
              </w:rPr>
              <w:t>Patient must have developed intolerance to a VEGF TKI of a severity necessitating permanent treatment withdrawal</w:t>
            </w:r>
          </w:p>
        </w:tc>
      </w:tr>
      <w:tr w:rsidR="00246FC6" w:rsidRPr="005A76D6" w:rsidTr="005A76D6">
        <w:trPr>
          <w:cantSplit/>
          <w:trHeight w:val="58"/>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b/>
                <w:sz w:val="18"/>
                <w:szCs w:val="18"/>
              </w:rPr>
            </w:pPr>
            <w:r w:rsidRPr="005A76D6">
              <w:rPr>
                <w:rFonts w:ascii="Arial Narrow" w:hAnsi="Arial Narrow"/>
                <w:b/>
                <w:i/>
                <w:sz w:val="18"/>
                <w:szCs w:val="18"/>
              </w:rPr>
              <w:t>Administrative advice:</w:t>
            </w:r>
            <w:r w:rsidRPr="005A76D6">
              <w:rPr>
                <w:rFonts w:ascii="Arial Narrow" w:hAnsi="Arial Narrow"/>
                <w:b/>
                <w:sz w:val="18"/>
                <w:szCs w:val="18"/>
              </w:rPr>
              <w:t xml:space="preserve"> </w:t>
            </w:r>
            <w:r w:rsidRPr="005A76D6">
              <w:rPr>
                <w:rFonts w:ascii="Arial Narrow" w:hAnsi="Arial Narrow"/>
                <w:i/>
                <w:sz w:val="18"/>
                <w:szCs w:val="18"/>
              </w:rPr>
              <w:t>No increase in the maximum amount or number of units may be authorised</w:t>
            </w:r>
          </w:p>
        </w:tc>
      </w:tr>
      <w:tr w:rsidR="00246FC6" w:rsidRPr="005A76D6" w:rsidTr="005A76D6">
        <w:trPr>
          <w:cantSplit/>
          <w:trHeight w:val="58"/>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sz w:val="18"/>
                <w:szCs w:val="18"/>
              </w:rPr>
            </w:pPr>
            <w:r w:rsidRPr="005A76D6">
              <w:rPr>
                <w:rFonts w:ascii="Arial Narrow" w:hAnsi="Arial Narrow"/>
                <w:b/>
                <w:sz w:val="18"/>
                <w:szCs w:val="18"/>
              </w:rPr>
              <w:t xml:space="preserve">Administrative advice: </w:t>
            </w:r>
            <w:r w:rsidRPr="005A76D6">
              <w:rPr>
                <w:rFonts w:ascii="Arial Narrow" w:hAnsi="Arial Narrow"/>
                <w:sz w:val="18"/>
                <w:szCs w:val="18"/>
              </w:rPr>
              <w:t>No increase in the maximum number of repeats may be authorised</w:t>
            </w:r>
          </w:p>
        </w:tc>
      </w:tr>
      <w:tr w:rsidR="00246FC6" w:rsidRPr="005A76D6" w:rsidTr="005A76D6">
        <w:trPr>
          <w:cantSplit/>
          <w:trHeight w:val="58"/>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i/>
                <w:sz w:val="18"/>
                <w:szCs w:val="18"/>
              </w:rPr>
            </w:pPr>
            <w:r w:rsidRPr="005A76D6">
              <w:rPr>
                <w:rFonts w:ascii="Arial Narrow" w:hAnsi="Arial Narrow"/>
                <w:b/>
                <w:i/>
                <w:sz w:val="18"/>
                <w:szCs w:val="18"/>
              </w:rPr>
              <w:t>Administrative advice:</w:t>
            </w:r>
            <w:r w:rsidRPr="005A76D6">
              <w:rPr>
                <w:rFonts w:ascii="Arial Narrow" w:hAnsi="Arial Narrow"/>
                <w:i/>
                <w:sz w:val="18"/>
                <w:szCs w:val="18"/>
              </w:rPr>
              <w:t xml:space="preserve"> Special Pricing Arrangements apply</w:t>
            </w:r>
          </w:p>
        </w:tc>
      </w:tr>
      <w:tr w:rsidR="00246FC6" w:rsidRPr="005A76D6" w:rsidTr="005A76D6">
        <w:trPr>
          <w:cantSplit/>
          <w:trHeight w:val="58"/>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5A76D6">
            <w:pPr>
              <w:pStyle w:val="TableText1"/>
              <w:keepNext/>
              <w:keepLines/>
              <w:spacing w:before="0" w:after="0"/>
              <w:rPr>
                <w:rFonts w:ascii="Arial Narrow" w:hAnsi="Arial Narrow"/>
                <w:b/>
                <w:sz w:val="18"/>
                <w:szCs w:val="18"/>
              </w:rPr>
            </w:pPr>
            <w:r w:rsidRPr="005A76D6">
              <w:rPr>
                <w:rFonts w:ascii="Arial Narrow" w:hAnsi="Arial Narrow"/>
                <w:b/>
                <w:sz w:val="18"/>
                <w:szCs w:val="18"/>
              </w:rPr>
              <w:t>Administrative advice:</w:t>
            </w:r>
            <w:r w:rsidRPr="005A76D6">
              <w:rPr>
                <w:rFonts w:ascii="Arial Narrow" w:hAnsi="Arial Narrow"/>
                <w:sz w:val="18"/>
                <w:szCs w:val="18"/>
              </w:rPr>
              <w:t xml:space="preserve"> In the first few months after start of immunotherapy, some patients can have a transient tumour flare with subsequent disease response. When progression is suspected, this should be confirmed through a confirmatory scan, taken at least four weeks later.</w:t>
            </w:r>
          </w:p>
        </w:tc>
      </w:tr>
    </w:tbl>
    <w:p w:rsidR="002E5F64" w:rsidRPr="005A76D6" w:rsidRDefault="002E5F64" w:rsidP="002E5F64">
      <w:pPr>
        <w:pStyle w:val="In-tableHeading"/>
        <w:keepNext w:val="0"/>
        <w:rPr>
          <w:sz w:val="18"/>
          <w:szCs w:val="18"/>
          <w:lang w:val="en-AU"/>
        </w:rPr>
      </w:pPr>
    </w:p>
    <w:p w:rsidR="00360212" w:rsidRPr="005A76D6" w:rsidRDefault="002E5F64" w:rsidP="002E5F64">
      <w:pPr>
        <w:pStyle w:val="In-tableHeading"/>
        <w:keepLines/>
        <w:rPr>
          <w:sz w:val="18"/>
          <w:szCs w:val="18"/>
          <w:lang w:val="en-AU"/>
        </w:rPr>
      </w:pPr>
      <w:r w:rsidRPr="005A76D6">
        <w:rPr>
          <w:sz w:val="18"/>
          <w:szCs w:val="18"/>
          <w:lang w:val="en-AU"/>
        </w:rPr>
        <w:t>Continuing treatment (3-weekly regimen) Restriction summary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2153"/>
        <w:gridCol w:w="1148"/>
        <w:gridCol w:w="861"/>
        <w:gridCol w:w="2155"/>
      </w:tblGrid>
      <w:tr w:rsidR="002E5F64" w:rsidRPr="005A76D6" w:rsidTr="005A76D6">
        <w:trPr>
          <w:cantSplit/>
          <w:trHeight w:val="471"/>
        </w:trPr>
        <w:tc>
          <w:tcPr>
            <w:tcW w:w="1506" w:type="pct"/>
          </w:tcPr>
          <w:p w:rsidR="002E5F64" w:rsidRPr="005A76D6" w:rsidRDefault="002E5F64" w:rsidP="002E5F64">
            <w:pPr>
              <w:keepNext/>
              <w:keepLines/>
              <w:ind w:left="-108"/>
              <w:rPr>
                <w:rFonts w:ascii="Arial Narrow" w:hAnsi="Arial Narrow"/>
                <w:b/>
                <w:sz w:val="18"/>
                <w:szCs w:val="18"/>
              </w:rPr>
            </w:pPr>
            <w:r w:rsidRPr="005A76D6">
              <w:rPr>
                <w:rFonts w:ascii="Arial Narrow" w:hAnsi="Arial Narrow"/>
                <w:b/>
                <w:sz w:val="18"/>
                <w:szCs w:val="18"/>
              </w:rPr>
              <w:t>Name, Restriction,</w:t>
            </w:r>
          </w:p>
          <w:p w:rsidR="002E5F64" w:rsidRPr="005A76D6" w:rsidRDefault="002E5F64" w:rsidP="002E5F64">
            <w:pPr>
              <w:keepNext/>
              <w:keepLines/>
              <w:ind w:left="-108"/>
              <w:rPr>
                <w:rFonts w:ascii="Arial Narrow" w:hAnsi="Arial Narrow"/>
                <w:b/>
                <w:sz w:val="18"/>
                <w:szCs w:val="18"/>
              </w:rPr>
            </w:pPr>
            <w:r w:rsidRPr="005A76D6">
              <w:rPr>
                <w:rFonts w:ascii="Arial Narrow" w:hAnsi="Arial Narrow"/>
                <w:b/>
                <w:sz w:val="18"/>
                <w:szCs w:val="18"/>
              </w:rPr>
              <w:t>Manner of administration and form</w:t>
            </w:r>
          </w:p>
        </w:tc>
        <w:tc>
          <w:tcPr>
            <w:tcW w:w="1191" w:type="pct"/>
          </w:tcPr>
          <w:p w:rsidR="002E5F64" w:rsidRPr="005A76D6" w:rsidRDefault="002E5F64" w:rsidP="002E5F64">
            <w:pPr>
              <w:keepNext/>
              <w:keepLines/>
              <w:ind w:left="-108"/>
              <w:jc w:val="center"/>
              <w:rPr>
                <w:rFonts w:ascii="Arial Narrow" w:hAnsi="Arial Narrow"/>
                <w:b/>
                <w:sz w:val="18"/>
                <w:szCs w:val="18"/>
              </w:rPr>
            </w:pPr>
            <w:r w:rsidRPr="005A76D6">
              <w:rPr>
                <w:rFonts w:ascii="Arial Narrow" w:hAnsi="Arial Narrow"/>
                <w:b/>
                <w:sz w:val="18"/>
                <w:szCs w:val="18"/>
              </w:rPr>
              <w:t>PBS item code</w:t>
            </w:r>
          </w:p>
        </w:tc>
        <w:tc>
          <w:tcPr>
            <w:tcW w:w="635" w:type="pct"/>
          </w:tcPr>
          <w:p w:rsidR="002E5F64" w:rsidRPr="005A76D6" w:rsidRDefault="002E5F64" w:rsidP="002E5F64">
            <w:pPr>
              <w:keepNext/>
              <w:keepLines/>
              <w:ind w:left="-108"/>
              <w:jc w:val="center"/>
              <w:rPr>
                <w:rFonts w:ascii="Arial Narrow" w:hAnsi="Arial Narrow"/>
                <w:b/>
                <w:sz w:val="18"/>
                <w:szCs w:val="18"/>
              </w:rPr>
            </w:pPr>
            <w:r w:rsidRPr="005A76D6">
              <w:rPr>
                <w:rFonts w:ascii="Arial Narrow" w:hAnsi="Arial Narrow"/>
                <w:b/>
                <w:sz w:val="18"/>
                <w:szCs w:val="18"/>
              </w:rPr>
              <w:t>Max.</w:t>
            </w:r>
          </w:p>
          <w:p w:rsidR="002E5F64" w:rsidRPr="005A76D6" w:rsidRDefault="002E5F64" w:rsidP="002E5F64">
            <w:pPr>
              <w:keepNext/>
              <w:keepLines/>
              <w:ind w:left="-108"/>
              <w:jc w:val="center"/>
              <w:rPr>
                <w:rFonts w:ascii="Arial Narrow" w:hAnsi="Arial Narrow"/>
                <w:b/>
                <w:sz w:val="18"/>
                <w:szCs w:val="18"/>
              </w:rPr>
            </w:pPr>
            <w:r w:rsidRPr="005A76D6">
              <w:rPr>
                <w:rFonts w:ascii="Arial Narrow" w:hAnsi="Arial Narrow"/>
                <w:b/>
                <w:sz w:val="18"/>
                <w:szCs w:val="18"/>
              </w:rPr>
              <w:t>Amount</w:t>
            </w:r>
          </w:p>
        </w:tc>
        <w:tc>
          <w:tcPr>
            <w:tcW w:w="476" w:type="pct"/>
          </w:tcPr>
          <w:p w:rsidR="002E5F64" w:rsidRPr="005A76D6" w:rsidRDefault="002E5F64" w:rsidP="002E5F64">
            <w:pPr>
              <w:keepNext/>
              <w:keepLines/>
              <w:ind w:left="-108"/>
              <w:jc w:val="center"/>
              <w:rPr>
                <w:rFonts w:ascii="Arial Narrow" w:hAnsi="Arial Narrow"/>
                <w:b/>
                <w:sz w:val="18"/>
                <w:szCs w:val="18"/>
              </w:rPr>
            </w:pPr>
            <w:r w:rsidRPr="005A76D6">
              <w:rPr>
                <w:rFonts w:ascii="Arial Narrow" w:hAnsi="Arial Narrow"/>
                <w:b/>
                <w:sz w:val="18"/>
                <w:szCs w:val="18"/>
              </w:rPr>
              <w:t>№.of</w:t>
            </w:r>
          </w:p>
          <w:p w:rsidR="002E5F64" w:rsidRPr="005A76D6" w:rsidRDefault="002E5F64" w:rsidP="002E5F64">
            <w:pPr>
              <w:keepNext/>
              <w:keepLines/>
              <w:ind w:left="-108"/>
              <w:jc w:val="center"/>
              <w:rPr>
                <w:rFonts w:ascii="Arial Narrow" w:hAnsi="Arial Narrow"/>
                <w:b/>
                <w:sz w:val="18"/>
                <w:szCs w:val="18"/>
              </w:rPr>
            </w:pPr>
            <w:r w:rsidRPr="005A76D6">
              <w:rPr>
                <w:rFonts w:ascii="Arial Narrow" w:hAnsi="Arial Narrow"/>
                <w:b/>
                <w:sz w:val="18"/>
                <w:szCs w:val="18"/>
              </w:rPr>
              <w:t>Rpts</w:t>
            </w:r>
          </w:p>
        </w:tc>
        <w:tc>
          <w:tcPr>
            <w:tcW w:w="1192" w:type="pct"/>
          </w:tcPr>
          <w:p w:rsidR="002E5F64" w:rsidRPr="005A76D6" w:rsidRDefault="002E5F64" w:rsidP="002E5F64">
            <w:pPr>
              <w:keepNext/>
              <w:keepLines/>
              <w:rPr>
                <w:rFonts w:ascii="Arial Narrow" w:hAnsi="Arial Narrow"/>
                <w:b/>
                <w:sz w:val="18"/>
                <w:szCs w:val="18"/>
              </w:rPr>
            </w:pPr>
            <w:r w:rsidRPr="005A76D6">
              <w:rPr>
                <w:rFonts w:ascii="Arial Narrow" w:hAnsi="Arial Narrow"/>
                <w:b/>
                <w:sz w:val="18"/>
                <w:szCs w:val="18"/>
              </w:rPr>
              <w:t>Manufacturer</w:t>
            </w:r>
          </w:p>
        </w:tc>
      </w:tr>
      <w:tr w:rsidR="002E5F64" w:rsidRPr="005A76D6" w:rsidTr="005A76D6">
        <w:trPr>
          <w:cantSplit/>
          <w:trHeight w:val="577"/>
        </w:trPr>
        <w:tc>
          <w:tcPr>
            <w:tcW w:w="1506" w:type="pct"/>
          </w:tcPr>
          <w:p w:rsidR="002E5F64" w:rsidRPr="005A76D6" w:rsidRDefault="002E5F64" w:rsidP="002E5F64">
            <w:pPr>
              <w:keepNext/>
              <w:keepLines/>
              <w:ind w:left="-108"/>
              <w:rPr>
                <w:rFonts w:ascii="Arial Narrow" w:hAnsi="Arial Narrow"/>
                <w:sz w:val="18"/>
                <w:szCs w:val="18"/>
              </w:rPr>
            </w:pPr>
            <w:r w:rsidRPr="005A76D6">
              <w:rPr>
                <w:rFonts w:ascii="Arial Narrow" w:hAnsi="Arial Narrow"/>
                <w:sz w:val="18"/>
                <w:szCs w:val="18"/>
              </w:rPr>
              <w:t xml:space="preserve">ATEZOLIZUMAB </w:t>
            </w:r>
          </w:p>
          <w:p w:rsidR="002E5F64" w:rsidRPr="005A76D6" w:rsidRDefault="002E5F64" w:rsidP="002E5F64">
            <w:pPr>
              <w:keepNext/>
              <w:keepLines/>
              <w:ind w:left="-108"/>
              <w:rPr>
                <w:rFonts w:ascii="Arial Narrow" w:hAnsi="Arial Narrow"/>
                <w:sz w:val="18"/>
                <w:szCs w:val="18"/>
              </w:rPr>
            </w:pPr>
            <w:r w:rsidRPr="005A76D6">
              <w:rPr>
                <w:rFonts w:ascii="Arial Narrow" w:hAnsi="Arial Narrow" w:cs="Arial Narrow"/>
                <w:sz w:val="18"/>
                <w:szCs w:val="18"/>
              </w:rPr>
              <w:t xml:space="preserve">Injection </w:t>
            </w:r>
          </w:p>
        </w:tc>
        <w:tc>
          <w:tcPr>
            <w:tcW w:w="1191" w:type="pct"/>
          </w:tcPr>
          <w:p w:rsidR="002E5F64" w:rsidRPr="005A76D6" w:rsidRDefault="002E5F64" w:rsidP="002E5F64">
            <w:pPr>
              <w:keepNext/>
              <w:keepLines/>
              <w:ind w:left="-108"/>
              <w:jc w:val="center"/>
              <w:rPr>
                <w:rFonts w:ascii="Arial Narrow" w:hAnsi="Arial Narrow"/>
                <w:sz w:val="18"/>
                <w:szCs w:val="18"/>
              </w:rPr>
            </w:pPr>
          </w:p>
          <w:p w:rsidR="002E5F64" w:rsidRPr="005A76D6" w:rsidRDefault="002E5F64" w:rsidP="002E5F64">
            <w:pPr>
              <w:keepNext/>
              <w:keepLines/>
              <w:ind w:left="-108"/>
              <w:jc w:val="center"/>
              <w:rPr>
                <w:rFonts w:ascii="Arial Narrow" w:hAnsi="Arial Narrow"/>
                <w:i/>
                <w:sz w:val="18"/>
                <w:szCs w:val="18"/>
              </w:rPr>
            </w:pPr>
            <w:r w:rsidRPr="005A76D6">
              <w:rPr>
                <w:rFonts w:ascii="Arial Narrow" w:hAnsi="Arial Narrow"/>
                <w:i/>
                <w:sz w:val="18"/>
                <w:szCs w:val="18"/>
              </w:rPr>
              <w:t>NEW (Public)</w:t>
            </w:r>
          </w:p>
          <w:p w:rsidR="002E5F64" w:rsidRPr="005A76D6" w:rsidRDefault="002E5F64" w:rsidP="002E5F64">
            <w:pPr>
              <w:keepNext/>
              <w:keepLines/>
              <w:ind w:left="-108"/>
              <w:jc w:val="center"/>
              <w:rPr>
                <w:rFonts w:ascii="Arial Narrow" w:hAnsi="Arial Narrow"/>
                <w:i/>
                <w:sz w:val="18"/>
                <w:szCs w:val="18"/>
              </w:rPr>
            </w:pPr>
            <w:r w:rsidRPr="005A76D6">
              <w:rPr>
                <w:rFonts w:ascii="Arial Narrow" w:hAnsi="Arial Narrow"/>
                <w:i/>
                <w:sz w:val="18"/>
                <w:szCs w:val="18"/>
              </w:rPr>
              <w:t>NEW (Private)</w:t>
            </w:r>
          </w:p>
          <w:p w:rsidR="002E5F64" w:rsidRPr="005A76D6" w:rsidRDefault="002E5F64" w:rsidP="002E5F64">
            <w:pPr>
              <w:keepNext/>
              <w:keepLines/>
              <w:ind w:left="-108"/>
              <w:jc w:val="center"/>
              <w:rPr>
                <w:rFonts w:ascii="Arial Narrow" w:hAnsi="Arial Narrow"/>
                <w:sz w:val="18"/>
                <w:szCs w:val="18"/>
              </w:rPr>
            </w:pPr>
          </w:p>
          <w:p w:rsidR="002E5F64" w:rsidRPr="005A76D6" w:rsidRDefault="002E5F64" w:rsidP="002E5F64">
            <w:pPr>
              <w:keepNext/>
              <w:keepLines/>
              <w:ind w:left="-108"/>
              <w:jc w:val="center"/>
              <w:rPr>
                <w:rFonts w:ascii="Arial Narrow" w:hAnsi="Arial Narrow"/>
                <w:i/>
                <w:sz w:val="18"/>
                <w:szCs w:val="18"/>
              </w:rPr>
            </w:pPr>
            <w:r w:rsidRPr="005A76D6">
              <w:rPr>
                <w:rFonts w:ascii="Arial Narrow" w:hAnsi="Arial Narrow"/>
                <w:i/>
                <w:sz w:val="18"/>
                <w:szCs w:val="18"/>
              </w:rPr>
              <w:t>11802E (Public; if 7 repeats)</w:t>
            </w:r>
          </w:p>
          <w:p w:rsidR="002E5F64" w:rsidRPr="005A76D6" w:rsidRDefault="002E5F64" w:rsidP="002E5F64">
            <w:pPr>
              <w:keepNext/>
              <w:keepLines/>
              <w:ind w:left="-108"/>
              <w:jc w:val="center"/>
              <w:rPr>
                <w:rFonts w:ascii="Arial Narrow" w:hAnsi="Arial Narrow"/>
                <w:sz w:val="18"/>
                <w:szCs w:val="18"/>
              </w:rPr>
            </w:pPr>
            <w:r w:rsidRPr="005A76D6">
              <w:rPr>
                <w:rFonts w:ascii="Arial Narrow" w:hAnsi="Arial Narrow"/>
                <w:i/>
                <w:sz w:val="18"/>
                <w:szCs w:val="18"/>
              </w:rPr>
              <w:t>11801D (Private; if 7 repeats)</w:t>
            </w:r>
          </w:p>
        </w:tc>
        <w:tc>
          <w:tcPr>
            <w:tcW w:w="635" w:type="pct"/>
          </w:tcPr>
          <w:p w:rsidR="002E5F64" w:rsidRPr="005A76D6" w:rsidRDefault="002E5F64" w:rsidP="002E5F64">
            <w:pPr>
              <w:keepNext/>
              <w:keepLines/>
              <w:ind w:left="-108"/>
              <w:jc w:val="center"/>
              <w:rPr>
                <w:rFonts w:ascii="Arial Narrow" w:hAnsi="Arial Narrow"/>
                <w:sz w:val="18"/>
                <w:szCs w:val="18"/>
              </w:rPr>
            </w:pPr>
          </w:p>
          <w:p w:rsidR="002E5F64" w:rsidRPr="005A76D6" w:rsidRDefault="002E5F64" w:rsidP="002E5F64">
            <w:pPr>
              <w:keepNext/>
              <w:keepLines/>
              <w:ind w:left="-108"/>
              <w:jc w:val="center"/>
              <w:rPr>
                <w:rFonts w:ascii="Arial Narrow" w:hAnsi="Arial Narrow"/>
                <w:sz w:val="18"/>
                <w:szCs w:val="18"/>
              </w:rPr>
            </w:pPr>
            <w:r w:rsidRPr="005A76D6">
              <w:rPr>
                <w:rFonts w:ascii="Arial Narrow" w:hAnsi="Arial Narrow"/>
                <w:sz w:val="18"/>
                <w:szCs w:val="18"/>
              </w:rPr>
              <w:t>1200 mg</w:t>
            </w:r>
          </w:p>
        </w:tc>
        <w:tc>
          <w:tcPr>
            <w:tcW w:w="476" w:type="pct"/>
          </w:tcPr>
          <w:p w:rsidR="002E5F64" w:rsidRPr="005A76D6" w:rsidRDefault="002E5F64" w:rsidP="002E5F64">
            <w:pPr>
              <w:keepNext/>
              <w:keepLines/>
              <w:ind w:left="-108"/>
              <w:jc w:val="center"/>
              <w:rPr>
                <w:rFonts w:ascii="Arial Narrow" w:hAnsi="Arial Narrow"/>
                <w:i/>
                <w:sz w:val="18"/>
                <w:szCs w:val="18"/>
              </w:rPr>
            </w:pPr>
          </w:p>
          <w:p w:rsidR="002E5F64" w:rsidRPr="005A76D6" w:rsidRDefault="002E5F64" w:rsidP="002E5F64">
            <w:pPr>
              <w:keepNext/>
              <w:keepLines/>
              <w:ind w:left="-108"/>
              <w:jc w:val="center"/>
              <w:rPr>
                <w:rFonts w:ascii="Arial Narrow" w:hAnsi="Arial Narrow"/>
                <w:sz w:val="18"/>
                <w:szCs w:val="18"/>
              </w:rPr>
            </w:pPr>
            <w:r w:rsidRPr="005A76D6">
              <w:rPr>
                <w:rFonts w:ascii="Arial Narrow" w:hAnsi="Arial Narrow"/>
                <w:sz w:val="18"/>
                <w:szCs w:val="18"/>
              </w:rPr>
              <w:t>8</w:t>
            </w:r>
          </w:p>
        </w:tc>
        <w:tc>
          <w:tcPr>
            <w:tcW w:w="1192" w:type="pct"/>
          </w:tcPr>
          <w:p w:rsidR="002E5F64" w:rsidRPr="005A76D6" w:rsidRDefault="002E5F64" w:rsidP="002E5F64">
            <w:pPr>
              <w:keepNext/>
              <w:keepLines/>
              <w:rPr>
                <w:rFonts w:ascii="Arial Narrow" w:hAnsi="Arial Narrow"/>
                <w:sz w:val="18"/>
                <w:szCs w:val="18"/>
              </w:rPr>
            </w:pPr>
          </w:p>
          <w:p w:rsidR="002E5F64" w:rsidRPr="005A76D6" w:rsidRDefault="002E5F64" w:rsidP="002E5F64">
            <w:pPr>
              <w:keepNext/>
              <w:keepLines/>
              <w:rPr>
                <w:rFonts w:ascii="Arial Narrow" w:hAnsi="Arial Narrow"/>
                <w:sz w:val="18"/>
                <w:szCs w:val="18"/>
              </w:rPr>
            </w:pPr>
            <w:r w:rsidRPr="005A76D6">
              <w:rPr>
                <w:rFonts w:ascii="Arial Narrow" w:hAnsi="Arial Narrow"/>
                <w:sz w:val="18"/>
                <w:szCs w:val="18"/>
              </w:rPr>
              <w:t>Roche Products Pty Ltd</w:t>
            </w:r>
          </w:p>
        </w:tc>
      </w:tr>
      <w:tr w:rsidR="002E5F64" w:rsidRPr="005A76D6" w:rsidTr="005A76D6">
        <w:trPr>
          <w:cantSplit/>
          <w:trHeight w:val="225"/>
        </w:trPr>
        <w:tc>
          <w:tcPr>
            <w:tcW w:w="5000" w:type="pct"/>
            <w:gridSpan w:val="5"/>
          </w:tcPr>
          <w:p w:rsidR="002E5F64" w:rsidRPr="005A76D6" w:rsidRDefault="002E5F64" w:rsidP="002E5F64">
            <w:pPr>
              <w:keepNext/>
              <w:keepLines/>
              <w:rPr>
                <w:rFonts w:ascii="Arial Narrow" w:hAnsi="Arial Narrow"/>
                <w:b/>
                <w:sz w:val="18"/>
                <w:szCs w:val="18"/>
              </w:rPr>
            </w:pPr>
            <w:r w:rsidRPr="005A76D6">
              <w:rPr>
                <w:rFonts w:ascii="Arial Narrow" w:hAnsi="Arial Narrow"/>
                <w:b/>
                <w:sz w:val="18"/>
                <w:szCs w:val="18"/>
              </w:rPr>
              <w:t>Available brands</w:t>
            </w:r>
          </w:p>
        </w:tc>
      </w:tr>
      <w:tr w:rsidR="002E5F64" w:rsidRPr="00F45892" w:rsidTr="005A76D6">
        <w:trPr>
          <w:cantSplit/>
          <w:trHeight w:val="360"/>
        </w:trPr>
        <w:tc>
          <w:tcPr>
            <w:tcW w:w="5000" w:type="pct"/>
            <w:gridSpan w:val="5"/>
          </w:tcPr>
          <w:p w:rsidR="002E5F64" w:rsidRPr="00F45892" w:rsidRDefault="002E5F64" w:rsidP="002E5F64">
            <w:pPr>
              <w:keepNext/>
              <w:keepLines/>
              <w:rPr>
                <w:rFonts w:ascii="Arial Narrow" w:hAnsi="Arial Narrow"/>
                <w:sz w:val="18"/>
                <w:szCs w:val="18"/>
                <w:lang w:val="fr-FR"/>
              </w:rPr>
            </w:pPr>
            <w:r w:rsidRPr="00F45892">
              <w:rPr>
                <w:rFonts w:ascii="Arial Narrow" w:hAnsi="Arial Narrow"/>
                <w:sz w:val="18"/>
                <w:szCs w:val="18"/>
                <w:lang w:val="fr-FR"/>
              </w:rPr>
              <w:t>Tecentriq</w:t>
            </w:r>
          </w:p>
          <w:p w:rsidR="002E5F64" w:rsidRPr="00F45892" w:rsidRDefault="002E5F64" w:rsidP="002E5F64">
            <w:pPr>
              <w:keepNext/>
              <w:keepLines/>
              <w:rPr>
                <w:rFonts w:ascii="Arial Narrow" w:hAnsi="Arial Narrow"/>
                <w:sz w:val="18"/>
                <w:szCs w:val="18"/>
                <w:lang w:val="fr-FR"/>
              </w:rPr>
            </w:pPr>
            <w:r w:rsidRPr="00F45892">
              <w:rPr>
                <w:rFonts w:ascii="Arial Narrow" w:hAnsi="Arial Narrow"/>
                <w:sz w:val="18"/>
                <w:szCs w:val="18"/>
                <w:lang w:val="fr-FR"/>
              </w:rPr>
              <w:t>(atezolizumab 1.2 g/20 mL injection, 20 mL vial)</w:t>
            </w:r>
          </w:p>
        </w:tc>
      </w:tr>
    </w:tbl>
    <w:p w:rsidR="00360212" w:rsidRPr="00F45892" w:rsidRDefault="00360212" w:rsidP="005A76D6">
      <w:pPr>
        <w:pStyle w:val="3-BodyText"/>
        <w:numPr>
          <w:ilvl w:val="0"/>
          <w:numId w:val="0"/>
        </w:numPr>
        <w:spacing w:after="0"/>
        <w:rPr>
          <w:rFonts w:ascii="Arial Narrow" w:hAnsi="Arial Narrow"/>
          <w:b/>
          <w:sz w:val="18"/>
          <w:szCs w:val="18"/>
          <w:lang w:val="fr-FR"/>
        </w:rPr>
      </w:pPr>
    </w:p>
    <w:tbl>
      <w:tblPr>
        <w:tblW w:w="4950" w:type="pct"/>
        <w:tblLayout w:type="fixed"/>
        <w:tblLook w:val="0000" w:firstRow="0" w:lastRow="0" w:firstColumn="0" w:lastColumn="0" w:noHBand="0" w:noVBand="0"/>
      </w:tblPr>
      <w:tblGrid>
        <w:gridCol w:w="8950"/>
      </w:tblGrid>
      <w:tr w:rsidR="00246FC6" w:rsidRPr="005A76D6" w:rsidTr="00246FC6">
        <w:trPr>
          <w:cantSplit/>
          <w:trHeight w:val="293"/>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1D61C2">
            <w:pPr>
              <w:pStyle w:val="TableText1"/>
              <w:spacing w:before="0" w:after="0"/>
              <w:rPr>
                <w:rFonts w:ascii="Arial Narrow" w:hAnsi="Arial Narrow"/>
                <w:i/>
                <w:sz w:val="18"/>
                <w:szCs w:val="18"/>
              </w:rPr>
            </w:pPr>
            <w:r w:rsidRPr="005A76D6">
              <w:rPr>
                <w:rFonts w:ascii="Arial Narrow" w:hAnsi="Arial Narrow"/>
                <w:b/>
                <w:i/>
                <w:sz w:val="18"/>
                <w:szCs w:val="18"/>
              </w:rPr>
              <w:t xml:space="preserve">Category / Program: </w:t>
            </w:r>
            <w:r w:rsidRPr="005A76D6">
              <w:rPr>
                <w:rFonts w:ascii="Arial Narrow" w:hAnsi="Arial Narrow"/>
                <w:i/>
                <w:sz w:val="18"/>
                <w:szCs w:val="18"/>
              </w:rPr>
              <w:t>Section 100 – Efficient Funding of Chemotherapy (Public/Private hospital)</w:t>
            </w:r>
          </w:p>
        </w:tc>
      </w:tr>
      <w:tr w:rsidR="00246FC6" w:rsidRPr="005A76D6" w:rsidTr="00246FC6">
        <w:trPr>
          <w:cantSplit/>
          <w:trHeight w:val="200"/>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1D61C2">
            <w:pPr>
              <w:pStyle w:val="TableText1"/>
              <w:spacing w:before="0" w:after="0"/>
              <w:rPr>
                <w:rFonts w:ascii="Arial Narrow" w:hAnsi="Arial Narrow"/>
                <w:sz w:val="18"/>
                <w:szCs w:val="18"/>
              </w:rPr>
            </w:pPr>
            <w:r w:rsidRPr="005A76D6">
              <w:rPr>
                <w:rFonts w:ascii="Arial Narrow" w:hAnsi="Arial Narrow"/>
                <w:b/>
                <w:i/>
                <w:sz w:val="18"/>
                <w:szCs w:val="18"/>
              </w:rPr>
              <w:t>Prescriber type:</w:t>
            </w:r>
            <w:r w:rsidRPr="005A76D6">
              <w:rPr>
                <w:rFonts w:ascii="Arial Narrow" w:hAnsi="Arial Narrow"/>
                <w:i/>
                <w:sz w:val="18"/>
                <w:szCs w:val="18"/>
              </w:rPr>
              <w:t xml:space="preserve">   </w:t>
            </w:r>
            <w:r w:rsidRPr="005A76D6">
              <w:rPr>
                <w:rFonts w:ascii="Arial Narrow" w:hAnsi="Arial Narrow"/>
                <w:i/>
                <w:sz w:val="18"/>
                <w:szCs w:val="18"/>
              </w:rPr>
              <w:fldChar w:fldCharType="begin">
                <w:ffData>
                  <w:name w:val="Check1"/>
                  <w:enabled/>
                  <w:calcOnExit w:val="0"/>
                  <w:checkBox>
                    <w:sizeAuto/>
                    <w:default w:val="0"/>
                  </w:checkBox>
                </w:ffData>
              </w:fldChar>
            </w:r>
            <w:r w:rsidRPr="005A76D6">
              <w:rPr>
                <w:rFonts w:ascii="Arial Narrow" w:hAnsi="Arial Narrow"/>
                <w:i/>
                <w:sz w:val="18"/>
                <w:szCs w:val="18"/>
              </w:rPr>
              <w:instrText xml:space="preserve"> FORMCHECKBOX </w:instrText>
            </w:r>
            <w:r w:rsidR="00E4568F">
              <w:rPr>
                <w:rFonts w:ascii="Arial Narrow" w:hAnsi="Arial Narrow"/>
                <w:i/>
                <w:sz w:val="18"/>
                <w:szCs w:val="18"/>
              </w:rPr>
            </w:r>
            <w:r w:rsidR="00E4568F">
              <w:rPr>
                <w:rFonts w:ascii="Arial Narrow" w:hAnsi="Arial Narrow"/>
                <w:i/>
                <w:sz w:val="18"/>
                <w:szCs w:val="18"/>
              </w:rPr>
              <w:fldChar w:fldCharType="separate"/>
            </w:r>
            <w:r w:rsidRPr="005A76D6">
              <w:rPr>
                <w:rFonts w:ascii="Arial Narrow" w:hAnsi="Arial Narrow"/>
                <w:i/>
                <w:sz w:val="18"/>
                <w:szCs w:val="18"/>
              </w:rPr>
              <w:fldChar w:fldCharType="end"/>
            </w:r>
            <w:r w:rsidRPr="005A76D6">
              <w:rPr>
                <w:rFonts w:ascii="Arial Narrow" w:hAnsi="Arial Narrow"/>
                <w:i/>
                <w:sz w:val="18"/>
                <w:szCs w:val="18"/>
              </w:rPr>
              <w:t xml:space="preserve">Dental   </w:t>
            </w:r>
            <w:r w:rsidRPr="005A76D6">
              <w:rPr>
                <w:rFonts w:ascii="Arial Narrow" w:hAnsi="Arial Narrow"/>
                <w:i/>
                <w:sz w:val="18"/>
                <w:szCs w:val="18"/>
              </w:rPr>
              <w:fldChar w:fldCharType="begin">
                <w:ffData>
                  <w:name w:val=""/>
                  <w:enabled/>
                  <w:calcOnExit w:val="0"/>
                  <w:checkBox>
                    <w:sizeAuto/>
                    <w:default w:val="1"/>
                  </w:checkBox>
                </w:ffData>
              </w:fldChar>
            </w:r>
            <w:r w:rsidRPr="005A76D6">
              <w:rPr>
                <w:rFonts w:ascii="Arial Narrow" w:hAnsi="Arial Narrow"/>
                <w:i/>
                <w:sz w:val="18"/>
                <w:szCs w:val="18"/>
              </w:rPr>
              <w:instrText xml:space="preserve"> FORMCHECKBOX </w:instrText>
            </w:r>
            <w:r w:rsidR="00E4568F">
              <w:rPr>
                <w:rFonts w:ascii="Arial Narrow" w:hAnsi="Arial Narrow"/>
                <w:i/>
                <w:sz w:val="18"/>
                <w:szCs w:val="18"/>
              </w:rPr>
            </w:r>
            <w:r w:rsidR="00E4568F">
              <w:rPr>
                <w:rFonts w:ascii="Arial Narrow" w:hAnsi="Arial Narrow"/>
                <w:i/>
                <w:sz w:val="18"/>
                <w:szCs w:val="18"/>
              </w:rPr>
              <w:fldChar w:fldCharType="separate"/>
            </w:r>
            <w:r w:rsidRPr="005A76D6">
              <w:rPr>
                <w:rFonts w:ascii="Arial Narrow" w:hAnsi="Arial Narrow"/>
                <w:i/>
                <w:sz w:val="18"/>
                <w:szCs w:val="18"/>
              </w:rPr>
              <w:fldChar w:fldCharType="end"/>
            </w:r>
            <w:r w:rsidRPr="005A76D6">
              <w:rPr>
                <w:rFonts w:ascii="Arial Narrow" w:hAnsi="Arial Narrow"/>
                <w:i/>
                <w:sz w:val="18"/>
                <w:szCs w:val="18"/>
              </w:rPr>
              <w:t>Medical Practitioners</w:t>
            </w:r>
            <w:r w:rsidR="004178CA">
              <w:rPr>
                <w:rFonts w:ascii="Arial Narrow" w:hAnsi="Arial Narrow"/>
                <w:i/>
                <w:sz w:val="18"/>
                <w:szCs w:val="18"/>
              </w:rPr>
              <w:t xml:space="preserve"> </w:t>
            </w:r>
            <w:r w:rsidRPr="005A76D6">
              <w:rPr>
                <w:rFonts w:ascii="Arial Narrow" w:hAnsi="Arial Narrow"/>
                <w:i/>
                <w:sz w:val="18"/>
                <w:szCs w:val="18"/>
              </w:rPr>
              <w:t xml:space="preserve">  </w:t>
            </w:r>
            <w:r w:rsidRPr="005A76D6">
              <w:rPr>
                <w:rFonts w:ascii="Arial Narrow" w:hAnsi="Arial Narrow"/>
                <w:i/>
                <w:sz w:val="18"/>
                <w:szCs w:val="18"/>
              </w:rPr>
              <w:fldChar w:fldCharType="begin">
                <w:ffData>
                  <w:name w:val="Check3"/>
                  <w:enabled/>
                  <w:calcOnExit w:val="0"/>
                  <w:checkBox>
                    <w:sizeAuto/>
                    <w:default w:val="0"/>
                  </w:checkBox>
                </w:ffData>
              </w:fldChar>
            </w:r>
            <w:r w:rsidRPr="005A76D6">
              <w:rPr>
                <w:rFonts w:ascii="Arial Narrow" w:hAnsi="Arial Narrow"/>
                <w:i/>
                <w:sz w:val="18"/>
                <w:szCs w:val="18"/>
              </w:rPr>
              <w:instrText xml:space="preserve"> FORMCHECKBOX </w:instrText>
            </w:r>
            <w:r w:rsidR="00E4568F">
              <w:rPr>
                <w:rFonts w:ascii="Arial Narrow" w:hAnsi="Arial Narrow"/>
                <w:i/>
                <w:sz w:val="18"/>
                <w:szCs w:val="18"/>
              </w:rPr>
            </w:r>
            <w:r w:rsidR="00E4568F">
              <w:rPr>
                <w:rFonts w:ascii="Arial Narrow" w:hAnsi="Arial Narrow"/>
                <w:i/>
                <w:sz w:val="18"/>
                <w:szCs w:val="18"/>
              </w:rPr>
              <w:fldChar w:fldCharType="separate"/>
            </w:r>
            <w:r w:rsidRPr="005A76D6">
              <w:rPr>
                <w:rFonts w:ascii="Arial Narrow" w:hAnsi="Arial Narrow"/>
                <w:i/>
                <w:sz w:val="18"/>
                <w:szCs w:val="18"/>
              </w:rPr>
              <w:fldChar w:fldCharType="end"/>
            </w:r>
            <w:r w:rsidRPr="005A76D6">
              <w:rPr>
                <w:rFonts w:ascii="Arial Narrow" w:hAnsi="Arial Narrow"/>
                <w:i/>
                <w:sz w:val="18"/>
                <w:szCs w:val="18"/>
              </w:rPr>
              <w:t xml:space="preserve">Nurse practitioners  </w:t>
            </w:r>
            <w:r w:rsidRPr="005A76D6">
              <w:rPr>
                <w:rFonts w:ascii="Arial Narrow" w:hAnsi="Arial Narrow"/>
                <w:i/>
                <w:sz w:val="18"/>
                <w:szCs w:val="18"/>
              </w:rPr>
              <w:fldChar w:fldCharType="begin">
                <w:ffData>
                  <w:name w:val=""/>
                  <w:enabled/>
                  <w:calcOnExit w:val="0"/>
                  <w:checkBox>
                    <w:sizeAuto/>
                    <w:default w:val="0"/>
                  </w:checkBox>
                </w:ffData>
              </w:fldChar>
            </w:r>
            <w:r w:rsidRPr="005A76D6">
              <w:rPr>
                <w:rFonts w:ascii="Arial Narrow" w:hAnsi="Arial Narrow"/>
                <w:i/>
                <w:sz w:val="18"/>
                <w:szCs w:val="18"/>
              </w:rPr>
              <w:instrText xml:space="preserve"> FORMCHECKBOX </w:instrText>
            </w:r>
            <w:r w:rsidR="00E4568F">
              <w:rPr>
                <w:rFonts w:ascii="Arial Narrow" w:hAnsi="Arial Narrow"/>
                <w:i/>
                <w:sz w:val="18"/>
                <w:szCs w:val="18"/>
              </w:rPr>
            </w:r>
            <w:r w:rsidR="00E4568F">
              <w:rPr>
                <w:rFonts w:ascii="Arial Narrow" w:hAnsi="Arial Narrow"/>
                <w:i/>
                <w:sz w:val="18"/>
                <w:szCs w:val="18"/>
              </w:rPr>
              <w:fldChar w:fldCharType="separate"/>
            </w:r>
            <w:r w:rsidRPr="005A76D6">
              <w:rPr>
                <w:rFonts w:ascii="Arial Narrow" w:hAnsi="Arial Narrow"/>
                <w:i/>
                <w:sz w:val="18"/>
                <w:szCs w:val="18"/>
              </w:rPr>
              <w:fldChar w:fldCharType="end"/>
            </w:r>
            <w:r w:rsidRPr="005A76D6">
              <w:rPr>
                <w:rFonts w:ascii="Arial Narrow" w:hAnsi="Arial Narrow"/>
                <w:i/>
                <w:sz w:val="18"/>
                <w:szCs w:val="18"/>
              </w:rPr>
              <w:t xml:space="preserve">Optometrists   </w:t>
            </w:r>
            <w:r w:rsidRPr="005A76D6">
              <w:rPr>
                <w:rFonts w:ascii="Arial Narrow" w:hAnsi="Arial Narrow"/>
                <w:i/>
                <w:sz w:val="18"/>
                <w:szCs w:val="18"/>
              </w:rPr>
              <w:fldChar w:fldCharType="begin">
                <w:ffData>
                  <w:name w:val="Check5"/>
                  <w:enabled/>
                  <w:calcOnExit w:val="0"/>
                  <w:checkBox>
                    <w:sizeAuto/>
                    <w:default w:val="0"/>
                  </w:checkBox>
                </w:ffData>
              </w:fldChar>
            </w:r>
            <w:r w:rsidRPr="005A76D6">
              <w:rPr>
                <w:rFonts w:ascii="Arial Narrow" w:hAnsi="Arial Narrow"/>
                <w:i/>
                <w:sz w:val="18"/>
                <w:szCs w:val="18"/>
              </w:rPr>
              <w:instrText xml:space="preserve"> FORMCHECKBOX </w:instrText>
            </w:r>
            <w:r w:rsidR="00E4568F">
              <w:rPr>
                <w:rFonts w:ascii="Arial Narrow" w:hAnsi="Arial Narrow"/>
                <w:i/>
                <w:sz w:val="18"/>
                <w:szCs w:val="18"/>
              </w:rPr>
            </w:r>
            <w:r w:rsidR="00E4568F">
              <w:rPr>
                <w:rFonts w:ascii="Arial Narrow" w:hAnsi="Arial Narrow"/>
                <w:i/>
                <w:sz w:val="18"/>
                <w:szCs w:val="18"/>
              </w:rPr>
              <w:fldChar w:fldCharType="separate"/>
            </w:r>
            <w:r w:rsidRPr="005A76D6">
              <w:rPr>
                <w:rFonts w:ascii="Arial Narrow" w:hAnsi="Arial Narrow"/>
                <w:i/>
                <w:sz w:val="18"/>
                <w:szCs w:val="18"/>
              </w:rPr>
              <w:fldChar w:fldCharType="end"/>
            </w:r>
            <w:r w:rsidRPr="005A76D6">
              <w:rPr>
                <w:rFonts w:ascii="Arial Narrow" w:hAnsi="Arial Narrow"/>
                <w:i/>
                <w:sz w:val="18"/>
                <w:szCs w:val="18"/>
              </w:rPr>
              <w:t>Midwives</w:t>
            </w:r>
          </w:p>
        </w:tc>
      </w:tr>
      <w:tr w:rsidR="00246FC6" w:rsidRPr="005A76D6" w:rsidTr="00246FC6">
        <w:trPr>
          <w:cantSplit/>
          <w:trHeight w:val="262"/>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F02CA6">
            <w:pPr>
              <w:pStyle w:val="TableText1"/>
              <w:spacing w:before="0" w:after="0"/>
              <w:rPr>
                <w:rFonts w:ascii="Arial Narrow" w:hAnsi="Arial Narrow"/>
                <w:b/>
                <w:sz w:val="18"/>
                <w:szCs w:val="18"/>
              </w:rPr>
            </w:pPr>
            <w:r w:rsidRPr="005A76D6">
              <w:rPr>
                <w:rFonts w:ascii="Arial Narrow" w:hAnsi="Arial Narrow"/>
                <w:b/>
                <w:sz w:val="18"/>
                <w:szCs w:val="18"/>
              </w:rPr>
              <w:t xml:space="preserve">Restriction </w:t>
            </w:r>
            <w:r w:rsidR="00F02CA6" w:rsidRPr="005A76D6">
              <w:rPr>
                <w:rFonts w:ascii="Arial Narrow" w:hAnsi="Arial Narrow"/>
                <w:b/>
                <w:sz w:val="18"/>
                <w:szCs w:val="18"/>
              </w:rPr>
              <w:t>type</w:t>
            </w:r>
            <w:r w:rsidRPr="005A76D6">
              <w:rPr>
                <w:rFonts w:ascii="Arial Narrow" w:hAnsi="Arial Narrow"/>
                <w:b/>
                <w:sz w:val="18"/>
                <w:szCs w:val="18"/>
              </w:rPr>
              <w:t xml:space="preserve">/ method: </w:t>
            </w:r>
            <w:r w:rsidRPr="005A76D6">
              <w:rPr>
                <w:rFonts w:ascii="Arial Narrow" w:hAnsi="Arial Narrow"/>
                <w:sz w:val="18"/>
                <w:szCs w:val="18"/>
              </w:rPr>
              <w:fldChar w:fldCharType="begin">
                <w:ffData>
                  <w:name w:val=""/>
                  <w:enabled/>
                  <w:calcOnExit w:val="0"/>
                  <w:checkBox>
                    <w:sizeAuto/>
                    <w:default w:val="1"/>
                  </w:checkBox>
                </w:ffData>
              </w:fldChar>
            </w:r>
            <w:r w:rsidRPr="005A76D6">
              <w:rPr>
                <w:rFonts w:ascii="Arial Narrow" w:hAnsi="Arial Narrow"/>
                <w:sz w:val="18"/>
                <w:szCs w:val="18"/>
              </w:rPr>
              <w:instrText xml:space="preserve"> FORMCHECKBOX </w:instrText>
            </w:r>
            <w:r w:rsidR="00E4568F">
              <w:rPr>
                <w:rFonts w:ascii="Arial Narrow" w:hAnsi="Arial Narrow"/>
                <w:sz w:val="18"/>
                <w:szCs w:val="18"/>
              </w:rPr>
            </w:r>
            <w:r w:rsidR="00E4568F">
              <w:rPr>
                <w:rFonts w:ascii="Arial Narrow" w:hAnsi="Arial Narrow"/>
                <w:sz w:val="18"/>
                <w:szCs w:val="18"/>
              </w:rPr>
              <w:fldChar w:fldCharType="separate"/>
            </w:r>
            <w:r w:rsidRPr="005A76D6">
              <w:rPr>
                <w:rFonts w:ascii="Arial Narrow" w:hAnsi="Arial Narrow"/>
                <w:sz w:val="18"/>
                <w:szCs w:val="18"/>
              </w:rPr>
              <w:fldChar w:fldCharType="end"/>
            </w:r>
            <w:r w:rsidRPr="005A76D6">
              <w:rPr>
                <w:rFonts w:ascii="Arial Narrow" w:hAnsi="Arial Narrow"/>
                <w:sz w:val="18"/>
                <w:szCs w:val="18"/>
              </w:rPr>
              <w:t xml:space="preserve"> Authority Required – Streamlined </w:t>
            </w:r>
            <w:r w:rsidRPr="005A76D6">
              <w:rPr>
                <w:rFonts w:ascii="Arial Narrow" w:hAnsi="Arial Narrow"/>
                <w:i/>
                <w:sz w:val="18"/>
                <w:szCs w:val="18"/>
              </w:rPr>
              <w:t>(new code)</w:t>
            </w:r>
          </w:p>
        </w:tc>
      </w:tr>
      <w:tr w:rsidR="00246FC6" w:rsidRPr="005A76D6" w:rsidTr="00246FC6">
        <w:trPr>
          <w:cantSplit/>
          <w:trHeight w:val="181"/>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1D61C2">
            <w:pPr>
              <w:pStyle w:val="TableText1"/>
              <w:spacing w:before="0" w:after="0"/>
              <w:rPr>
                <w:rFonts w:ascii="Arial Narrow" w:hAnsi="Arial Narrow"/>
                <w:sz w:val="18"/>
                <w:szCs w:val="18"/>
              </w:rPr>
            </w:pPr>
            <w:r w:rsidRPr="005A76D6">
              <w:rPr>
                <w:rFonts w:ascii="Arial Narrow" w:hAnsi="Arial Narrow"/>
                <w:b/>
                <w:i/>
                <w:sz w:val="18"/>
                <w:szCs w:val="18"/>
              </w:rPr>
              <w:t>PBS Indication</w:t>
            </w:r>
            <w:r w:rsidRPr="005A76D6">
              <w:rPr>
                <w:rFonts w:ascii="Arial Narrow" w:hAnsi="Arial Narrow"/>
                <w:b/>
                <w:sz w:val="18"/>
                <w:szCs w:val="18"/>
              </w:rPr>
              <w:t xml:space="preserve">: </w:t>
            </w:r>
            <w:r w:rsidRPr="005A76D6">
              <w:rPr>
                <w:rFonts w:ascii="Arial Narrow" w:hAnsi="Arial Narrow"/>
                <w:i/>
                <w:iCs/>
                <w:sz w:val="18"/>
                <w:szCs w:val="18"/>
              </w:rPr>
              <w:t>Advanced (unresectable) Barcelona Clinic Liver Cancer Stage B or Stage C hepatocellular carcinoma</w:t>
            </w:r>
          </w:p>
        </w:tc>
      </w:tr>
      <w:tr w:rsidR="00246FC6" w:rsidRPr="005A76D6" w:rsidTr="00246FC6">
        <w:trPr>
          <w:cantSplit/>
          <w:trHeight w:val="244"/>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1D61C2">
            <w:pPr>
              <w:pStyle w:val="TableText1"/>
              <w:spacing w:before="0" w:after="0"/>
              <w:rPr>
                <w:rFonts w:ascii="Arial Narrow" w:hAnsi="Arial Narrow"/>
                <w:iCs/>
                <w:sz w:val="18"/>
                <w:szCs w:val="18"/>
              </w:rPr>
            </w:pPr>
            <w:r w:rsidRPr="005A76D6">
              <w:rPr>
                <w:rFonts w:ascii="Arial Narrow" w:hAnsi="Arial Narrow"/>
                <w:b/>
                <w:sz w:val="18"/>
                <w:szCs w:val="18"/>
              </w:rPr>
              <w:t>Treatment phase:</w:t>
            </w:r>
            <w:r w:rsidRPr="005A76D6">
              <w:rPr>
                <w:rFonts w:ascii="Arial Narrow" w:hAnsi="Arial Narrow"/>
                <w:sz w:val="18"/>
                <w:szCs w:val="18"/>
              </w:rPr>
              <w:t xml:space="preserve"> </w:t>
            </w:r>
            <w:r w:rsidRPr="005A76D6">
              <w:rPr>
                <w:rFonts w:ascii="Arial Narrow" w:hAnsi="Arial Narrow"/>
                <w:iCs/>
                <w:sz w:val="18"/>
                <w:szCs w:val="18"/>
              </w:rPr>
              <w:t xml:space="preserve">Continuing </w:t>
            </w:r>
            <w:r w:rsidRPr="005A76D6">
              <w:rPr>
                <w:rFonts w:ascii="Arial Narrow" w:hAnsi="Arial Narrow"/>
                <w:i/>
                <w:iCs/>
                <w:sz w:val="18"/>
                <w:szCs w:val="18"/>
              </w:rPr>
              <w:t>treatment – 3 weekly treatment regimen</w:t>
            </w:r>
          </w:p>
        </w:tc>
      </w:tr>
      <w:tr w:rsidR="00246FC6" w:rsidRPr="005A76D6" w:rsidTr="00246FC6">
        <w:trPr>
          <w:cantSplit/>
          <w:trHeight w:val="149"/>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1D61C2">
            <w:pPr>
              <w:pStyle w:val="TableText1"/>
              <w:spacing w:before="0" w:after="0"/>
              <w:rPr>
                <w:rFonts w:ascii="Arial Narrow" w:hAnsi="Arial Narrow"/>
                <w:b/>
                <w:sz w:val="18"/>
                <w:szCs w:val="18"/>
              </w:rPr>
            </w:pPr>
            <w:r w:rsidRPr="005A76D6">
              <w:rPr>
                <w:rFonts w:ascii="Arial Narrow" w:hAnsi="Arial Narrow"/>
                <w:b/>
                <w:sz w:val="18"/>
                <w:szCs w:val="18"/>
              </w:rPr>
              <w:t>Clinical criteria:</w:t>
            </w:r>
          </w:p>
        </w:tc>
      </w:tr>
      <w:tr w:rsidR="00246FC6" w:rsidRPr="005A76D6" w:rsidTr="00246FC6">
        <w:trPr>
          <w:cantSplit/>
          <w:trHeight w:val="267"/>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1D61C2">
            <w:pPr>
              <w:pStyle w:val="TableText1"/>
              <w:spacing w:before="0" w:after="0"/>
              <w:rPr>
                <w:rFonts w:ascii="Arial Narrow" w:hAnsi="Arial Narrow"/>
                <w:sz w:val="18"/>
                <w:szCs w:val="18"/>
              </w:rPr>
            </w:pPr>
            <w:r w:rsidRPr="005A76D6">
              <w:rPr>
                <w:rFonts w:ascii="Arial Narrow" w:hAnsi="Arial Narrow"/>
                <w:sz w:val="18"/>
                <w:szCs w:val="18"/>
              </w:rPr>
              <w:t xml:space="preserve">Patient must be undergoing combination treatment with bevacizumab until disease progression, unless not tolerated </w:t>
            </w:r>
          </w:p>
        </w:tc>
      </w:tr>
      <w:tr w:rsidR="00246FC6" w:rsidRPr="005A76D6" w:rsidTr="00246FC6">
        <w:trPr>
          <w:cantSplit/>
          <w:trHeight w:val="129"/>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1D61C2">
            <w:pPr>
              <w:pStyle w:val="TableText1"/>
              <w:spacing w:before="0" w:after="0"/>
              <w:rPr>
                <w:rFonts w:ascii="Arial Narrow" w:hAnsi="Arial Narrow"/>
                <w:b/>
                <w:sz w:val="18"/>
                <w:szCs w:val="18"/>
              </w:rPr>
            </w:pPr>
            <w:r w:rsidRPr="005A76D6">
              <w:rPr>
                <w:rFonts w:ascii="Arial Narrow" w:hAnsi="Arial Narrow"/>
                <w:b/>
                <w:sz w:val="18"/>
                <w:szCs w:val="18"/>
              </w:rPr>
              <w:t>AND</w:t>
            </w:r>
          </w:p>
        </w:tc>
      </w:tr>
      <w:tr w:rsidR="00246FC6" w:rsidRPr="005A76D6" w:rsidTr="00246FC6">
        <w:trPr>
          <w:cantSplit/>
          <w:trHeight w:val="289"/>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1D61C2">
            <w:pPr>
              <w:pStyle w:val="TableText1"/>
              <w:spacing w:before="0" w:after="0"/>
              <w:rPr>
                <w:rFonts w:ascii="Arial Narrow" w:hAnsi="Arial Narrow"/>
                <w:sz w:val="18"/>
                <w:szCs w:val="18"/>
              </w:rPr>
            </w:pPr>
            <w:r w:rsidRPr="005A76D6">
              <w:rPr>
                <w:rFonts w:ascii="Arial Narrow" w:hAnsi="Arial Narrow"/>
                <w:sz w:val="18"/>
                <w:szCs w:val="18"/>
              </w:rPr>
              <w:t xml:space="preserve">Patient must have previously received PBS-subsidised treatment with this drug for this condition </w:t>
            </w:r>
          </w:p>
        </w:tc>
      </w:tr>
      <w:tr w:rsidR="00246FC6" w:rsidRPr="005A76D6" w:rsidTr="00246FC6">
        <w:trPr>
          <w:cantSplit/>
          <w:trHeight w:val="124"/>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1D61C2">
            <w:pPr>
              <w:pStyle w:val="TableText1"/>
              <w:spacing w:before="0" w:after="0"/>
              <w:rPr>
                <w:rFonts w:ascii="Arial Narrow" w:hAnsi="Arial Narrow"/>
                <w:b/>
                <w:sz w:val="18"/>
                <w:szCs w:val="18"/>
              </w:rPr>
            </w:pPr>
            <w:r w:rsidRPr="005A76D6">
              <w:rPr>
                <w:rFonts w:ascii="Arial Narrow" w:hAnsi="Arial Narrow"/>
                <w:b/>
                <w:sz w:val="18"/>
                <w:szCs w:val="18"/>
              </w:rPr>
              <w:t>AND</w:t>
            </w:r>
          </w:p>
        </w:tc>
      </w:tr>
      <w:tr w:rsidR="00246FC6" w:rsidRPr="005A76D6" w:rsidTr="00246FC6">
        <w:trPr>
          <w:cantSplit/>
          <w:trHeight w:val="480"/>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1D61C2">
            <w:pPr>
              <w:pStyle w:val="TableText1"/>
              <w:spacing w:before="0" w:after="0"/>
              <w:rPr>
                <w:rFonts w:ascii="Arial Narrow" w:hAnsi="Arial Narrow"/>
                <w:strike/>
                <w:sz w:val="18"/>
                <w:szCs w:val="18"/>
              </w:rPr>
            </w:pPr>
            <w:r w:rsidRPr="005A76D6">
              <w:rPr>
                <w:rFonts w:ascii="Arial Narrow" w:hAnsi="Arial Narrow"/>
                <w:strike/>
                <w:sz w:val="18"/>
                <w:szCs w:val="18"/>
              </w:rPr>
              <w:lastRenderedPageBreak/>
              <w:t>Patient must have stable or responding disease.</w:t>
            </w:r>
          </w:p>
          <w:p w:rsidR="00246FC6" w:rsidRPr="005A76D6" w:rsidRDefault="00246FC6" w:rsidP="001D61C2">
            <w:pPr>
              <w:pStyle w:val="TableText1"/>
              <w:spacing w:before="0" w:after="0"/>
              <w:rPr>
                <w:rFonts w:ascii="Arial Narrow" w:hAnsi="Arial Narrow"/>
                <w:sz w:val="18"/>
                <w:szCs w:val="18"/>
              </w:rPr>
            </w:pPr>
            <w:r w:rsidRPr="005A76D6">
              <w:rPr>
                <w:rFonts w:ascii="Arial Narrow" w:hAnsi="Arial Narrow"/>
                <w:i/>
                <w:sz w:val="18"/>
                <w:szCs w:val="18"/>
              </w:rPr>
              <w:t>Patient must not have developed disease progression while being treated with this drug for this condition</w:t>
            </w:r>
          </w:p>
        </w:tc>
      </w:tr>
      <w:tr w:rsidR="00246FC6" w:rsidRPr="005A76D6" w:rsidTr="00246FC6">
        <w:trPr>
          <w:cantSplit/>
          <w:trHeight w:val="193"/>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1D61C2">
            <w:pPr>
              <w:pStyle w:val="TableText1"/>
              <w:spacing w:before="0" w:after="0"/>
              <w:rPr>
                <w:rFonts w:ascii="Arial Narrow" w:hAnsi="Arial Narrow"/>
                <w:b/>
                <w:sz w:val="18"/>
                <w:szCs w:val="18"/>
              </w:rPr>
            </w:pPr>
            <w:r w:rsidRPr="005A76D6">
              <w:rPr>
                <w:rFonts w:ascii="Arial Narrow" w:hAnsi="Arial Narrow"/>
                <w:b/>
                <w:i/>
                <w:sz w:val="18"/>
                <w:szCs w:val="18"/>
              </w:rPr>
              <w:t>Administrative advice:</w:t>
            </w:r>
            <w:r w:rsidRPr="005A76D6">
              <w:rPr>
                <w:rFonts w:ascii="Arial Narrow" w:hAnsi="Arial Narrow"/>
                <w:b/>
                <w:sz w:val="18"/>
                <w:szCs w:val="18"/>
              </w:rPr>
              <w:t xml:space="preserve"> </w:t>
            </w:r>
            <w:r w:rsidRPr="005A76D6">
              <w:rPr>
                <w:rFonts w:ascii="Arial Narrow" w:hAnsi="Arial Narrow"/>
                <w:i/>
                <w:sz w:val="18"/>
                <w:szCs w:val="18"/>
              </w:rPr>
              <w:t>No increase in the maximum amount or number of units may be authorised</w:t>
            </w:r>
          </w:p>
        </w:tc>
      </w:tr>
      <w:tr w:rsidR="00246FC6" w:rsidRPr="005A76D6" w:rsidTr="00246FC6">
        <w:trPr>
          <w:cantSplit/>
          <w:trHeight w:val="270"/>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1D61C2">
            <w:pPr>
              <w:pStyle w:val="TableText1"/>
              <w:spacing w:before="0" w:after="0"/>
              <w:rPr>
                <w:rFonts w:ascii="Arial Narrow" w:hAnsi="Arial Narrow"/>
                <w:sz w:val="18"/>
                <w:szCs w:val="18"/>
              </w:rPr>
            </w:pPr>
            <w:r w:rsidRPr="005A76D6">
              <w:rPr>
                <w:rFonts w:ascii="Arial Narrow" w:hAnsi="Arial Narrow"/>
                <w:b/>
                <w:sz w:val="18"/>
                <w:szCs w:val="18"/>
              </w:rPr>
              <w:t xml:space="preserve">Administrative advice: </w:t>
            </w:r>
            <w:r w:rsidRPr="005A76D6">
              <w:rPr>
                <w:rFonts w:ascii="Arial Narrow" w:hAnsi="Arial Narrow"/>
                <w:sz w:val="18"/>
                <w:szCs w:val="18"/>
              </w:rPr>
              <w:t>No increase in the maximum number of repeats may be authorised</w:t>
            </w:r>
          </w:p>
        </w:tc>
      </w:tr>
      <w:tr w:rsidR="00246FC6" w:rsidRPr="005A76D6" w:rsidTr="00246FC6">
        <w:trPr>
          <w:cantSplit/>
          <w:trHeight w:val="58"/>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1D61C2">
            <w:pPr>
              <w:pStyle w:val="TableText1"/>
              <w:spacing w:before="0" w:after="0"/>
              <w:rPr>
                <w:rFonts w:ascii="Arial Narrow" w:hAnsi="Arial Narrow"/>
                <w:sz w:val="18"/>
                <w:szCs w:val="18"/>
              </w:rPr>
            </w:pPr>
            <w:r w:rsidRPr="005A76D6">
              <w:rPr>
                <w:rFonts w:ascii="Arial Narrow" w:hAnsi="Arial Narrow"/>
                <w:b/>
                <w:i/>
                <w:sz w:val="18"/>
                <w:szCs w:val="18"/>
              </w:rPr>
              <w:t>Administrative advice:</w:t>
            </w:r>
            <w:r w:rsidRPr="005A76D6">
              <w:rPr>
                <w:rFonts w:ascii="Arial Narrow" w:hAnsi="Arial Narrow"/>
                <w:b/>
                <w:sz w:val="18"/>
                <w:szCs w:val="18"/>
              </w:rPr>
              <w:t xml:space="preserve"> </w:t>
            </w:r>
            <w:r w:rsidRPr="005A76D6">
              <w:rPr>
                <w:rFonts w:ascii="Arial Narrow" w:hAnsi="Arial Narrow"/>
                <w:i/>
                <w:sz w:val="18"/>
                <w:szCs w:val="18"/>
              </w:rPr>
              <w:t>Special Pricing Arrangements apply</w:t>
            </w:r>
          </w:p>
        </w:tc>
      </w:tr>
    </w:tbl>
    <w:p w:rsidR="002E5F64" w:rsidRPr="00E63DF4" w:rsidRDefault="002E5F64" w:rsidP="002E5F64">
      <w:pPr>
        <w:jc w:val="left"/>
        <w:rPr>
          <w:rFonts w:asciiTheme="minorHAnsi" w:hAnsiTheme="minorHAnsi"/>
          <w:b/>
          <w:snapToGrid w:val="0"/>
        </w:rPr>
      </w:pPr>
    </w:p>
    <w:p w:rsidR="00360212" w:rsidRPr="00E63DF4" w:rsidRDefault="00360212" w:rsidP="002E5F64">
      <w:pPr>
        <w:pStyle w:val="3-BodyText"/>
        <w:numPr>
          <w:ilvl w:val="0"/>
          <w:numId w:val="0"/>
        </w:numPr>
        <w:rPr>
          <w:b/>
        </w:rPr>
      </w:pPr>
      <w:r w:rsidRPr="00E63DF4">
        <w:rPr>
          <w:b/>
        </w:rPr>
        <w:t>Bevacizumab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1"/>
        <w:gridCol w:w="2119"/>
        <w:gridCol w:w="848"/>
        <w:gridCol w:w="2121"/>
        <w:gridCol w:w="1271"/>
      </w:tblGrid>
      <w:tr w:rsidR="003754B0" w:rsidRPr="005A76D6" w:rsidTr="005A76D6">
        <w:trPr>
          <w:cantSplit/>
          <w:trHeight w:val="471"/>
        </w:trPr>
        <w:tc>
          <w:tcPr>
            <w:tcW w:w="1483" w:type="pct"/>
          </w:tcPr>
          <w:p w:rsidR="003754B0" w:rsidRPr="005A76D6" w:rsidRDefault="003754B0" w:rsidP="001D61C2">
            <w:pPr>
              <w:keepNext/>
              <w:ind w:left="-108"/>
              <w:rPr>
                <w:rFonts w:ascii="Arial Narrow" w:hAnsi="Arial Narrow"/>
                <w:b/>
                <w:sz w:val="18"/>
                <w:szCs w:val="18"/>
              </w:rPr>
            </w:pPr>
            <w:r w:rsidRPr="005A76D6">
              <w:rPr>
                <w:rFonts w:ascii="Arial Narrow" w:hAnsi="Arial Narrow"/>
                <w:b/>
                <w:sz w:val="18"/>
                <w:szCs w:val="18"/>
              </w:rPr>
              <w:t>Name, Restriction,</w:t>
            </w:r>
          </w:p>
          <w:p w:rsidR="003754B0" w:rsidRPr="005A76D6" w:rsidRDefault="003754B0" w:rsidP="001D61C2">
            <w:pPr>
              <w:keepNext/>
              <w:ind w:left="-108"/>
              <w:rPr>
                <w:rFonts w:ascii="Arial Narrow" w:hAnsi="Arial Narrow"/>
                <w:b/>
                <w:sz w:val="18"/>
                <w:szCs w:val="18"/>
              </w:rPr>
            </w:pPr>
            <w:r w:rsidRPr="005A76D6">
              <w:rPr>
                <w:rFonts w:ascii="Arial Narrow" w:hAnsi="Arial Narrow"/>
                <w:b/>
                <w:sz w:val="18"/>
                <w:szCs w:val="18"/>
              </w:rPr>
              <w:t>Manner of administration and form</w:t>
            </w:r>
          </w:p>
        </w:tc>
        <w:tc>
          <w:tcPr>
            <w:tcW w:w="1172" w:type="pct"/>
          </w:tcPr>
          <w:p w:rsidR="003754B0" w:rsidRPr="005A76D6" w:rsidRDefault="003754B0" w:rsidP="001D61C2">
            <w:pPr>
              <w:keepNext/>
              <w:ind w:left="-108"/>
              <w:jc w:val="center"/>
              <w:rPr>
                <w:rFonts w:ascii="Arial Narrow" w:hAnsi="Arial Narrow"/>
                <w:b/>
                <w:sz w:val="18"/>
                <w:szCs w:val="18"/>
              </w:rPr>
            </w:pPr>
            <w:r w:rsidRPr="005A76D6">
              <w:rPr>
                <w:rFonts w:ascii="Arial Narrow" w:hAnsi="Arial Narrow"/>
                <w:b/>
                <w:sz w:val="18"/>
                <w:szCs w:val="18"/>
              </w:rPr>
              <w:t>PBS item code</w:t>
            </w:r>
          </w:p>
        </w:tc>
        <w:tc>
          <w:tcPr>
            <w:tcW w:w="469" w:type="pct"/>
          </w:tcPr>
          <w:p w:rsidR="003754B0" w:rsidRPr="005A76D6" w:rsidRDefault="003754B0" w:rsidP="001D61C2">
            <w:pPr>
              <w:keepNext/>
              <w:ind w:left="-108"/>
              <w:jc w:val="center"/>
              <w:rPr>
                <w:rFonts w:ascii="Arial Narrow" w:hAnsi="Arial Narrow"/>
                <w:b/>
                <w:sz w:val="18"/>
                <w:szCs w:val="18"/>
              </w:rPr>
            </w:pPr>
            <w:r w:rsidRPr="005A76D6">
              <w:rPr>
                <w:rFonts w:ascii="Arial Narrow" w:hAnsi="Arial Narrow"/>
                <w:b/>
                <w:sz w:val="18"/>
                <w:szCs w:val="18"/>
              </w:rPr>
              <w:t>Max.</w:t>
            </w:r>
          </w:p>
          <w:p w:rsidR="003754B0" w:rsidRPr="005A76D6" w:rsidRDefault="003754B0" w:rsidP="001D61C2">
            <w:pPr>
              <w:keepNext/>
              <w:ind w:left="-108"/>
              <w:jc w:val="center"/>
              <w:rPr>
                <w:rFonts w:ascii="Arial Narrow" w:hAnsi="Arial Narrow"/>
                <w:b/>
                <w:sz w:val="18"/>
                <w:szCs w:val="18"/>
              </w:rPr>
            </w:pPr>
            <w:r w:rsidRPr="005A76D6">
              <w:rPr>
                <w:rFonts w:ascii="Arial Narrow" w:hAnsi="Arial Narrow"/>
                <w:b/>
                <w:sz w:val="18"/>
                <w:szCs w:val="18"/>
              </w:rPr>
              <w:t>Amount</w:t>
            </w:r>
          </w:p>
        </w:tc>
        <w:tc>
          <w:tcPr>
            <w:tcW w:w="1173" w:type="pct"/>
          </w:tcPr>
          <w:p w:rsidR="003754B0" w:rsidRPr="005A76D6" w:rsidRDefault="003754B0" w:rsidP="001D61C2">
            <w:pPr>
              <w:keepNext/>
              <w:ind w:left="-108"/>
              <w:jc w:val="center"/>
              <w:rPr>
                <w:rFonts w:ascii="Arial Narrow" w:hAnsi="Arial Narrow"/>
                <w:b/>
                <w:sz w:val="18"/>
                <w:szCs w:val="18"/>
              </w:rPr>
            </w:pPr>
            <w:r w:rsidRPr="005A76D6">
              <w:rPr>
                <w:rFonts w:ascii="Arial Narrow" w:hAnsi="Arial Narrow"/>
                <w:b/>
                <w:sz w:val="18"/>
                <w:szCs w:val="18"/>
              </w:rPr>
              <w:t>№.of</w:t>
            </w:r>
          </w:p>
          <w:p w:rsidR="003754B0" w:rsidRPr="005A76D6" w:rsidRDefault="003754B0" w:rsidP="001D61C2">
            <w:pPr>
              <w:keepNext/>
              <w:ind w:left="-108"/>
              <w:jc w:val="center"/>
              <w:rPr>
                <w:rFonts w:ascii="Arial Narrow" w:hAnsi="Arial Narrow"/>
                <w:b/>
                <w:sz w:val="18"/>
                <w:szCs w:val="18"/>
              </w:rPr>
            </w:pPr>
            <w:r w:rsidRPr="005A76D6">
              <w:rPr>
                <w:rFonts w:ascii="Arial Narrow" w:hAnsi="Arial Narrow"/>
                <w:b/>
                <w:sz w:val="18"/>
                <w:szCs w:val="18"/>
              </w:rPr>
              <w:t>Rpts</w:t>
            </w:r>
          </w:p>
        </w:tc>
        <w:tc>
          <w:tcPr>
            <w:tcW w:w="703" w:type="pct"/>
          </w:tcPr>
          <w:p w:rsidR="003754B0" w:rsidRPr="005A76D6" w:rsidRDefault="003754B0" w:rsidP="001D61C2">
            <w:pPr>
              <w:keepNext/>
              <w:rPr>
                <w:rFonts w:ascii="Arial Narrow" w:hAnsi="Arial Narrow"/>
                <w:b/>
                <w:sz w:val="18"/>
                <w:szCs w:val="18"/>
              </w:rPr>
            </w:pPr>
            <w:r w:rsidRPr="005A76D6">
              <w:rPr>
                <w:rFonts w:ascii="Arial Narrow" w:hAnsi="Arial Narrow"/>
                <w:b/>
                <w:sz w:val="18"/>
                <w:szCs w:val="18"/>
              </w:rPr>
              <w:t>Manufacturer</w:t>
            </w:r>
          </w:p>
        </w:tc>
      </w:tr>
      <w:tr w:rsidR="003754B0" w:rsidRPr="005A76D6" w:rsidTr="005A76D6">
        <w:trPr>
          <w:cantSplit/>
          <w:trHeight w:val="577"/>
        </w:trPr>
        <w:tc>
          <w:tcPr>
            <w:tcW w:w="1483" w:type="pct"/>
          </w:tcPr>
          <w:p w:rsidR="003754B0" w:rsidRPr="005A76D6" w:rsidRDefault="003754B0" w:rsidP="001D61C2">
            <w:pPr>
              <w:keepNext/>
              <w:ind w:left="-108"/>
              <w:rPr>
                <w:rFonts w:ascii="Arial Narrow" w:hAnsi="Arial Narrow"/>
                <w:sz w:val="18"/>
                <w:szCs w:val="18"/>
              </w:rPr>
            </w:pPr>
            <w:r w:rsidRPr="005A76D6">
              <w:rPr>
                <w:rFonts w:ascii="Arial Narrow" w:hAnsi="Arial Narrow"/>
                <w:sz w:val="18"/>
                <w:szCs w:val="18"/>
              </w:rPr>
              <w:t xml:space="preserve">BEVACIZUMAB </w:t>
            </w:r>
          </w:p>
          <w:p w:rsidR="003754B0" w:rsidRPr="005A76D6" w:rsidRDefault="003754B0" w:rsidP="001D61C2">
            <w:pPr>
              <w:keepNext/>
              <w:ind w:left="-108"/>
              <w:rPr>
                <w:rFonts w:ascii="Arial Narrow" w:hAnsi="Arial Narrow"/>
                <w:sz w:val="18"/>
                <w:szCs w:val="18"/>
              </w:rPr>
            </w:pPr>
            <w:r w:rsidRPr="005A76D6">
              <w:rPr>
                <w:rFonts w:ascii="Arial Narrow" w:hAnsi="Arial Narrow" w:cs="Arial Narrow"/>
                <w:sz w:val="18"/>
                <w:szCs w:val="18"/>
              </w:rPr>
              <w:t xml:space="preserve">Injection </w:t>
            </w:r>
          </w:p>
        </w:tc>
        <w:tc>
          <w:tcPr>
            <w:tcW w:w="1172" w:type="pct"/>
          </w:tcPr>
          <w:p w:rsidR="003754B0" w:rsidRPr="005A76D6" w:rsidRDefault="003754B0" w:rsidP="001D61C2">
            <w:pPr>
              <w:keepNext/>
              <w:jc w:val="center"/>
              <w:rPr>
                <w:rFonts w:ascii="Arial Narrow" w:hAnsi="Arial Narrow"/>
                <w:i/>
                <w:sz w:val="18"/>
                <w:szCs w:val="18"/>
              </w:rPr>
            </w:pPr>
            <w:r w:rsidRPr="005A76D6">
              <w:rPr>
                <w:rFonts w:ascii="Arial Narrow" w:hAnsi="Arial Narrow"/>
                <w:i/>
                <w:sz w:val="18"/>
                <w:szCs w:val="18"/>
              </w:rPr>
              <w:t>NEW (Public)</w:t>
            </w:r>
          </w:p>
          <w:p w:rsidR="003754B0" w:rsidRPr="005A76D6" w:rsidRDefault="003754B0" w:rsidP="001D61C2">
            <w:pPr>
              <w:keepNext/>
              <w:ind w:left="-108"/>
              <w:jc w:val="center"/>
              <w:rPr>
                <w:rFonts w:ascii="Arial Narrow" w:hAnsi="Arial Narrow"/>
                <w:i/>
                <w:sz w:val="18"/>
                <w:szCs w:val="18"/>
              </w:rPr>
            </w:pPr>
            <w:r w:rsidRPr="005A76D6">
              <w:rPr>
                <w:rFonts w:ascii="Arial Narrow" w:hAnsi="Arial Narrow"/>
                <w:i/>
                <w:sz w:val="18"/>
                <w:szCs w:val="18"/>
              </w:rPr>
              <w:t>NEW (Private)</w:t>
            </w:r>
          </w:p>
          <w:p w:rsidR="003754B0" w:rsidRPr="005A76D6" w:rsidRDefault="003754B0" w:rsidP="001D61C2">
            <w:pPr>
              <w:keepNext/>
              <w:ind w:left="-108"/>
              <w:jc w:val="center"/>
              <w:rPr>
                <w:rFonts w:ascii="Arial Narrow" w:hAnsi="Arial Narrow"/>
                <w:sz w:val="18"/>
                <w:szCs w:val="18"/>
              </w:rPr>
            </w:pPr>
          </w:p>
          <w:p w:rsidR="003754B0" w:rsidRPr="005A76D6" w:rsidRDefault="003754B0" w:rsidP="001D61C2">
            <w:pPr>
              <w:keepNext/>
              <w:ind w:left="-108"/>
              <w:jc w:val="center"/>
              <w:rPr>
                <w:rFonts w:ascii="Arial Narrow" w:hAnsi="Arial Narrow"/>
                <w:i/>
                <w:sz w:val="18"/>
                <w:szCs w:val="18"/>
              </w:rPr>
            </w:pPr>
            <w:r w:rsidRPr="005A76D6">
              <w:rPr>
                <w:rFonts w:ascii="Arial Narrow" w:hAnsi="Arial Narrow"/>
                <w:i/>
                <w:sz w:val="18"/>
                <w:szCs w:val="18"/>
              </w:rPr>
              <w:t>11803F (Public; if 7 repeats)</w:t>
            </w:r>
          </w:p>
          <w:p w:rsidR="003754B0" w:rsidRPr="005A76D6" w:rsidRDefault="003754B0" w:rsidP="001D61C2">
            <w:pPr>
              <w:keepNext/>
              <w:ind w:left="-108"/>
              <w:jc w:val="center"/>
              <w:rPr>
                <w:rFonts w:ascii="Arial Narrow" w:hAnsi="Arial Narrow"/>
                <w:sz w:val="18"/>
                <w:szCs w:val="18"/>
              </w:rPr>
            </w:pPr>
            <w:r w:rsidRPr="005A76D6">
              <w:rPr>
                <w:rFonts w:ascii="Arial Narrow" w:hAnsi="Arial Narrow"/>
                <w:i/>
                <w:sz w:val="18"/>
                <w:szCs w:val="18"/>
              </w:rPr>
              <w:t>11811P (Private; if 7 repeats)</w:t>
            </w:r>
          </w:p>
        </w:tc>
        <w:tc>
          <w:tcPr>
            <w:tcW w:w="469" w:type="pct"/>
          </w:tcPr>
          <w:p w:rsidR="003754B0" w:rsidRPr="005A76D6" w:rsidRDefault="003754B0" w:rsidP="001D61C2">
            <w:pPr>
              <w:keepNext/>
              <w:ind w:left="-108"/>
              <w:jc w:val="center"/>
              <w:rPr>
                <w:rFonts w:ascii="Arial Narrow" w:hAnsi="Arial Narrow"/>
                <w:sz w:val="18"/>
                <w:szCs w:val="18"/>
              </w:rPr>
            </w:pPr>
          </w:p>
          <w:p w:rsidR="003754B0" w:rsidRPr="005A76D6" w:rsidRDefault="003754B0" w:rsidP="001D61C2">
            <w:pPr>
              <w:keepNext/>
              <w:ind w:left="-108"/>
              <w:jc w:val="center"/>
              <w:rPr>
                <w:rFonts w:ascii="Arial Narrow" w:hAnsi="Arial Narrow"/>
                <w:sz w:val="18"/>
                <w:szCs w:val="18"/>
              </w:rPr>
            </w:pPr>
            <w:r w:rsidRPr="005A76D6">
              <w:rPr>
                <w:rFonts w:ascii="Arial Narrow" w:hAnsi="Arial Narrow"/>
                <w:sz w:val="18"/>
                <w:szCs w:val="18"/>
              </w:rPr>
              <w:t>1800 mg</w:t>
            </w:r>
          </w:p>
        </w:tc>
        <w:tc>
          <w:tcPr>
            <w:tcW w:w="1173" w:type="pct"/>
          </w:tcPr>
          <w:p w:rsidR="003754B0" w:rsidRPr="005A76D6" w:rsidRDefault="003754B0" w:rsidP="001D61C2">
            <w:pPr>
              <w:keepNext/>
              <w:ind w:left="-108"/>
              <w:jc w:val="center"/>
              <w:rPr>
                <w:rFonts w:ascii="Arial Narrow" w:hAnsi="Arial Narrow"/>
                <w:i/>
                <w:sz w:val="18"/>
                <w:szCs w:val="18"/>
              </w:rPr>
            </w:pPr>
          </w:p>
          <w:p w:rsidR="003754B0" w:rsidRPr="005A76D6" w:rsidRDefault="003754B0" w:rsidP="001D61C2">
            <w:pPr>
              <w:keepNext/>
              <w:ind w:left="-108"/>
              <w:jc w:val="center"/>
              <w:rPr>
                <w:rFonts w:ascii="Arial Narrow" w:hAnsi="Arial Narrow"/>
                <w:sz w:val="18"/>
                <w:szCs w:val="18"/>
              </w:rPr>
            </w:pPr>
            <w:r w:rsidRPr="005A76D6">
              <w:rPr>
                <w:rFonts w:ascii="Arial Narrow" w:hAnsi="Arial Narrow"/>
                <w:strike/>
                <w:sz w:val="18"/>
                <w:szCs w:val="18"/>
              </w:rPr>
              <w:t>3</w:t>
            </w:r>
            <w:r w:rsidRPr="005A76D6">
              <w:rPr>
                <w:rFonts w:ascii="Arial Narrow" w:hAnsi="Arial Narrow"/>
                <w:sz w:val="18"/>
                <w:szCs w:val="18"/>
              </w:rPr>
              <w:t xml:space="preserve"> </w:t>
            </w:r>
            <w:r w:rsidRPr="005A76D6">
              <w:rPr>
                <w:rFonts w:ascii="Arial Narrow" w:hAnsi="Arial Narrow"/>
                <w:i/>
                <w:sz w:val="18"/>
                <w:szCs w:val="18"/>
              </w:rPr>
              <w:t>8</w:t>
            </w:r>
          </w:p>
        </w:tc>
        <w:tc>
          <w:tcPr>
            <w:tcW w:w="703" w:type="pct"/>
          </w:tcPr>
          <w:p w:rsidR="003754B0" w:rsidRPr="005A76D6" w:rsidRDefault="003754B0" w:rsidP="001D61C2">
            <w:pPr>
              <w:keepNext/>
              <w:rPr>
                <w:rFonts w:ascii="Arial Narrow" w:hAnsi="Arial Narrow"/>
                <w:sz w:val="18"/>
                <w:szCs w:val="18"/>
              </w:rPr>
            </w:pPr>
          </w:p>
          <w:p w:rsidR="003754B0" w:rsidRPr="005A76D6" w:rsidRDefault="003754B0" w:rsidP="001D61C2">
            <w:pPr>
              <w:keepNext/>
              <w:rPr>
                <w:rFonts w:ascii="Arial Narrow" w:hAnsi="Arial Narrow"/>
                <w:sz w:val="18"/>
                <w:szCs w:val="18"/>
              </w:rPr>
            </w:pPr>
            <w:r w:rsidRPr="005A76D6">
              <w:rPr>
                <w:rFonts w:ascii="Arial Narrow" w:hAnsi="Arial Narrow"/>
                <w:sz w:val="18"/>
                <w:szCs w:val="18"/>
              </w:rPr>
              <w:t>Roche Products Pty Ltd</w:t>
            </w:r>
          </w:p>
        </w:tc>
      </w:tr>
      <w:tr w:rsidR="003754B0" w:rsidRPr="005A76D6" w:rsidTr="005A76D6">
        <w:trPr>
          <w:cantSplit/>
          <w:trHeight w:val="225"/>
        </w:trPr>
        <w:tc>
          <w:tcPr>
            <w:tcW w:w="5000" w:type="pct"/>
            <w:gridSpan w:val="5"/>
          </w:tcPr>
          <w:p w:rsidR="003754B0" w:rsidRPr="005A76D6" w:rsidRDefault="003754B0" w:rsidP="001D61C2">
            <w:pPr>
              <w:keepNext/>
              <w:rPr>
                <w:rFonts w:ascii="Arial Narrow" w:hAnsi="Arial Narrow"/>
                <w:b/>
                <w:sz w:val="18"/>
                <w:szCs w:val="18"/>
              </w:rPr>
            </w:pPr>
            <w:r w:rsidRPr="005A76D6">
              <w:rPr>
                <w:rFonts w:ascii="Arial Narrow" w:hAnsi="Arial Narrow"/>
                <w:b/>
                <w:sz w:val="18"/>
                <w:szCs w:val="18"/>
              </w:rPr>
              <w:t>Available brands</w:t>
            </w:r>
          </w:p>
        </w:tc>
      </w:tr>
      <w:tr w:rsidR="003754B0" w:rsidRPr="005A76D6" w:rsidTr="005A76D6">
        <w:trPr>
          <w:cantSplit/>
          <w:trHeight w:val="360"/>
        </w:trPr>
        <w:tc>
          <w:tcPr>
            <w:tcW w:w="5000" w:type="pct"/>
            <w:gridSpan w:val="5"/>
          </w:tcPr>
          <w:p w:rsidR="003754B0" w:rsidRPr="005A76D6" w:rsidRDefault="003754B0" w:rsidP="001D61C2">
            <w:pPr>
              <w:rPr>
                <w:rFonts w:ascii="Arial Narrow" w:hAnsi="Arial Narrow"/>
                <w:sz w:val="18"/>
                <w:szCs w:val="18"/>
              </w:rPr>
            </w:pPr>
            <w:r w:rsidRPr="005A76D6">
              <w:rPr>
                <w:rFonts w:ascii="Arial Narrow" w:hAnsi="Arial Narrow"/>
                <w:sz w:val="18"/>
                <w:szCs w:val="18"/>
              </w:rPr>
              <w:t>Avastin</w:t>
            </w:r>
          </w:p>
          <w:p w:rsidR="003754B0" w:rsidRPr="005A76D6" w:rsidRDefault="003754B0" w:rsidP="001D61C2">
            <w:pPr>
              <w:rPr>
                <w:rFonts w:ascii="Arial Narrow" w:hAnsi="Arial Narrow"/>
                <w:sz w:val="18"/>
                <w:szCs w:val="18"/>
              </w:rPr>
            </w:pPr>
            <w:r w:rsidRPr="005A76D6">
              <w:rPr>
                <w:rFonts w:ascii="Arial Narrow" w:hAnsi="Arial Narrow"/>
                <w:sz w:val="18"/>
                <w:szCs w:val="18"/>
              </w:rPr>
              <w:t>(bevacizumab 400 mg/16 mL injection, 16 mL vial)</w:t>
            </w:r>
          </w:p>
        </w:tc>
      </w:tr>
      <w:tr w:rsidR="003754B0" w:rsidRPr="005A76D6" w:rsidTr="005A76D6">
        <w:trPr>
          <w:cantSplit/>
          <w:trHeight w:val="360"/>
        </w:trPr>
        <w:tc>
          <w:tcPr>
            <w:tcW w:w="5000" w:type="pct"/>
            <w:gridSpan w:val="5"/>
          </w:tcPr>
          <w:p w:rsidR="003754B0" w:rsidRPr="005A76D6" w:rsidRDefault="003754B0" w:rsidP="001D61C2">
            <w:pPr>
              <w:rPr>
                <w:rFonts w:ascii="Arial Narrow" w:hAnsi="Arial Narrow"/>
                <w:sz w:val="18"/>
                <w:szCs w:val="18"/>
              </w:rPr>
            </w:pPr>
            <w:r w:rsidRPr="005A76D6">
              <w:rPr>
                <w:rFonts w:ascii="Arial Narrow" w:hAnsi="Arial Narrow"/>
                <w:sz w:val="18"/>
                <w:szCs w:val="18"/>
              </w:rPr>
              <w:t>Avastin</w:t>
            </w:r>
          </w:p>
          <w:p w:rsidR="003754B0" w:rsidRPr="005A76D6" w:rsidRDefault="003754B0" w:rsidP="001D61C2">
            <w:pPr>
              <w:rPr>
                <w:rFonts w:ascii="Arial Narrow" w:hAnsi="Arial Narrow"/>
                <w:sz w:val="18"/>
                <w:szCs w:val="18"/>
              </w:rPr>
            </w:pPr>
            <w:r w:rsidRPr="005A76D6">
              <w:rPr>
                <w:rFonts w:ascii="Arial Narrow" w:hAnsi="Arial Narrow"/>
                <w:sz w:val="18"/>
                <w:szCs w:val="18"/>
              </w:rPr>
              <w:t>(bevacizumab 100 mg/4 mL injection, 4 mL vial)</w:t>
            </w:r>
          </w:p>
        </w:tc>
      </w:tr>
    </w:tbl>
    <w:p w:rsidR="00360212" w:rsidRPr="005A76D6" w:rsidRDefault="00360212" w:rsidP="00360212">
      <w:pPr>
        <w:pStyle w:val="TableFigureHeading"/>
        <w:rPr>
          <w:rStyle w:val="CommentReference"/>
          <w:b/>
          <w:sz w:val="18"/>
          <w:szCs w:val="18"/>
        </w:rPr>
      </w:pPr>
    </w:p>
    <w:p w:rsidR="00100457" w:rsidRPr="005A76D6" w:rsidRDefault="003754B0" w:rsidP="005A76D6">
      <w:pPr>
        <w:pStyle w:val="In-tableHeading"/>
        <w:keepLines/>
        <w:rPr>
          <w:sz w:val="18"/>
          <w:szCs w:val="18"/>
          <w:lang w:val="en-AU"/>
        </w:rPr>
      </w:pPr>
      <w:r w:rsidRPr="005A76D6">
        <w:rPr>
          <w:sz w:val="18"/>
          <w:szCs w:val="18"/>
          <w:lang w:val="en-AU"/>
        </w:rPr>
        <w:t>Combined Initial &amp; Continuing bevacizumab treatment Restriction summary [new]:</w:t>
      </w:r>
    </w:p>
    <w:tbl>
      <w:tblPr>
        <w:tblW w:w="5000" w:type="pct"/>
        <w:tblLook w:val="0000" w:firstRow="0" w:lastRow="0" w:firstColumn="0" w:lastColumn="0" w:noHBand="0" w:noVBand="0"/>
      </w:tblPr>
      <w:tblGrid>
        <w:gridCol w:w="9040"/>
      </w:tblGrid>
      <w:tr w:rsidR="00246FC6" w:rsidRPr="005A76D6" w:rsidTr="005A76D6">
        <w:trPr>
          <w:cantSplit/>
          <w:trHeight w:val="241"/>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F361FE">
            <w:pPr>
              <w:pStyle w:val="TableText1"/>
              <w:keepNext/>
              <w:keepLines/>
              <w:rPr>
                <w:rFonts w:ascii="Arial Narrow" w:hAnsi="Arial Narrow"/>
                <w:i/>
                <w:sz w:val="18"/>
                <w:szCs w:val="18"/>
              </w:rPr>
            </w:pPr>
            <w:r w:rsidRPr="005A76D6">
              <w:rPr>
                <w:rFonts w:ascii="Arial Narrow" w:hAnsi="Arial Narrow"/>
                <w:b/>
                <w:sz w:val="18"/>
                <w:szCs w:val="18"/>
              </w:rPr>
              <w:t xml:space="preserve">Category / Program: </w:t>
            </w:r>
            <w:r w:rsidRPr="005A76D6">
              <w:rPr>
                <w:rFonts w:ascii="Arial Narrow" w:hAnsi="Arial Narrow"/>
                <w:sz w:val="18"/>
                <w:szCs w:val="18"/>
              </w:rPr>
              <w:t>Section 100 – Efficient Funding of Chemotherapy (Public/Private hospital)</w:t>
            </w:r>
          </w:p>
        </w:tc>
      </w:tr>
      <w:tr w:rsidR="00246FC6" w:rsidRPr="005A76D6" w:rsidTr="005A76D6">
        <w:trPr>
          <w:cantSplit/>
          <w:trHeight w:val="290"/>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F361FE">
            <w:pPr>
              <w:pStyle w:val="TableText1"/>
              <w:keepNext/>
              <w:keepLines/>
              <w:rPr>
                <w:rFonts w:ascii="Arial Narrow" w:hAnsi="Arial Narrow"/>
                <w:sz w:val="18"/>
                <w:szCs w:val="18"/>
              </w:rPr>
            </w:pPr>
            <w:r w:rsidRPr="005A76D6">
              <w:rPr>
                <w:rFonts w:ascii="Arial Narrow" w:hAnsi="Arial Narrow"/>
                <w:b/>
                <w:sz w:val="18"/>
                <w:szCs w:val="18"/>
              </w:rPr>
              <w:t>Prescriber type:</w:t>
            </w:r>
            <w:r w:rsidRPr="005A76D6">
              <w:rPr>
                <w:rFonts w:ascii="Arial Narrow" w:hAnsi="Arial Narrow"/>
                <w:i/>
                <w:sz w:val="18"/>
                <w:szCs w:val="18"/>
              </w:rPr>
              <w:t xml:space="preserve">   </w:t>
            </w:r>
            <w:r w:rsidRPr="005A76D6">
              <w:rPr>
                <w:rFonts w:ascii="Arial Narrow" w:hAnsi="Arial Narrow"/>
                <w:i/>
                <w:sz w:val="18"/>
                <w:szCs w:val="18"/>
              </w:rPr>
              <w:fldChar w:fldCharType="begin">
                <w:ffData>
                  <w:name w:val="Check1"/>
                  <w:enabled/>
                  <w:calcOnExit w:val="0"/>
                  <w:checkBox>
                    <w:sizeAuto/>
                    <w:default w:val="0"/>
                  </w:checkBox>
                </w:ffData>
              </w:fldChar>
            </w:r>
            <w:r w:rsidRPr="005A76D6">
              <w:rPr>
                <w:rFonts w:ascii="Arial Narrow" w:hAnsi="Arial Narrow"/>
                <w:i/>
                <w:sz w:val="18"/>
                <w:szCs w:val="18"/>
              </w:rPr>
              <w:instrText xml:space="preserve"> FORMCHECKBOX </w:instrText>
            </w:r>
            <w:r w:rsidR="00E4568F">
              <w:rPr>
                <w:rFonts w:ascii="Arial Narrow" w:hAnsi="Arial Narrow"/>
                <w:i/>
                <w:sz w:val="18"/>
                <w:szCs w:val="18"/>
              </w:rPr>
            </w:r>
            <w:r w:rsidR="00E4568F">
              <w:rPr>
                <w:rFonts w:ascii="Arial Narrow" w:hAnsi="Arial Narrow"/>
                <w:i/>
                <w:sz w:val="18"/>
                <w:szCs w:val="18"/>
              </w:rPr>
              <w:fldChar w:fldCharType="separate"/>
            </w:r>
            <w:r w:rsidRPr="005A76D6">
              <w:rPr>
                <w:rFonts w:ascii="Arial Narrow" w:hAnsi="Arial Narrow"/>
                <w:i/>
                <w:sz w:val="18"/>
                <w:szCs w:val="18"/>
              </w:rPr>
              <w:fldChar w:fldCharType="end"/>
            </w:r>
            <w:r w:rsidRPr="005A76D6">
              <w:rPr>
                <w:rFonts w:ascii="Arial Narrow" w:hAnsi="Arial Narrow"/>
                <w:i/>
                <w:sz w:val="18"/>
                <w:szCs w:val="18"/>
              </w:rPr>
              <w:t xml:space="preserve">Dental   </w:t>
            </w:r>
            <w:r w:rsidRPr="005A76D6">
              <w:rPr>
                <w:rFonts w:ascii="Arial Narrow" w:hAnsi="Arial Narrow"/>
                <w:i/>
                <w:sz w:val="18"/>
                <w:szCs w:val="18"/>
              </w:rPr>
              <w:fldChar w:fldCharType="begin">
                <w:ffData>
                  <w:name w:val=""/>
                  <w:enabled/>
                  <w:calcOnExit w:val="0"/>
                  <w:checkBox>
                    <w:sizeAuto/>
                    <w:default w:val="1"/>
                  </w:checkBox>
                </w:ffData>
              </w:fldChar>
            </w:r>
            <w:r w:rsidRPr="005A76D6">
              <w:rPr>
                <w:rFonts w:ascii="Arial Narrow" w:hAnsi="Arial Narrow"/>
                <w:i/>
                <w:sz w:val="18"/>
                <w:szCs w:val="18"/>
              </w:rPr>
              <w:instrText xml:space="preserve"> FORMCHECKBOX </w:instrText>
            </w:r>
            <w:r w:rsidR="00E4568F">
              <w:rPr>
                <w:rFonts w:ascii="Arial Narrow" w:hAnsi="Arial Narrow"/>
                <w:i/>
                <w:sz w:val="18"/>
                <w:szCs w:val="18"/>
              </w:rPr>
            </w:r>
            <w:r w:rsidR="00E4568F">
              <w:rPr>
                <w:rFonts w:ascii="Arial Narrow" w:hAnsi="Arial Narrow"/>
                <w:i/>
                <w:sz w:val="18"/>
                <w:szCs w:val="18"/>
              </w:rPr>
              <w:fldChar w:fldCharType="separate"/>
            </w:r>
            <w:r w:rsidRPr="005A76D6">
              <w:rPr>
                <w:rFonts w:ascii="Arial Narrow" w:hAnsi="Arial Narrow"/>
                <w:i/>
                <w:sz w:val="18"/>
                <w:szCs w:val="18"/>
              </w:rPr>
              <w:fldChar w:fldCharType="end"/>
            </w:r>
            <w:r w:rsidRPr="005A76D6">
              <w:rPr>
                <w:rFonts w:ascii="Arial Narrow" w:hAnsi="Arial Narrow"/>
                <w:i/>
                <w:sz w:val="18"/>
                <w:szCs w:val="18"/>
              </w:rPr>
              <w:t>Medical Practitioners</w:t>
            </w:r>
            <w:r w:rsidR="004178CA">
              <w:rPr>
                <w:rFonts w:ascii="Arial Narrow" w:hAnsi="Arial Narrow"/>
                <w:i/>
                <w:sz w:val="18"/>
                <w:szCs w:val="18"/>
              </w:rPr>
              <w:t xml:space="preserve">  </w:t>
            </w:r>
            <w:r w:rsidRPr="005A76D6">
              <w:rPr>
                <w:rFonts w:ascii="Arial Narrow" w:hAnsi="Arial Narrow"/>
                <w:i/>
                <w:sz w:val="18"/>
                <w:szCs w:val="18"/>
              </w:rPr>
              <w:t xml:space="preserve"> </w:t>
            </w:r>
            <w:r w:rsidRPr="005A76D6">
              <w:rPr>
                <w:rFonts w:ascii="Arial Narrow" w:hAnsi="Arial Narrow"/>
                <w:i/>
                <w:sz w:val="18"/>
                <w:szCs w:val="18"/>
              </w:rPr>
              <w:fldChar w:fldCharType="begin">
                <w:ffData>
                  <w:name w:val="Check3"/>
                  <w:enabled/>
                  <w:calcOnExit w:val="0"/>
                  <w:checkBox>
                    <w:sizeAuto/>
                    <w:default w:val="0"/>
                  </w:checkBox>
                </w:ffData>
              </w:fldChar>
            </w:r>
            <w:r w:rsidRPr="005A76D6">
              <w:rPr>
                <w:rFonts w:ascii="Arial Narrow" w:hAnsi="Arial Narrow"/>
                <w:i/>
                <w:sz w:val="18"/>
                <w:szCs w:val="18"/>
              </w:rPr>
              <w:instrText xml:space="preserve"> FORMCHECKBOX </w:instrText>
            </w:r>
            <w:r w:rsidR="00E4568F">
              <w:rPr>
                <w:rFonts w:ascii="Arial Narrow" w:hAnsi="Arial Narrow"/>
                <w:i/>
                <w:sz w:val="18"/>
                <w:szCs w:val="18"/>
              </w:rPr>
            </w:r>
            <w:r w:rsidR="00E4568F">
              <w:rPr>
                <w:rFonts w:ascii="Arial Narrow" w:hAnsi="Arial Narrow"/>
                <w:i/>
                <w:sz w:val="18"/>
                <w:szCs w:val="18"/>
              </w:rPr>
              <w:fldChar w:fldCharType="separate"/>
            </w:r>
            <w:r w:rsidRPr="005A76D6">
              <w:rPr>
                <w:rFonts w:ascii="Arial Narrow" w:hAnsi="Arial Narrow"/>
                <w:i/>
                <w:sz w:val="18"/>
                <w:szCs w:val="18"/>
              </w:rPr>
              <w:fldChar w:fldCharType="end"/>
            </w:r>
            <w:r w:rsidRPr="005A76D6">
              <w:rPr>
                <w:rFonts w:ascii="Arial Narrow" w:hAnsi="Arial Narrow"/>
                <w:i/>
                <w:sz w:val="18"/>
                <w:szCs w:val="18"/>
              </w:rPr>
              <w:t xml:space="preserve">Nurse practitioners  </w:t>
            </w:r>
            <w:r w:rsidRPr="005A76D6">
              <w:rPr>
                <w:rFonts w:ascii="Arial Narrow" w:hAnsi="Arial Narrow"/>
                <w:i/>
                <w:sz w:val="18"/>
                <w:szCs w:val="18"/>
              </w:rPr>
              <w:fldChar w:fldCharType="begin">
                <w:ffData>
                  <w:name w:val=""/>
                  <w:enabled/>
                  <w:calcOnExit w:val="0"/>
                  <w:checkBox>
                    <w:sizeAuto/>
                    <w:default w:val="0"/>
                  </w:checkBox>
                </w:ffData>
              </w:fldChar>
            </w:r>
            <w:r w:rsidRPr="005A76D6">
              <w:rPr>
                <w:rFonts w:ascii="Arial Narrow" w:hAnsi="Arial Narrow"/>
                <w:i/>
                <w:sz w:val="18"/>
                <w:szCs w:val="18"/>
              </w:rPr>
              <w:instrText xml:space="preserve"> FORMCHECKBOX </w:instrText>
            </w:r>
            <w:r w:rsidR="00E4568F">
              <w:rPr>
                <w:rFonts w:ascii="Arial Narrow" w:hAnsi="Arial Narrow"/>
                <w:i/>
                <w:sz w:val="18"/>
                <w:szCs w:val="18"/>
              </w:rPr>
            </w:r>
            <w:r w:rsidR="00E4568F">
              <w:rPr>
                <w:rFonts w:ascii="Arial Narrow" w:hAnsi="Arial Narrow"/>
                <w:i/>
                <w:sz w:val="18"/>
                <w:szCs w:val="18"/>
              </w:rPr>
              <w:fldChar w:fldCharType="separate"/>
            </w:r>
            <w:r w:rsidRPr="005A76D6">
              <w:rPr>
                <w:rFonts w:ascii="Arial Narrow" w:hAnsi="Arial Narrow"/>
                <w:i/>
                <w:sz w:val="18"/>
                <w:szCs w:val="18"/>
              </w:rPr>
              <w:fldChar w:fldCharType="end"/>
            </w:r>
            <w:r w:rsidRPr="005A76D6">
              <w:rPr>
                <w:rFonts w:ascii="Arial Narrow" w:hAnsi="Arial Narrow"/>
                <w:i/>
                <w:sz w:val="18"/>
                <w:szCs w:val="18"/>
              </w:rPr>
              <w:t xml:space="preserve">Optometrists   </w:t>
            </w:r>
            <w:r w:rsidRPr="005A76D6">
              <w:rPr>
                <w:rFonts w:ascii="Arial Narrow" w:hAnsi="Arial Narrow"/>
                <w:i/>
                <w:sz w:val="18"/>
                <w:szCs w:val="18"/>
              </w:rPr>
              <w:fldChar w:fldCharType="begin">
                <w:ffData>
                  <w:name w:val="Check5"/>
                  <w:enabled/>
                  <w:calcOnExit w:val="0"/>
                  <w:checkBox>
                    <w:sizeAuto/>
                    <w:default w:val="0"/>
                  </w:checkBox>
                </w:ffData>
              </w:fldChar>
            </w:r>
            <w:r w:rsidRPr="005A76D6">
              <w:rPr>
                <w:rFonts w:ascii="Arial Narrow" w:hAnsi="Arial Narrow"/>
                <w:i/>
                <w:sz w:val="18"/>
                <w:szCs w:val="18"/>
              </w:rPr>
              <w:instrText xml:space="preserve"> FORMCHECKBOX </w:instrText>
            </w:r>
            <w:r w:rsidR="00E4568F">
              <w:rPr>
                <w:rFonts w:ascii="Arial Narrow" w:hAnsi="Arial Narrow"/>
                <w:i/>
                <w:sz w:val="18"/>
                <w:szCs w:val="18"/>
              </w:rPr>
            </w:r>
            <w:r w:rsidR="00E4568F">
              <w:rPr>
                <w:rFonts w:ascii="Arial Narrow" w:hAnsi="Arial Narrow"/>
                <w:i/>
                <w:sz w:val="18"/>
                <w:szCs w:val="18"/>
              </w:rPr>
              <w:fldChar w:fldCharType="separate"/>
            </w:r>
            <w:r w:rsidRPr="005A76D6">
              <w:rPr>
                <w:rFonts w:ascii="Arial Narrow" w:hAnsi="Arial Narrow"/>
                <w:i/>
                <w:sz w:val="18"/>
                <w:szCs w:val="18"/>
              </w:rPr>
              <w:fldChar w:fldCharType="end"/>
            </w:r>
            <w:r w:rsidRPr="005A76D6">
              <w:rPr>
                <w:rFonts w:ascii="Arial Narrow" w:hAnsi="Arial Narrow"/>
                <w:i/>
                <w:sz w:val="18"/>
                <w:szCs w:val="18"/>
              </w:rPr>
              <w:t>Midwives</w:t>
            </w:r>
          </w:p>
        </w:tc>
      </w:tr>
      <w:tr w:rsidR="00246FC6" w:rsidRPr="005A76D6" w:rsidTr="005A76D6">
        <w:trPr>
          <w:cantSplit/>
          <w:trHeight w:val="332"/>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F02CA6">
            <w:pPr>
              <w:pStyle w:val="TableText1"/>
              <w:keepNext/>
              <w:keepLines/>
              <w:rPr>
                <w:rFonts w:ascii="Arial Narrow" w:hAnsi="Arial Narrow"/>
                <w:strike/>
                <w:sz w:val="18"/>
                <w:szCs w:val="18"/>
              </w:rPr>
            </w:pPr>
            <w:r w:rsidRPr="005A76D6">
              <w:rPr>
                <w:rFonts w:ascii="Arial Narrow" w:hAnsi="Arial Narrow"/>
                <w:sz w:val="18"/>
                <w:szCs w:val="18"/>
              </w:rPr>
              <w:t xml:space="preserve"> </w:t>
            </w:r>
            <w:r w:rsidRPr="005A76D6">
              <w:rPr>
                <w:rFonts w:ascii="Arial Narrow" w:hAnsi="Arial Narrow"/>
                <w:b/>
                <w:sz w:val="18"/>
                <w:szCs w:val="18"/>
              </w:rPr>
              <w:t xml:space="preserve">Restriction </w:t>
            </w:r>
            <w:r w:rsidR="00F02CA6" w:rsidRPr="005A76D6">
              <w:rPr>
                <w:rFonts w:ascii="Arial Narrow" w:hAnsi="Arial Narrow"/>
                <w:b/>
                <w:sz w:val="18"/>
                <w:szCs w:val="18"/>
              </w:rPr>
              <w:t>type</w:t>
            </w:r>
            <w:r w:rsidRPr="005A76D6">
              <w:rPr>
                <w:rFonts w:ascii="Arial Narrow" w:hAnsi="Arial Narrow"/>
                <w:b/>
                <w:sz w:val="18"/>
                <w:szCs w:val="18"/>
              </w:rPr>
              <w:t>/method:</w:t>
            </w:r>
            <w:r w:rsidRPr="005A76D6">
              <w:rPr>
                <w:rFonts w:ascii="Arial Narrow" w:hAnsi="Arial Narrow"/>
                <w:strike/>
                <w:sz w:val="18"/>
                <w:szCs w:val="18"/>
              </w:rPr>
              <w:t xml:space="preserve"> </w:t>
            </w:r>
            <w:r w:rsidRPr="005A76D6">
              <w:rPr>
                <w:rFonts w:ascii="Arial Narrow" w:hAnsi="Arial Narrow"/>
                <w:sz w:val="18"/>
                <w:szCs w:val="18"/>
              </w:rPr>
              <w:fldChar w:fldCharType="begin">
                <w:ffData>
                  <w:name w:val=""/>
                  <w:enabled/>
                  <w:calcOnExit w:val="0"/>
                  <w:checkBox>
                    <w:sizeAuto/>
                    <w:default w:val="1"/>
                  </w:checkBox>
                </w:ffData>
              </w:fldChar>
            </w:r>
            <w:r w:rsidRPr="005A76D6">
              <w:rPr>
                <w:rFonts w:ascii="Arial Narrow" w:hAnsi="Arial Narrow"/>
                <w:sz w:val="18"/>
                <w:szCs w:val="18"/>
              </w:rPr>
              <w:instrText xml:space="preserve"> FORMCHECKBOX </w:instrText>
            </w:r>
            <w:r w:rsidR="00E4568F">
              <w:rPr>
                <w:rFonts w:ascii="Arial Narrow" w:hAnsi="Arial Narrow"/>
                <w:sz w:val="18"/>
                <w:szCs w:val="18"/>
              </w:rPr>
            </w:r>
            <w:r w:rsidR="00E4568F">
              <w:rPr>
                <w:rFonts w:ascii="Arial Narrow" w:hAnsi="Arial Narrow"/>
                <w:sz w:val="18"/>
                <w:szCs w:val="18"/>
              </w:rPr>
              <w:fldChar w:fldCharType="separate"/>
            </w:r>
            <w:r w:rsidRPr="005A76D6">
              <w:rPr>
                <w:rFonts w:ascii="Arial Narrow" w:hAnsi="Arial Narrow"/>
                <w:sz w:val="18"/>
                <w:szCs w:val="18"/>
              </w:rPr>
              <w:fldChar w:fldCharType="end"/>
            </w:r>
            <w:r w:rsidRPr="005A76D6">
              <w:rPr>
                <w:rFonts w:ascii="Arial Narrow" w:hAnsi="Arial Narrow"/>
                <w:sz w:val="18"/>
                <w:szCs w:val="18"/>
              </w:rPr>
              <w:t xml:space="preserve"> Authority Required – Streamlined </w:t>
            </w:r>
            <w:r w:rsidRPr="005A76D6">
              <w:rPr>
                <w:rFonts w:ascii="Arial Narrow" w:hAnsi="Arial Narrow"/>
                <w:i/>
                <w:sz w:val="18"/>
                <w:szCs w:val="18"/>
              </w:rPr>
              <w:t>(new code)</w:t>
            </w:r>
          </w:p>
        </w:tc>
      </w:tr>
      <w:tr w:rsidR="00246FC6" w:rsidRPr="005A76D6" w:rsidTr="005A76D6">
        <w:trPr>
          <w:cantSplit/>
          <w:trHeight w:val="315"/>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F361FE">
            <w:pPr>
              <w:pStyle w:val="TableText1"/>
              <w:keepNext/>
              <w:keepLines/>
              <w:rPr>
                <w:rFonts w:ascii="Arial Narrow" w:hAnsi="Arial Narrow"/>
                <w:b/>
                <w:i/>
                <w:sz w:val="18"/>
                <w:szCs w:val="18"/>
              </w:rPr>
            </w:pPr>
            <w:r w:rsidRPr="005A76D6">
              <w:rPr>
                <w:rFonts w:ascii="Arial Narrow" w:hAnsi="Arial Narrow"/>
                <w:b/>
                <w:sz w:val="18"/>
                <w:szCs w:val="18"/>
              </w:rPr>
              <w:t>Episodicity:</w:t>
            </w:r>
            <w:r w:rsidRPr="005A76D6">
              <w:rPr>
                <w:rFonts w:ascii="Arial Narrow" w:hAnsi="Arial Narrow"/>
                <w:sz w:val="18"/>
                <w:szCs w:val="18"/>
              </w:rPr>
              <w:t xml:space="preserve"> </w:t>
            </w:r>
            <w:r w:rsidRPr="005A76D6">
              <w:rPr>
                <w:rFonts w:ascii="Arial Narrow" w:hAnsi="Arial Narrow"/>
                <w:i/>
                <w:sz w:val="18"/>
                <w:szCs w:val="18"/>
              </w:rPr>
              <w:t>[blank]</w:t>
            </w:r>
          </w:p>
        </w:tc>
      </w:tr>
      <w:tr w:rsidR="00246FC6" w:rsidRPr="005A76D6" w:rsidTr="005A76D6">
        <w:trPr>
          <w:cantSplit/>
          <w:trHeight w:val="221"/>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F361FE">
            <w:pPr>
              <w:pStyle w:val="TableText1"/>
              <w:keepNext/>
              <w:keepLines/>
              <w:rPr>
                <w:rFonts w:ascii="Arial Narrow" w:hAnsi="Arial Narrow"/>
                <w:iCs/>
                <w:sz w:val="18"/>
                <w:szCs w:val="18"/>
              </w:rPr>
            </w:pPr>
            <w:r w:rsidRPr="005A76D6">
              <w:rPr>
                <w:rFonts w:ascii="Arial Narrow" w:hAnsi="Arial Narrow"/>
                <w:b/>
                <w:sz w:val="18"/>
                <w:szCs w:val="18"/>
              </w:rPr>
              <w:t xml:space="preserve">Severity: </w:t>
            </w:r>
            <w:r w:rsidRPr="005A76D6">
              <w:rPr>
                <w:rFonts w:ascii="Arial Narrow" w:hAnsi="Arial Narrow"/>
                <w:iCs/>
                <w:sz w:val="18"/>
                <w:szCs w:val="18"/>
              </w:rPr>
              <w:t xml:space="preserve">Advanced </w:t>
            </w:r>
            <w:r w:rsidRPr="005A76D6">
              <w:rPr>
                <w:rFonts w:ascii="Arial Narrow" w:hAnsi="Arial Narrow"/>
                <w:i/>
                <w:iCs/>
                <w:sz w:val="18"/>
                <w:szCs w:val="18"/>
              </w:rPr>
              <w:t>unresectable</w:t>
            </w:r>
            <w:r w:rsidRPr="005A76D6">
              <w:rPr>
                <w:rFonts w:ascii="Arial Narrow" w:hAnsi="Arial Narrow"/>
                <w:iCs/>
                <w:sz w:val="18"/>
                <w:szCs w:val="18"/>
              </w:rPr>
              <w:t xml:space="preserve"> Barcelona Clinic Liver Cancer </w:t>
            </w:r>
            <w:r w:rsidRPr="005A76D6">
              <w:rPr>
                <w:rFonts w:ascii="Arial Narrow" w:hAnsi="Arial Narrow"/>
                <w:iCs/>
                <w:strike/>
                <w:sz w:val="18"/>
                <w:szCs w:val="18"/>
              </w:rPr>
              <w:t>(BCLC)</w:t>
            </w:r>
            <w:r w:rsidRPr="005A76D6">
              <w:rPr>
                <w:rFonts w:ascii="Arial Narrow" w:hAnsi="Arial Narrow"/>
                <w:iCs/>
                <w:sz w:val="18"/>
                <w:szCs w:val="18"/>
              </w:rPr>
              <w:t xml:space="preserve"> Stage B or Stage C </w:t>
            </w:r>
          </w:p>
        </w:tc>
      </w:tr>
      <w:tr w:rsidR="00246FC6" w:rsidRPr="005A76D6" w:rsidTr="005A76D6">
        <w:trPr>
          <w:cantSplit/>
          <w:trHeight w:val="284"/>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F361FE">
            <w:pPr>
              <w:pStyle w:val="TableText1"/>
              <w:keepNext/>
              <w:keepLines/>
              <w:rPr>
                <w:rFonts w:ascii="Arial Narrow" w:hAnsi="Arial Narrow"/>
                <w:b/>
                <w:iCs/>
                <w:sz w:val="18"/>
                <w:szCs w:val="18"/>
              </w:rPr>
            </w:pPr>
            <w:r w:rsidRPr="005A76D6">
              <w:rPr>
                <w:rFonts w:ascii="Arial Narrow" w:hAnsi="Arial Narrow"/>
                <w:b/>
                <w:sz w:val="18"/>
                <w:szCs w:val="18"/>
              </w:rPr>
              <w:t xml:space="preserve">Condition: </w:t>
            </w:r>
            <w:r w:rsidRPr="005A76D6">
              <w:rPr>
                <w:rFonts w:ascii="Arial Narrow" w:hAnsi="Arial Narrow"/>
                <w:sz w:val="18"/>
                <w:szCs w:val="18"/>
              </w:rPr>
              <w:t>h</w:t>
            </w:r>
            <w:r w:rsidRPr="005A76D6">
              <w:rPr>
                <w:rFonts w:ascii="Arial Narrow" w:hAnsi="Arial Narrow"/>
                <w:iCs/>
                <w:sz w:val="18"/>
                <w:szCs w:val="18"/>
              </w:rPr>
              <w:t xml:space="preserve">epatocellular carcinoma </w:t>
            </w:r>
            <w:r w:rsidRPr="005A76D6">
              <w:rPr>
                <w:rFonts w:ascii="Arial Narrow" w:hAnsi="Arial Narrow"/>
                <w:iCs/>
                <w:strike/>
                <w:sz w:val="18"/>
                <w:szCs w:val="18"/>
              </w:rPr>
              <w:t>(HCC)</w:t>
            </w:r>
          </w:p>
        </w:tc>
      </w:tr>
      <w:tr w:rsidR="00246FC6" w:rsidRPr="005A76D6" w:rsidTr="005A76D6">
        <w:trPr>
          <w:cantSplit/>
          <w:trHeight w:val="360"/>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F361FE">
            <w:pPr>
              <w:pStyle w:val="TableText1"/>
              <w:keepNext/>
              <w:keepLines/>
              <w:rPr>
                <w:rFonts w:ascii="Arial Narrow" w:hAnsi="Arial Narrow"/>
                <w:b/>
                <w:sz w:val="18"/>
                <w:szCs w:val="18"/>
              </w:rPr>
            </w:pPr>
            <w:r w:rsidRPr="005A76D6">
              <w:rPr>
                <w:rFonts w:ascii="Arial Narrow" w:hAnsi="Arial Narrow"/>
                <w:b/>
                <w:i/>
                <w:sz w:val="18"/>
                <w:szCs w:val="18"/>
              </w:rPr>
              <w:t>PBS Indication</w:t>
            </w:r>
            <w:r w:rsidRPr="005A76D6">
              <w:rPr>
                <w:rFonts w:ascii="Arial Narrow" w:hAnsi="Arial Narrow"/>
                <w:b/>
                <w:sz w:val="18"/>
                <w:szCs w:val="18"/>
              </w:rPr>
              <w:t xml:space="preserve"> [episodicity + severity + condition]:</w:t>
            </w:r>
            <w:r w:rsidRPr="005A76D6">
              <w:rPr>
                <w:rFonts w:ascii="Arial Narrow" w:hAnsi="Arial Narrow"/>
                <w:iCs/>
                <w:sz w:val="18"/>
                <w:szCs w:val="18"/>
              </w:rPr>
              <w:t xml:space="preserve"> </w:t>
            </w:r>
            <w:r w:rsidRPr="005A76D6">
              <w:rPr>
                <w:rFonts w:ascii="Arial Narrow" w:hAnsi="Arial Narrow"/>
                <w:i/>
                <w:iCs/>
                <w:sz w:val="18"/>
                <w:szCs w:val="18"/>
              </w:rPr>
              <w:t>Advanced (unresectable) Barcelona Clinic Liver Cancer Stage B or Stage C hepatocellular carcinoma</w:t>
            </w:r>
          </w:p>
        </w:tc>
      </w:tr>
      <w:tr w:rsidR="00246FC6" w:rsidRPr="005A76D6" w:rsidTr="005A76D6">
        <w:trPr>
          <w:cantSplit/>
          <w:trHeight w:val="289"/>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F361FE">
            <w:pPr>
              <w:pStyle w:val="TableText1"/>
              <w:keepNext/>
              <w:keepLines/>
              <w:rPr>
                <w:rFonts w:ascii="Arial Narrow" w:hAnsi="Arial Narrow"/>
                <w:iCs/>
                <w:sz w:val="18"/>
                <w:szCs w:val="18"/>
              </w:rPr>
            </w:pPr>
            <w:r w:rsidRPr="005A76D6">
              <w:rPr>
                <w:rFonts w:ascii="Arial Narrow" w:hAnsi="Arial Narrow"/>
                <w:b/>
                <w:sz w:val="18"/>
                <w:szCs w:val="18"/>
              </w:rPr>
              <w:t>Treatment phase:</w:t>
            </w:r>
            <w:r w:rsidRPr="005A76D6">
              <w:rPr>
                <w:rFonts w:ascii="Arial Narrow" w:hAnsi="Arial Narrow"/>
                <w:sz w:val="18"/>
                <w:szCs w:val="18"/>
              </w:rPr>
              <w:t xml:space="preserve"> </w:t>
            </w:r>
            <w:r w:rsidRPr="005A76D6">
              <w:rPr>
                <w:rFonts w:ascii="Arial Narrow" w:hAnsi="Arial Narrow"/>
                <w:iCs/>
                <w:strike/>
                <w:sz w:val="18"/>
                <w:szCs w:val="18"/>
              </w:rPr>
              <w:t>Initial</w:t>
            </w:r>
            <w:r w:rsidRPr="005A76D6">
              <w:rPr>
                <w:rFonts w:ascii="Arial Narrow" w:hAnsi="Arial Narrow"/>
                <w:iCs/>
                <w:sz w:val="18"/>
                <w:szCs w:val="18"/>
              </w:rPr>
              <w:t xml:space="preserve"> </w:t>
            </w:r>
            <w:r w:rsidRPr="005A76D6">
              <w:rPr>
                <w:rFonts w:ascii="Arial Narrow" w:hAnsi="Arial Narrow"/>
                <w:i/>
                <w:iCs/>
                <w:sz w:val="18"/>
                <w:szCs w:val="18"/>
              </w:rPr>
              <w:t xml:space="preserve"> Concurrent use with atezolizumab in this PBS indication</w:t>
            </w:r>
          </w:p>
        </w:tc>
      </w:tr>
      <w:tr w:rsidR="00246FC6" w:rsidRPr="005A76D6" w:rsidTr="005A76D6">
        <w:trPr>
          <w:cantSplit/>
          <w:trHeight w:val="204"/>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F361FE">
            <w:pPr>
              <w:pStyle w:val="TableText1"/>
              <w:keepNext/>
              <w:keepLines/>
              <w:rPr>
                <w:rFonts w:ascii="Arial Narrow" w:hAnsi="Arial Narrow"/>
                <w:b/>
                <w:strike/>
                <w:sz w:val="18"/>
                <w:szCs w:val="18"/>
              </w:rPr>
            </w:pPr>
            <w:r w:rsidRPr="005A76D6">
              <w:rPr>
                <w:rFonts w:ascii="Arial Narrow" w:hAnsi="Arial Narrow"/>
                <w:b/>
                <w:strike/>
                <w:sz w:val="18"/>
                <w:szCs w:val="18"/>
              </w:rPr>
              <w:t>Clinical criteria:</w:t>
            </w:r>
          </w:p>
        </w:tc>
      </w:tr>
      <w:tr w:rsidR="00246FC6" w:rsidRPr="005A76D6" w:rsidTr="005A76D6">
        <w:trPr>
          <w:cantSplit/>
          <w:trHeight w:val="251"/>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F361FE">
            <w:pPr>
              <w:pStyle w:val="TableText1"/>
              <w:keepNext/>
              <w:keepLines/>
              <w:rPr>
                <w:rFonts w:ascii="Arial Narrow" w:hAnsi="Arial Narrow"/>
                <w:strike/>
                <w:sz w:val="18"/>
                <w:szCs w:val="18"/>
              </w:rPr>
            </w:pPr>
            <w:r w:rsidRPr="005A76D6">
              <w:rPr>
                <w:rFonts w:ascii="Arial Narrow" w:hAnsi="Arial Narrow"/>
                <w:strike/>
                <w:sz w:val="18"/>
                <w:szCs w:val="18"/>
              </w:rPr>
              <w:t>Patient must be undergoing combination treatment with  atezolizumab,</w:t>
            </w:r>
          </w:p>
        </w:tc>
      </w:tr>
      <w:tr w:rsidR="00246FC6" w:rsidRPr="005A76D6" w:rsidTr="005A76D6">
        <w:trPr>
          <w:cantSplit/>
          <w:trHeight w:val="201"/>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F361FE">
            <w:pPr>
              <w:pStyle w:val="TableText1"/>
              <w:keepNext/>
              <w:keepLines/>
              <w:rPr>
                <w:rFonts w:ascii="Arial Narrow" w:hAnsi="Arial Narrow"/>
                <w:i/>
                <w:sz w:val="18"/>
                <w:szCs w:val="18"/>
              </w:rPr>
            </w:pPr>
            <w:r w:rsidRPr="005A76D6">
              <w:rPr>
                <w:rFonts w:ascii="Arial Narrow" w:hAnsi="Arial Narrow"/>
                <w:b/>
                <w:i/>
                <w:sz w:val="18"/>
                <w:szCs w:val="18"/>
              </w:rPr>
              <w:t>Treatment criteria:</w:t>
            </w:r>
          </w:p>
        </w:tc>
      </w:tr>
      <w:tr w:rsidR="00246FC6" w:rsidRPr="005A76D6" w:rsidTr="005A76D6">
        <w:trPr>
          <w:cantSplit/>
          <w:trHeight w:val="533"/>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F361FE">
            <w:pPr>
              <w:pStyle w:val="TableText1"/>
              <w:keepNext/>
              <w:keepLines/>
              <w:spacing w:before="0" w:after="0"/>
              <w:rPr>
                <w:rFonts w:ascii="Arial Narrow" w:hAnsi="Arial Narrow"/>
                <w:b/>
                <w:i/>
                <w:sz w:val="18"/>
                <w:szCs w:val="18"/>
              </w:rPr>
            </w:pPr>
            <w:r w:rsidRPr="005A76D6">
              <w:rPr>
                <w:rFonts w:ascii="Arial Narrow" w:hAnsi="Arial Narrow"/>
                <w:i/>
                <w:sz w:val="18"/>
                <w:szCs w:val="18"/>
              </w:rPr>
              <w:t xml:space="preserve">Patient must be undergoing combination treatment with PBS-subsidised atezolizumab </w:t>
            </w:r>
            <w:r w:rsidRPr="005A76D6">
              <w:rPr>
                <w:rFonts w:ascii="Arial Narrow" w:hAnsi="Arial Narrow"/>
                <w:i/>
                <w:strike/>
                <w:sz w:val="18"/>
                <w:szCs w:val="18"/>
              </w:rPr>
              <w:t>until disease progression, unless not tolerated,</w:t>
            </w:r>
            <w:r w:rsidRPr="005A76D6">
              <w:rPr>
                <w:rFonts w:ascii="Arial Narrow" w:hAnsi="Arial Narrow"/>
                <w:i/>
                <w:sz w:val="18"/>
                <w:szCs w:val="18"/>
              </w:rPr>
              <w:t xml:space="preserve"> in this PBS indication</w:t>
            </w:r>
          </w:p>
        </w:tc>
      </w:tr>
      <w:tr w:rsidR="00246FC6" w:rsidRPr="005A76D6" w:rsidTr="005A76D6">
        <w:trPr>
          <w:cantSplit/>
          <w:trHeight w:val="388"/>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F361FE">
            <w:pPr>
              <w:pStyle w:val="TableText1"/>
              <w:keepNext/>
              <w:keepLines/>
              <w:spacing w:before="0" w:after="0"/>
              <w:rPr>
                <w:rFonts w:ascii="Arial Narrow" w:hAnsi="Arial Narrow"/>
                <w:strike/>
                <w:sz w:val="18"/>
                <w:szCs w:val="18"/>
              </w:rPr>
            </w:pPr>
            <w:r w:rsidRPr="005A76D6">
              <w:rPr>
                <w:rFonts w:ascii="Arial Narrow" w:hAnsi="Arial Narrow"/>
                <w:strike/>
                <w:sz w:val="18"/>
                <w:szCs w:val="18"/>
              </w:rPr>
              <w:t>AND</w:t>
            </w:r>
          </w:p>
          <w:p w:rsidR="00246FC6" w:rsidRPr="005A76D6" w:rsidRDefault="00246FC6" w:rsidP="00F361FE">
            <w:pPr>
              <w:pStyle w:val="TableText1"/>
              <w:keepNext/>
              <w:keepLines/>
              <w:spacing w:before="0" w:after="0"/>
              <w:rPr>
                <w:rFonts w:ascii="Arial Narrow" w:hAnsi="Arial Narrow"/>
                <w:strike/>
                <w:sz w:val="18"/>
                <w:szCs w:val="18"/>
              </w:rPr>
            </w:pPr>
            <w:r w:rsidRPr="005A76D6">
              <w:rPr>
                <w:rFonts w:ascii="Arial Narrow" w:hAnsi="Arial Narrow"/>
                <w:strike/>
                <w:sz w:val="18"/>
                <w:szCs w:val="18"/>
              </w:rPr>
              <w:t xml:space="preserve">Patient must have a WHO performance status of 0 or 1, </w:t>
            </w:r>
          </w:p>
        </w:tc>
      </w:tr>
      <w:tr w:rsidR="00246FC6" w:rsidRPr="005A76D6" w:rsidTr="005A76D6">
        <w:trPr>
          <w:cantSplit/>
          <w:trHeight w:val="379"/>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F361FE">
            <w:pPr>
              <w:pStyle w:val="TableText1"/>
              <w:keepNext/>
              <w:keepLines/>
              <w:spacing w:before="0" w:after="0"/>
              <w:rPr>
                <w:rFonts w:ascii="Arial Narrow" w:hAnsi="Arial Narrow"/>
                <w:strike/>
                <w:sz w:val="18"/>
                <w:szCs w:val="18"/>
              </w:rPr>
            </w:pPr>
            <w:r w:rsidRPr="005A76D6">
              <w:rPr>
                <w:rFonts w:ascii="Arial Narrow" w:hAnsi="Arial Narrow"/>
                <w:strike/>
                <w:sz w:val="18"/>
                <w:szCs w:val="18"/>
              </w:rPr>
              <w:t>AND</w:t>
            </w:r>
          </w:p>
          <w:p w:rsidR="00246FC6" w:rsidRPr="005A76D6" w:rsidRDefault="00246FC6" w:rsidP="00F361FE">
            <w:pPr>
              <w:pStyle w:val="TableText1"/>
              <w:keepNext/>
              <w:keepLines/>
              <w:spacing w:before="0" w:after="0"/>
              <w:rPr>
                <w:rFonts w:ascii="Arial Narrow" w:hAnsi="Arial Narrow"/>
                <w:strike/>
                <w:sz w:val="18"/>
                <w:szCs w:val="18"/>
              </w:rPr>
            </w:pPr>
            <w:r w:rsidRPr="005A76D6">
              <w:rPr>
                <w:rFonts w:ascii="Arial Narrow" w:hAnsi="Arial Narrow"/>
                <w:strike/>
                <w:sz w:val="18"/>
                <w:szCs w:val="18"/>
              </w:rPr>
              <w:t xml:space="preserve">Patient must not be suitable for transarterial chemoembolisation, </w:t>
            </w:r>
          </w:p>
        </w:tc>
      </w:tr>
      <w:tr w:rsidR="00246FC6" w:rsidRPr="005A76D6" w:rsidTr="005A76D6">
        <w:trPr>
          <w:cantSplit/>
          <w:trHeight w:val="484"/>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F361FE">
            <w:pPr>
              <w:pStyle w:val="TableText1"/>
              <w:keepNext/>
              <w:keepLines/>
              <w:spacing w:before="0" w:after="0"/>
              <w:rPr>
                <w:rFonts w:ascii="Arial Narrow" w:hAnsi="Arial Narrow"/>
                <w:strike/>
                <w:sz w:val="18"/>
                <w:szCs w:val="18"/>
              </w:rPr>
            </w:pPr>
            <w:r w:rsidRPr="005A76D6">
              <w:rPr>
                <w:rFonts w:ascii="Arial Narrow" w:hAnsi="Arial Narrow"/>
                <w:strike/>
                <w:sz w:val="18"/>
                <w:szCs w:val="18"/>
              </w:rPr>
              <w:t>AND</w:t>
            </w:r>
          </w:p>
          <w:p w:rsidR="00246FC6" w:rsidRPr="005A76D6" w:rsidRDefault="00246FC6" w:rsidP="00F361FE">
            <w:pPr>
              <w:pStyle w:val="TableText1"/>
              <w:keepNext/>
              <w:keepLines/>
              <w:spacing w:before="0" w:after="0"/>
              <w:rPr>
                <w:rFonts w:ascii="Arial Narrow" w:hAnsi="Arial Narrow"/>
                <w:strike/>
                <w:sz w:val="18"/>
                <w:szCs w:val="18"/>
              </w:rPr>
            </w:pPr>
            <w:r w:rsidRPr="005A76D6">
              <w:rPr>
                <w:rFonts w:ascii="Arial Narrow" w:hAnsi="Arial Narrow"/>
                <w:strike/>
                <w:sz w:val="18"/>
                <w:szCs w:val="18"/>
              </w:rPr>
              <w:t xml:space="preserve">Patient must have Child-Pugh class A, </w:t>
            </w:r>
          </w:p>
        </w:tc>
      </w:tr>
      <w:tr w:rsidR="00246FC6" w:rsidRPr="005A76D6" w:rsidTr="005A76D6">
        <w:trPr>
          <w:cantSplit/>
          <w:trHeight w:val="629"/>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F361FE">
            <w:pPr>
              <w:pStyle w:val="TableText1"/>
              <w:keepNext/>
              <w:keepLines/>
              <w:spacing w:before="0" w:after="0"/>
              <w:rPr>
                <w:rFonts w:ascii="Arial Narrow" w:hAnsi="Arial Narrow"/>
                <w:strike/>
                <w:sz w:val="18"/>
                <w:szCs w:val="18"/>
              </w:rPr>
            </w:pPr>
            <w:r w:rsidRPr="005A76D6">
              <w:rPr>
                <w:rFonts w:ascii="Arial Narrow" w:hAnsi="Arial Narrow"/>
                <w:strike/>
                <w:sz w:val="18"/>
                <w:szCs w:val="18"/>
              </w:rPr>
              <w:t>AND</w:t>
            </w:r>
          </w:p>
          <w:p w:rsidR="00246FC6" w:rsidRPr="005A76D6" w:rsidRDefault="00246FC6" w:rsidP="00F361FE">
            <w:pPr>
              <w:pStyle w:val="TableText1"/>
              <w:keepNext/>
              <w:keepLines/>
              <w:spacing w:before="0" w:after="0"/>
              <w:rPr>
                <w:rFonts w:ascii="Arial Narrow" w:hAnsi="Arial Narrow"/>
                <w:strike/>
                <w:sz w:val="18"/>
                <w:szCs w:val="18"/>
              </w:rPr>
            </w:pPr>
            <w:r w:rsidRPr="005A76D6">
              <w:rPr>
                <w:rFonts w:ascii="Arial Narrow" w:hAnsi="Arial Narrow"/>
                <w:strike/>
                <w:sz w:val="18"/>
                <w:szCs w:val="18"/>
              </w:rPr>
              <w:t>Patient must not have received prior treatment with a vascular endothelial growth factor (VEGF) tyrosine kinase inhibitor (TKI) for this condition, OR</w:t>
            </w:r>
          </w:p>
        </w:tc>
      </w:tr>
      <w:tr w:rsidR="00246FC6" w:rsidRPr="005A76D6" w:rsidTr="005A76D6">
        <w:trPr>
          <w:cantSplit/>
          <w:trHeight w:val="223"/>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F361FE">
            <w:pPr>
              <w:pStyle w:val="TableText1"/>
              <w:keepNext/>
              <w:keepLines/>
              <w:spacing w:before="0" w:after="0"/>
              <w:rPr>
                <w:rFonts w:ascii="Arial Narrow" w:hAnsi="Arial Narrow"/>
                <w:strike/>
                <w:sz w:val="18"/>
                <w:szCs w:val="18"/>
              </w:rPr>
            </w:pPr>
            <w:r w:rsidRPr="005A76D6">
              <w:rPr>
                <w:rFonts w:ascii="Arial Narrow" w:hAnsi="Arial Narrow"/>
                <w:strike/>
                <w:sz w:val="18"/>
                <w:szCs w:val="18"/>
              </w:rPr>
              <w:t>Patient must have developed intolerance to a VEGF TKI of a severity necessitating permanent treatment withdrawal</w:t>
            </w:r>
          </w:p>
        </w:tc>
      </w:tr>
      <w:tr w:rsidR="00246FC6" w:rsidRPr="005A76D6" w:rsidTr="005A76D6">
        <w:trPr>
          <w:cantSplit/>
          <w:trHeight w:val="58"/>
        </w:trPr>
        <w:tc>
          <w:tcPr>
            <w:tcW w:w="5000" w:type="pct"/>
            <w:tcBorders>
              <w:top w:val="single" w:sz="4" w:space="0" w:color="auto"/>
              <w:left w:val="single" w:sz="4" w:space="0" w:color="auto"/>
              <w:bottom w:val="single" w:sz="4" w:space="0" w:color="auto"/>
              <w:right w:val="single" w:sz="4" w:space="0" w:color="auto"/>
            </w:tcBorders>
          </w:tcPr>
          <w:p w:rsidR="00246FC6" w:rsidRPr="005A76D6" w:rsidRDefault="00246FC6" w:rsidP="00F361FE">
            <w:pPr>
              <w:pStyle w:val="TableText1"/>
              <w:keepNext/>
              <w:keepLines/>
              <w:rPr>
                <w:rFonts w:ascii="Arial Narrow" w:hAnsi="Arial Narrow"/>
                <w:sz w:val="18"/>
                <w:szCs w:val="18"/>
              </w:rPr>
            </w:pPr>
            <w:r w:rsidRPr="005A76D6">
              <w:rPr>
                <w:rFonts w:ascii="Arial Narrow" w:hAnsi="Arial Narrow"/>
                <w:b/>
                <w:sz w:val="18"/>
                <w:szCs w:val="18"/>
              </w:rPr>
              <w:t>Administrative Advice:</w:t>
            </w:r>
            <w:r w:rsidRPr="005A76D6">
              <w:rPr>
                <w:rFonts w:ascii="Arial Narrow" w:hAnsi="Arial Narrow"/>
                <w:sz w:val="18"/>
                <w:szCs w:val="18"/>
              </w:rPr>
              <w:t xml:space="preserve"> No increase in the maximum number of repeats may be authorised</w:t>
            </w:r>
          </w:p>
        </w:tc>
      </w:tr>
    </w:tbl>
    <w:p w:rsidR="001D61C2" w:rsidRPr="00E63DF4" w:rsidRDefault="001D61C2" w:rsidP="005A76D6">
      <w:pPr>
        <w:pStyle w:val="3-BodyText"/>
        <w:spacing w:before="120"/>
      </w:pPr>
      <w:r w:rsidRPr="00E63DF4">
        <w:rPr>
          <w:iCs/>
        </w:rPr>
        <w:t xml:space="preserve">The PBAC considered that the </w:t>
      </w:r>
      <w:r w:rsidR="003312C1" w:rsidRPr="00E63DF4">
        <w:rPr>
          <w:iCs/>
        </w:rPr>
        <w:t>listing</w:t>
      </w:r>
      <w:r w:rsidRPr="00E63DF4">
        <w:rPr>
          <w:iCs/>
        </w:rPr>
        <w:t xml:space="preserve"> for Atezo+Bev should</w:t>
      </w:r>
      <w:r w:rsidR="00533095" w:rsidRPr="00E63DF4">
        <w:rPr>
          <w:iCs/>
        </w:rPr>
        <w:t xml:space="preserve"> (i) be restricted to patients with WHO PS 0 to 1</w:t>
      </w:r>
      <w:r w:rsidR="002D672B">
        <w:rPr>
          <w:iCs/>
        </w:rPr>
        <w:t>,</w:t>
      </w:r>
      <w:r w:rsidR="00533095" w:rsidRPr="00E63DF4">
        <w:rPr>
          <w:iCs/>
        </w:rPr>
        <w:t xml:space="preserve"> (ii) not allow use beyond disease progression</w:t>
      </w:r>
      <w:r w:rsidR="0084580A">
        <w:rPr>
          <w:iCs/>
        </w:rPr>
        <w:t xml:space="preserve"> and </w:t>
      </w:r>
      <w:r w:rsidR="00533095" w:rsidRPr="00E63DF4">
        <w:rPr>
          <w:iCs/>
        </w:rPr>
        <w:t xml:space="preserve">(iii) not allow </w:t>
      </w:r>
      <w:r w:rsidR="00411A88" w:rsidRPr="00E63DF4">
        <w:rPr>
          <w:iCs/>
        </w:rPr>
        <w:t xml:space="preserve">use following a VEGF TKI unless intolerance </w:t>
      </w:r>
      <w:r w:rsidR="00411A88" w:rsidRPr="00E63DF4">
        <w:t>to a TKI of a severity necessitating permanent treatment withdrawal occurred</w:t>
      </w:r>
      <w:r w:rsidR="0084580A">
        <w:rPr>
          <w:iCs/>
        </w:rPr>
        <w:t xml:space="preserve">. </w:t>
      </w:r>
      <w:r w:rsidR="001F260C" w:rsidRPr="00E63DF4">
        <w:rPr>
          <w:iCs/>
        </w:rPr>
        <w:t xml:space="preserve">The PBAC considered the restriction </w:t>
      </w:r>
      <w:r w:rsidR="001F260C" w:rsidRPr="00E63DF4">
        <w:rPr>
          <w:iCs/>
        </w:rPr>
        <w:lastRenderedPageBreak/>
        <w:t xml:space="preserve">criteria for the VEGF TKIs should be amended to ensure use only after intolerance to a </w:t>
      </w:r>
      <w:r w:rsidR="00411EEA">
        <w:rPr>
          <w:iCs/>
        </w:rPr>
        <w:t xml:space="preserve">VEGF </w:t>
      </w:r>
      <w:r w:rsidR="001F260C" w:rsidRPr="00E63DF4">
        <w:rPr>
          <w:iCs/>
        </w:rPr>
        <w:t xml:space="preserve">TKI </w:t>
      </w:r>
      <w:r w:rsidR="00AD2948">
        <w:rPr>
          <w:iCs/>
        </w:rPr>
        <w:t xml:space="preserve">or </w:t>
      </w:r>
      <w:r w:rsidR="001F260C" w:rsidRPr="00E63DF4">
        <w:rPr>
          <w:iCs/>
        </w:rPr>
        <w:t>Atezo+Bev</w:t>
      </w:r>
      <w:r w:rsidR="00E63DF4">
        <w:rPr>
          <w:iCs/>
        </w:rPr>
        <w:t xml:space="preserve">. </w:t>
      </w:r>
      <w:r w:rsidRPr="00E63DF4">
        <w:rPr>
          <w:iCs/>
        </w:rPr>
        <w:t xml:space="preserve"> </w:t>
      </w:r>
    </w:p>
    <w:p w:rsidR="00100457" w:rsidRPr="00E63DF4" w:rsidRDefault="00100457" w:rsidP="005A76D6">
      <w:pPr>
        <w:pStyle w:val="Bodytextitalics"/>
        <w:ind w:left="1440"/>
      </w:pPr>
      <w:r w:rsidRPr="00E63DF4">
        <w:t>For more detail on PBAC’s view, see section 7 PBAC outcome.</w:t>
      </w:r>
    </w:p>
    <w:p w:rsidR="00B50DB8" w:rsidRPr="00E63DF4" w:rsidRDefault="00203181" w:rsidP="004E18E9">
      <w:pPr>
        <w:pStyle w:val="2-SectionHeading"/>
      </w:pPr>
      <w:bookmarkStart w:id="7" w:name="_Toc40710588"/>
      <w:r w:rsidRPr="00E63DF4">
        <w:t xml:space="preserve">Population and </w:t>
      </w:r>
      <w:r w:rsidR="008E0D3C" w:rsidRPr="00E63DF4">
        <w:t>d</w:t>
      </w:r>
      <w:r w:rsidRPr="00E63DF4">
        <w:t>isease</w:t>
      </w:r>
      <w:bookmarkEnd w:id="7"/>
    </w:p>
    <w:p w:rsidR="003D7BD8" w:rsidRPr="00E63DF4" w:rsidRDefault="003D7BD8" w:rsidP="003D7BD8">
      <w:pPr>
        <w:pStyle w:val="3-BodyText"/>
      </w:pPr>
      <w:r w:rsidRPr="00E63DF4">
        <w:t>HCC is the 15</w:t>
      </w:r>
      <w:r w:rsidRPr="00E63DF4">
        <w:rPr>
          <w:vertAlign w:val="superscript"/>
        </w:rPr>
        <w:t>th</w:t>
      </w:r>
      <w:r w:rsidRPr="00E63DF4">
        <w:t xml:space="preserve"> most commonly diagnosed cancer in Australia with an estimated 2,599 new cases in 2019 (Australian Institute of Health and Welfare</w:t>
      </w:r>
      <w:r w:rsidR="005E2DD4" w:rsidRPr="00E63DF4">
        <w:t>;</w:t>
      </w:r>
      <w:r w:rsidRPr="00E63DF4">
        <w:t xml:space="preserve"> AIHW 2019). The incidence of HCC in Australia has increased from 1.8 to 8.6 per 100,000 </w:t>
      </w:r>
      <w:r w:rsidR="009C1843" w:rsidRPr="00E63DF4">
        <w:t xml:space="preserve">head of population </w:t>
      </w:r>
      <w:r w:rsidRPr="00E63DF4">
        <w:t xml:space="preserve">from 1982 to 2019 (AIHW 2019). The estimated mortality rate for HCC in Australia is 7.0 per 100,000, with an estimated 2,161 HCC-related deaths in 2019 (AIHW 2019). Up to 80% of patients first presenting with HCC have advanced, unresectable or metastatic disease with poor prognosis. </w:t>
      </w:r>
      <w:r w:rsidR="00AD1AD7" w:rsidRPr="00E63DF4">
        <w:t xml:space="preserve">The five-year survival rate of HCC in Australia </w:t>
      </w:r>
      <w:r w:rsidR="008B58E4" w:rsidRPr="00E63DF4">
        <w:t>in 20</w:t>
      </w:r>
      <w:r w:rsidR="00DB3FC5" w:rsidRPr="00E63DF4">
        <w:t>11-2015</w:t>
      </w:r>
      <w:r w:rsidR="008B58E4" w:rsidRPr="00E63DF4">
        <w:t xml:space="preserve"> </w:t>
      </w:r>
      <w:r w:rsidR="00D76D13" w:rsidRPr="00E63DF4">
        <w:t>wa</w:t>
      </w:r>
      <w:r w:rsidR="00AD1AD7" w:rsidRPr="00E63DF4">
        <w:t>s 19%</w:t>
      </w:r>
      <w:r w:rsidRPr="00E63DF4">
        <w:t xml:space="preserve"> (</w:t>
      </w:r>
      <w:r w:rsidR="00AD1AD7" w:rsidRPr="00E63DF4">
        <w:t>AIHW</w:t>
      </w:r>
      <w:r w:rsidRPr="00E63DF4">
        <w:t xml:space="preserve"> 2019).</w:t>
      </w:r>
      <w:r w:rsidR="00853DAE" w:rsidRPr="00E63DF4">
        <w:t xml:space="preserve"> The ESC acknowledged that HCC survival is very poor in a real-world situation, and that </w:t>
      </w:r>
      <w:r w:rsidR="009C5EA3" w:rsidRPr="00E63DF4">
        <w:t>treatment options for patients are limited given that performance status is often poor in advanced disease and few patients meet strict trial inclusion criteria.</w:t>
      </w:r>
    </w:p>
    <w:p w:rsidR="00626F65" w:rsidRPr="00E63DF4" w:rsidRDefault="00626F65" w:rsidP="003418BE">
      <w:pPr>
        <w:pStyle w:val="3-BodyText"/>
      </w:pPr>
      <w:r w:rsidRPr="00E63DF4">
        <w:t>Atezolizumab is a programmed death ligand 1 (PD-L1)</w:t>
      </w:r>
      <w:r w:rsidR="00C00D3C" w:rsidRPr="00E63DF4">
        <w:t xml:space="preserve"> inhibitor and</w:t>
      </w:r>
      <w:r w:rsidRPr="00E63DF4">
        <w:t xml:space="preserve"> bevacizumab is a VEGF inhibitor.</w:t>
      </w:r>
      <w:r w:rsidR="003418BE" w:rsidRPr="00E63DF4">
        <w:t xml:space="preserve"> The submission proposed that Atezo+Bev be listed for the treatment of patients with locally advanced or metastatic BCLC stage B or stage C HCC who have not received prior systemic treatment (first-line setting). The submission stated that Atezo+Bev is expected to replace us</w:t>
      </w:r>
      <w:r w:rsidR="005678E3" w:rsidRPr="00E63DF4">
        <w:t>e of TKI</w:t>
      </w:r>
      <w:r w:rsidR="003418BE" w:rsidRPr="00E63DF4">
        <w:t xml:space="preserve"> therapy (sorafenib or lenvatinib) for eligible patients in this setting.</w:t>
      </w:r>
    </w:p>
    <w:p w:rsidR="00535B88" w:rsidRPr="00111E6E" w:rsidRDefault="00535B88" w:rsidP="00111E6E">
      <w:pPr>
        <w:pStyle w:val="3-BodyText"/>
        <w:rPr>
          <w:iCs/>
        </w:rPr>
      </w:pPr>
      <w:r w:rsidRPr="00E63DF4">
        <w:t>The clinical management algorithm for the intended use of Atezo+Bev is presented in Figure 1. The submission stated that the algorithm was based on local and international clinical guidelines for patients with advanced HCC</w:t>
      </w:r>
      <w:r w:rsidRPr="00E63DF4">
        <w:rPr>
          <w:iCs/>
        </w:rPr>
        <w:t>. The submission did not present the sources of the clinical guidelines and thus they could not be validated.</w:t>
      </w:r>
    </w:p>
    <w:p w:rsidR="00535B88" w:rsidRPr="00E63DF4" w:rsidRDefault="00535B88" w:rsidP="00535B88">
      <w:pPr>
        <w:pStyle w:val="TableFigureHeading"/>
      </w:pPr>
      <w:r w:rsidRPr="00E63DF4">
        <w:lastRenderedPageBreak/>
        <w:t>Figure 1: Proposed clinical management and treatment algorithm</w:t>
      </w:r>
    </w:p>
    <w:p w:rsidR="00535B88" w:rsidRPr="00E63DF4" w:rsidRDefault="00535B88" w:rsidP="00535B88">
      <w:r w:rsidRPr="00E63DF4">
        <w:rPr>
          <w:noProof/>
        </w:rPr>
        <w:drawing>
          <wp:inline distT="0" distB="0" distL="0" distR="0" wp14:anchorId="2E923209" wp14:editId="3996613B">
            <wp:extent cx="5725697" cy="3526735"/>
            <wp:effectExtent l="0" t="0" r="8890" b="0"/>
            <wp:docPr id="8" name="Picture 33" title="Figure 1: Proposed clinical management and treat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rotWithShape="1">
                    <a:blip r:embed="rId8">
                      <a:extLst>
                        <a:ext uri="{28A0092B-C50C-407E-A947-70E740481C1C}">
                          <a14:useLocalDpi xmlns:a14="http://schemas.microsoft.com/office/drawing/2010/main" val="0"/>
                        </a:ext>
                      </a:extLst>
                    </a:blip>
                    <a:srcRect t="-1989" b="-1"/>
                    <a:stretch/>
                  </pic:blipFill>
                  <pic:spPr bwMode="auto">
                    <a:xfrm>
                      <a:off x="0" y="0"/>
                      <a:ext cx="5732998" cy="3531232"/>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rsidR="00B93A29" w:rsidRPr="00E63DF4" w:rsidRDefault="00B93A29" w:rsidP="00B93A29">
      <w:pPr>
        <w:pStyle w:val="TableFigureFooter"/>
      </w:pPr>
      <w:r w:rsidRPr="00E63DF4">
        <w:t>Source: Figure 1.5, p 32 of the submission.</w:t>
      </w:r>
    </w:p>
    <w:p w:rsidR="00100457" w:rsidRPr="00E63DF4" w:rsidRDefault="00B93A29" w:rsidP="00B93A29">
      <w:pPr>
        <w:pStyle w:val="TableFigureFooter"/>
      </w:pPr>
      <w:r w:rsidRPr="00E63DF4">
        <w:t xml:space="preserve">Abbreviations: BCLC = Barcelona Clinic Liver Cancer; </w:t>
      </w:r>
      <w:r w:rsidR="00B23C2C" w:rsidRPr="00E63DF4">
        <w:t>BSC = best supportive case;</w:t>
      </w:r>
      <w:r w:rsidRPr="00E63DF4">
        <w:t xml:space="preserve"> HCC = hepatocellular carcinoma; PS = performance status</w:t>
      </w:r>
    </w:p>
    <w:p w:rsidR="00100457" w:rsidRPr="00E63DF4" w:rsidRDefault="00100457" w:rsidP="00111E6E">
      <w:pPr>
        <w:pStyle w:val="Bodytextitalics"/>
        <w:ind w:left="1440"/>
      </w:pPr>
      <w:r w:rsidRPr="00E63DF4">
        <w:t>For more detail on PBAC’s view, see section 7 PBAC outcome.</w:t>
      </w:r>
    </w:p>
    <w:p w:rsidR="00B50DB8" w:rsidRPr="00E63DF4" w:rsidRDefault="00B50DB8" w:rsidP="004E18E9">
      <w:pPr>
        <w:pStyle w:val="2-SectionHeading"/>
      </w:pPr>
      <w:bookmarkStart w:id="8" w:name="_Toc40710589"/>
      <w:r w:rsidRPr="00E63DF4">
        <w:t>Comparator</w:t>
      </w:r>
      <w:bookmarkEnd w:id="8"/>
    </w:p>
    <w:p w:rsidR="00E02431" w:rsidRPr="00E63DF4" w:rsidRDefault="0080015C" w:rsidP="00E0585C">
      <w:pPr>
        <w:pStyle w:val="3-BodyText"/>
        <w:rPr>
          <w:snapToGrid/>
        </w:rPr>
      </w:pPr>
      <w:r w:rsidRPr="00E63DF4">
        <w:rPr>
          <w:snapToGrid/>
        </w:rPr>
        <w:t xml:space="preserve">The submission nominated sorafenib as the main comparator. </w:t>
      </w:r>
      <w:r w:rsidRPr="00E63DF4">
        <w:rPr>
          <w:iCs/>
          <w:snapToGrid/>
        </w:rPr>
        <w:t>The nomination of sorafenib as the comparator was appropriate</w:t>
      </w:r>
      <w:r w:rsidR="00132CF9" w:rsidRPr="00E63DF4">
        <w:rPr>
          <w:iCs/>
          <w:snapToGrid/>
        </w:rPr>
        <w:t xml:space="preserve"> and adequately justified</w:t>
      </w:r>
      <w:r w:rsidRPr="00E63DF4">
        <w:rPr>
          <w:iCs/>
          <w:snapToGrid/>
        </w:rPr>
        <w:t>,</w:t>
      </w:r>
      <w:r w:rsidRPr="00E63DF4">
        <w:rPr>
          <w:rFonts w:ascii="Times New Roman" w:hAnsi="Times New Roman" w:cs="Times New Roman"/>
          <w:bCs/>
          <w:iCs/>
          <w:snapToGrid/>
          <w:lang w:eastAsia="en-US"/>
        </w:rPr>
        <w:t xml:space="preserve"> </w:t>
      </w:r>
      <w:r w:rsidRPr="00E63DF4">
        <w:rPr>
          <w:bCs/>
          <w:iCs/>
          <w:snapToGrid/>
        </w:rPr>
        <w:t>however, lenvatinib is also considered to be a relevant comparator as more recent PBS item reports show more prescriptions dispensed for lenvatinib than sorafenib.</w:t>
      </w:r>
      <w:r w:rsidR="00E0585C" w:rsidRPr="00E63DF4">
        <w:rPr>
          <w:bCs/>
          <w:iCs/>
          <w:snapToGrid/>
        </w:rPr>
        <w:t xml:space="preserve"> </w:t>
      </w:r>
      <w:r w:rsidR="00E0585C" w:rsidRPr="00E63DF4">
        <w:rPr>
          <w:snapToGrid/>
        </w:rPr>
        <w:t>The Sponsor responded in the PSCR that lenvatinib was recommended by the PBAC using a cost minimisation analysis against sorafenib, based on non-inferior efficacy and safety and the same treatment cost per patient, and therefore sorafenib was an appropriate proxy for first-line TKI therapy in the target population. The ESC agreed with the Sponsor that sorafenib provided an acceptable comparison</w:t>
      </w:r>
      <w:r w:rsidR="00E354E9" w:rsidRPr="00E63DF4">
        <w:rPr>
          <w:snapToGrid/>
        </w:rPr>
        <w:t>. The PBAC considered that an additional comparison against lenvatinib was unlikely to change the basis of listing for Atez</w:t>
      </w:r>
      <w:r w:rsidR="00E372FA">
        <w:rPr>
          <w:snapToGrid/>
        </w:rPr>
        <w:t>o</w:t>
      </w:r>
      <w:r w:rsidR="00E354E9" w:rsidRPr="00E63DF4">
        <w:rPr>
          <w:snapToGrid/>
        </w:rPr>
        <w:t>+Bev</w:t>
      </w:r>
      <w:r w:rsidR="00E63DF4">
        <w:rPr>
          <w:snapToGrid/>
        </w:rPr>
        <w:t xml:space="preserve">. </w:t>
      </w:r>
    </w:p>
    <w:p w:rsidR="00100457" w:rsidRPr="00E63DF4" w:rsidRDefault="00100457" w:rsidP="00111E6E">
      <w:pPr>
        <w:pStyle w:val="Bodytextitalics"/>
        <w:ind w:left="1440"/>
      </w:pPr>
      <w:r w:rsidRPr="00E63DF4">
        <w:t>For more detail on PBAC’s view, see section 7 PBAC outcome.</w:t>
      </w:r>
      <w:r w:rsidR="003312C1" w:rsidRPr="00E63DF4">
        <w:t xml:space="preserve"> </w:t>
      </w:r>
    </w:p>
    <w:p w:rsidR="00223D5A" w:rsidRPr="00E63DF4" w:rsidRDefault="00223D5A" w:rsidP="00223D5A">
      <w:pPr>
        <w:pStyle w:val="2-SectionHeading"/>
      </w:pPr>
      <w:bookmarkStart w:id="9" w:name="_Toc40710590"/>
      <w:bookmarkStart w:id="10" w:name="_Toc22897640"/>
      <w:r w:rsidRPr="00E63DF4">
        <w:t>Consideration of the evidence</w:t>
      </w:r>
      <w:bookmarkEnd w:id="9"/>
    </w:p>
    <w:p w:rsidR="00C034E1" w:rsidRPr="00E63DF4" w:rsidRDefault="00C034E1" w:rsidP="007B5AC9">
      <w:pPr>
        <w:pStyle w:val="4-SubsectionHeading"/>
        <w:rPr>
          <w:snapToGrid w:val="0"/>
        </w:rPr>
      </w:pPr>
      <w:r w:rsidRPr="00E63DF4">
        <w:rPr>
          <w:snapToGrid w:val="0"/>
        </w:rPr>
        <w:t>Sponsor hearing</w:t>
      </w:r>
    </w:p>
    <w:p w:rsidR="00C034E1" w:rsidRPr="00E63DF4" w:rsidRDefault="00C034E1" w:rsidP="00AA28DB">
      <w:pPr>
        <w:pStyle w:val="3-BodyText"/>
      </w:pPr>
      <w:r w:rsidRPr="00E63DF4">
        <w:t>There was no hea</w:t>
      </w:r>
      <w:r w:rsidR="00875B4F" w:rsidRPr="00E63DF4">
        <w:t>ring for this item</w:t>
      </w:r>
      <w:r w:rsidRPr="00E63DF4">
        <w:t>.</w:t>
      </w:r>
    </w:p>
    <w:p w:rsidR="00C034E1" w:rsidRPr="00E63DF4" w:rsidRDefault="00C034E1" w:rsidP="007B5AC9">
      <w:pPr>
        <w:pStyle w:val="4-SubsectionHeading"/>
        <w:rPr>
          <w:snapToGrid w:val="0"/>
        </w:rPr>
      </w:pPr>
      <w:r w:rsidRPr="00E63DF4">
        <w:rPr>
          <w:snapToGrid w:val="0"/>
        </w:rPr>
        <w:lastRenderedPageBreak/>
        <w:t>Consumer comments</w:t>
      </w:r>
    </w:p>
    <w:p w:rsidR="00DE3974" w:rsidRPr="00E63DF4" w:rsidRDefault="00C034E1" w:rsidP="00111E6E">
      <w:pPr>
        <w:pStyle w:val="3-BodyText"/>
      </w:pPr>
      <w:r w:rsidRPr="00E63DF4">
        <w:t xml:space="preserve">The PBAC noted </w:t>
      </w:r>
      <w:r w:rsidRPr="00111E6E">
        <w:t>and</w:t>
      </w:r>
      <w:r w:rsidRPr="00E63DF4">
        <w:t xml:space="preserve"> welcomed the input from health care profess</w:t>
      </w:r>
      <w:r w:rsidR="000C3622" w:rsidRPr="00E63DF4">
        <w:t>ionals (1) and organisations (4</w:t>
      </w:r>
      <w:r w:rsidRPr="00E63DF4">
        <w:t>) via the Consumer Comments facility on the PBS website</w:t>
      </w:r>
      <w:r w:rsidR="00E63DF4">
        <w:t xml:space="preserve">. </w:t>
      </w:r>
    </w:p>
    <w:p w:rsidR="00DE3974" w:rsidRPr="00E63DF4" w:rsidRDefault="00DE3974" w:rsidP="00111E6E">
      <w:pPr>
        <w:pStyle w:val="3-BodyText"/>
      </w:pPr>
      <w:r w:rsidRPr="00E63DF4">
        <w:t xml:space="preserve">The comments from a healthcare professional described the unfavourable outcomes in HCC and estimated 5 year survival </w:t>
      </w:r>
      <w:r w:rsidR="00B04FC5" w:rsidRPr="00E63DF4">
        <w:t>to be less than</w:t>
      </w:r>
      <w:r w:rsidRPr="00E63DF4">
        <w:t xml:space="preserve"> 20% of patients. The healthcare professional noted that Atezo+Bev is a major breakthrough in treatment and that it is superior to sorafenib in terms of extending life, </w:t>
      </w:r>
      <w:r w:rsidR="00A46D2C" w:rsidRPr="00E63DF4">
        <w:t xml:space="preserve">having </w:t>
      </w:r>
      <w:r w:rsidRPr="00E63DF4">
        <w:t>fewer side effects and</w:t>
      </w:r>
      <w:r w:rsidR="00A46D2C" w:rsidRPr="00E63DF4">
        <w:t xml:space="preserve"> offering patients</w:t>
      </w:r>
      <w:r w:rsidRPr="00E63DF4">
        <w:t xml:space="preserve"> better quality of life (QoL).</w:t>
      </w:r>
    </w:p>
    <w:p w:rsidR="00DE3974" w:rsidRPr="00E63DF4" w:rsidRDefault="00DE3974" w:rsidP="00111E6E">
      <w:pPr>
        <w:pStyle w:val="3-BodyText"/>
      </w:pPr>
      <w:r w:rsidRPr="00E63DF4">
        <w:t xml:space="preserve">The PBAC noted the support for PBS listing of </w:t>
      </w:r>
      <w:r w:rsidR="00274554" w:rsidRPr="00E63DF4">
        <w:t xml:space="preserve">Atezo+Bev </w:t>
      </w:r>
      <w:r w:rsidRPr="00E63DF4">
        <w:t>received from</w:t>
      </w:r>
      <w:r w:rsidR="00951B5A" w:rsidRPr="00E63DF4">
        <w:t xml:space="preserve"> </w:t>
      </w:r>
      <w:r w:rsidR="00B00145" w:rsidRPr="00E63DF4">
        <w:t xml:space="preserve">the </w:t>
      </w:r>
      <w:r w:rsidR="003C2076" w:rsidRPr="00E63DF4">
        <w:t>Gastroenterological</w:t>
      </w:r>
      <w:r w:rsidR="00B00145" w:rsidRPr="00E63DF4">
        <w:t xml:space="preserve"> Society of Australia (</w:t>
      </w:r>
      <w:r w:rsidR="00951B5A" w:rsidRPr="00E63DF4">
        <w:t>GESA</w:t>
      </w:r>
      <w:r w:rsidR="00B00145" w:rsidRPr="00E63DF4">
        <w:t>)</w:t>
      </w:r>
      <w:r w:rsidR="00951B5A" w:rsidRPr="00E63DF4">
        <w:t>, Rare Cancers Australia, and Hepatitis Australia</w:t>
      </w:r>
      <w:r w:rsidRPr="00E63DF4">
        <w:t>.</w:t>
      </w:r>
      <w:r w:rsidR="00D05687" w:rsidRPr="00E63DF4">
        <w:t xml:space="preserve"> GESA expressed strong support for listing based on unmet clinical need, poor efficacy and high toxicity of VEGF TKIs, and a substantial increase in survival and better QoL with Atezo+Bev. Rare Cancers Australia commented that the increase in survival seen with Atezo+Bev in this patient group has not been seen in over a decade of treatment. Hepatitis Australia also referred to increased survival and improved quality of life with Atezo+Bev</w:t>
      </w:r>
      <w:r w:rsidR="00B00145" w:rsidRPr="00E63DF4">
        <w:t>.</w:t>
      </w:r>
    </w:p>
    <w:p w:rsidR="00DE3974" w:rsidRPr="00E63DF4" w:rsidRDefault="00DE3974" w:rsidP="00111E6E">
      <w:pPr>
        <w:pStyle w:val="3-BodyText"/>
      </w:pPr>
      <w:r w:rsidRPr="00E63DF4">
        <w:t xml:space="preserve">The Medical Oncology Group of Australia (MOGA) expressed its strong support for the </w:t>
      </w:r>
      <w:r w:rsidR="00D05687" w:rsidRPr="00E63DF4">
        <w:t>Atezo+Bev in HCC</w:t>
      </w:r>
      <w:r w:rsidRPr="00E63DF4">
        <w:t xml:space="preserve"> submission, categorising it as one of the therapies of “high</w:t>
      </w:r>
      <w:r w:rsidR="00C36479" w:rsidRPr="00E63DF4">
        <w:t>est</w:t>
      </w:r>
      <w:r w:rsidRPr="00E63DF4">
        <w:t xml:space="preserve"> priority for PBS listing” on the basis of the </w:t>
      </w:r>
      <w:r w:rsidR="00C36479" w:rsidRPr="00E63DF4">
        <w:rPr>
          <w:rFonts w:cs="Calibri"/>
        </w:rPr>
        <w:t>IMbrave150</w:t>
      </w:r>
      <w:r w:rsidRPr="00E63DF4">
        <w:rPr>
          <w:rFonts w:cs="Calibri"/>
          <w:snapToGrid/>
        </w:rPr>
        <w:t xml:space="preserve"> </w:t>
      </w:r>
      <w:r w:rsidRPr="00E63DF4">
        <w:t xml:space="preserve">trial. The PBAC noted that the MOGA presented a European Society for Medical Oncology Magnitude of Clinical Benefit Scale (ESMO-MCBS) for </w:t>
      </w:r>
      <w:r w:rsidR="00C36479" w:rsidRPr="00E63DF4">
        <w:t>Atezo+Bev</w:t>
      </w:r>
      <w:r w:rsidRPr="00E63DF4">
        <w:t xml:space="preserve"> in </w:t>
      </w:r>
      <w:r w:rsidR="00C36479" w:rsidRPr="00E63DF4">
        <w:t>HCC</w:t>
      </w:r>
      <w:r w:rsidRPr="00E63DF4">
        <w:t xml:space="preserve">, which was limited to </w:t>
      </w:r>
      <w:r w:rsidR="00C36479" w:rsidRPr="00E63DF4">
        <w:t>4</w:t>
      </w:r>
      <w:r w:rsidRPr="00E63DF4">
        <w:t xml:space="preserve"> (out of a maximum of 5, where 5 and 4 represent the grades with substantial improvement)</w:t>
      </w:r>
      <w:r w:rsidRPr="00E63DF4">
        <w:rPr>
          <w:rStyle w:val="FootnoteReference"/>
          <w:bCs/>
        </w:rPr>
        <w:footnoteReference w:id="1"/>
      </w:r>
      <w:r w:rsidRPr="00E63DF4">
        <w:t xml:space="preserve">, based on a comparison with </w:t>
      </w:r>
      <w:r w:rsidR="00C36479" w:rsidRPr="00E63DF4">
        <w:t>sorafenib</w:t>
      </w:r>
      <w:r w:rsidRPr="00E63DF4">
        <w:t>.</w:t>
      </w:r>
      <w:r w:rsidR="009A6123" w:rsidRPr="00E63DF4">
        <w:t xml:space="preserve"> MOGA stated that Atezo+Bev was </w:t>
      </w:r>
      <w:r w:rsidR="009A6123" w:rsidRPr="00E63DF4">
        <w:rPr>
          <w:snapToGrid/>
        </w:rPr>
        <w:t xml:space="preserve">scored based on progression free survival (PFS), as median overall survival (OS) of </w:t>
      </w:r>
      <w:r w:rsidR="009A6123" w:rsidRPr="00E63DF4">
        <w:t xml:space="preserve">Atezo+Bev </w:t>
      </w:r>
      <w:r w:rsidR="009A6123" w:rsidRPr="00E63DF4">
        <w:rPr>
          <w:snapToGrid/>
        </w:rPr>
        <w:t xml:space="preserve">arm in the IMbrave150 trial was not yet reached. MOGA stated that the score is likely to increase to a 5 once OS is known (based on an OS </w:t>
      </w:r>
      <w:r w:rsidR="005E272B" w:rsidRPr="00E63DF4">
        <w:rPr>
          <w:snapToGrid/>
        </w:rPr>
        <w:t>hazard ratio [</w:t>
      </w:r>
      <w:r w:rsidR="009A6123" w:rsidRPr="00E63DF4">
        <w:rPr>
          <w:snapToGrid/>
        </w:rPr>
        <w:t>HR</w:t>
      </w:r>
      <w:r w:rsidR="005E272B" w:rsidRPr="00E63DF4">
        <w:rPr>
          <w:snapToGrid/>
        </w:rPr>
        <w:t>]</w:t>
      </w:r>
      <w:r w:rsidR="009A6123" w:rsidRPr="00E63DF4">
        <w:rPr>
          <w:snapToGrid/>
        </w:rPr>
        <w:t xml:space="preserve"> of 0.58 which would result in an estimated median survival gain of &gt; 5 months).</w:t>
      </w:r>
    </w:p>
    <w:p w:rsidR="00B60939" w:rsidRPr="00E63DF4" w:rsidRDefault="00B60939" w:rsidP="002E4F02">
      <w:pPr>
        <w:pStyle w:val="4-SubsectionHeading"/>
      </w:pPr>
      <w:bookmarkStart w:id="11" w:name="_Toc40710591"/>
      <w:r w:rsidRPr="00E63DF4">
        <w:t xml:space="preserve">Clinical </w:t>
      </w:r>
      <w:r w:rsidR="008E1F4B" w:rsidRPr="00E63DF4">
        <w:t>t</w:t>
      </w:r>
      <w:r w:rsidRPr="00E63DF4">
        <w:t>rial</w:t>
      </w:r>
      <w:bookmarkEnd w:id="10"/>
      <w:r w:rsidR="008E1F4B" w:rsidRPr="00E63DF4">
        <w:t>s</w:t>
      </w:r>
      <w:bookmarkEnd w:id="11"/>
    </w:p>
    <w:p w:rsidR="007F1017" w:rsidRPr="00E63DF4" w:rsidRDefault="00A73134" w:rsidP="002E4F02">
      <w:pPr>
        <w:pStyle w:val="3-BodyText"/>
        <w:rPr>
          <w:color w:val="0066FF"/>
        </w:rPr>
      </w:pPr>
      <w:r w:rsidRPr="00E63DF4">
        <w:rPr>
          <w:snapToGrid/>
        </w:rPr>
        <w:t xml:space="preserve">The submission </w:t>
      </w:r>
      <w:r w:rsidR="00D5243B" w:rsidRPr="00E63DF4">
        <w:rPr>
          <w:snapToGrid/>
        </w:rPr>
        <w:t>wa</w:t>
      </w:r>
      <w:r w:rsidR="008E1F4B" w:rsidRPr="00E63DF4">
        <w:rPr>
          <w:snapToGrid/>
        </w:rPr>
        <w:t xml:space="preserve">s based on </w:t>
      </w:r>
      <w:r w:rsidRPr="00E63DF4">
        <w:rPr>
          <w:snapToGrid/>
        </w:rPr>
        <w:t>one head-to-head trial c</w:t>
      </w:r>
      <w:r w:rsidR="008E1F4B" w:rsidRPr="00E63DF4">
        <w:rPr>
          <w:snapToGrid/>
        </w:rPr>
        <w:t>omparing Atezo+Bev to sorafenib (N=501), IMbrave150</w:t>
      </w:r>
      <w:r w:rsidRPr="00E63DF4">
        <w:rPr>
          <w:snapToGrid/>
        </w:rPr>
        <w:t xml:space="preserve">. </w:t>
      </w:r>
    </w:p>
    <w:p w:rsidR="008E1F4B" w:rsidRPr="00E63DF4" w:rsidRDefault="008A2784" w:rsidP="00EC5836">
      <w:pPr>
        <w:pStyle w:val="3-BodyText"/>
      </w:pPr>
      <w:r w:rsidRPr="00E63DF4">
        <w:rPr>
          <w:snapToGrid/>
        </w:rPr>
        <w:t>The d</w:t>
      </w:r>
      <w:r w:rsidR="00A73134" w:rsidRPr="00E63DF4">
        <w:rPr>
          <w:snapToGrid/>
        </w:rPr>
        <w:t xml:space="preserve">etails of the </w:t>
      </w:r>
      <w:r w:rsidR="008E1F4B" w:rsidRPr="00E63DF4">
        <w:rPr>
          <w:snapToGrid/>
        </w:rPr>
        <w:t>trial</w:t>
      </w:r>
      <w:r w:rsidR="00A73134" w:rsidRPr="00E63DF4">
        <w:rPr>
          <w:snapToGrid/>
        </w:rPr>
        <w:t xml:space="preserve"> presented in the submission are provided in </w:t>
      </w:r>
      <w:r w:rsidR="009C1843" w:rsidRPr="00E63DF4">
        <w:rPr>
          <w:snapToGrid/>
        </w:rPr>
        <w:t>Table 2</w:t>
      </w:r>
      <w:r w:rsidR="00A73134" w:rsidRPr="00E63DF4">
        <w:rPr>
          <w:snapToGrid/>
        </w:rPr>
        <w:t>.</w:t>
      </w:r>
    </w:p>
    <w:p w:rsidR="008E1F4B" w:rsidRPr="00E63DF4" w:rsidRDefault="008E1F4B" w:rsidP="004549D6">
      <w:pPr>
        <w:pStyle w:val="TableFigureHeading"/>
      </w:pPr>
      <w:r w:rsidRPr="00E63DF4">
        <w:lastRenderedPageBreak/>
        <w:t>T</w:t>
      </w:r>
      <w:r w:rsidR="006F5806" w:rsidRPr="00E63DF4">
        <w:t>able 2</w:t>
      </w:r>
      <w:r w:rsidRPr="00E63DF4">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9"/>
        <w:gridCol w:w="5377"/>
        <w:gridCol w:w="2224"/>
      </w:tblGrid>
      <w:tr w:rsidR="008E1F4B" w:rsidRPr="00E63DF4" w:rsidTr="00111E6E">
        <w:trPr>
          <w:trHeight w:val="234"/>
          <w:tblHeader/>
        </w:trPr>
        <w:tc>
          <w:tcPr>
            <w:tcW w:w="796" w:type="pct"/>
            <w:tcBorders>
              <w:bottom w:val="single" w:sz="4" w:space="0" w:color="auto"/>
            </w:tcBorders>
            <w:vAlign w:val="center"/>
          </w:tcPr>
          <w:p w:rsidR="008E1F4B" w:rsidRPr="00E63DF4" w:rsidRDefault="008E1F4B" w:rsidP="004549D6">
            <w:pPr>
              <w:pStyle w:val="In-tableHeading"/>
              <w:rPr>
                <w:lang w:val="en-AU"/>
              </w:rPr>
            </w:pPr>
            <w:r w:rsidRPr="00E63DF4">
              <w:rPr>
                <w:lang w:val="en-AU"/>
              </w:rPr>
              <w:t>Trial ID</w:t>
            </w:r>
          </w:p>
        </w:tc>
        <w:tc>
          <w:tcPr>
            <w:tcW w:w="2974" w:type="pct"/>
            <w:tcBorders>
              <w:bottom w:val="single" w:sz="4" w:space="0" w:color="auto"/>
            </w:tcBorders>
            <w:vAlign w:val="center"/>
          </w:tcPr>
          <w:p w:rsidR="008E1F4B" w:rsidRPr="00E63DF4" w:rsidRDefault="008E1F4B" w:rsidP="004549D6">
            <w:pPr>
              <w:pStyle w:val="In-tableHeading"/>
              <w:rPr>
                <w:lang w:val="en-AU"/>
              </w:rPr>
            </w:pPr>
            <w:r w:rsidRPr="00E63DF4">
              <w:rPr>
                <w:lang w:val="en-AU"/>
              </w:rPr>
              <w:t>Protocol title/ Publication title</w:t>
            </w:r>
          </w:p>
        </w:tc>
        <w:tc>
          <w:tcPr>
            <w:tcW w:w="1230" w:type="pct"/>
            <w:tcBorders>
              <w:bottom w:val="single" w:sz="4" w:space="0" w:color="auto"/>
            </w:tcBorders>
            <w:vAlign w:val="center"/>
          </w:tcPr>
          <w:p w:rsidR="008E1F4B" w:rsidRPr="00E63DF4" w:rsidRDefault="008E1F4B" w:rsidP="004549D6">
            <w:pPr>
              <w:pStyle w:val="In-tableHeading"/>
              <w:rPr>
                <w:lang w:val="en-AU"/>
              </w:rPr>
            </w:pPr>
            <w:r w:rsidRPr="00E63DF4">
              <w:rPr>
                <w:lang w:val="en-AU"/>
              </w:rPr>
              <w:t>Publication citation</w:t>
            </w:r>
          </w:p>
        </w:tc>
      </w:tr>
      <w:tr w:rsidR="008E1F4B" w:rsidRPr="00E63DF4" w:rsidTr="00111E6E">
        <w:trPr>
          <w:trHeight w:val="955"/>
        </w:trPr>
        <w:tc>
          <w:tcPr>
            <w:tcW w:w="796" w:type="pct"/>
            <w:vMerge w:val="restart"/>
            <w:tcBorders>
              <w:bottom w:val="single" w:sz="4" w:space="0" w:color="auto"/>
            </w:tcBorders>
            <w:vAlign w:val="center"/>
          </w:tcPr>
          <w:p w:rsidR="008E1F4B" w:rsidRPr="00E63DF4" w:rsidRDefault="008E1F4B" w:rsidP="004549D6">
            <w:pPr>
              <w:pStyle w:val="TableText0"/>
            </w:pPr>
            <w:r w:rsidRPr="00E63DF4">
              <w:t>IMbrave150</w:t>
            </w:r>
          </w:p>
        </w:tc>
        <w:tc>
          <w:tcPr>
            <w:tcW w:w="2974" w:type="pct"/>
            <w:tcBorders>
              <w:bottom w:val="nil"/>
            </w:tcBorders>
            <w:vAlign w:val="center"/>
          </w:tcPr>
          <w:p w:rsidR="008E1F4B" w:rsidRPr="00E63DF4" w:rsidRDefault="008E1F4B" w:rsidP="004549D6">
            <w:pPr>
              <w:pStyle w:val="TableText0"/>
              <w:rPr>
                <w:szCs w:val="18"/>
              </w:rPr>
            </w:pPr>
            <w:r w:rsidRPr="00E63DF4">
              <w:rPr>
                <w:szCs w:val="18"/>
              </w:rPr>
              <w:t>A Phase III, Open-Label, Randomized Study of Atezolizumab in Combination With Bevacizumab Compared With Sorafenib in Patients With Untreated Locally Advanced or Metastatic Hepatocellular Carcinoma.</w:t>
            </w:r>
          </w:p>
        </w:tc>
        <w:tc>
          <w:tcPr>
            <w:tcW w:w="1230" w:type="pct"/>
            <w:tcBorders>
              <w:bottom w:val="nil"/>
            </w:tcBorders>
            <w:vAlign w:val="center"/>
          </w:tcPr>
          <w:p w:rsidR="008E1F4B" w:rsidRPr="00E63DF4" w:rsidRDefault="008E1F4B" w:rsidP="004549D6">
            <w:pPr>
              <w:pStyle w:val="TableText0"/>
            </w:pPr>
            <w:r w:rsidRPr="00E63DF4">
              <w:t>December 2019</w:t>
            </w:r>
          </w:p>
        </w:tc>
      </w:tr>
      <w:tr w:rsidR="008E1F4B" w:rsidRPr="00E63DF4" w:rsidTr="00111E6E">
        <w:trPr>
          <w:trHeight w:val="720"/>
        </w:trPr>
        <w:tc>
          <w:tcPr>
            <w:tcW w:w="796" w:type="pct"/>
            <w:vMerge/>
            <w:tcBorders>
              <w:top w:val="single" w:sz="4" w:space="0" w:color="auto"/>
            </w:tcBorders>
            <w:vAlign w:val="center"/>
          </w:tcPr>
          <w:p w:rsidR="008E1F4B" w:rsidRPr="00E63DF4" w:rsidRDefault="008E1F4B" w:rsidP="004549D6">
            <w:pPr>
              <w:pStyle w:val="TableText0"/>
            </w:pPr>
          </w:p>
        </w:tc>
        <w:tc>
          <w:tcPr>
            <w:tcW w:w="2974" w:type="pct"/>
            <w:tcBorders>
              <w:top w:val="nil"/>
              <w:bottom w:val="nil"/>
            </w:tcBorders>
            <w:vAlign w:val="center"/>
          </w:tcPr>
          <w:p w:rsidR="008E1F4B" w:rsidRPr="00E63DF4" w:rsidRDefault="008E1F4B" w:rsidP="004549D6">
            <w:pPr>
              <w:pStyle w:val="TableText0"/>
              <w:rPr>
                <w:szCs w:val="18"/>
              </w:rPr>
            </w:pPr>
            <w:r w:rsidRPr="00E63DF4">
              <w:rPr>
                <w:szCs w:val="18"/>
              </w:rPr>
              <w:t>Ducreux MP et al. Atezolizumab 1 bevacizumab vs sorafenib in locally advanced or metastatic hepatocellular carcinoma: The randomised phase III study IMbrave150.</w:t>
            </w:r>
          </w:p>
        </w:tc>
        <w:tc>
          <w:tcPr>
            <w:tcW w:w="1230" w:type="pct"/>
            <w:tcBorders>
              <w:top w:val="nil"/>
              <w:bottom w:val="nil"/>
            </w:tcBorders>
            <w:vAlign w:val="center"/>
          </w:tcPr>
          <w:p w:rsidR="008E1F4B" w:rsidRPr="00E63DF4" w:rsidRDefault="008E1F4B" w:rsidP="004549D6">
            <w:pPr>
              <w:pStyle w:val="TableText0"/>
              <w:rPr>
                <w:szCs w:val="18"/>
              </w:rPr>
            </w:pPr>
            <w:r w:rsidRPr="00E63DF4">
              <w:rPr>
                <w:iCs/>
                <w:szCs w:val="18"/>
              </w:rPr>
              <w:t>Annals of Oncology</w:t>
            </w:r>
            <w:r w:rsidRPr="00E63DF4">
              <w:rPr>
                <w:szCs w:val="18"/>
              </w:rPr>
              <w:t xml:space="preserve"> 2018; 29: viii267</w:t>
            </w:r>
          </w:p>
        </w:tc>
      </w:tr>
      <w:tr w:rsidR="008E1F4B" w:rsidRPr="00E63DF4" w:rsidTr="00111E6E">
        <w:trPr>
          <w:trHeight w:val="735"/>
        </w:trPr>
        <w:tc>
          <w:tcPr>
            <w:tcW w:w="796" w:type="pct"/>
            <w:vMerge/>
            <w:vAlign w:val="center"/>
          </w:tcPr>
          <w:p w:rsidR="008E1F4B" w:rsidRPr="00E63DF4" w:rsidRDefault="008E1F4B" w:rsidP="004549D6">
            <w:pPr>
              <w:pStyle w:val="TableText0"/>
            </w:pPr>
          </w:p>
        </w:tc>
        <w:tc>
          <w:tcPr>
            <w:tcW w:w="2974" w:type="pct"/>
            <w:tcBorders>
              <w:top w:val="nil"/>
              <w:bottom w:val="nil"/>
            </w:tcBorders>
            <w:vAlign w:val="center"/>
          </w:tcPr>
          <w:p w:rsidR="008E1F4B" w:rsidRPr="00E63DF4" w:rsidRDefault="008E1F4B" w:rsidP="004549D6">
            <w:pPr>
              <w:pStyle w:val="TableText0"/>
              <w:rPr>
                <w:szCs w:val="18"/>
              </w:rPr>
            </w:pPr>
            <w:r w:rsidRPr="00E63DF4">
              <w:rPr>
                <w:szCs w:val="18"/>
              </w:rPr>
              <w:t>Finn RS et al. IMbrave150: A randomized phase III study of 1L atezolizumab plus bevacizumab vs sorafenib in locally advanced or metastatic hepatocellular carcinoma.</w:t>
            </w:r>
          </w:p>
        </w:tc>
        <w:tc>
          <w:tcPr>
            <w:tcW w:w="1230" w:type="pct"/>
            <w:tcBorders>
              <w:top w:val="nil"/>
              <w:bottom w:val="nil"/>
            </w:tcBorders>
            <w:vAlign w:val="center"/>
          </w:tcPr>
          <w:p w:rsidR="008E1F4B" w:rsidRPr="00E63DF4" w:rsidRDefault="008E1F4B" w:rsidP="004549D6">
            <w:pPr>
              <w:pStyle w:val="TableText0"/>
              <w:rPr>
                <w:szCs w:val="18"/>
              </w:rPr>
            </w:pPr>
            <w:r w:rsidRPr="00E63DF4">
              <w:rPr>
                <w:iCs/>
                <w:szCs w:val="18"/>
              </w:rPr>
              <w:t>Journal of Clinical Oncology</w:t>
            </w:r>
            <w:r w:rsidRPr="00E63DF4">
              <w:rPr>
                <w:szCs w:val="18"/>
              </w:rPr>
              <w:t xml:space="preserve"> 2018; 36(15)</w:t>
            </w:r>
          </w:p>
        </w:tc>
      </w:tr>
      <w:tr w:rsidR="008E1F4B" w:rsidRPr="00E63DF4" w:rsidTr="00111E6E">
        <w:trPr>
          <w:trHeight w:val="735"/>
        </w:trPr>
        <w:tc>
          <w:tcPr>
            <w:tcW w:w="796" w:type="pct"/>
            <w:vMerge/>
            <w:vAlign w:val="center"/>
          </w:tcPr>
          <w:p w:rsidR="008E1F4B" w:rsidRPr="00E63DF4" w:rsidRDefault="008E1F4B" w:rsidP="004549D6">
            <w:pPr>
              <w:pStyle w:val="TableText0"/>
            </w:pPr>
          </w:p>
        </w:tc>
        <w:tc>
          <w:tcPr>
            <w:tcW w:w="2974" w:type="pct"/>
            <w:tcBorders>
              <w:top w:val="nil"/>
              <w:bottom w:val="nil"/>
            </w:tcBorders>
            <w:vAlign w:val="center"/>
          </w:tcPr>
          <w:p w:rsidR="008E1F4B" w:rsidRPr="00E63DF4" w:rsidRDefault="008E1F4B" w:rsidP="004549D6">
            <w:pPr>
              <w:pStyle w:val="TableText0"/>
            </w:pPr>
            <w:r w:rsidRPr="00E63DF4">
              <w:rPr>
                <w:szCs w:val="18"/>
              </w:rPr>
              <w:t xml:space="preserve">Kim TY et al. </w:t>
            </w:r>
            <w:r w:rsidRPr="00E63DF4">
              <w:t>IMbrave150: A randomized phase III study of 1L atezolizumab plus bevacizumab versus sorafenib in locally advanced or metastatic hepatocellular carcinoma.</w:t>
            </w:r>
          </w:p>
        </w:tc>
        <w:tc>
          <w:tcPr>
            <w:tcW w:w="1230" w:type="pct"/>
            <w:tcBorders>
              <w:top w:val="nil"/>
              <w:bottom w:val="nil"/>
            </w:tcBorders>
            <w:vAlign w:val="center"/>
          </w:tcPr>
          <w:p w:rsidR="008E1F4B" w:rsidRPr="00E63DF4" w:rsidRDefault="008E1F4B" w:rsidP="004549D6">
            <w:pPr>
              <w:pStyle w:val="TableText0"/>
            </w:pPr>
            <w:r w:rsidRPr="00E63DF4">
              <w:rPr>
                <w:iCs/>
              </w:rPr>
              <w:t>Liver Cancer</w:t>
            </w:r>
            <w:r w:rsidRPr="00E63DF4">
              <w:t xml:space="preserve"> 2018; 7:170</w:t>
            </w:r>
          </w:p>
        </w:tc>
      </w:tr>
      <w:tr w:rsidR="008E1F4B" w:rsidRPr="00E63DF4" w:rsidTr="00111E6E">
        <w:trPr>
          <w:trHeight w:val="485"/>
        </w:trPr>
        <w:tc>
          <w:tcPr>
            <w:tcW w:w="796" w:type="pct"/>
            <w:vMerge/>
            <w:vAlign w:val="center"/>
          </w:tcPr>
          <w:p w:rsidR="008E1F4B" w:rsidRPr="00E63DF4" w:rsidRDefault="008E1F4B" w:rsidP="004549D6">
            <w:pPr>
              <w:pStyle w:val="TableText0"/>
            </w:pPr>
          </w:p>
        </w:tc>
        <w:tc>
          <w:tcPr>
            <w:tcW w:w="2974" w:type="pct"/>
            <w:tcBorders>
              <w:top w:val="nil"/>
              <w:bottom w:val="nil"/>
            </w:tcBorders>
            <w:vAlign w:val="center"/>
          </w:tcPr>
          <w:p w:rsidR="008E1F4B" w:rsidRPr="00E63DF4" w:rsidRDefault="008E1F4B" w:rsidP="004549D6">
            <w:pPr>
              <w:pStyle w:val="TableText0"/>
              <w:rPr>
                <w:szCs w:val="18"/>
              </w:rPr>
            </w:pPr>
            <w:r w:rsidRPr="00E63DF4">
              <w:rPr>
                <w:szCs w:val="18"/>
              </w:rPr>
              <w:t>Lee KH et al. Atezolizumab + bevacizumab in hepatocellular carcinoma (HCC): Safety and clinical activity results from a phase Ib study.</w:t>
            </w:r>
          </w:p>
        </w:tc>
        <w:tc>
          <w:tcPr>
            <w:tcW w:w="1230" w:type="pct"/>
            <w:tcBorders>
              <w:top w:val="nil"/>
              <w:bottom w:val="nil"/>
            </w:tcBorders>
            <w:vAlign w:val="center"/>
          </w:tcPr>
          <w:p w:rsidR="008E1F4B" w:rsidRPr="00E63DF4" w:rsidRDefault="008E1F4B" w:rsidP="004549D6">
            <w:pPr>
              <w:pStyle w:val="TableText0"/>
            </w:pPr>
            <w:r w:rsidRPr="00E63DF4">
              <w:rPr>
                <w:szCs w:val="18"/>
              </w:rPr>
              <w:t>Annals of Oncology 2018; 29</w:t>
            </w:r>
          </w:p>
        </w:tc>
      </w:tr>
      <w:tr w:rsidR="008E1F4B" w:rsidRPr="00E63DF4" w:rsidTr="00111E6E">
        <w:trPr>
          <w:trHeight w:val="720"/>
        </w:trPr>
        <w:tc>
          <w:tcPr>
            <w:tcW w:w="796" w:type="pct"/>
            <w:vMerge/>
            <w:vAlign w:val="center"/>
          </w:tcPr>
          <w:p w:rsidR="008E1F4B" w:rsidRPr="00E63DF4" w:rsidRDefault="008E1F4B" w:rsidP="004549D6">
            <w:pPr>
              <w:pStyle w:val="TableText0"/>
            </w:pPr>
          </w:p>
        </w:tc>
        <w:tc>
          <w:tcPr>
            <w:tcW w:w="2974" w:type="pct"/>
            <w:tcBorders>
              <w:top w:val="nil"/>
              <w:bottom w:val="nil"/>
            </w:tcBorders>
            <w:vAlign w:val="center"/>
          </w:tcPr>
          <w:p w:rsidR="008E1F4B" w:rsidRPr="00E63DF4" w:rsidRDefault="008E1F4B" w:rsidP="004549D6">
            <w:pPr>
              <w:pStyle w:val="TableText0"/>
              <w:rPr>
                <w:szCs w:val="18"/>
              </w:rPr>
            </w:pPr>
            <w:r w:rsidRPr="00E63DF4">
              <w:rPr>
                <w:szCs w:val="18"/>
              </w:rPr>
              <w:t>Qin S et al. IMbrave150: A randomised phase III study of atezolizumab + bevacizumab vs sorafenib in locally advanced or metastatic hepatocellular carcinoma.</w:t>
            </w:r>
          </w:p>
        </w:tc>
        <w:tc>
          <w:tcPr>
            <w:tcW w:w="1230" w:type="pct"/>
            <w:tcBorders>
              <w:top w:val="nil"/>
              <w:bottom w:val="nil"/>
            </w:tcBorders>
            <w:vAlign w:val="center"/>
          </w:tcPr>
          <w:p w:rsidR="008E1F4B" w:rsidRPr="00E63DF4" w:rsidRDefault="008E1F4B" w:rsidP="004549D6">
            <w:pPr>
              <w:pStyle w:val="TableText0"/>
            </w:pPr>
            <w:r w:rsidRPr="00E63DF4">
              <w:rPr>
                <w:szCs w:val="18"/>
              </w:rPr>
              <w:t>Annals of Oncology 2018; 29</w:t>
            </w:r>
          </w:p>
        </w:tc>
      </w:tr>
      <w:tr w:rsidR="008E1F4B" w:rsidRPr="00E63DF4" w:rsidTr="00111E6E">
        <w:trPr>
          <w:trHeight w:val="735"/>
        </w:trPr>
        <w:tc>
          <w:tcPr>
            <w:tcW w:w="796" w:type="pct"/>
            <w:vMerge/>
            <w:vAlign w:val="center"/>
          </w:tcPr>
          <w:p w:rsidR="008E1F4B" w:rsidRPr="00E63DF4" w:rsidRDefault="008E1F4B" w:rsidP="004549D6">
            <w:pPr>
              <w:pStyle w:val="TableText0"/>
            </w:pPr>
          </w:p>
        </w:tc>
        <w:tc>
          <w:tcPr>
            <w:tcW w:w="2974" w:type="pct"/>
            <w:tcBorders>
              <w:top w:val="nil"/>
              <w:bottom w:val="nil"/>
            </w:tcBorders>
            <w:vAlign w:val="center"/>
          </w:tcPr>
          <w:p w:rsidR="008E1F4B" w:rsidRPr="00E63DF4" w:rsidRDefault="008E1F4B" w:rsidP="004549D6">
            <w:pPr>
              <w:pStyle w:val="TableText0"/>
              <w:rPr>
                <w:szCs w:val="18"/>
              </w:rPr>
            </w:pPr>
            <w:r w:rsidRPr="00E63DF4">
              <w:rPr>
                <w:szCs w:val="18"/>
              </w:rPr>
              <w:t>A Study of Atezolizumab in Combination With Bevacizumab Compared With Sorafenib in Patients With Untreated Locally Advanced or Metastatic Hepatocellular Carcinoma IMbrave150.</w:t>
            </w:r>
          </w:p>
        </w:tc>
        <w:tc>
          <w:tcPr>
            <w:tcW w:w="1230" w:type="pct"/>
            <w:tcBorders>
              <w:top w:val="nil"/>
              <w:bottom w:val="nil"/>
            </w:tcBorders>
            <w:vAlign w:val="center"/>
          </w:tcPr>
          <w:p w:rsidR="008E1F4B" w:rsidRPr="00E63DF4" w:rsidRDefault="008E1F4B" w:rsidP="004549D6">
            <w:pPr>
              <w:pStyle w:val="TableText0"/>
            </w:pPr>
            <w:r w:rsidRPr="00E63DF4">
              <w:rPr>
                <w:szCs w:val="18"/>
              </w:rPr>
              <w:t>2020</w:t>
            </w:r>
          </w:p>
        </w:tc>
      </w:tr>
      <w:tr w:rsidR="008E1F4B" w:rsidRPr="00E63DF4" w:rsidTr="00111E6E">
        <w:trPr>
          <w:trHeight w:val="735"/>
        </w:trPr>
        <w:tc>
          <w:tcPr>
            <w:tcW w:w="796" w:type="pct"/>
            <w:vMerge/>
            <w:vAlign w:val="center"/>
          </w:tcPr>
          <w:p w:rsidR="008E1F4B" w:rsidRPr="00E63DF4" w:rsidRDefault="008E1F4B" w:rsidP="004549D6">
            <w:pPr>
              <w:pStyle w:val="TableText0"/>
            </w:pPr>
          </w:p>
        </w:tc>
        <w:tc>
          <w:tcPr>
            <w:tcW w:w="2974" w:type="pct"/>
            <w:tcBorders>
              <w:top w:val="nil"/>
              <w:bottom w:val="nil"/>
            </w:tcBorders>
            <w:vAlign w:val="center"/>
          </w:tcPr>
          <w:p w:rsidR="008E1F4B" w:rsidRPr="00E63DF4" w:rsidRDefault="008E1F4B" w:rsidP="004549D6">
            <w:pPr>
              <w:pStyle w:val="TableText0"/>
              <w:rPr>
                <w:iCs/>
                <w:szCs w:val="18"/>
              </w:rPr>
            </w:pPr>
            <w:r w:rsidRPr="00E63DF4">
              <w:rPr>
                <w:iCs/>
                <w:szCs w:val="18"/>
              </w:rPr>
              <w:t>Cheng AL et al. IMbrave150: efficacy and safety results from a ph III study evaluating atezolizumab (atezo) 1 bevacizumab (bev) vs sorafenib (Sor) as first treatment (tx) for patients (pts) with unresectable hepatocellular carcinoma (HCC).</w:t>
            </w:r>
          </w:p>
        </w:tc>
        <w:tc>
          <w:tcPr>
            <w:tcW w:w="1230" w:type="pct"/>
            <w:tcBorders>
              <w:top w:val="nil"/>
              <w:bottom w:val="nil"/>
            </w:tcBorders>
            <w:vAlign w:val="center"/>
          </w:tcPr>
          <w:p w:rsidR="008E1F4B" w:rsidRPr="00E63DF4" w:rsidRDefault="008E1F4B" w:rsidP="004549D6">
            <w:pPr>
              <w:pStyle w:val="TableText0"/>
              <w:rPr>
                <w:iCs/>
                <w:szCs w:val="18"/>
              </w:rPr>
            </w:pPr>
            <w:r w:rsidRPr="00E63DF4">
              <w:rPr>
                <w:iCs/>
                <w:szCs w:val="18"/>
              </w:rPr>
              <w:t>Annals of Oncology 2019; 30:ix186-ix187</w:t>
            </w:r>
          </w:p>
        </w:tc>
      </w:tr>
      <w:tr w:rsidR="008E1F4B" w:rsidRPr="00E63DF4" w:rsidTr="00111E6E">
        <w:trPr>
          <w:trHeight w:val="93"/>
        </w:trPr>
        <w:tc>
          <w:tcPr>
            <w:tcW w:w="796" w:type="pct"/>
            <w:vMerge/>
            <w:tcBorders>
              <w:bottom w:val="single" w:sz="4" w:space="0" w:color="auto"/>
            </w:tcBorders>
            <w:vAlign w:val="center"/>
          </w:tcPr>
          <w:p w:rsidR="008E1F4B" w:rsidRPr="00E63DF4" w:rsidRDefault="008E1F4B" w:rsidP="004549D6">
            <w:pPr>
              <w:pStyle w:val="TableText0"/>
            </w:pPr>
          </w:p>
        </w:tc>
        <w:tc>
          <w:tcPr>
            <w:tcW w:w="2974" w:type="pct"/>
            <w:tcBorders>
              <w:top w:val="nil"/>
              <w:bottom w:val="single" w:sz="4" w:space="0" w:color="auto"/>
            </w:tcBorders>
            <w:vAlign w:val="center"/>
          </w:tcPr>
          <w:p w:rsidR="008E1F4B" w:rsidRPr="00E63DF4" w:rsidRDefault="008E1F4B" w:rsidP="004549D6">
            <w:pPr>
              <w:pStyle w:val="TableText0"/>
              <w:rPr>
                <w:iCs/>
                <w:szCs w:val="18"/>
              </w:rPr>
            </w:pPr>
            <w:r w:rsidRPr="00E63DF4">
              <w:rPr>
                <w:iCs/>
                <w:szCs w:val="18"/>
              </w:rPr>
              <w:t>Galle PR et al. Patient-reported outcomes (PROs) from the Phase III IMbrave150 trial of atezolizumab (atezo) + bevacizumab (bev) vs sorafenib (sor) as first-line treatment (tx) for patients (pts) with unresectable hepatocellular carcinoma (HCC).</w:t>
            </w:r>
          </w:p>
        </w:tc>
        <w:tc>
          <w:tcPr>
            <w:tcW w:w="1230" w:type="pct"/>
            <w:tcBorders>
              <w:top w:val="nil"/>
              <w:bottom w:val="single" w:sz="4" w:space="0" w:color="auto"/>
            </w:tcBorders>
            <w:vAlign w:val="center"/>
          </w:tcPr>
          <w:p w:rsidR="008E1F4B" w:rsidRPr="00E63DF4" w:rsidRDefault="008E1F4B" w:rsidP="004549D6">
            <w:pPr>
              <w:pStyle w:val="TableText0"/>
              <w:rPr>
                <w:iCs/>
                <w:szCs w:val="18"/>
              </w:rPr>
            </w:pPr>
            <w:r w:rsidRPr="00E63DF4">
              <w:rPr>
                <w:iCs/>
                <w:szCs w:val="18"/>
              </w:rPr>
              <w:t>Journal of Clinical Oncology 2020; 38(4)</w:t>
            </w:r>
          </w:p>
        </w:tc>
      </w:tr>
    </w:tbl>
    <w:p w:rsidR="008E1F4B" w:rsidRPr="00E63DF4" w:rsidRDefault="008E1F4B" w:rsidP="008E1F4B">
      <w:pPr>
        <w:pStyle w:val="TableFigureFooter"/>
      </w:pPr>
      <w:r w:rsidRPr="00E63DF4">
        <w:t>Source: Table 2.3, p47 of the submission.</w:t>
      </w:r>
    </w:p>
    <w:p w:rsidR="008E1F4B" w:rsidRPr="00111E6E" w:rsidRDefault="008E1F4B" w:rsidP="00EC5836">
      <w:pPr>
        <w:pStyle w:val="TableFigureFooter"/>
        <w:rPr>
          <w:i/>
          <w:iCs/>
          <w:sz w:val="20"/>
        </w:rPr>
      </w:pPr>
      <w:r w:rsidRPr="00F45892">
        <w:rPr>
          <w:lang w:val="fr-FR"/>
        </w:rPr>
        <w:t xml:space="preserve">Note: </w:t>
      </w:r>
      <w:r w:rsidRPr="00F45892">
        <w:rPr>
          <w:i/>
          <w:iCs/>
          <w:lang w:val="fr-FR"/>
        </w:rPr>
        <w:t xml:space="preserve">Cheng et al. (2019) and Galle et al. </w:t>
      </w:r>
      <w:r w:rsidRPr="00E63DF4">
        <w:rPr>
          <w:i/>
          <w:iCs/>
        </w:rPr>
        <w:t>(2020) added during the evaluation</w:t>
      </w:r>
    </w:p>
    <w:p w:rsidR="007F1017" w:rsidRPr="00E63DF4" w:rsidRDefault="008F120A" w:rsidP="00EC5836">
      <w:pPr>
        <w:pStyle w:val="3-BodyText"/>
        <w:rPr>
          <w:color w:val="0066FF"/>
        </w:rPr>
      </w:pPr>
      <w:r w:rsidRPr="00E63DF4">
        <w:t xml:space="preserve">The key features of the </w:t>
      </w:r>
      <w:r w:rsidR="007F5371" w:rsidRPr="00E63DF4">
        <w:t>direct randomised trial</w:t>
      </w:r>
      <w:r w:rsidRPr="00E63DF4">
        <w:t xml:space="preserve"> are summarised in </w:t>
      </w:r>
      <w:r w:rsidR="009C1843" w:rsidRPr="00E63DF4">
        <w:t>Table 3</w:t>
      </w:r>
      <w:r w:rsidRPr="00E63DF4">
        <w:t>.</w:t>
      </w:r>
      <w:r w:rsidR="00970A30" w:rsidRPr="00E63DF4">
        <w:t xml:space="preserve"> </w:t>
      </w:r>
      <w:r w:rsidR="00970A30" w:rsidRPr="00E63DF4">
        <w:rPr>
          <w:bCs/>
          <w:iCs/>
        </w:rPr>
        <w:t>The primary outcomes in the trial were OS and PFS, with secondary outcomes of objective response rate (ORR), duration of response (DOR), time to progression (TTP), safety, and patient</w:t>
      </w:r>
      <w:r w:rsidR="00F20693" w:rsidRPr="00E63DF4">
        <w:rPr>
          <w:bCs/>
          <w:iCs/>
        </w:rPr>
        <w:t>-</w:t>
      </w:r>
      <w:r w:rsidR="00970A30" w:rsidRPr="00E63DF4">
        <w:rPr>
          <w:bCs/>
          <w:iCs/>
        </w:rPr>
        <w:t xml:space="preserve">reported outcomes (PROs) including </w:t>
      </w:r>
      <w:r w:rsidR="00E0608C" w:rsidRPr="00E63DF4">
        <w:rPr>
          <w:lang w:eastAsia="en-US"/>
        </w:rPr>
        <w:t>European Organisation for the Research and Treatment of Cancer</w:t>
      </w:r>
      <w:r w:rsidR="00E0608C" w:rsidRPr="00E63DF4">
        <w:rPr>
          <w:bCs/>
          <w:iCs/>
        </w:rPr>
        <w:t xml:space="preserve"> </w:t>
      </w:r>
      <w:r w:rsidR="001106E9" w:rsidRPr="00E63DF4">
        <w:rPr>
          <w:bCs/>
          <w:iCs/>
        </w:rPr>
        <w:t>(</w:t>
      </w:r>
      <w:r w:rsidR="00970A30" w:rsidRPr="00E63DF4">
        <w:rPr>
          <w:bCs/>
          <w:iCs/>
        </w:rPr>
        <w:t>EORTC</w:t>
      </w:r>
      <w:r w:rsidR="001106E9" w:rsidRPr="00E63DF4">
        <w:rPr>
          <w:bCs/>
          <w:iCs/>
        </w:rPr>
        <w:t>)</w:t>
      </w:r>
      <w:r w:rsidR="00970A30" w:rsidRPr="00E63DF4">
        <w:rPr>
          <w:bCs/>
          <w:iCs/>
        </w:rPr>
        <w:t xml:space="preserve"> QLQ-C30 and QLQ-HCC18 questionnaires.</w:t>
      </w:r>
    </w:p>
    <w:p w:rsidR="007F1017" w:rsidRPr="00E63DF4" w:rsidRDefault="009F4A79" w:rsidP="00EC5836">
      <w:pPr>
        <w:pStyle w:val="TableFigureHeading"/>
        <w:rPr>
          <w:rStyle w:val="CommentReference"/>
          <w:b/>
          <w:szCs w:val="24"/>
        </w:rPr>
      </w:pPr>
      <w:r w:rsidRPr="00E63DF4">
        <w:rPr>
          <w:rStyle w:val="CommentReference"/>
          <w:b/>
          <w:szCs w:val="24"/>
        </w:rPr>
        <w:t>Table 3</w:t>
      </w:r>
      <w:r w:rsidR="007F1017" w:rsidRPr="00E63DF4">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0"/>
        <w:gridCol w:w="711"/>
        <w:gridCol w:w="1278"/>
        <w:gridCol w:w="1421"/>
        <w:gridCol w:w="1991"/>
        <w:gridCol w:w="1280"/>
        <w:gridCol w:w="1369"/>
      </w:tblGrid>
      <w:tr w:rsidR="00B41614" w:rsidRPr="00E63DF4" w:rsidTr="00111E6E">
        <w:trPr>
          <w:cantSplit/>
          <w:tblHeader/>
        </w:trPr>
        <w:tc>
          <w:tcPr>
            <w:tcW w:w="548" w:type="pct"/>
            <w:shd w:val="clear" w:color="auto" w:fill="auto"/>
            <w:vAlign w:val="center"/>
          </w:tcPr>
          <w:p w:rsidR="007F1017" w:rsidRPr="00E63DF4" w:rsidRDefault="007F1017" w:rsidP="001E34DF">
            <w:pPr>
              <w:pStyle w:val="In-tableHeading"/>
              <w:rPr>
                <w:lang w:val="en-AU"/>
              </w:rPr>
            </w:pPr>
            <w:r w:rsidRPr="00E63DF4">
              <w:rPr>
                <w:lang w:val="en-AU"/>
              </w:rPr>
              <w:t>Trial</w:t>
            </w:r>
          </w:p>
        </w:tc>
        <w:tc>
          <w:tcPr>
            <w:tcW w:w="393" w:type="pct"/>
            <w:shd w:val="clear" w:color="auto" w:fill="auto"/>
            <w:vAlign w:val="center"/>
          </w:tcPr>
          <w:p w:rsidR="007F1017" w:rsidRPr="00E63DF4" w:rsidRDefault="007F1017" w:rsidP="00EC5836">
            <w:pPr>
              <w:pStyle w:val="In-tableHeading"/>
              <w:jc w:val="center"/>
              <w:rPr>
                <w:lang w:val="en-AU"/>
              </w:rPr>
            </w:pPr>
            <w:r w:rsidRPr="00E63DF4">
              <w:rPr>
                <w:lang w:val="en-AU"/>
              </w:rPr>
              <w:t>N</w:t>
            </w:r>
          </w:p>
        </w:tc>
        <w:tc>
          <w:tcPr>
            <w:tcW w:w="707" w:type="pct"/>
            <w:shd w:val="clear" w:color="auto" w:fill="auto"/>
            <w:vAlign w:val="center"/>
          </w:tcPr>
          <w:p w:rsidR="007F1017" w:rsidRPr="00E63DF4" w:rsidRDefault="007F1017" w:rsidP="00EC5836">
            <w:pPr>
              <w:pStyle w:val="In-tableHeading"/>
              <w:jc w:val="center"/>
              <w:rPr>
                <w:lang w:val="en-AU"/>
              </w:rPr>
            </w:pPr>
            <w:r w:rsidRPr="00E63DF4">
              <w:rPr>
                <w:lang w:val="en-AU"/>
              </w:rPr>
              <w:t>Design/ duration</w:t>
            </w:r>
          </w:p>
        </w:tc>
        <w:tc>
          <w:tcPr>
            <w:tcW w:w="786" w:type="pct"/>
            <w:shd w:val="clear" w:color="auto" w:fill="auto"/>
            <w:vAlign w:val="center"/>
          </w:tcPr>
          <w:p w:rsidR="007F1017" w:rsidRPr="00E63DF4" w:rsidRDefault="007F1017" w:rsidP="00EC5836">
            <w:pPr>
              <w:pStyle w:val="In-tableHeading"/>
              <w:jc w:val="center"/>
              <w:rPr>
                <w:lang w:val="en-AU"/>
              </w:rPr>
            </w:pPr>
            <w:r w:rsidRPr="00E63DF4">
              <w:rPr>
                <w:lang w:val="en-AU"/>
              </w:rPr>
              <w:t>Risk of bias</w:t>
            </w:r>
          </w:p>
        </w:tc>
        <w:tc>
          <w:tcPr>
            <w:tcW w:w="1101" w:type="pct"/>
            <w:shd w:val="clear" w:color="auto" w:fill="auto"/>
            <w:vAlign w:val="center"/>
          </w:tcPr>
          <w:p w:rsidR="007F1017" w:rsidRPr="00E63DF4" w:rsidRDefault="007F1017" w:rsidP="00EC5836">
            <w:pPr>
              <w:pStyle w:val="In-tableHeading"/>
              <w:jc w:val="center"/>
              <w:rPr>
                <w:lang w:val="en-AU"/>
              </w:rPr>
            </w:pPr>
            <w:r w:rsidRPr="00E63DF4">
              <w:rPr>
                <w:lang w:val="en-AU"/>
              </w:rPr>
              <w:t>Patient population</w:t>
            </w:r>
          </w:p>
        </w:tc>
        <w:tc>
          <w:tcPr>
            <w:tcW w:w="708" w:type="pct"/>
            <w:shd w:val="clear" w:color="auto" w:fill="auto"/>
            <w:vAlign w:val="center"/>
          </w:tcPr>
          <w:p w:rsidR="007F1017" w:rsidRPr="00E63DF4" w:rsidRDefault="007F1017" w:rsidP="00EC5836">
            <w:pPr>
              <w:pStyle w:val="In-tableHeading"/>
              <w:jc w:val="center"/>
              <w:rPr>
                <w:lang w:val="en-AU"/>
              </w:rPr>
            </w:pPr>
            <w:r w:rsidRPr="00E63DF4">
              <w:rPr>
                <w:lang w:val="en-AU"/>
              </w:rPr>
              <w:t>Outcome(s)</w:t>
            </w:r>
          </w:p>
        </w:tc>
        <w:tc>
          <w:tcPr>
            <w:tcW w:w="757" w:type="pct"/>
            <w:shd w:val="clear" w:color="auto" w:fill="auto"/>
            <w:vAlign w:val="center"/>
          </w:tcPr>
          <w:p w:rsidR="007F1017" w:rsidRPr="00E63DF4" w:rsidRDefault="007F1017" w:rsidP="00EC5836">
            <w:pPr>
              <w:pStyle w:val="In-tableHeading"/>
              <w:jc w:val="center"/>
              <w:rPr>
                <w:lang w:val="en-AU"/>
              </w:rPr>
            </w:pPr>
            <w:r w:rsidRPr="00E63DF4">
              <w:rPr>
                <w:lang w:val="en-AU"/>
              </w:rPr>
              <w:t>Use in modelled evaluation</w:t>
            </w:r>
          </w:p>
        </w:tc>
      </w:tr>
      <w:tr w:rsidR="007F1017" w:rsidRPr="00E63DF4" w:rsidTr="00111E6E">
        <w:trPr>
          <w:cantSplit/>
        </w:trPr>
        <w:tc>
          <w:tcPr>
            <w:tcW w:w="5000" w:type="pct"/>
            <w:gridSpan w:val="7"/>
            <w:shd w:val="clear" w:color="auto" w:fill="auto"/>
            <w:vAlign w:val="center"/>
          </w:tcPr>
          <w:p w:rsidR="007F1017" w:rsidRPr="00E63DF4" w:rsidRDefault="007F5371" w:rsidP="00EC5836">
            <w:pPr>
              <w:pStyle w:val="In-tableHeading"/>
              <w:rPr>
                <w:lang w:val="en-AU"/>
              </w:rPr>
            </w:pPr>
            <w:r w:rsidRPr="00E63DF4">
              <w:rPr>
                <w:lang w:val="en-AU"/>
              </w:rPr>
              <w:t>Atezo+Bev vs. sorafenib</w:t>
            </w:r>
          </w:p>
        </w:tc>
      </w:tr>
      <w:tr w:rsidR="00B41614" w:rsidRPr="00E63DF4" w:rsidTr="00111E6E">
        <w:trPr>
          <w:cantSplit/>
        </w:trPr>
        <w:tc>
          <w:tcPr>
            <w:tcW w:w="548" w:type="pct"/>
            <w:shd w:val="clear" w:color="auto" w:fill="auto"/>
            <w:vAlign w:val="center"/>
          </w:tcPr>
          <w:p w:rsidR="007F1017" w:rsidRPr="00E63DF4" w:rsidRDefault="007F5371" w:rsidP="00EC5836">
            <w:pPr>
              <w:pStyle w:val="TableText0"/>
            </w:pPr>
            <w:r w:rsidRPr="00E63DF4">
              <w:t>IMbrave150</w:t>
            </w:r>
          </w:p>
        </w:tc>
        <w:tc>
          <w:tcPr>
            <w:tcW w:w="393" w:type="pct"/>
            <w:shd w:val="clear" w:color="auto" w:fill="auto"/>
            <w:vAlign w:val="center"/>
          </w:tcPr>
          <w:p w:rsidR="007F1017" w:rsidRPr="00E63DF4" w:rsidRDefault="007F5371" w:rsidP="00EC5836">
            <w:pPr>
              <w:pStyle w:val="TableText0"/>
              <w:jc w:val="center"/>
            </w:pPr>
            <w:r w:rsidRPr="00E63DF4">
              <w:t>501</w:t>
            </w:r>
          </w:p>
        </w:tc>
        <w:tc>
          <w:tcPr>
            <w:tcW w:w="707" w:type="pct"/>
            <w:shd w:val="clear" w:color="auto" w:fill="auto"/>
            <w:vAlign w:val="center"/>
          </w:tcPr>
          <w:p w:rsidR="007F1017" w:rsidRPr="00E63DF4" w:rsidRDefault="007F5371" w:rsidP="00EC5836">
            <w:pPr>
              <w:pStyle w:val="TableText0"/>
              <w:jc w:val="center"/>
            </w:pPr>
            <w:r w:rsidRPr="00E63DF4">
              <w:t>R, OL</w:t>
            </w:r>
            <w:r w:rsidR="00583D32" w:rsidRPr="00E63DF4">
              <w:t>, MC</w:t>
            </w:r>
          </w:p>
          <w:p w:rsidR="007F1017" w:rsidRPr="00E63DF4" w:rsidRDefault="00663749" w:rsidP="00EC5836">
            <w:pPr>
              <w:pStyle w:val="TableText0"/>
              <w:jc w:val="center"/>
            </w:pPr>
            <w:r w:rsidRPr="00E63DF4">
              <w:t>8.</w:t>
            </w:r>
            <w:r w:rsidR="007F1017" w:rsidRPr="00E63DF4">
              <w:t>6 m</w:t>
            </w:r>
            <w:r w:rsidRPr="00E63DF4">
              <w:t>on</w:t>
            </w:r>
            <w:r w:rsidR="007F1017" w:rsidRPr="00E63DF4">
              <w:t>ths</w:t>
            </w:r>
          </w:p>
        </w:tc>
        <w:tc>
          <w:tcPr>
            <w:tcW w:w="786" w:type="pct"/>
            <w:shd w:val="clear" w:color="auto" w:fill="auto"/>
            <w:vAlign w:val="center"/>
          </w:tcPr>
          <w:p w:rsidR="007F1017" w:rsidRPr="00E63DF4" w:rsidRDefault="007F1017" w:rsidP="00EC5836">
            <w:pPr>
              <w:pStyle w:val="TableText0"/>
              <w:jc w:val="center"/>
            </w:pPr>
            <w:r w:rsidRPr="00E63DF4">
              <w:t>Low</w:t>
            </w:r>
            <w:r w:rsidR="00236BC5" w:rsidRPr="00E63DF4">
              <w:t xml:space="preserve"> (overall);</w:t>
            </w:r>
          </w:p>
          <w:p w:rsidR="00236BC5" w:rsidRPr="00E63DF4" w:rsidRDefault="00236BC5" w:rsidP="00EC5836">
            <w:pPr>
              <w:pStyle w:val="TableText0"/>
              <w:jc w:val="center"/>
              <w:rPr>
                <w:i/>
              </w:rPr>
            </w:pPr>
            <w:r w:rsidRPr="00E63DF4">
              <w:t>Moderate (PRO and safety)</w:t>
            </w:r>
          </w:p>
        </w:tc>
        <w:tc>
          <w:tcPr>
            <w:tcW w:w="1101" w:type="pct"/>
            <w:shd w:val="clear" w:color="auto" w:fill="auto"/>
            <w:vAlign w:val="center"/>
          </w:tcPr>
          <w:p w:rsidR="007F1017" w:rsidRPr="00E63DF4" w:rsidRDefault="00663749" w:rsidP="00EC5836">
            <w:pPr>
              <w:pStyle w:val="TableText0"/>
              <w:jc w:val="center"/>
            </w:pPr>
            <w:r w:rsidRPr="00E63DF4">
              <w:t>Locally advanced or metastatic HCC who had not received prior systemic treatment</w:t>
            </w:r>
          </w:p>
        </w:tc>
        <w:tc>
          <w:tcPr>
            <w:tcW w:w="708" w:type="pct"/>
            <w:shd w:val="clear" w:color="auto" w:fill="auto"/>
            <w:vAlign w:val="center"/>
          </w:tcPr>
          <w:p w:rsidR="007F1017" w:rsidRPr="00E63DF4" w:rsidRDefault="007F1017" w:rsidP="00EC5836">
            <w:pPr>
              <w:pStyle w:val="TableText0"/>
              <w:jc w:val="center"/>
            </w:pPr>
            <w:r w:rsidRPr="00E63DF4">
              <w:t>OS</w:t>
            </w:r>
            <w:r w:rsidR="007F5371" w:rsidRPr="00E63DF4">
              <w:t>, PFS</w:t>
            </w:r>
          </w:p>
        </w:tc>
        <w:tc>
          <w:tcPr>
            <w:tcW w:w="757" w:type="pct"/>
            <w:shd w:val="clear" w:color="auto" w:fill="auto"/>
            <w:vAlign w:val="center"/>
          </w:tcPr>
          <w:p w:rsidR="007F1017" w:rsidRPr="00E63DF4" w:rsidRDefault="00583D32" w:rsidP="00EC5836">
            <w:pPr>
              <w:pStyle w:val="TableText0"/>
              <w:jc w:val="center"/>
            </w:pPr>
            <w:r w:rsidRPr="00E63DF4">
              <w:t>OS, PFS</w:t>
            </w:r>
          </w:p>
        </w:tc>
      </w:tr>
    </w:tbl>
    <w:p w:rsidR="00045017" w:rsidRPr="00E63DF4" w:rsidRDefault="00045017" w:rsidP="00EC5836">
      <w:pPr>
        <w:pStyle w:val="TableFigureFooter"/>
      </w:pPr>
      <w:r w:rsidRPr="00E63DF4">
        <w:t xml:space="preserve">Source: </w:t>
      </w:r>
      <w:r w:rsidR="00663749" w:rsidRPr="00E63DF4">
        <w:t>compiled during the evaluation</w:t>
      </w:r>
    </w:p>
    <w:p w:rsidR="00620C25" w:rsidRPr="00E63DF4" w:rsidRDefault="00663749" w:rsidP="00EC5836">
      <w:pPr>
        <w:pStyle w:val="TableFigureFooter"/>
      </w:pPr>
      <w:r w:rsidRPr="00E63DF4">
        <w:t xml:space="preserve">Abbreviations: Atezo+Bev = atezolizumab plus bevacizumab; </w:t>
      </w:r>
      <w:r w:rsidR="00620C25" w:rsidRPr="00E63DF4">
        <w:t xml:space="preserve">DB = double blind; </w:t>
      </w:r>
      <w:r w:rsidRPr="00E63DF4">
        <w:t xml:space="preserve">HCC = hepatocellular carcinoma; </w:t>
      </w:r>
      <w:r w:rsidR="00620C25" w:rsidRPr="00E63DF4">
        <w:t>MC = multi</w:t>
      </w:r>
      <w:r w:rsidR="00475735" w:rsidRPr="00E63DF4">
        <w:t>centre</w:t>
      </w:r>
      <w:r w:rsidR="00620C25" w:rsidRPr="00E63DF4">
        <w:t>; OL = open</w:t>
      </w:r>
      <w:r w:rsidR="00F20693" w:rsidRPr="00E63DF4">
        <w:t>-</w:t>
      </w:r>
      <w:r w:rsidR="00620C25" w:rsidRPr="00E63DF4">
        <w:t xml:space="preserve">label; OS = overall survival; PFS = progression-free survival; </w:t>
      </w:r>
      <w:r w:rsidR="004F400F" w:rsidRPr="00E63DF4">
        <w:t>PRO = patient</w:t>
      </w:r>
      <w:r w:rsidR="00F20693" w:rsidRPr="00E63DF4">
        <w:t>-</w:t>
      </w:r>
      <w:r w:rsidR="004F400F" w:rsidRPr="00E63DF4">
        <w:t xml:space="preserve">reported outcomes; </w:t>
      </w:r>
      <w:r w:rsidR="00620C25" w:rsidRPr="00E63DF4">
        <w:t>R = randomised.</w:t>
      </w:r>
    </w:p>
    <w:p w:rsidR="00663749" w:rsidRPr="00E63DF4" w:rsidRDefault="00663749" w:rsidP="00EC5836">
      <w:pPr>
        <w:pStyle w:val="TableFigureFooter"/>
        <w:rPr>
          <w:sz w:val="20"/>
        </w:rPr>
      </w:pPr>
      <w:r w:rsidRPr="00E63DF4">
        <w:t>Note:</w:t>
      </w:r>
      <w:r w:rsidRPr="00E63DF4">
        <w:rPr>
          <w:rFonts w:ascii="Calibri" w:eastAsiaTheme="minorEastAsia" w:hAnsi="Calibri" w:cstheme="minorBidi"/>
          <w:snapToGrid/>
          <w:sz w:val="22"/>
          <w:lang w:eastAsia="en-US"/>
        </w:rPr>
        <w:t xml:space="preserve"> </w:t>
      </w:r>
      <w:r w:rsidRPr="00E63DF4">
        <w:t>The median duration of survival follow-up for all patients was 8.6 months (Atezo+Bev = 8.9 months, Sorafenib = 8.1 months)</w:t>
      </w:r>
    </w:p>
    <w:p w:rsidR="009D4906" w:rsidRPr="00E63DF4" w:rsidRDefault="009A542B" w:rsidP="0049577E">
      <w:pPr>
        <w:pStyle w:val="3-BodyText"/>
      </w:pPr>
      <w:r w:rsidRPr="00E63DF4">
        <w:rPr>
          <w:iCs/>
        </w:rPr>
        <w:lastRenderedPageBreak/>
        <w:t xml:space="preserve">Overall, </w:t>
      </w:r>
      <w:r w:rsidR="000C6DCD" w:rsidRPr="00E63DF4">
        <w:rPr>
          <w:iCs/>
        </w:rPr>
        <w:t xml:space="preserve">IMbrave150 had a low risk of bias. While the trial was open-label, the </w:t>
      </w:r>
      <w:r w:rsidR="008A1123" w:rsidRPr="00E63DF4">
        <w:rPr>
          <w:iCs/>
        </w:rPr>
        <w:t xml:space="preserve">key primary and secondary </w:t>
      </w:r>
      <w:r w:rsidR="000C6DCD" w:rsidRPr="00E63DF4">
        <w:rPr>
          <w:iCs/>
        </w:rPr>
        <w:t xml:space="preserve">efficacy outcomes included independent review facility (IRF) assessment, which minimised the risk of bias since the IRF </w:t>
      </w:r>
      <w:r w:rsidR="008673BB" w:rsidRPr="00E63DF4">
        <w:rPr>
          <w:iCs/>
        </w:rPr>
        <w:t xml:space="preserve">was </w:t>
      </w:r>
      <w:r w:rsidR="000C6DCD" w:rsidRPr="00E63DF4">
        <w:rPr>
          <w:iCs/>
        </w:rPr>
        <w:t>blinded to treatment allocation.</w:t>
      </w:r>
      <w:r w:rsidR="00236BC5" w:rsidRPr="00E63DF4">
        <w:rPr>
          <w:iCs/>
        </w:rPr>
        <w:t xml:space="preserve"> However, the assessment of patient</w:t>
      </w:r>
      <w:r w:rsidR="00F20693" w:rsidRPr="00E63DF4">
        <w:rPr>
          <w:iCs/>
        </w:rPr>
        <w:t>-</w:t>
      </w:r>
      <w:r w:rsidR="00236BC5" w:rsidRPr="00E63DF4">
        <w:rPr>
          <w:iCs/>
        </w:rPr>
        <w:t>reported outcomes, such as QoL and subjective reporting of adverse events (AEs) may be affected by investigator, clinician and patient knowledge of treatment allocation.</w:t>
      </w:r>
      <w:r w:rsidR="00EB654D" w:rsidRPr="00E63DF4">
        <w:rPr>
          <w:rFonts w:ascii="Calibri" w:hAnsi="Calibri"/>
          <w:bCs/>
          <w:snapToGrid/>
        </w:rPr>
        <w:t xml:space="preserve"> </w:t>
      </w:r>
      <w:r w:rsidR="00EB654D" w:rsidRPr="00E63DF4">
        <w:rPr>
          <w:bCs/>
          <w:iCs/>
        </w:rPr>
        <w:t xml:space="preserve">Withdrawal from </w:t>
      </w:r>
      <w:r w:rsidR="00496B7E" w:rsidRPr="00E63DF4">
        <w:rPr>
          <w:bCs/>
          <w:iCs/>
        </w:rPr>
        <w:t xml:space="preserve">the </w:t>
      </w:r>
      <w:r w:rsidR="00EB654D" w:rsidRPr="00E63DF4">
        <w:rPr>
          <w:bCs/>
          <w:iCs/>
        </w:rPr>
        <w:t>study by patients was higher in the sorafenib arm (11.5%) compared to the Atezo+Bev arm (3.5%); this may have potentially influenced the results of the survival analysis.</w:t>
      </w:r>
    </w:p>
    <w:p w:rsidR="004B76CE" w:rsidRPr="00111E6E" w:rsidRDefault="004B76CE" w:rsidP="004B76CE">
      <w:pPr>
        <w:pStyle w:val="3-BodyText"/>
      </w:pPr>
      <w:r w:rsidRPr="00111E6E">
        <w:t xml:space="preserve">A higher proportion of patients received follow-up HCC systemic therapy in the sorafenib arm compared to the Atezo+Bev arm (44.2% vs 20.5%, respectively). The most common follow-up systemic therapy for patients was a TKI (26.1% and 18.8% in the sorafenib and Atezo+Bev arms, respectively). The submission noted that there are no second line systemic therapies currently reimbursed on the PBS </w:t>
      </w:r>
      <w:r w:rsidR="00021BAB" w:rsidRPr="00111E6E">
        <w:t>for patients with HCC</w:t>
      </w:r>
      <w:r w:rsidR="00441DE8" w:rsidRPr="00111E6E">
        <w:t>, based on the assumption that patients would receive either lenvatinib or sorafenib first-line and then be ineligible to receive the alternative agent (unless intolerant)</w:t>
      </w:r>
      <w:r w:rsidR="00E63DF4" w:rsidRPr="00111E6E">
        <w:t xml:space="preserve">. </w:t>
      </w:r>
      <w:r w:rsidR="00441DE8" w:rsidRPr="00111E6E">
        <w:t>However, t</w:t>
      </w:r>
      <w:r w:rsidR="00F43BA8" w:rsidRPr="00111E6E">
        <w:t>he ESC clarified that the wording of the restrictions for sorafenib and lenvatinib are</w:t>
      </w:r>
      <w:r w:rsidR="00441DE8" w:rsidRPr="00111E6E">
        <w:t xml:space="preserve"> </w:t>
      </w:r>
      <w:r w:rsidR="00F43BA8" w:rsidRPr="00111E6E">
        <w:t xml:space="preserve">line agnostic, and </w:t>
      </w:r>
      <w:r w:rsidR="005F3222" w:rsidRPr="00111E6E">
        <w:t>it</w:t>
      </w:r>
      <w:r w:rsidR="00F43BA8" w:rsidRPr="00111E6E">
        <w:t xml:space="preserve"> is</w:t>
      </w:r>
      <w:r w:rsidR="005F3222" w:rsidRPr="00111E6E">
        <w:t xml:space="preserve"> likely that these agents could be used second-line following Atezo+Bev (paragraph</w:t>
      </w:r>
      <w:r w:rsidR="00B12EAB" w:rsidRPr="00111E6E">
        <w:t xml:space="preserve"> 3.</w:t>
      </w:r>
      <w:r w:rsidR="0022247C" w:rsidRPr="00111E6E">
        <w:t>6</w:t>
      </w:r>
      <w:r w:rsidR="005F3222" w:rsidRPr="00111E6E">
        <w:t>).</w:t>
      </w:r>
      <w:r w:rsidR="00441DE8" w:rsidRPr="00111E6E">
        <w:t xml:space="preserve"> If</w:t>
      </w:r>
      <w:r w:rsidR="00BA4F4D" w:rsidRPr="00111E6E">
        <w:t xml:space="preserve"> </w:t>
      </w:r>
      <w:r w:rsidR="00441DE8" w:rsidRPr="00111E6E">
        <w:t>the sorafenib and lenvatinib</w:t>
      </w:r>
      <w:r w:rsidR="00BA4F4D" w:rsidRPr="00111E6E">
        <w:t xml:space="preserve"> restrictions are updated to disallow second-line use, </w:t>
      </w:r>
      <w:r w:rsidR="00BC4CB9" w:rsidRPr="00111E6E">
        <w:t>the outcomes in IMbrave150 may be artificially inflated relative to the Australian setting</w:t>
      </w:r>
      <w:r w:rsidR="00BA4F4D" w:rsidRPr="00111E6E">
        <w:t>.</w:t>
      </w:r>
      <w:r w:rsidR="00F43BA8" w:rsidRPr="00111E6E">
        <w:t xml:space="preserve"> </w:t>
      </w:r>
      <w:r w:rsidRPr="00111E6E">
        <w:t>The submission stated</w:t>
      </w:r>
      <w:r w:rsidR="008E1516" w:rsidRPr="00111E6E">
        <w:t xml:space="preserve"> and the PSCR re-emphasised</w:t>
      </w:r>
      <w:r w:rsidRPr="00111E6E">
        <w:t xml:space="preserve"> that the trial results are likely to be biased in favour of sorafenib given that more patients </w:t>
      </w:r>
      <w:r w:rsidR="00021BAB" w:rsidRPr="00111E6E">
        <w:t xml:space="preserve">in the sorafenib arm </w:t>
      </w:r>
      <w:r w:rsidRPr="00111E6E">
        <w:t xml:space="preserve">received follow-up systemic therapy. However, the direction of bias is unclear as a higher proportion of patients in the Atezo+Bev arm (43.5%) were still on treatment compared to the sorafenib arm (14.5%) and the outcomes </w:t>
      </w:r>
      <w:r w:rsidR="002E7E65" w:rsidRPr="00111E6E">
        <w:t>post-discontinuation</w:t>
      </w:r>
      <w:r w:rsidRPr="00111E6E">
        <w:t xml:space="preserve"> in these patients are unknown in the longer term.</w:t>
      </w:r>
    </w:p>
    <w:p w:rsidR="00BC529A" w:rsidRPr="00E63DF4" w:rsidRDefault="00F021BC" w:rsidP="0098247E">
      <w:pPr>
        <w:pStyle w:val="3-BodyText"/>
      </w:pPr>
      <w:r w:rsidRPr="00E63DF4">
        <w:t>The ESC considered that the IM</w:t>
      </w:r>
      <w:r w:rsidR="009E489A" w:rsidRPr="00E63DF4">
        <w:t>b</w:t>
      </w:r>
      <w:r w:rsidRPr="00E63DF4">
        <w:t>rave150 trial had strict inclusion/exclusion criteria that are unlikely to reflect the circumstances of Australian patients with HCC. Trial patients were not permitted to receive non-steroidal anti-inflammatory drugs (NSAIDs)</w:t>
      </w:r>
      <w:r w:rsidR="008D5037" w:rsidRPr="00E63DF4">
        <w:t xml:space="preserve"> </w:t>
      </w:r>
      <w:r w:rsidR="00AB07C5" w:rsidRPr="00E63DF4">
        <w:t>including</w:t>
      </w:r>
      <w:r w:rsidR="008D5037" w:rsidRPr="00E63DF4">
        <w:t xml:space="preserve"> aspirin</w:t>
      </w:r>
      <w:r w:rsidRPr="00E63DF4">
        <w:t>, they must have had an endoscopy within 6 months of starting therapy due to bleeding risk, they must not have had a history of hepatic encephalopathy</w:t>
      </w:r>
      <w:r w:rsidR="008D5037" w:rsidRPr="00E63DF4">
        <w:t xml:space="preserve"> (even if Child-Pugh A)</w:t>
      </w:r>
      <w:r w:rsidRPr="00E63DF4">
        <w:t>, and those with active hepatitis B must have had suppressed viral load with antiviral medication.</w:t>
      </w:r>
      <w:r w:rsidR="008B075B" w:rsidRPr="00E63DF4">
        <w:t xml:space="preserve"> </w:t>
      </w:r>
      <w:r w:rsidR="0098247E" w:rsidRPr="00E63DF4">
        <w:t>The PBAC it would be appropriate to include a ‘Caution’ in the restriction criteria that patients should be assessed for risk of variceal bleeding prior to treatment with Atez</w:t>
      </w:r>
      <w:r w:rsidR="00E372FA">
        <w:t>o</w:t>
      </w:r>
      <w:r w:rsidR="0098247E" w:rsidRPr="00E63DF4">
        <w:t>+Bev as the safety of Atezo+Bev has not been established in patients who had incompletely treated varices</w:t>
      </w:r>
      <w:r w:rsidR="00411EEA">
        <w:t>, variceal bleeding within the previous 6 months</w:t>
      </w:r>
      <w:r w:rsidR="0098247E" w:rsidRPr="00E63DF4">
        <w:t xml:space="preserve"> or who were at high risk of bleeding. </w:t>
      </w:r>
    </w:p>
    <w:p w:rsidR="00B60939" w:rsidRPr="00E63DF4" w:rsidRDefault="00B60939" w:rsidP="00EC5836">
      <w:pPr>
        <w:pStyle w:val="4-SubsectionHeading"/>
      </w:pPr>
      <w:bookmarkStart w:id="12" w:name="_Toc22897641"/>
      <w:bookmarkStart w:id="13" w:name="_Toc40710592"/>
      <w:r w:rsidRPr="00E63DF4">
        <w:t>Comparative effectiveness</w:t>
      </w:r>
      <w:bookmarkEnd w:id="12"/>
      <w:bookmarkEnd w:id="13"/>
    </w:p>
    <w:p w:rsidR="00573642" w:rsidRPr="00E63DF4" w:rsidRDefault="00507365" w:rsidP="009B5637">
      <w:pPr>
        <w:pStyle w:val="3-BodyText"/>
      </w:pPr>
      <w:r w:rsidRPr="00E63DF4">
        <w:rPr>
          <w:snapToGrid/>
        </w:rPr>
        <w:t xml:space="preserve">A summary of the OS </w:t>
      </w:r>
      <w:r w:rsidR="004D1C78" w:rsidRPr="00E63DF4">
        <w:rPr>
          <w:snapToGrid/>
        </w:rPr>
        <w:t xml:space="preserve">and PFS </w:t>
      </w:r>
      <w:r w:rsidRPr="00E63DF4">
        <w:rPr>
          <w:snapToGrid/>
        </w:rPr>
        <w:t xml:space="preserve">results is presented in Table </w:t>
      </w:r>
      <w:r w:rsidR="009F4A79" w:rsidRPr="00E63DF4">
        <w:rPr>
          <w:snapToGrid/>
        </w:rPr>
        <w:t>4</w:t>
      </w:r>
      <w:r w:rsidRPr="00E63DF4">
        <w:rPr>
          <w:snapToGrid/>
        </w:rPr>
        <w:t>, with the corresponding Kaplan-Meier curve</w:t>
      </w:r>
      <w:r w:rsidR="009559FA" w:rsidRPr="00E63DF4">
        <w:rPr>
          <w:snapToGrid/>
        </w:rPr>
        <w:t>s</w:t>
      </w:r>
      <w:r w:rsidRPr="00E63DF4">
        <w:rPr>
          <w:snapToGrid/>
        </w:rPr>
        <w:t xml:space="preserve"> in </w:t>
      </w:r>
      <w:r w:rsidR="009F4A79" w:rsidRPr="00E63DF4">
        <w:rPr>
          <w:snapToGrid/>
        </w:rPr>
        <w:t xml:space="preserve">Figure </w:t>
      </w:r>
      <w:r w:rsidR="00B93A29" w:rsidRPr="00E63DF4">
        <w:rPr>
          <w:snapToGrid/>
        </w:rPr>
        <w:t>2</w:t>
      </w:r>
      <w:r w:rsidR="00970A30" w:rsidRPr="00E63DF4">
        <w:rPr>
          <w:snapToGrid/>
        </w:rPr>
        <w:t xml:space="preserve"> </w:t>
      </w:r>
      <w:r w:rsidR="00D76D13" w:rsidRPr="00E63DF4">
        <w:rPr>
          <w:snapToGrid/>
        </w:rPr>
        <w:t>to</w:t>
      </w:r>
      <w:r w:rsidR="009F4A79" w:rsidRPr="00E63DF4">
        <w:rPr>
          <w:snapToGrid/>
        </w:rPr>
        <w:t xml:space="preserve"> Figure </w:t>
      </w:r>
      <w:r w:rsidR="00B93A29" w:rsidRPr="00E63DF4">
        <w:rPr>
          <w:snapToGrid/>
        </w:rPr>
        <w:t>4</w:t>
      </w:r>
      <w:r w:rsidRPr="00E63DF4">
        <w:rPr>
          <w:snapToGrid/>
        </w:rPr>
        <w:t>.</w:t>
      </w:r>
      <w:r w:rsidR="00387A18" w:rsidRPr="00E63DF4">
        <w:rPr>
          <w:snapToGrid/>
        </w:rPr>
        <w:t xml:space="preserve"> The results demonstrated a statistically significant difference in OS and PFS, in favour of Atezo+Bev. </w:t>
      </w:r>
      <w:r w:rsidR="00387A18" w:rsidRPr="00E63DF4">
        <w:rPr>
          <w:iCs/>
          <w:snapToGrid/>
        </w:rPr>
        <w:t xml:space="preserve">The median duration of </w:t>
      </w:r>
      <w:r w:rsidR="00387A18" w:rsidRPr="00E63DF4">
        <w:rPr>
          <w:iCs/>
          <w:snapToGrid/>
        </w:rPr>
        <w:lastRenderedPageBreak/>
        <w:t>follow-up for the tr</w:t>
      </w:r>
      <w:r w:rsidR="00BF6E93" w:rsidRPr="00E63DF4">
        <w:rPr>
          <w:iCs/>
          <w:snapToGrid/>
        </w:rPr>
        <w:t>ial wa</w:t>
      </w:r>
      <w:r w:rsidR="00387A18" w:rsidRPr="00E63DF4">
        <w:rPr>
          <w:iCs/>
          <w:snapToGrid/>
        </w:rPr>
        <w:t xml:space="preserve">s short (8.6 months) and the median OS in the Atezo+Bev arm was not reached, with only 28.6% (Atezo+Bev) and 39.4% (sorafenib) of patients having experienced an event. </w:t>
      </w:r>
      <w:r w:rsidR="00573642" w:rsidRPr="00E63DF4">
        <w:rPr>
          <w:iCs/>
          <w:snapToGrid/>
        </w:rPr>
        <w:t>The Sponsor acknowledged the short follow-up and immature survival data in the PSCR; however they re-emphasised the significance of the magnitude of the benefit; i.e. the curves diverged from one month and continued to diverge until the end of the follow-up.</w:t>
      </w:r>
      <w:r w:rsidR="0073523B" w:rsidRPr="00E63DF4">
        <w:rPr>
          <w:iCs/>
          <w:snapToGrid/>
        </w:rPr>
        <w:t xml:space="preserve"> </w:t>
      </w:r>
      <w:r w:rsidR="0064162B" w:rsidRPr="00E63DF4">
        <w:rPr>
          <w:iCs/>
          <w:snapToGrid/>
        </w:rPr>
        <w:t>T</w:t>
      </w:r>
      <w:r w:rsidR="0073523B" w:rsidRPr="00E63DF4">
        <w:rPr>
          <w:iCs/>
          <w:snapToGrid/>
        </w:rPr>
        <w:t>he ESC considered that the improvement in OS (HR=0.</w:t>
      </w:r>
      <w:r w:rsidR="0073523B" w:rsidRPr="00E63DF4">
        <w:t>58) is clinically significant</w:t>
      </w:r>
      <w:r w:rsidR="0064162B" w:rsidRPr="00E63DF4">
        <w:t xml:space="preserve"> despite the immaturity of the data</w:t>
      </w:r>
      <w:r w:rsidR="00673BC0" w:rsidRPr="00E63DF4">
        <w:t>, especially</w:t>
      </w:r>
      <w:r w:rsidR="005A3BDC" w:rsidRPr="00E63DF4">
        <w:t xml:space="preserve"> </w:t>
      </w:r>
      <w:r w:rsidR="005A3BDC" w:rsidRPr="00E63DF4">
        <w:rPr>
          <w:iCs/>
          <w:snapToGrid/>
        </w:rPr>
        <w:t>given the poor outcomes associated with HCC</w:t>
      </w:r>
      <w:r w:rsidR="00695F12" w:rsidRPr="00E63DF4">
        <w:t>.</w:t>
      </w:r>
    </w:p>
    <w:p w:rsidR="009B5637" w:rsidRPr="00E63DF4" w:rsidRDefault="00573642" w:rsidP="0073523B">
      <w:pPr>
        <w:pStyle w:val="3-BodyText"/>
      </w:pPr>
      <w:r w:rsidRPr="00E63DF4">
        <w:rPr>
          <w:iCs/>
          <w:snapToGrid/>
        </w:rPr>
        <w:t>T</w:t>
      </w:r>
      <w:r w:rsidR="00387A18" w:rsidRPr="00E63DF4">
        <w:rPr>
          <w:iCs/>
          <w:snapToGrid/>
        </w:rPr>
        <w:t>here was a high degree of censoring for survival and the number of patients</w:t>
      </w:r>
      <w:r w:rsidR="00596632" w:rsidRPr="00E63DF4">
        <w:rPr>
          <w:iCs/>
          <w:snapToGrid/>
        </w:rPr>
        <w:t xml:space="preserve"> remaining at risk after</w:t>
      </w:r>
      <w:r w:rsidR="00387A18" w:rsidRPr="00E63DF4">
        <w:rPr>
          <w:iCs/>
          <w:snapToGrid/>
        </w:rPr>
        <w:t xml:space="preserve"> month 12 was low. Combined</w:t>
      </w:r>
      <w:r w:rsidR="005A3BDC" w:rsidRPr="00E63DF4">
        <w:rPr>
          <w:iCs/>
          <w:snapToGrid/>
        </w:rPr>
        <w:t xml:space="preserve"> with the short duration of follow-up</w:t>
      </w:r>
      <w:r w:rsidR="00387A18" w:rsidRPr="00E63DF4">
        <w:rPr>
          <w:iCs/>
          <w:snapToGrid/>
        </w:rPr>
        <w:t xml:space="preserve">, this suggests the OS data </w:t>
      </w:r>
      <w:r w:rsidR="009559FA" w:rsidRPr="00E63DF4">
        <w:rPr>
          <w:iCs/>
          <w:snapToGrid/>
        </w:rPr>
        <w:t>we</w:t>
      </w:r>
      <w:r w:rsidR="00387A18" w:rsidRPr="00E63DF4">
        <w:rPr>
          <w:iCs/>
          <w:snapToGrid/>
        </w:rPr>
        <w:t>re immature.</w:t>
      </w:r>
      <w:r w:rsidR="007D26DC" w:rsidRPr="00E63DF4">
        <w:rPr>
          <w:iCs/>
          <w:snapToGrid/>
        </w:rPr>
        <w:t xml:space="preserve"> </w:t>
      </w:r>
      <w:r w:rsidR="005A3BDC" w:rsidRPr="00E63DF4">
        <w:rPr>
          <w:iCs/>
          <w:snapToGrid/>
        </w:rPr>
        <w:t>T</w:t>
      </w:r>
      <w:r w:rsidR="007D26DC" w:rsidRPr="00E63DF4">
        <w:rPr>
          <w:iCs/>
          <w:snapToGrid/>
        </w:rPr>
        <w:t>he Sponsor stated</w:t>
      </w:r>
      <w:r w:rsidR="005A3BDC" w:rsidRPr="00E63DF4">
        <w:rPr>
          <w:iCs/>
          <w:snapToGrid/>
        </w:rPr>
        <w:t xml:space="preserve"> in the PSCR</w:t>
      </w:r>
      <w:r w:rsidR="007D26DC" w:rsidRPr="00E63DF4">
        <w:rPr>
          <w:iCs/>
          <w:snapToGrid/>
        </w:rPr>
        <w:t xml:space="preserve"> that the high degree of censoring in the Atezo+Bev arm relative to the sorafenib arm occurred because more patients were alive in the Atezo+Bev arm</w:t>
      </w:r>
      <w:r w:rsidR="005A3BDC" w:rsidRPr="00E63DF4">
        <w:rPr>
          <w:iCs/>
          <w:snapToGrid/>
        </w:rPr>
        <w:t xml:space="preserve"> at the time of the clinical cut-off date</w:t>
      </w:r>
      <w:r w:rsidR="007D26DC" w:rsidRPr="00E63DF4">
        <w:rPr>
          <w:iCs/>
          <w:snapToGrid/>
        </w:rPr>
        <w:t xml:space="preserve">. The Sponsor also stated that, as the event rate is lower than expected, further data cuts are unlikely to be available in the near future. </w:t>
      </w:r>
      <w:r w:rsidR="0073523B" w:rsidRPr="00E63DF4">
        <w:t xml:space="preserve">The ESC commented that </w:t>
      </w:r>
      <w:r w:rsidRPr="00E63DF4">
        <w:t>given the aggressive tumour biology</w:t>
      </w:r>
      <w:r w:rsidR="005A3BDC" w:rsidRPr="00E63DF4">
        <w:t>,</w:t>
      </w:r>
      <w:r w:rsidRPr="00E63DF4">
        <w:t xml:space="preserve"> it would be expected for events to occur relatively quickly.</w:t>
      </w:r>
    </w:p>
    <w:p w:rsidR="009B5637" w:rsidRPr="00E63DF4" w:rsidRDefault="009F4A79" w:rsidP="009B5637">
      <w:pPr>
        <w:pStyle w:val="TableFigureHeading"/>
        <w:rPr>
          <w:rStyle w:val="CommentReference"/>
          <w:b/>
          <w:szCs w:val="24"/>
        </w:rPr>
      </w:pPr>
      <w:r w:rsidRPr="00E63DF4">
        <w:rPr>
          <w:rStyle w:val="CommentReference"/>
          <w:b/>
          <w:szCs w:val="24"/>
        </w:rPr>
        <w:t>Table 4</w:t>
      </w:r>
      <w:r w:rsidR="009B5637" w:rsidRPr="00E63DF4">
        <w:rPr>
          <w:rStyle w:val="CommentReference"/>
          <w:b/>
          <w:szCs w:val="24"/>
        </w:rPr>
        <w:t>: Summary of survival outcomes in IMbrave150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86"/>
        <w:gridCol w:w="852"/>
        <w:gridCol w:w="1381"/>
        <w:gridCol w:w="920"/>
        <w:gridCol w:w="1687"/>
        <w:gridCol w:w="1226"/>
        <w:gridCol w:w="768"/>
        <w:gridCol w:w="1220"/>
      </w:tblGrid>
      <w:tr w:rsidR="009B5637" w:rsidRPr="00E63DF4" w:rsidTr="00111E6E">
        <w:trPr>
          <w:trHeight w:val="437"/>
          <w:tblHeader/>
        </w:trPr>
        <w:tc>
          <w:tcPr>
            <w:tcW w:w="545" w:type="pct"/>
            <w:tcBorders>
              <w:bottom w:val="nil"/>
            </w:tcBorders>
            <w:vAlign w:val="center"/>
          </w:tcPr>
          <w:p w:rsidR="009B5637" w:rsidRPr="00E63DF4" w:rsidRDefault="009B5637" w:rsidP="009B5637">
            <w:pPr>
              <w:pStyle w:val="In-tableHeading"/>
              <w:rPr>
                <w:lang w:val="en-AU" w:eastAsia="zh-CN"/>
              </w:rPr>
            </w:pPr>
          </w:p>
        </w:tc>
        <w:tc>
          <w:tcPr>
            <w:tcW w:w="1235" w:type="pct"/>
            <w:gridSpan w:val="2"/>
            <w:vAlign w:val="center"/>
          </w:tcPr>
          <w:p w:rsidR="009B5637" w:rsidRPr="00E63DF4" w:rsidRDefault="009B5637" w:rsidP="009B5637">
            <w:pPr>
              <w:pStyle w:val="In-tableHeading"/>
              <w:jc w:val="center"/>
              <w:rPr>
                <w:lang w:val="en-AU" w:eastAsia="zh-CN"/>
              </w:rPr>
            </w:pPr>
            <w:r w:rsidRPr="00E63DF4">
              <w:rPr>
                <w:lang w:val="en-AU" w:eastAsia="zh-CN"/>
              </w:rPr>
              <w:t>Atezo+Bev</w:t>
            </w:r>
          </w:p>
        </w:tc>
        <w:tc>
          <w:tcPr>
            <w:tcW w:w="1442" w:type="pct"/>
            <w:gridSpan w:val="2"/>
            <w:vAlign w:val="center"/>
          </w:tcPr>
          <w:p w:rsidR="009B5637" w:rsidRPr="00E63DF4" w:rsidRDefault="009B5637" w:rsidP="009B5637">
            <w:pPr>
              <w:pStyle w:val="In-tableHeading"/>
              <w:jc w:val="center"/>
              <w:rPr>
                <w:lang w:val="en-AU" w:eastAsia="zh-CN"/>
              </w:rPr>
            </w:pPr>
            <w:r w:rsidRPr="00E63DF4">
              <w:rPr>
                <w:lang w:val="en-AU" w:eastAsia="zh-CN"/>
              </w:rPr>
              <w:t>Sorafenib</w:t>
            </w:r>
          </w:p>
        </w:tc>
        <w:tc>
          <w:tcPr>
            <w:tcW w:w="678" w:type="pct"/>
            <w:vMerge w:val="restart"/>
            <w:vAlign w:val="center"/>
          </w:tcPr>
          <w:p w:rsidR="009B5637" w:rsidRPr="00E63DF4" w:rsidRDefault="009B5637" w:rsidP="009B5637">
            <w:pPr>
              <w:pStyle w:val="In-tableHeading"/>
              <w:jc w:val="center"/>
              <w:rPr>
                <w:lang w:val="en-AU" w:eastAsia="zh-CN"/>
              </w:rPr>
            </w:pPr>
            <w:r w:rsidRPr="00E63DF4">
              <w:rPr>
                <w:lang w:val="en-AU" w:eastAsia="zh-CN"/>
              </w:rPr>
              <w:t>Difference in median</w:t>
            </w:r>
          </w:p>
        </w:tc>
        <w:tc>
          <w:tcPr>
            <w:tcW w:w="425" w:type="pct"/>
            <w:vMerge w:val="restart"/>
            <w:vAlign w:val="center"/>
          </w:tcPr>
          <w:p w:rsidR="009B5637" w:rsidRPr="00E63DF4" w:rsidRDefault="009B5637" w:rsidP="009B5637">
            <w:pPr>
              <w:pStyle w:val="In-tableHeading"/>
              <w:jc w:val="center"/>
              <w:rPr>
                <w:vertAlign w:val="superscript"/>
                <w:lang w:val="en-AU" w:eastAsia="zh-CN"/>
              </w:rPr>
            </w:pPr>
            <w:r w:rsidRPr="00E63DF4">
              <w:rPr>
                <w:lang w:val="en-AU" w:eastAsia="zh-CN"/>
              </w:rPr>
              <w:t>P</w:t>
            </w:r>
            <w:r w:rsidR="00D87A2D" w:rsidRPr="00E63DF4">
              <w:rPr>
                <w:lang w:val="en-AU" w:eastAsia="zh-CN"/>
              </w:rPr>
              <w:t xml:space="preserve"> </w:t>
            </w:r>
            <w:r w:rsidRPr="00E63DF4">
              <w:rPr>
                <w:lang w:val="en-AU" w:eastAsia="zh-CN"/>
              </w:rPr>
              <w:t>value</w:t>
            </w:r>
          </w:p>
        </w:tc>
        <w:tc>
          <w:tcPr>
            <w:tcW w:w="676" w:type="pct"/>
            <w:vMerge w:val="restart"/>
            <w:vAlign w:val="center"/>
          </w:tcPr>
          <w:p w:rsidR="009B5637" w:rsidRPr="00E63DF4" w:rsidRDefault="009B5637" w:rsidP="009B5637">
            <w:pPr>
              <w:pStyle w:val="In-tableHeading"/>
              <w:jc w:val="center"/>
              <w:rPr>
                <w:vertAlign w:val="superscript"/>
                <w:lang w:val="en-AU" w:eastAsia="zh-CN"/>
              </w:rPr>
            </w:pPr>
            <w:r w:rsidRPr="00E63DF4">
              <w:rPr>
                <w:lang w:val="en-AU" w:eastAsia="zh-CN"/>
              </w:rPr>
              <w:t>HR (95% CI)</w:t>
            </w:r>
          </w:p>
        </w:tc>
      </w:tr>
      <w:tr w:rsidR="009B5637" w:rsidRPr="00E63DF4" w:rsidTr="00111E6E">
        <w:trPr>
          <w:trHeight w:val="437"/>
          <w:tblHeader/>
        </w:trPr>
        <w:tc>
          <w:tcPr>
            <w:tcW w:w="545" w:type="pct"/>
            <w:tcBorders>
              <w:top w:val="nil"/>
            </w:tcBorders>
          </w:tcPr>
          <w:p w:rsidR="009B5637" w:rsidRPr="00E63DF4" w:rsidRDefault="009B5637" w:rsidP="009B5637">
            <w:pPr>
              <w:pStyle w:val="In-tableHeading"/>
              <w:rPr>
                <w:lang w:val="en-AU" w:eastAsia="zh-CN"/>
              </w:rPr>
            </w:pPr>
            <w:r w:rsidRPr="00E63DF4">
              <w:rPr>
                <w:lang w:val="en-AU" w:eastAsia="zh-CN"/>
              </w:rPr>
              <w:t>Outcome</w:t>
            </w:r>
          </w:p>
        </w:tc>
        <w:tc>
          <w:tcPr>
            <w:tcW w:w="471" w:type="pct"/>
          </w:tcPr>
          <w:p w:rsidR="009B5637" w:rsidRPr="00E63DF4" w:rsidRDefault="009B5637" w:rsidP="009B5637">
            <w:pPr>
              <w:pStyle w:val="In-tableHeading"/>
              <w:jc w:val="center"/>
              <w:rPr>
                <w:lang w:val="en-AU" w:eastAsia="zh-CN"/>
              </w:rPr>
            </w:pPr>
            <w:r w:rsidRPr="00E63DF4">
              <w:rPr>
                <w:lang w:val="en-AU" w:eastAsia="zh-CN"/>
              </w:rPr>
              <w:t>n/N (%)</w:t>
            </w:r>
          </w:p>
        </w:tc>
        <w:tc>
          <w:tcPr>
            <w:tcW w:w="764" w:type="pct"/>
          </w:tcPr>
          <w:p w:rsidR="009B5637" w:rsidRPr="00E63DF4" w:rsidRDefault="009B5637" w:rsidP="009B5637">
            <w:pPr>
              <w:pStyle w:val="In-tableHeading"/>
              <w:jc w:val="center"/>
              <w:rPr>
                <w:lang w:val="en-AU" w:eastAsia="zh-CN"/>
              </w:rPr>
            </w:pPr>
            <w:r w:rsidRPr="00E63DF4">
              <w:rPr>
                <w:lang w:val="en-AU" w:eastAsia="zh-CN"/>
              </w:rPr>
              <w:t>Median time to event (95% CI)</w:t>
            </w:r>
          </w:p>
        </w:tc>
        <w:tc>
          <w:tcPr>
            <w:tcW w:w="509" w:type="pct"/>
          </w:tcPr>
          <w:p w:rsidR="009B5637" w:rsidRPr="00E63DF4" w:rsidRDefault="009B5637" w:rsidP="009B5637">
            <w:pPr>
              <w:pStyle w:val="In-tableHeading"/>
              <w:jc w:val="center"/>
              <w:rPr>
                <w:lang w:val="en-AU" w:eastAsia="zh-CN"/>
              </w:rPr>
            </w:pPr>
            <w:r w:rsidRPr="00E63DF4">
              <w:rPr>
                <w:lang w:val="en-AU" w:eastAsia="zh-CN"/>
              </w:rPr>
              <w:t>n/N (%)</w:t>
            </w:r>
          </w:p>
        </w:tc>
        <w:tc>
          <w:tcPr>
            <w:tcW w:w="933" w:type="pct"/>
          </w:tcPr>
          <w:p w:rsidR="009B5637" w:rsidRPr="00E63DF4" w:rsidRDefault="009B5637" w:rsidP="009B5637">
            <w:pPr>
              <w:pStyle w:val="In-tableHeading"/>
              <w:jc w:val="center"/>
              <w:rPr>
                <w:lang w:val="en-AU" w:eastAsia="zh-CN"/>
              </w:rPr>
            </w:pPr>
            <w:r w:rsidRPr="00E63DF4">
              <w:rPr>
                <w:lang w:val="en-AU" w:eastAsia="zh-CN"/>
              </w:rPr>
              <w:t>Median time to event (95% CI)</w:t>
            </w:r>
          </w:p>
        </w:tc>
        <w:tc>
          <w:tcPr>
            <w:tcW w:w="678" w:type="pct"/>
            <w:vMerge/>
          </w:tcPr>
          <w:p w:rsidR="009B5637" w:rsidRPr="00E63DF4" w:rsidRDefault="009B5637" w:rsidP="009B5637">
            <w:pPr>
              <w:pStyle w:val="In-tableHeading"/>
              <w:jc w:val="center"/>
              <w:rPr>
                <w:lang w:val="en-AU" w:eastAsia="zh-CN"/>
              </w:rPr>
            </w:pPr>
          </w:p>
        </w:tc>
        <w:tc>
          <w:tcPr>
            <w:tcW w:w="425" w:type="pct"/>
            <w:vMerge/>
          </w:tcPr>
          <w:p w:rsidR="009B5637" w:rsidRPr="00E63DF4" w:rsidRDefault="009B5637" w:rsidP="009B5637">
            <w:pPr>
              <w:pStyle w:val="In-tableHeading"/>
              <w:jc w:val="center"/>
              <w:rPr>
                <w:lang w:val="en-AU" w:eastAsia="zh-CN"/>
              </w:rPr>
            </w:pPr>
          </w:p>
        </w:tc>
        <w:tc>
          <w:tcPr>
            <w:tcW w:w="676" w:type="pct"/>
            <w:vMerge/>
          </w:tcPr>
          <w:p w:rsidR="009B5637" w:rsidRPr="00E63DF4" w:rsidRDefault="009B5637" w:rsidP="009B5637">
            <w:pPr>
              <w:pStyle w:val="In-tableHeading"/>
              <w:jc w:val="center"/>
              <w:rPr>
                <w:lang w:val="en-AU" w:eastAsia="zh-CN"/>
              </w:rPr>
            </w:pPr>
          </w:p>
        </w:tc>
      </w:tr>
      <w:tr w:rsidR="009B5637" w:rsidRPr="00E63DF4" w:rsidTr="00111E6E">
        <w:trPr>
          <w:trHeight w:val="207"/>
        </w:trPr>
        <w:tc>
          <w:tcPr>
            <w:tcW w:w="545" w:type="pct"/>
            <w:vAlign w:val="center"/>
          </w:tcPr>
          <w:p w:rsidR="009B5637" w:rsidRPr="00E63DF4" w:rsidRDefault="009B5637" w:rsidP="009B5637">
            <w:pPr>
              <w:pStyle w:val="TableText0"/>
              <w:rPr>
                <w:lang w:eastAsia="zh-CN"/>
              </w:rPr>
            </w:pPr>
            <w:r w:rsidRPr="00E63DF4">
              <w:rPr>
                <w:lang w:eastAsia="zh-CN"/>
              </w:rPr>
              <w:t>OS</w:t>
            </w:r>
          </w:p>
          <w:p w:rsidR="00D57667" w:rsidRPr="00E63DF4" w:rsidRDefault="00D57667" w:rsidP="009B5637">
            <w:pPr>
              <w:pStyle w:val="TableText0"/>
              <w:rPr>
                <w:lang w:eastAsia="zh-CN"/>
              </w:rPr>
            </w:pPr>
            <w:r w:rsidRPr="00E63DF4">
              <w:rPr>
                <w:lang w:eastAsia="zh-CN"/>
              </w:rPr>
              <w:t>(deaths)</w:t>
            </w:r>
          </w:p>
        </w:tc>
        <w:tc>
          <w:tcPr>
            <w:tcW w:w="471" w:type="pct"/>
            <w:vAlign w:val="center"/>
          </w:tcPr>
          <w:p w:rsidR="009B5637" w:rsidRPr="00E63DF4" w:rsidRDefault="009B5637" w:rsidP="009B5637">
            <w:pPr>
              <w:pStyle w:val="TableText0"/>
              <w:jc w:val="center"/>
              <w:rPr>
                <w:lang w:eastAsia="zh-CN"/>
              </w:rPr>
            </w:pPr>
            <w:r w:rsidRPr="00E63DF4">
              <w:rPr>
                <w:lang w:eastAsia="zh-CN"/>
              </w:rPr>
              <w:t>96/336</w:t>
            </w:r>
          </w:p>
          <w:p w:rsidR="009B5637" w:rsidRPr="00E63DF4" w:rsidRDefault="009B5637" w:rsidP="009B5637">
            <w:pPr>
              <w:pStyle w:val="TableText0"/>
              <w:jc w:val="center"/>
              <w:rPr>
                <w:lang w:eastAsia="zh-CN"/>
              </w:rPr>
            </w:pPr>
            <w:r w:rsidRPr="00E63DF4">
              <w:rPr>
                <w:lang w:eastAsia="zh-CN"/>
              </w:rPr>
              <w:t>(28.6)</w:t>
            </w:r>
          </w:p>
        </w:tc>
        <w:tc>
          <w:tcPr>
            <w:tcW w:w="764" w:type="pct"/>
            <w:vAlign w:val="center"/>
          </w:tcPr>
          <w:p w:rsidR="009B5637" w:rsidRPr="00E63DF4" w:rsidRDefault="009B5637" w:rsidP="009B5637">
            <w:pPr>
              <w:pStyle w:val="TableText0"/>
              <w:jc w:val="center"/>
              <w:rPr>
                <w:lang w:eastAsia="zh-CN"/>
              </w:rPr>
            </w:pPr>
            <w:r w:rsidRPr="00E63DF4">
              <w:rPr>
                <w:lang w:eastAsia="zh-CN"/>
              </w:rPr>
              <w:t>NE</w:t>
            </w:r>
          </w:p>
        </w:tc>
        <w:tc>
          <w:tcPr>
            <w:tcW w:w="509" w:type="pct"/>
            <w:vAlign w:val="center"/>
          </w:tcPr>
          <w:p w:rsidR="009B5637" w:rsidRPr="00E63DF4" w:rsidRDefault="009B5637" w:rsidP="009B5637">
            <w:pPr>
              <w:pStyle w:val="TableText0"/>
              <w:jc w:val="center"/>
              <w:rPr>
                <w:lang w:eastAsia="zh-CN"/>
              </w:rPr>
            </w:pPr>
            <w:r w:rsidRPr="00E63DF4">
              <w:rPr>
                <w:lang w:eastAsia="zh-CN"/>
              </w:rPr>
              <w:t>65/165</w:t>
            </w:r>
          </w:p>
          <w:p w:rsidR="009B5637" w:rsidRPr="00E63DF4" w:rsidRDefault="009B5637" w:rsidP="009B5637">
            <w:pPr>
              <w:pStyle w:val="TableText0"/>
              <w:jc w:val="center"/>
              <w:rPr>
                <w:lang w:eastAsia="zh-CN"/>
              </w:rPr>
            </w:pPr>
            <w:r w:rsidRPr="00E63DF4">
              <w:rPr>
                <w:lang w:eastAsia="zh-CN"/>
              </w:rPr>
              <w:t>(39.4)</w:t>
            </w:r>
          </w:p>
        </w:tc>
        <w:tc>
          <w:tcPr>
            <w:tcW w:w="933" w:type="pct"/>
            <w:vAlign w:val="center"/>
          </w:tcPr>
          <w:p w:rsidR="009B5637" w:rsidRPr="00E63DF4" w:rsidRDefault="009B5637" w:rsidP="009B5637">
            <w:pPr>
              <w:pStyle w:val="TableText0"/>
              <w:jc w:val="center"/>
              <w:rPr>
                <w:lang w:eastAsia="zh-CN"/>
              </w:rPr>
            </w:pPr>
            <w:r w:rsidRPr="00E63DF4">
              <w:rPr>
                <w:lang w:eastAsia="zh-CN"/>
              </w:rPr>
              <w:t>13.24 months</w:t>
            </w:r>
          </w:p>
          <w:p w:rsidR="009B5637" w:rsidRPr="00E63DF4" w:rsidRDefault="009B5637" w:rsidP="009B5637">
            <w:pPr>
              <w:pStyle w:val="TableText0"/>
              <w:jc w:val="center"/>
              <w:rPr>
                <w:lang w:eastAsia="zh-CN"/>
              </w:rPr>
            </w:pPr>
            <w:r w:rsidRPr="00E63DF4">
              <w:rPr>
                <w:lang w:eastAsia="zh-CN"/>
              </w:rPr>
              <w:t>(10.41, NE)</w:t>
            </w:r>
          </w:p>
        </w:tc>
        <w:tc>
          <w:tcPr>
            <w:tcW w:w="678" w:type="pct"/>
            <w:vAlign w:val="center"/>
          </w:tcPr>
          <w:p w:rsidR="009B5637" w:rsidRPr="00E63DF4" w:rsidRDefault="009B5637" w:rsidP="009B5637">
            <w:pPr>
              <w:pStyle w:val="TableText0"/>
              <w:jc w:val="center"/>
              <w:rPr>
                <w:lang w:eastAsia="zh-CN"/>
              </w:rPr>
            </w:pPr>
            <w:r w:rsidRPr="00E63DF4">
              <w:rPr>
                <w:lang w:eastAsia="zh-CN"/>
              </w:rPr>
              <w:t>NE</w:t>
            </w:r>
          </w:p>
        </w:tc>
        <w:tc>
          <w:tcPr>
            <w:tcW w:w="425" w:type="pct"/>
            <w:vAlign w:val="center"/>
          </w:tcPr>
          <w:p w:rsidR="009B5637" w:rsidRPr="00E63DF4" w:rsidRDefault="009B5637" w:rsidP="009B5637">
            <w:pPr>
              <w:pStyle w:val="TableText0"/>
              <w:jc w:val="center"/>
              <w:rPr>
                <w:b/>
                <w:lang w:eastAsia="zh-CN"/>
              </w:rPr>
            </w:pPr>
            <w:r w:rsidRPr="00E63DF4">
              <w:rPr>
                <w:b/>
                <w:lang w:eastAsia="zh-CN"/>
              </w:rPr>
              <w:t>0.0006</w:t>
            </w:r>
          </w:p>
        </w:tc>
        <w:tc>
          <w:tcPr>
            <w:tcW w:w="676" w:type="pct"/>
            <w:vAlign w:val="center"/>
          </w:tcPr>
          <w:p w:rsidR="009B5637" w:rsidRPr="00E63DF4" w:rsidRDefault="009B5637" w:rsidP="009B5637">
            <w:pPr>
              <w:pStyle w:val="TableText0"/>
              <w:jc w:val="center"/>
              <w:rPr>
                <w:b/>
                <w:lang w:eastAsia="zh-CN"/>
              </w:rPr>
            </w:pPr>
            <w:r w:rsidRPr="00E63DF4">
              <w:rPr>
                <w:b/>
                <w:lang w:eastAsia="zh-CN"/>
              </w:rPr>
              <w:t>0.58</w:t>
            </w:r>
          </w:p>
          <w:p w:rsidR="009B5637" w:rsidRPr="00E63DF4" w:rsidRDefault="009B5637" w:rsidP="009B5637">
            <w:pPr>
              <w:pStyle w:val="TableText0"/>
              <w:jc w:val="center"/>
              <w:rPr>
                <w:b/>
                <w:lang w:eastAsia="zh-CN"/>
              </w:rPr>
            </w:pPr>
            <w:r w:rsidRPr="00E63DF4">
              <w:rPr>
                <w:b/>
                <w:lang w:eastAsia="zh-CN"/>
              </w:rPr>
              <w:t>(0.42, 0.79)</w:t>
            </w:r>
          </w:p>
        </w:tc>
      </w:tr>
      <w:tr w:rsidR="009B5637" w:rsidRPr="00E63DF4" w:rsidTr="00111E6E">
        <w:trPr>
          <w:trHeight w:val="207"/>
        </w:trPr>
        <w:tc>
          <w:tcPr>
            <w:tcW w:w="545" w:type="pct"/>
            <w:tcBorders>
              <w:top w:val="single" w:sz="4" w:space="0" w:color="000000"/>
            </w:tcBorders>
            <w:vAlign w:val="center"/>
          </w:tcPr>
          <w:p w:rsidR="009B5637" w:rsidRPr="00E63DF4" w:rsidRDefault="009B5637" w:rsidP="009B5637">
            <w:pPr>
              <w:pStyle w:val="TableText0"/>
              <w:rPr>
                <w:vertAlign w:val="superscript"/>
                <w:lang w:eastAsia="zh-CN"/>
              </w:rPr>
            </w:pPr>
            <w:r w:rsidRPr="00E63DF4">
              <w:rPr>
                <w:lang w:eastAsia="zh-CN"/>
              </w:rPr>
              <w:t>PFS</w:t>
            </w:r>
            <w:r w:rsidRPr="00E63DF4">
              <w:rPr>
                <w:vertAlign w:val="superscript"/>
                <w:lang w:eastAsia="zh-CN"/>
              </w:rPr>
              <w:t>a</w:t>
            </w:r>
          </w:p>
          <w:p w:rsidR="00D57667" w:rsidRPr="00E63DF4" w:rsidRDefault="00D57667" w:rsidP="009B5637">
            <w:pPr>
              <w:pStyle w:val="TableText0"/>
              <w:rPr>
                <w:rFonts w:cs="Calibri"/>
                <w:szCs w:val="20"/>
                <w:lang w:eastAsia="zh-CN"/>
              </w:rPr>
            </w:pPr>
            <w:r w:rsidRPr="00E63DF4">
              <w:rPr>
                <w:lang w:eastAsia="zh-CN"/>
              </w:rPr>
              <w:t>(prog.</w:t>
            </w:r>
            <w:r w:rsidR="00AB07C5" w:rsidRPr="00E63DF4">
              <w:rPr>
                <w:lang w:eastAsia="zh-CN"/>
              </w:rPr>
              <w:t xml:space="preserve"> </w:t>
            </w:r>
            <w:r w:rsidRPr="00E63DF4">
              <w:rPr>
                <w:lang w:eastAsia="zh-CN"/>
              </w:rPr>
              <w:t>event)</w:t>
            </w:r>
          </w:p>
        </w:tc>
        <w:tc>
          <w:tcPr>
            <w:tcW w:w="471" w:type="pct"/>
            <w:vAlign w:val="center"/>
          </w:tcPr>
          <w:p w:rsidR="009B5637" w:rsidRPr="00E63DF4" w:rsidRDefault="009B5637" w:rsidP="009B5637">
            <w:pPr>
              <w:pStyle w:val="TableText0"/>
              <w:jc w:val="center"/>
              <w:rPr>
                <w:rFonts w:cs="Calibri"/>
                <w:szCs w:val="20"/>
                <w:lang w:eastAsia="zh-CN"/>
              </w:rPr>
            </w:pPr>
            <w:r w:rsidRPr="00E63DF4">
              <w:rPr>
                <w:lang w:eastAsia="zh-CN"/>
              </w:rPr>
              <w:t>197/336 (58.6)</w:t>
            </w:r>
          </w:p>
        </w:tc>
        <w:tc>
          <w:tcPr>
            <w:tcW w:w="764" w:type="pct"/>
            <w:vAlign w:val="center"/>
          </w:tcPr>
          <w:p w:rsidR="009B5637" w:rsidRPr="00E63DF4" w:rsidRDefault="009B5637" w:rsidP="009B5637">
            <w:pPr>
              <w:pStyle w:val="TableText0"/>
              <w:jc w:val="center"/>
              <w:rPr>
                <w:rFonts w:cs="Calibri"/>
                <w:szCs w:val="20"/>
                <w:lang w:eastAsia="zh-CN"/>
              </w:rPr>
            </w:pPr>
            <w:r w:rsidRPr="00E63DF4">
              <w:rPr>
                <w:lang w:eastAsia="zh-CN"/>
              </w:rPr>
              <w:t>6.83 months (5.75, 8.28)</w:t>
            </w:r>
          </w:p>
        </w:tc>
        <w:tc>
          <w:tcPr>
            <w:tcW w:w="509" w:type="pct"/>
            <w:vAlign w:val="center"/>
          </w:tcPr>
          <w:p w:rsidR="009B5637" w:rsidRPr="00E63DF4" w:rsidRDefault="009B5637" w:rsidP="009B5637">
            <w:pPr>
              <w:pStyle w:val="TableText0"/>
              <w:jc w:val="center"/>
              <w:rPr>
                <w:rFonts w:cs="Calibri"/>
                <w:szCs w:val="20"/>
                <w:lang w:eastAsia="zh-CN"/>
              </w:rPr>
            </w:pPr>
            <w:r w:rsidRPr="00E63DF4">
              <w:rPr>
                <w:lang w:eastAsia="zh-CN"/>
              </w:rPr>
              <w:t>109/165 (66.1)</w:t>
            </w:r>
          </w:p>
        </w:tc>
        <w:tc>
          <w:tcPr>
            <w:tcW w:w="933" w:type="pct"/>
            <w:vAlign w:val="center"/>
          </w:tcPr>
          <w:p w:rsidR="009B5637" w:rsidRPr="00E63DF4" w:rsidRDefault="009B5637" w:rsidP="009B5637">
            <w:pPr>
              <w:pStyle w:val="TableText0"/>
              <w:jc w:val="center"/>
              <w:rPr>
                <w:lang w:eastAsia="zh-CN"/>
              </w:rPr>
            </w:pPr>
            <w:r w:rsidRPr="00E63DF4">
              <w:rPr>
                <w:lang w:eastAsia="zh-CN"/>
              </w:rPr>
              <w:t>4.27 months</w:t>
            </w:r>
          </w:p>
          <w:p w:rsidR="009B5637" w:rsidRPr="00E63DF4" w:rsidRDefault="009B5637" w:rsidP="009B5637">
            <w:pPr>
              <w:pStyle w:val="TableText0"/>
              <w:jc w:val="center"/>
              <w:rPr>
                <w:rFonts w:cs="Calibri"/>
                <w:szCs w:val="20"/>
                <w:lang w:eastAsia="zh-CN"/>
              </w:rPr>
            </w:pPr>
            <w:r w:rsidRPr="00E63DF4">
              <w:rPr>
                <w:lang w:eastAsia="zh-CN"/>
              </w:rPr>
              <w:t>(3.98, 5.55)</w:t>
            </w:r>
          </w:p>
        </w:tc>
        <w:tc>
          <w:tcPr>
            <w:tcW w:w="678" w:type="pct"/>
            <w:vAlign w:val="center"/>
          </w:tcPr>
          <w:p w:rsidR="009B5637" w:rsidRPr="00E63DF4" w:rsidRDefault="009B5637" w:rsidP="009B5637">
            <w:pPr>
              <w:pStyle w:val="TableText0"/>
              <w:jc w:val="center"/>
              <w:rPr>
                <w:rFonts w:cs="Calibri"/>
                <w:szCs w:val="20"/>
                <w:lang w:eastAsia="zh-CN"/>
              </w:rPr>
            </w:pPr>
            <w:r w:rsidRPr="00E63DF4">
              <w:rPr>
                <w:lang w:eastAsia="zh-CN"/>
              </w:rPr>
              <w:t>2.56 months</w:t>
            </w:r>
          </w:p>
        </w:tc>
        <w:tc>
          <w:tcPr>
            <w:tcW w:w="425" w:type="pct"/>
            <w:vAlign w:val="center"/>
          </w:tcPr>
          <w:p w:rsidR="009B5637" w:rsidRPr="00E63DF4" w:rsidRDefault="009B5637" w:rsidP="009B5637">
            <w:pPr>
              <w:pStyle w:val="TableText0"/>
              <w:jc w:val="center"/>
              <w:rPr>
                <w:rFonts w:cs="Calibri"/>
                <w:b/>
                <w:szCs w:val="20"/>
                <w:lang w:eastAsia="zh-CN"/>
              </w:rPr>
            </w:pPr>
            <w:r w:rsidRPr="00E63DF4">
              <w:rPr>
                <w:b/>
                <w:lang w:eastAsia="zh-CN"/>
              </w:rPr>
              <w:t>&lt;0.0001</w:t>
            </w:r>
          </w:p>
        </w:tc>
        <w:tc>
          <w:tcPr>
            <w:tcW w:w="676" w:type="pct"/>
            <w:vAlign w:val="center"/>
          </w:tcPr>
          <w:p w:rsidR="009B5637" w:rsidRPr="00E63DF4" w:rsidRDefault="009B5637" w:rsidP="009B5637">
            <w:pPr>
              <w:pStyle w:val="TableText0"/>
              <w:jc w:val="center"/>
              <w:rPr>
                <w:b/>
                <w:lang w:eastAsia="zh-CN"/>
              </w:rPr>
            </w:pPr>
            <w:r w:rsidRPr="00E63DF4">
              <w:rPr>
                <w:b/>
                <w:lang w:eastAsia="zh-CN"/>
              </w:rPr>
              <w:t>0.59</w:t>
            </w:r>
          </w:p>
          <w:p w:rsidR="009B5637" w:rsidRPr="00E63DF4" w:rsidRDefault="009B5637" w:rsidP="009B5637">
            <w:pPr>
              <w:pStyle w:val="TableText0"/>
              <w:jc w:val="center"/>
              <w:rPr>
                <w:rFonts w:cs="Calibri"/>
                <w:b/>
                <w:szCs w:val="20"/>
                <w:lang w:eastAsia="zh-CN"/>
              </w:rPr>
            </w:pPr>
            <w:r w:rsidRPr="00E63DF4">
              <w:rPr>
                <w:b/>
                <w:lang w:eastAsia="zh-CN"/>
              </w:rPr>
              <w:t>(0.47, 0.76)</w:t>
            </w:r>
          </w:p>
        </w:tc>
      </w:tr>
      <w:tr w:rsidR="009B5637" w:rsidRPr="00E63DF4" w:rsidTr="00111E6E">
        <w:trPr>
          <w:trHeight w:val="207"/>
        </w:trPr>
        <w:tc>
          <w:tcPr>
            <w:tcW w:w="545" w:type="pct"/>
            <w:tcBorders>
              <w:top w:val="single" w:sz="4" w:space="0" w:color="000000"/>
              <w:left w:val="single" w:sz="4" w:space="0" w:color="auto"/>
              <w:bottom w:val="single" w:sz="4" w:space="0" w:color="auto"/>
              <w:right w:val="single" w:sz="4" w:space="0" w:color="auto"/>
            </w:tcBorders>
            <w:vAlign w:val="center"/>
          </w:tcPr>
          <w:p w:rsidR="009B5637" w:rsidRPr="00E63DF4" w:rsidRDefault="009B5637" w:rsidP="009B5637">
            <w:pPr>
              <w:pStyle w:val="TableText0"/>
              <w:rPr>
                <w:vertAlign w:val="superscript"/>
                <w:lang w:eastAsia="zh-CN"/>
              </w:rPr>
            </w:pPr>
            <w:r w:rsidRPr="00E63DF4">
              <w:rPr>
                <w:lang w:eastAsia="zh-CN"/>
              </w:rPr>
              <w:t>PFS</w:t>
            </w:r>
            <w:r w:rsidRPr="00E63DF4">
              <w:rPr>
                <w:vertAlign w:val="superscript"/>
                <w:lang w:eastAsia="zh-CN"/>
              </w:rPr>
              <w:t>b</w:t>
            </w:r>
          </w:p>
          <w:p w:rsidR="00D57667" w:rsidRPr="00E63DF4" w:rsidRDefault="00D57667" w:rsidP="009B5637">
            <w:pPr>
              <w:pStyle w:val="TableText0"/>
              <w:rPr>
                <w:rFonts w:cs="Calibri"/>
                <w:szCs w:val="20"/>
                <w:lang w:eastAsia="zh-CN"/>
              </w:rPr>
            </w:pPr>
            <w:r w:rsidRPr="00E63DF4">
              <w:rPr>
                <w:lang w:eastAsia="zh-CN"/>
              </w:rPr>
              <w:t>(prog.</w:t>
            </w:r>
            <w:r w:rsidR="00AB07C5" w:rsidRPr="00E63DF4">
              <w:rPr>
                <w:lang w:eastAsia="zh-CN"/>
              </w:rPr>
              <w:t xml:space="preserve"> </w:t>
            </w:r>
            <w:r w:rsidRPr="00E63DF4">
              <w:rPr>
                <w:lang w:eastAsia="zh-CN"/>
              </w:rPr>
              <w:t>event)</w:t>
            </w:r>
          </w:p>
        </w:tc>
        <w:tc>
          <w:tcPr>
            <w:tcW w:w="471" w:type="pct"/>
            <w:tcBorders>
              <w:top w:val="single" w:sz="4" w:space="0" w:color="auto"/>
              <w:left w:val="single" w:sz="4" w:space="0" w:color="auto"/>
              <w:bottom w:val="single" w:sz="4" w:space="0" w:color="auto"/>
              <w:right w:val="single" w:sz="4" w:space="0" w:color="auto"/>
            </w:tcBorders>
            <w:vAlign w:val="center"/>
          </w:tcPr>
          <w:p w:rsidR="009B5637" w:rsidRPr="00E63DF4" w:rsidRDefault="009B5637" w:rsidP="009B5637">
            <w:pPr>
              <w:pStyle w:val="TableText0"/>
              <w:jc w:val="center"/>
              <w:rPr>
                <w:rFonts w:cs="Calibri"/>
                <w:szCs w:val="20"/>
                <w:lang w:eastAsia="zh-CN"/>
              </w:rPr>
            </w:pPr>
            <w:r w:rsidRPr="00E63DF4">
              <w:rPr>
                <w:lang w:eastAsia="zh-CN"/>
              </w:rPr>
              <w:t>199/336 (59.2)</w:t>
            </w:r>
          </w:p>
        </w:tc>
        <w:tc>
          <w:tcPr>
            <w:tcW w:w="764" w:type="pct"/>
            <w:tcBorders>
              <w:top w:val="single" w:sz="4" w:space="0" w:color="auto"/>
              <w:left w:val="single" w:sz="4" w:space="0" w:color="auto"/>
              <w:bottom w:val="single" w:sz="4" w:space="0" w:color="auto"/>
              <w:right w:val="single" w:sz="4" w:space="0" w:color="auto"/>
            </w:tcBorders>
            <w:vAlign w:val="center"/>
          </w:tcPr>
          <w:p w:rsidR="009B5637" w:rsidRPr="00E63DF4" w:rsidRDefault="009B5637" w:rsidP="009B5637">
            <w:pPr>
              <w:pStyle w:val="TableText0"/>
              <w:jc w:val="center"/>
              <w:rPr>
                <w:rFonts w:cs="Calibri"/>
                <w:szCs w:val="20"/>
                <w:lang w:eastAsia="zh-CN"/>
              </w:rPr>
            </w:pPr>
            <w:r w:rsidRPr="00E63DF4">
              <w:rPr>
                <w:lang w:eastAsia="zh-CN"/>
              </w:rPr>
              <w:t>6.83 months (5.72, 7.69)</w:t>
            </w:r>
          </w:p>
        </w:tc>
        <w:tc>
          <w:tcPr>
            <w:tcW w:w="509" w:type="pct"/>
            <w:tcBorders>
              <w:top w:val="single" w:sz="4" w:space="0" w:color="auto"/>
              <w:left w:val="single" w:sz="4" w:space="0" w:color="auto"/>
              <w:bottom w:val="single" w:sz="4" w:space="0" w:color="auto"/>
              <w:right w:val="single" w:sz="4" w:space="0" w:color="auto"/>
            </w:tcBorders>
            <w:vAlign w:val="center"/>
          </w:tcPr>
          <w:p w:rsidR="009B5637" w:rsidRPr="00E63DF4" w:rsidRDefault="009B5637" w:rsidP="009B5637">
            <w:pPr>
              <w:pStyle w:val="TableText0"/>
              <w:jc w:val="center"/>
              <w:rPr>
                <w:rFonts w:cs="Calibri"/>
                <w:szCs w:val="20"/>
                <w:lang w:eastAsia="zh-CN"/>
              </w:rPr>
            </w:pPr>
            <w:r w:rsidRPr="00E63DF4">
              <w:rPr>
                <w:lang w:eastAsia="zh-CN"/>
              </w:rPr>
              <w:t>111/165 (67.3)</w:t>
            </w:r>
          </w:p>
        </w:tc>
        <w:tc>
          <w:tcPr>
            <w:tcW w:w="933" w:type="pct"/>
            <w:tcBorders>
              <w:top w:val="single" w:sz="4" w:space="0" w:color="auto"/>
              <w:left w:val="single" w:sz="4" w:space="0" w:color="auto"/>
              <w:bottom w:val="single" w:sz="4" w:space="0" w:color="auto"/>
              <w:right w:val="single" w:sz="4" w:space="0" w:color="auto"/>
            </w:tcBorders>
            <w:vAlign w:val="center"/>
          </w:tcPr>
          <w:p w:rsidR="009B5637" w:rsidRPr="00E63DF4" w:rsidRDefault="009B5637" w:rsidP="009B5637">
            <w:pPr>
              <w:pStyle w:val="TableText0"/>
              <w:jc w:val="center"/>
              <w:rPr>
                <w:lang w:eastAsia="zh-CN"/>
              </w:rPr>
            </w:pPr>
            <w:r w:rsidRPr="00E63DF4">
              <w:rPr>
                <w:lang w:eastAsia="zh-CN"/>
              </w:rPr>
              <w:t>4.24 months</w:t>
            </w:r>
          </w:p>
          <w:p w:rsidR="009B5637" w:rsidRPr="00E63DF4" w:rsidRDefault="009B5637" w:rsidP="009B5637">
            <w:pPr>
              <w:pStyle w:val="TableText0"/>
              <w:jc w:val="center"/>
              <w:rPr>
                <w:rFonts w:cs="Calibri"/>
                <w:szCs w:val="20"/>
                <w:lang w:eastAsia="zh-CN"/>
              </w:rPr>
            </w:pPr>
            <w:r w:rsidRPr="00E63DF4">
              <w:rPr>
                <w:lang w:eastAsia="zh-CN"/>
              </w:rPr>
              <w:t>(3.98, 5.45)</w:t>
            </w:r>
          </w:p>
        </w:tc>
        <w:tc>
          <w:tcPr>
            <w:tcW w:w="678" w:type="pct"/>
            <w:tcBorders>
              <w:top w:val="single" w:sz="4" w:space="0" w:color="auto"/>
              <w:left w:val="single" w:sz="4" w:space="0" w:color="auto"/>
              <w:bottom w:val="single" w:sz="4" w:space="0" w:color="auto"/>
              <w:right w:val="single" w:sz="4" w:space="0" w:color="auto"/>
            </w:tcBorders>
            <w:vAlign w:val="center"/>
          </w:tcPr>
          <w:p w:rsidR="009B5637" w:rsidRPr="00E63DF4" w:rsidRDefault="009B5637" w:rsidP="009B5637">
            <w:pPr>
              <w:pStyle w:val="TableText0"/>
              <w:jc w:val="center"/>
              <w:rPr>
                <w:rFonts w:cs="Calibri"/>
                <w:szCs w:val="20"/>
                <w:lang w:eastAsia="zh-CN"/>
              </w:rPr>
            </w:pPr>
            <w:r w:rsidRPr="00E63DF4">
              <w:rPr>
                <w:lang w:eastAsia="zh-CN"/>
              </w:rPr>
              <w:t>2.59 months</w:t>
            </w:r>
          </w:p>
        </w:tc>
        <w:tc>
          <w:tcPr>
            <w:tcW w:w="425" w:type="pct"/>
            <w:tcBorders>
              <w:top w:val="single" w:sz="4" w:space="0" w:color="auto"/>
              <w:left w:val="single" w:sz="4" w:space="0" w:color="auto"/>
              <w:bottom w:val="single" w:sz="4" w:space="0" w:color="auto"/>
              <w:right w:val="single" w:sz="4" w:space="0" w:color="auto"/>
            </w:tcBorders>
            <w:vAlign w:val="center"/>
          </w:tcPr>
          <w:p w:rsidR="009B5637" w:rsidRPr="00E63DF4" w:rsidRDefault="009B5637" w:rsidP="009B5637">
            <w:pPr>
              <w:pStyle w:val="TableText0"/>
              <w:jc w:val="center"/>
              <w:rPr>
                <w:rFonts w:cs="Calibri"/>
                <w:b/>
                <w:szCs w:val="20"/>
                <w:lang w:eastAsia="zh-CN"/>
              </w:rPr>
            </w:pPr>
            <w:r w:rsidRPr="00E63DF4">
              <w:rPr>
                <w:b/>
                <w:lang w:eastAsia="zh-CN"/>
              </w:rPr>
              <w:t>&lt;0.0001</w:t>
            </w:r>
          </w:p>
        </w:tc>
        <w:tc>
          <w:tcPr>
            <w:tcW w:w="676" w:type="pct"/>
            <w:tcBorders>
              <w:top w:val="single" w:sz="4" w:space="0" w:color="auto"/>
              <w:left w:val="single" w:sz="4" w:space="0" w:color="auto"/>
              <w:bottom w:val="single" w:sz="4" w:space="0" w:color="auto"/>
              <w:right w:val="single" w:sz="4" w:space="0" w:color="auto"/>
            </w:tcBorders>
            <w:vAlign w:val="center"/>
          </w:tcPr>
          <w:p w:rsidR="009B5637" w:rsidRPr="00E63DF4" w:rsidRDefault="009B5637" w:rsidP="009B5637">
            <w:pPr>
              <w:pStyle w:val="TableText0"/>
              <w:jc w:val="center"/>
              <w:rPr>
                <w:b/>
                <w:lang w:eastAsia="zh-CN"/>
              </w:rPr>
            </w:pPr>
            <w:r w:rsidRPr="00E63DF4">
              <w:rPr>
                <w:b/>
                <w:lang w:eastAsia="zh-CN"/>
              </w:rPr>
              <w:t>0.59</w:t>
            </w:r>
          </w:p>
          <w:p w:rsidR="009B5637" w:rsidRPr="00E63DF4" w:rsidRDefault="009B5637" w:rsidP="009B5637">
            <w:pPr>
              <w:pStyle w:val="TableText0"/>
              <w:jc w:val="center"/>
              <w:rPr>
                <w:rFonts w:cs="Calibri"/>
                <w:b/>
                <w:szCs w:val="20"/>
                <w:lang w:eastAsia="zh-CN"/>
              </w:rPr>
            </w:pPr>
            <w:r w:rsidRPr="00E63DF4">
              <w:rPr>
                <w:b/>
                <w:lang w:eastAsia="zh-CN"/>
              </w:rPr>
              <w:t>(0.46, 0.74)</w:t>
            </w:r>
          </w:p>
        </w:tc>
      </w:tr>
    </w:tbl>
    <w:p w:rsidR="009B5637" w:rsidRPr="00E63DF4" w:rsidRDefault="00C51546" w:rsidP="009B5637">
      <w:pPr>
        <w:pStyle w:val="TableFigureFooter"/>
        <w:rPr>
          <w:rFonts w:eastAsia="Calibri"/>
          <w:bCs/>
          <w:iCs/>
        </w:rPr>
      </w:pPr>
      <w:r w:rsidRPr="00E63DF4">
        <w:rPr>
          <w:rFonts w:eastAsia="Calibri"/>
          <w:bCs/>
          <w:iCs/>
        </w:rPr>
        <w:t>Source: Table 2.13, p65 and Table 2.14, p</w:t>
      </w:r>
      <w:r w:rsidR="009B5637" w:rsidRPr="00E63DF4">
        <w:rPr>
          <w:rFonts w:eastAsia="Calibri"/>
          <w:bCs/>
          <w:iCs/>
        </w:rPr>
        <w:t>67 of the submission.</w:t>
      </w:r>
    </w:p>
    <w:p w:rsidR="009B5637" w:rsidRPr="00E63DF4" w:rsidRDefault="009B5637" w:rsidP="009B5637">
      <w:pPr>
        <w:pStyle w:val="TableFigureFooter"/>
        <w:rPr>
          <w:rFonts w:eastAsia="Calibri"/>
          <w:bCs/>
          <w:iCs/>
        </w:rPr>
      </w:pPr>
      <w:r w:rsidRPr="00E63DF4">
        <w:rPr>
          <w:rFonts w:eastAsia="Calibri"/>
          <w:bCs/>
          <w:iCs/>
        </w:rPr>
        <w:t xml:space="preserve">Abbreviations: Atezo+Bev </w:t>
      </w:r>
      <w:r w:rsidR="00AC75B8" w:rsidRPr="00E63DF4">
        <w:rPr>
          <w:rFonts w:eastAsia="Calibri"/>
          <w:bCs/>
          <w:iCs/>
        </w:rPr>
        <w:t>= atezolizumab plus bevacizumab; CI = confidence intervals; HR = hazard ratio;</w:t>
      </w:r>
      <w:r w:rsidRPr="00E63DF4">
        <w:rPr>
          <w:rFonts w:eastAsia="Calibri"/>
          <w:bCs/>
          <w:iCs/>
        </w:rPr>
        <w:t xml:space="preserve"> n = number </w:t>
      </w:r>
      <w:r w:rsidR="00AC75B8" w:rsidRPr="00E63DF4">
        <w:rPr>
          <w:rFonts w:eastAsia="Calibri"/>
          <w:bCs/>
          <w:iCs/>
        </w:rPr>
        <w:t xml:space="preserve">of participants reporting data; </w:t>
      </w:r>
      <w:r w:rsidRPr="00E63DF4">
        <w:rPr>
          <w:rFonts w:eastAsia="Calibri"/>
          <w:bCs/>
          <w:iCs/>
        </w:rPr>
        <w:t xml:space="preserve">N = total </w:t>
      </w:r>
      <w:r w:rsidR="00AC75B8" w:rsidRPr="00E63DF4">
        <w:rPr>
          <w:rFonts w:eastAsia="Calibri"/>
          <w:bCs/>
          <w:iCs/>
        </w:rPr>
        <w:t>participants in group; NE = not estimable; OS = overall survival;</w:t>
      </w:r>
      <w:r w:rsidRPr="00E63DF4">
        <w:rPr>
          <w:rFonts w:eastAsia="Calibri"/>
          <w:bCs/>
          <w:iCs/>
        </w:rPr>
        <w:t xml:space="preserve"> PFS = progression</w:t>
      </w:r>
      <w:r w:rsidR="007245E0" w:rsidRPr="00E63DF4">
        <w:rPr>
          <w:rFonts w:eastAsia="Calibri"/>
          <w:bCs/>
          <w:iCs/>
        </w:rPr>
        <w:t>-</w:t>
      </w:r>
      <w:r w:rsidRPr="00E63DF4">
        <w:rPr>
          <w:rFonts w:eastAsia="Calibri"/>
          <w:bCs/>
          <w:iCs/>
        </w:rPr>
        <w:t>free survival.</w:t>
      </w:r>
    </w:p>
    <w:p w:rsidR="009B5637" w:rsidRPr="00E63DF4" w:rsidRDefault="009B5637" w:rsidP="009B5637">
      <w:pPr>
        <w:pStyle w:val="TableFigureFooter"/>
        <w:rPr>
          <w:rFonts w:eastAsia="Calibri"/>
        </w:rPr>
      </w:pPr>
      <w:r w:rsidRPr="00E63DF4">
        <w:rPr>
          <w:rFonts w:eastAsia="Calibri"/>
        </w:rPr>
        <w:t>Note: Bold indicates statistically significant difference.</w:t>
      </w:r>
    </w:p>
    <w:p w:rsidR="009B5637" w:rsidRPr="00E63DF4" w:rsidRDefault="009B5637" w:rsidP="009B5637">
      <w:pPr>
        <w:pStyle w:val="TableFigureFooter"/>
      </w:pPr>
      <w:r w:rsidRPr="00E63DF4">
        <w:rPr>
          <w:rFonts w:eastAsia="Calibri"/>
        </w:rPr>
        <w:t>a Based on IRF-assessment per RECIST v1.1</w:t>
      </w:r>
    </w:p>
    <w:p w:rsidR="002B40AF" w:rsidRPr="00E63DF4" w:rsidRDefault="009B5637" w:rsidP="00507365">
      <w:pPr>
        <w:pStyle w:val="TableFigureFooter"/>
        <w:rPr>
          <w:rFonts w:eastAsia="Calibri"/>
        </w:rPr>
      </w:pPr>
      <w:r w:rsidRPr="00E63DF4">
        <w:rPr>
          <w:rFonts w:eastAsia="Calibri"/>
        </w:rPr>
        <w:t>b Based on IRF-assessment per HCC mRECIST</w:t>
      </w:r>
    </w:p>
    <w:p w:rsidR="002B40AF" w:rsidRPr="00F45892" w:rsidRDefault="009F4A79" w:rsidP="002B40AF">
      <w:pPr>
        <w:pStyle w:val="TableFigureHeading"/>
        <w:rPr>
          <w:lang w:val="pt-BR" w:eastAsia="en-US"/>
        </w:rPr>
      </w:pPr>
      <w:r w:rsidRPr="00F45892">
        <w:rPr>
          <w:lang w:val="pt-BR" w:eastAsia="en-US"/>
        </w:rPr>
        <w:lastRenderedPageBreak/>
        <w:t xml:space="preserve">Figure </w:t>
      </w:r>
      <w:r w:rsidR="00B93A29" w:rsidRPr="00F45892">
        <w:rPr>
          <w:lang w:val="pt-BR" w:eastAsia="en-US"/>
        </w:rPr>
        <w:t>2</w:t>
      </w:r>
      <w:r w:rsidR="002B40AF" w:rsidRPr="00F45892">
        <w:rPr>
          <w:lang w:val="pt-BR" w:eastAsia="en-US"/>
        </w:rPr>
        <w:t>: Kaplan-Meier curve OS, IMbrave150</w:t>
      </w:r>
    </w:p>
    <w:p w:rsidR="002B40AF" w:rsidRPr="00E63DF4" w:rsidRDefault="002B40AF" w:rsidP="002B40AF">
      <w:pPr>
        <w:autoSpaceDE w:val="0"/>
        <w:autoSpaceDN w:val="0"/>
        <w:adjustRightInd w:val="0"/>
        <w:jc w:val="left"/>
        <w:rPr>
          <w:rFonts w:ascii="Times New Roman" w:hAnsi="Times New Roman" w:cs="Times New Roman"/>
          <w:b/>
          <w:bCs/>
          <w:color w:val="000000"/>
          <w:lang w:eastAsia="en-US"/>
        </w:rPr>
      </w:pPr>
      <w:r w:rsidRPr="00E63DF4">
        <w:rPr>
          <w:rFonts w:ascii="Times New Roman" w:hAnsi="Times New Roman" w:cs="Times New Roman"/>
          <w:b/>
          <w:bCs/>
          <w:noProof/>
          <w:color w:val="000000"/>
        </w:rPr>
        <w:drawing>
          <wp:inline distT="0" distB="0" distL="0" distR="0" wp14:anchorId="591CE5BB" wp14:editId="44A613D8">
            <wp:extent cx="5554489" cy="2752725"/>
            <wp:effectExtent l="0" t="0" r="8255" b="0"/>
            <wp:docPr id="4" name="Picture 4" title="Figure 2: Kaplan-Meier curve OS, IMbrave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7515" cy="2759181"/>
                    </a:xfrm>
                    <a:prstGeom prst="rect">
                      <a:avLst/>
                    </a:prstGeom>
                    <a:noFill/>
                  </pic:spPr>
                </pic:pic>
              </a:graphicData>
            </a:graphic>
          </wp:inline>
        </w:drawing>
      </w:r>
    </w:p>
    <w:p w:rsidR="002B40AF" w:rsidRPr="00E63DF4" w:rsidRDefault="002B40AF" w:rsidP="002B40AF">
      <w:pPr>
        <w:pStyle w:val="TableFigureFooter"/>
        <w:rPr>
          <w:lang w:eastAsia="en-US"/>
        </w:rPr>
      </w:pPr>
      <w:r w:rsidRPr="00E63DF4">
        <w:rPr>
          <w:lang w:eastAsia="en-US"/>
        </w:rPr>
        <w:t>Source: Figure 2.3, p66 of the submission.</w:t>
      </w:r>
    </w:p>
    <w:p w:rsidR="002B40AF" w:rsidRPr="00E63DF4" w:rsidRDefault="002B40AF" w:rsidP="002B40AF">
      <w:pPr>
        <w:pStyle w:val="TableFigureFooter"/>
        <w:rPr>
          <w:lang w:eastAsia="en-US"/>
        </w:rPr>
      </w:pPr>
      <w:r w:rsidRPr="00E63DF4">
        <w:rPr>
          <w:lang w:eastAsia="en-US"/>
        </w:rPr>
        <w:t>Abbreviations: Atezo+Bev = atezolizumab plus bevacizumab</w:t>
      </w:r>
      <w:r w:rsidR="00AC75B8" w:rsidRPr="00E63DF4">
        <w:rPr>
          <w:lang w:eastAsia="en-US"/>
        </w:rPr>
        <w:t>;</w:t>
      </w:r>
      <w:r w:rsidRPr="00E63DF4">
        <w:rPr>
          <w:lang w:eastAsia="en-US"/>
        </w:rPr>
        <w:t xml:space="preserve"> CI = confidence interval</w:t>
      </w:r>
      <w:r w:rsidR="00AC75B8" w:rsidRPr="00E63DF4">
        <w:rPr>
          <w:lang w:eastAsia="en-US"/>
        </w:rPr>
        <w:t>;</w:t>
      </w:r>
      <w:r w:rsidRPr="00E63DF4">
        <w:rPr>
          <w:lang w:eastAsia="en-US"/>
        </w:rPr>
        <w:t xml:space="preserve"> ITT = intention to treat</w:t>
      </w:r>
      <w:r w:rsidR="00AC75B8" w:rsidRPr="00E63DF4">
        <w:rPr>
          <w:lang w:eastAsia="en-US"/>
        </w:rPr>
        <w:t>;</w:t>
      </w:r>
      <w:r w:rsidRPr="00E63DF4">
        <w:rPr>
          <w:lang w:eastAsia="en-US"/>
        </w:rPr>
        <w:t xml:space="preserve"> N = total participants in group</w:t>
      </w:r>
      <w:r w:rsidR="00AC75B8" w:rsidRPr="00E63DF4">
        <w:rPr>
          <w:lang w:eastAsia="en-US"/>
        </w:rPr>
        <w:t>;</w:t>
      </w:r>
      <w:r w:rsidRPr="00E63DF4">
        <w:rPr>
          <w:lang w:eastAsia="en-US"/>
        </w:rPr>
        <w:t xml:space="preserve"> NE = </w:t>
      </w:r>
      <w:r w:rsidR="00AC75B8" w:rsidRPr="00E63DF4">
        <w:rPr>
          <w:lang w:eastAsia="en-US"/>
        </w:rPr>
        <w:t>not estimable</w:t>
      </w:r>
    </w:p>
    <w:p w:rsidR="002B40AF" w:rsidRPr="00E63DF4" w:rsidRDefault="002B40AF" w:rsidP="002B40AF">
      <w:pPr>
        <w:pStyle w:val="TableFigureFooter"/>
        <w:rPr>
          <w:lang w:eastAsia="en-US"/>
        </w:rPr>
      </w:pPr>
    </w:p>
    <w:p w:rsidR="002B40AF" w:rsidRPr="00E63DF4" w:rsidRDefault="002B40AF" w:rsidP="002B40AF">
      <w:pPr>
        <w:pStyle w:val="TableFigureHeading"/>
        <w:rPr>
          <w:lang w:eastAsia="en-US"/>
        </w:rPr>
      </w:pPr>
      <w:r w:rsidRPr="00E63DF4">
        <w:rPr>
          <w:lang w:eastAsia="en-US"/>
        </w:rPr>
        <w:t xml:space="preserve">Figure </w:t>
      </w:r>
      <w:r w:rsidR="00B93A29" w:rsidRPr="00E63DF4">
        <w:rPr>
          <w:lang w:eastAsia="en-US"/>
        </w:rPr>
        <w:t>3</w:t>
      </w:r>
      <w:r w:rsidRPr="00E63DF4">
        <w:rPr>
          <w:lang w:eastAsia="en-US"/>
        </w:rPr>
        <w:t>: Kaplan-Meier curve PFS based on IRF-assessment per RECIST v1.1, IMbrave150</w:t>
      </w:r>
    </w:p>
    <w:p w:rsidR="002B40AF" w:rsidRPr="00E63DF4" w:rsidRDefault="002B40AF" w:rsidP="002B40AF">
      <w:pPr>
        <w:autoSpaceDE w:val="0"/>
        <w:autoSpaceDN w:val="0"/>
        <w:adjustRightInd w:val="0"/>
        <w:jc w:val="left"/>
        <w:rPr>
          <w:rFonts w:ascii="Times New Roman" w:hAnsi="Times New Roman" w:cs="Times New Roman"/>
          <w:b/>
          <w:bCs/>
          <w:color w:val="000000"/>
          <w:lang w:eastAsia="en-US"/>
        </w:rPr>
      </w:pPr>
      <w:r w:rsidRPr="00E63DF4">
        <w:rPr>
          <w:rFonts w:ascii="Times New Roman" w:hAnsi="Times New Roman" w:cs="Times New Roman"/>
          <w:b/>
          <w:bCs/>
          <w:noProof/>
          <w:color w:val="000000"/>
        </w:rPr>
        <w:drawing>
          <wp:inline distT="0" distB="0" distL="0" distR="0" wp14:anchorId="3254284D" wp14:editId="619ADBDA">
            <wp:extent cx="5619750" cy="2518656"/>
            <wp:effectExtent l="0" t="0" r="0" b="0"/>
            <wp:docPr id="5" name="Picture 5" title="Figure 3: Kaplan-Meier curve PFS based on IRF-assessment per RECIST v1.1, IMbrave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5535" cy="2552621"/>
                    </a:xfrm>
                    <a:prstGeom prst="rect">
                      <a:avLst/>
                    </a:prstGeom>
                    <a:noFill/>
                  </pic:spPr>
                </pic:pic>
              </a:graphicData>
            </a:graphic>
          </wp:inline>
        </w:drawing>
      </w:r>
    </w:p>
    <w:p w:rsidR="002B40AF" w:rsidRPr="00E63DF4" w:rsidRDefault="002B40AF" w:rsidP="002B40AF">
      <w:pPr>
        <w:pStyle w:val="TableFigureFooter"/>
        <w:rPr>
          <w:lang w:eastAsia="en-US"/>
        </w:rPr>
      </w:pPr>
      <w:r w:rsidRPr="00E63DF4">
        <w:rPr>
          <w:lang w:eastAsia="en-US"/>
        </w:rPr>
        <w:t>Source: Figure 2.4, p67 of the submission.</w:t>
      </w:r>
    </w:p>
    <w:p w:rsidR="00970A30" w:rsidRPr="00E63DF4" w:rsidRDefault="002B40AF" w:rsidP="00387A18">
      <w:pPr>
        <w:pStyle w:val="TableFigureFooter"/>
        <w:rPr>
          <w:lang w:eastAsia="en-US"/>
        </w:rPr>
      </w:pPr>
      <w:r w:rsidRPr="00E63DF4">
        <w:rPr>
          <w:lang w:eastAsia="en-US"/>
        </w:rPr>
        <w:t xml:space="preserve">Abbreviations: Atezo+Bev </w:t>
      </w:r>
      <w:r w:rsidR="00AC75B8" w:rsidRPr="00E63DF4">
        <w:rPr>
          <w:lang w:eastAsia="en-US"/>
        </w:rPr>
        <w:t>= atezolizumab plus bevacizumab;</w:t>
      </w:r>
      <w:r w:rsidRPr="00E63DF4">
        <w:rPr>
          <w:lang w:eastAsia="en-US"/>
        </w:rPr>
        <w:t xml:space="preserve"> CI = confidence interval</w:t>
      </w:r>
      <w:r w:rsidR="00AC75B8" w:rsidRPr="00E63DF4">
        <w:rPr>
          <w:lang w:eastAsia="en-US"/>
        </w:rPr>
        <w:t>;</w:t>
      </w:r>
      <w:r w:rsidRPr="00E63DF4">
        <w:rPr>
          <w:lang w:eastAsia="en-US"/>
        </w:rPr>
        <w:t xml:space="preserve"> N = total participants in g</w:t>
      </w:r>
      <w:r w:rsidR="00387A18" w:rsidRPr="00E63DF4">
        <w:rPr>
          <w:lang w:eastAsia="en-US"/>
        </w:rPr>
        <w:t>roup</w:t>
      </w:r>
    </w:p>
    <w:p w:rsidR="00970A30" w:rsidRPr="00E63DF4" w:rsidRDefault="009F4A79" w:rsidP="00970A30">
      <w:pPr>
        <w:pStyle w:val="TableFigureHeading"/>
        <w:rPr>
          <w:lang w:eastAsia="en-US"/>
        </w:rPr>
      </w:pPr>
      <w:r w:rsidRPr="00E63DF4">
        <w:rPr>
          <w:lang w:eastAsia="en-US"/>
        </w:rPr>
        <w:lastRenderedPageBreak/>
        <w:t xml:space="preserve">Figure </w:t>
      </w:r>
      <w:r w:rsidR="00B93A29" w:rsidRPr="00E63DF4">
        <w:rPr>
          <w:lang w:eastAsia="en-US"/>
        </w:rPr>
        <w:t>4</w:t>
      </w:r>
      <w:r w:rsidR="00970A30" w:rsidRPr="00E63DF4">
        <w:rPr>
          <w:lang w:eastAsia="en-US"/>
        </w:rPr>
        <w:t>: Kaplan-Meier curve PFS based on IRF-assessment per HCC mRECIST, IMbrave150</w:t>
      </w:r>
    </w:p>
    <w:p w:rsidR="00970A30" w:rsidRPr="00E63DF4" w:rsidRDefault="00970A30" w:rsidP="00970A30">
      <w:pPr>
        <w:pStyle w:val="Default"/>
        <w:jc w:val="both"/>
        <w:rPr>
          <w:rFonts w:ascii="Arial Narrow" w:hAnsi="Arial Narrow"/>
          <w:bCs/>
          <w:iCs/>
          <w:sz w:val="18"/>
          <w:szCs w:val="18"/>
          <w:lang w:val="en-AU"/>
        </w:rPr>
      </w:pPr>
      <w:r w:rsidRPr="00E63DF4">
        <w:rPr>
          <w:rFonts w:ascii="Arial Narrow" w:hAnsi="Arial Narrow"/>
          <w:bCs/>
          <w:iCs/>
          <w:noProof/>
          <w:sz w:val="18"/>
          <w:szCs w:val="18"/>
          <w:lang w:val="en-AU" w:eastAsia="en-AU"/>
        </w:rPr>
        <w:drawing>
          <wp:inline distT="0" distB="0" distL="0" distR="0" wp14:anchorId="0CF117C9" wp14:editId="182A287A">
            <wp:extent cx="5743575" cy="2843484"/>
            <wp:effectExtent l="0" t="0" r="0" b="0"/>
            <wp:docPr id="6" name="Picture 6" title="Figure 4: Kaplan-Meier curve PFS based on IRF-assessment per HCC mRECIST, IMbrave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214" cy="2848256"/>
                    </a:xfrm>
                    <a:prstGeom prst="rect">
                      <a:avLst/>
                    </a:prstGeom>
                    <a:noFill/>
                  </pic:spPr>
                </pic:pic>
              </a:graphicData>
            </a:graphic>
          </wp:inline>
        </w:drawing>
      </w:r>
    </w:p>
    <w:p w:rsidR="00970A30" w:rsidRPr="00E63DF4" w:rsidRDefault="00970A30" w:rsidP="00970A30">
      <w:pPr>
        <w:pStyle w:val="TableFigureFooter"/>
        <w:rPr>
          <w:lang w:eastAsia="en-US"/>
        </w:rPr>
      </w:pPr>
      <w:r w:rsidRPr="00E63DF4">
        <w:rPr>
          <w:lang w:eastAsia="en-US"/>
        </w:rPr>
        <w:t>Source: Figure 2.5, p68 of the submission.</w:t>
      </w:r>
    </w:p>
    <w:p w:rsidR="00387A18" w:rsidRPr="00E63DF4" w:rsidRDefault="00970A30" w:rsidP="009559FA">
      <w:pPr>
        <w:pStyle w:val="TableFigureFooter"/>
        <w:rPr>
          <w:lang w:eastAsia="en-US"/>
        </w:rPr>
      </w:pPr>
      <w:r w:rsidRPr="00E63DF4">
        <w:rPr>
          <w:lang w:eastAsia="en-US"/>
        </w:rPr>
        <w:t xml:space="preserve">Abbreviations: Atezo+Bev </w:t>
      </w:r>
      <w:r w:rsidR="00AC75B8" w:rsidRPr="00E63DF4">
        <w:rPr>
          <w:lang w:eastAsia="en-US"/>
        </w:rPr>
        <w:t>= atezolizumab plus bevacizumab;</w:t>
      </w:r>
      <w:r w:rsidRPr="00E63DF4">
        <w:rPr>
          <w:lang w:eastAsia="en-US"/>
        </w:rPr>
        <w:t xml:space="preserve"> CI = confidence interval</w:t>
      </w:r>
      <w:r w:rsidR="00AC75B8" w:rsidRPr="00E63DF4">
        <w:rPr>
          <w:lang w:eastAsia="en-US"/>
        </w:rPr>
        <w:t>;</w:t>
      </w:r>
      <w:r w:rsidRPr="00E63DF4">
        <w:rPr>
          <w:lang w:eastAsia="en-US"/>
        </w:rPr>
        <w:t xml:space="preserve"> </w:t>
      </w:r>
      <w:r w:rsidR="009559FA" w:rsidRPr="00E63DF4">
        <w:rPr>
          <w:lang w:eastAsia="en-US"/>
        </w:rPr>
        <w:t>N = total participants in group</w:t>
      </w:r>
    </w:p>
    <w:p w:rsidR="00970A30" w:rsidRPr="00E63DF4" w:rsidRDefault="00970A30" w:rsidP="009559FA">
      <w:pPr>
        <w:pStyle w:val="3-BodyText"/>
        <w:rPr>
          <w:iCs/>
        </w:rPr>
      </w:pPr>
      <w:r w:rsidRPr="00E63DF4">
        <w:t xml:space="preserve">A summary of the ORR results based on IRF-assessment per RECIST v1.1 and IRF-assessment per HCC mRECIST is presented in </w:t>
      </w:r>
      <w:r w:rsidR="009F4A79" w:rsidRPr="00E63DF4">
        <w:t>Table 5</w:t>
      </w:r>
      <w:r w:rsidR="009559FA" w:rsidRPr="00E63DF4">
        <w:t xml:space="preserve">. The results </w:t>
      </w:r>
      <w:r w:rsidRPr="00E63DF4">
        <w:t>demonstrated a statistically significant difference in ORR, in favour of Atezo+Bev.</w:t>
      </w:r>
      <w:r w:rsidR="009559FA" w:rsidRPr="00E63DF4">
        <w:t xml:space="preserve"> </w:t>
      </w:r>
      <w:r w:rsidR="00347B5B" w:rsidRPr="00E63DF4">
        <w:t>A</w:t>
      </w:r>
      <w:r w:rsidR="00347B5B" w:rsidRPr="00E63DF4">
        <w:rPr>
          <w:iCs/>
        </w:rPr>
        <w:t xml:space="preserve"> higher proportion of patients achieved confirmed complete response (CR) and partial response (PR) in the Atezo+Bev arm compared to the sorafenib arm based on RECIST v1.1 (CR: 5.5% vs. 0%; PR: 21.8% vs. 11.9%) and HCC mRECIST (CR: 10.2% vs. 1.9%; PR: 23.1% vs. 11.4%</w:t>
      </w:r>
      <w:r w:rsidR="009559FA" w:rsidRPr="00E63DF4">
        <w:rPr>
          <w:iCs/>
        </w:rPr>
        <w:t>).</w:t>
      </w:r>
    </w:p>
    <w:p w:rsidR="00970A30" w:rsidRPr="00E63DF4" w:rsidRDefault="009F4A79" w:rsidP="00970A30">
      <w:pPr>
        <w:pStyle w:val="TableFigureHeading"/>
        <w:rPr>
          <w:rStyle w:val="CommentReference"/>
          <w:b/>
          <w:szCs w:val="24"/>
        </w:rPr>
      </w:pPr>
      <w:r w:rsidRPr="00E63DF4">
        <w:t>Table 5</w:t>
      </w:r>
      <w:r w:rsidR="00970A30" w:rsidRPr="00E63DF4">
        <w:t>: Results of objective response rate, IMbrave150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1566"/>
        <w:gridCol w:w="1649"/>
        <w:gridCol w:w="1620"/>
        <w:gridCol w:w="1589"/>
        <w:gridCol w:w="1589"/>
      </w:tblGrid>
      <w:tr w:rsidR="00970A30" w:rsidRPr="00E63DF4" w:rsidTr="00111E6E">
        <w:trPr>
          <w:tblHeader/>
        </w:trPr>
        <w:tc>
          <w:tcPr>
            <w:tcW w:w="568" w:type="pct"/>
            <w:vMerge w:val="restart"/>
            <w:vAlign w:val="center"/>
          </w:tcPr>
          <w:p w:rsidR="00970A30" w:rsidRPr="00E63DF4" w:rsidRDefault="00970A30" w:rsidP="00F26655">
            <w:pPr>
              <w:pStyle w:val="In-tableHeading"/>
              <w:rPr>
                <w:lang w:val="en-AU"/>
              </w:rPr>
            </w:pPr>
            <w:r w:rsidRPr="00E63DF4">
              <w:rPr>
                <w:lang w:val="en-AU"/>
              </w:rPr>
              <w:t>Outcome</w:t>
            </w:r>
          </w:p>
        </w:tc>
        <w:tc>
          <w:tcPr>
            <w:tcW w:w="866" w:type="pct"/>
            <w:vAlign w:val="center"/>
          </w:tcPr>
          <w:p w:rsidR="00970A30" w:rsidRPr="00E63DF4" w:rsidRDefault="00970A30" w:rsidP="00F26655">
            <w:pPr>
              <w:pStyle w:val="In-tableHeading"/>
              <w:jc w:val="center"/>
              <w:rPr>
                <w:bCs/>
                <w:lang w:val="en-AU"/>
              </w:rPr>
            </w:pPr>
            <w:r w:rsidRPr="00E63DF4">
              <w:rPr>
                <w:rFonts w:cs="Calibri"/>
                <w:bCs/>
                <w:szCs w:val="20"/>
                <w:lang w:val="en-AU" w:eastAsia="zh-CN"/>
              </w:rPr>
              <w:t xml:space="preserve">Atezo+Bev </w:t>
            </w:r>
            <w:r w:rsidRPr="00E63DF4">
              <w:rPr>
                <w:rFonts w:cstheme="minorHAnsi"/>
                <w:bCs/>
                <w:szCs w:val="20"/>
                <w:lang w:val="en-AU" w:eastAsia="zh-CN"/>
              </w:rPr>
              <w:t>(N=326</w:t>
            </w:r>
            <w:r w:rsidRPr="00E63DF4">
              <w:rPr>
                <w:rFonts w:cstheme="minorHAnsi"/>
                <w:bCs/>
                <w:szCs w:val="20"/>
                <w:vertAlign w:val="superscript"/>
                <w:lang w:val="en-AU" w:eastAsia="zh-CN"/>
              </w:rPr>
              <w:t>c</w:t>
            </w:r>
            <w:r w:rsidRPr="00E63DF4">
              <w:rPr>
                <w:rFonts w:cstheme="minorHAnsi"/>
                <w:bCs/>
                <w:szCs w:val="20"/>
                <w:lang w:val="en-AU" w:eastAsia="zh-CN"/>
              </w:rPr>
              <w:t>)</w:t>
            </w:r>
          </w:p>
        </w:tc>
        <w:tc>
          <w:tcPr>
            <w:tcW w:w="912" w:type="pct"/>
            <w:vAlign w:val="center"/>
          </w:tcPr>
          <w:p w:rsidR="00970A30" w:rsidRPr="00E63DF4" w:rsidRDefault="00970A30" w:rsidP="00F26655">
            <w:pPr>
              <w:pStyle w:val="In-tableHeading"/>
              <w:jc w:val="center"/>
              <w:rPr>
                <w:bCs/>
                <w:lang w:val="en-AU"/>
              </w:rPr>
            </w:pPr>
            <w:r w:rsidRPr="00E63DF4">
              <w:rPr>
                <w:rFonts w:cs="Calibri"/>
                <w:bCs/>
                <w:szCs w:val="20"/>
                <w:lang w:val="en-AU" w:eastAsia="zh-CN"/>
              </w:rPr>
              <w:t>Sorafenib (N=159</w:t>
            </w:r>
            <w:r w:rsidRPr="00E63DF4">
              <w:rPr>
                <w:rFonts w:cs="Calibri"/>
                <w:bCs/>
                <w:szCs w:val="20"/>
                <w:vertAlign w:val="superscript"/>
                <w:lang w:val="en-AU" w:eastAsia="zh-CN"/>
              </w:rPr>
              <w:t>c</w:t>
            </w:r>
            <w:r w:rsidRPr="00E63DF4">
              <w:rPr>
                <w:rFonts w:cs="Calibri"/>
                <w:bCs/>
                <w:szCs w:val="20"/>
                <w:lang w:val="en-AU" w:eastAsia="zh-CN"/>
              </w:rPr>
              <w:t>)</w:t>
            </w:r>
          </w:p>
        </w:tc>
        <w:tc>
          <w:tcPr>
            <w:tcW w:w="896" w:type="pct"/>
            <w:vMerge w:val="restart"/>
            <w:vAlign w:val="center"/>
          </w:tcPr>
          <w:p w:rsidR="00970A30" w:rsidRPr="00E63DF4" w:rsidRDefault="00970A30" w:rsidP="00F26655">
            <w:pPr>
              <w:pStyle w:val="In-tableHeading"/>
              <w:jc w:val="center"/>
              <w:rPr>
                <w:lang w:val="en-AU"/>
              </w:rPr>
            </w:pPr>
            <w:r w:rsidRPr="00E63DF4">
              <w:rPr>
                <w:lang w:val="en-AU"/>
              </w:rPr>
              <w:t>Odds ratio</w:t>
            </w:r>
          </w:p>
          <w:p w:rsidR="00970A30" w:rsidRPr="00E63DF4" w:rsidRDefault="00970A30" w:rsidP="00F26655">
            <w:pPr>
              <w:pStyle w:val="In-tableHeading"/>
              <w:jc w:val="center"/>
              <w:rPr>
                <w:lang w:val="en-AU"/>
              </w:rPr>
            </w:pPr>
            <w:r w:rsidRPr="00E63DF4">
              <w:rPr>
                <w:lang w:val="en-AU"/>
              </w:rPr>
              <w:t>(95% CI)</w:t>
            </w:r>
          </w:p>
        </w:tc>
        <w:tc>
          <w:tcPr>
            <w:tcW w:w="879" w:type="pct"/>
            <w:vMerge w:val="restart"/>
            <w:vAlign w:val="center"/>
          </w:tcPr>
          <w:p w:rsidR="00970A30" w:rsidRPr="00E63DF4" w:rsidRDefault="00970A30" w:rsidP="00F26655">
            <w:pPr>
              <w:pStyle w:val="In-tableHeading"/>
              <w:jc w:val="center"/>
              <w:rPr>
                <w:lang w:val="en-AU"/>
              </w:rPr>
            </w:pPr>
            <w:r w:rsidRPr="00E63DF4">
              <w:rPr>
                <w:lang w:val="en-AU"/>
              </w:rPr>
              <w:t>Risk difference (95% CI)</w:t>
            </w:r>
          </w:p>
        </w:tc>
        <w:tc>
          <w:tcPr>
            <w:tcW w:w="879" w:type="pct"/>
            <w:vMerge w:val="restart"/>
            <w:vAlign w:val="center"/>
          </w:tcPr>
          <w:p w:rsidR="00970A30" w:rsidRPr="00E63DF4" w:rsidRDefault="00970A30" w:rsidP="00F26655">
            <w:pPr>
              <w:pStyle w:val="In-tableHeading"/>
              <w:jc w:val="center"/>
              <w:rPr>
                <w:lang w:val="en-AU"/>
              </w:rPr>
            </w:pPr>
            <w:r w:rsidRPr="00E63DF4">
              <w:rPr>
                <w:lang w:val="en-AU"/>
              </w:rPr>
              <w:t>P value</w:t>
            </w:r>
          </w:p>
        </w:tc>
      </w:tr>
      <w:tr w:rsidR="00970A30" w:rsidRPr="00E63DF4" w:rsidTr="00111E6E">
        <w:trPr>
          <w:tblHeader/>
        </w:trPr>
        <w:tc>
          <w:tcPr>
            <w:tcW w:w="568" w:type="pct"/>
            <w:vMerge/>
            <w:vAlign w:val="center"/>
          </w:tcPr>
          <w:p w:rsidR="00970A30" w:rsidRPr="00E63DF4" w:rsidRDefault="00970A30" w:rsidP="00F26655">
            <w:pPr>
              <w:pStyle w:val="In-tableHeading"/>
              <w:rPr>
                <w:lang w:val="en-AU"/>
              </w:rPr>
            </w:pPr>
          </w:p>
        </w:tc>
        <w:tc>
          <w:tcPr>
            <w:tcW w:w="866" w:type="pct"/>
            <w:vAlign w:val="center"/>
          </w:tcPr>
          <w:p w:rsidR="00970A30" w:rsidRPr="00E63DF4" w:rsidRDefault="00970A30" w:rsidP="00F26655">
            <w:pPr>
              <w:pStyle w:val="In-tableHeading"/>
              <w:jc w:val="center"/>
              <w:rPr>
                <w:rFonts w:cs="Calibri"/>
                <w:bCs/>
                <w:szCs w:val="20"/>
                <w:lang w:val="en-AU" w:eastAsia="zh-CN"/>
              </w:rPr>
            </w:pPr>
            <w:r w:rsidRPr="00E63DF4">
              <w:rPr>
                <w:rFonts w:cs="Calibri"/>
                <w:bCs/>
                <w:szCs w:val="20"/>
                <w:lang w:val="en-AU" w:eastAsia="zh-CN"/>
              </w:rPr>
              <w:t>n (%)</w:t>
            </w:r>
          </w:p>
          <w:p w:rsidR="00970A30" w:rsidRPr="00E63DF4" w:rsidRDefault="00970A30" w:rsidP="00F26655">
            <w:pPr>
              <w:pStyle w:val="In-tableHeading"/>
              <w:jc w:val="center"/>
              <w:rPr>
                <w:rFonts w:cs="Calibri"/>
                <w:bCs/>
                <w:szCs w:val="20"/>
                <w:lang w:val="en-AU" w:eastAsia="zh-CN"/>
              </w:rPr>
            </w:pPr>
            <w:r w:rsidRPr="00E63DF4">
              <w:rPr>
                <w:rFonts w:cs="Calibri"/>
                <w:bCs/>
                <w:szCs w:val="20"/>
                <w:lang w:val="en-AU" w:eastAsia="zh-CN"/>
              </w:rPr>
              <w:t>(95% CI)</w:t>
            </w:r>
          </w:p>
        </w:tc>
        <w:tc>
          <w:tcPr>
            <w:tcW w:w="912" w:type="pct"/>
            <w:vAlign w:val="center"/>
          </w:tcPr>
          <w:p w:rsidR="00970A30" w:rsidRPr="00E63DF4" w:rsidRDefault="00970A30" w:rsidP="00F26655">
            <w:pPr>
              <w:pStyle w:val="In-tableHeading"/>
              <w:jc w:val="center"/>
              <w:rPr>
                <w:rFonts w:cs="Calibri"/>
                <w:bCs/>
                <w:szCs w:val="20"/>
                <w:lang w:val="en-AU" w:eastAsia="zh-CN"/>
              </w:rPr>
            </w:pPr>
            <w:r w:rsidRPr="00E63DF4">
              <w:rPr>
                <w:rFonts w:cs="Calibri"/>
                <w:bCs/>
                <w:szCs w:val="20"/>
                <w:lang w:val="en-AU" w:eastAsia="zh-CN"/>
              </w:rPr>
              <w:t>n (%)</w:t>
            </w:r>
          </w:p>
          <w:p w:rsidR="00970A30" w:rsidRPr="00E63DF4" w:rsidRDefault="00970A30" w:rsidP="00F26655">
            <w:pPr>
              <w:pStyle w:val="In-tableHeading"/>
              <w:jc w:val="center"/>
              <w:rPr>
                <w:rFonts w:cs="Calibri"/>
                <w:bCs/>
                <w:szCs w:val="20"/>
                <w:lang w:val="en-AU" w:eastAsia="zh-CN"/>
              </w:rPr>
            </w:pPr>
            <w:r w:rsidRPr="00E63DF4">
              <w:rPr>
                <w:rFonts w:cs="Calibri"/>
                <w:bCs/>
                <w:szCs w:val="20"/>
                <w:lang w:val="en-AU" w:eastAsia="zh-CN"/>
              </w:rPr>
              <w:t>(95% CI)</w:t>
            </w:r>
          </w:p>
        </w:tc>
        <w:tc>
          <w:tcPr>
            <w:tcW w:w="896" w:type="pct"/>
            <w:vMerge/>
            <w:vAlign w:val="center"/>
          </w:tcPr>
          <w:p w:rsidR="00970A30" w:rsidRPr="00E63DF4" w:rsidRDefault="00970A30" w:rsidP="00F26655">
            <w:pPr>
              <w:pStyle w:val="In-tableHeading"/>
              <w:jc w:val="center"/>
              <w:rPr>
                <w:lang w:val="en-AU"/>
              </w:rPr>
            </w:pPr>
          </w:p>
        </w:tc>
        <w:tc>
          <w:tcPr>
            <w:tcW w:w="879" w:type="pct"/>
            <w:vMerge/>
            <w:vAlign w:val="center"/>
          </w:tcPr>
          <w:p w:rsidR="00970A30" w:rsidRPr="00E63DF4" w:rsidRDefault="00970A30" w:rsidP="00F26655">
            <w:pPr>
              <w:pStyle w:val="In-tableHeading"/>
              <w:jc w:val="center"/>
              <w:rPr>
                <w:lang w:val="en-AU"/>
              </w:rPr>
            </w:pPr>
          </w:p>
        </w:tc>
        <w:tc>
          <w:tcPr>
            <w:tcW w:w="879" w:type="pct"/>
            <w:vMerge/>
          </w:tcPr>
          <w:p w:rsidR="00970A30" w:rsidRPr="00E63DF4" w:rsidRDefault="00970A30" w:rsidP="00F26655">
            <w:pPr>
              <w:pStyle w:val="In-tableHeading"/>
              <w:jc w:val="center"/>
              <w:rPr>
                <w:lang w:val="en-AU"/>
              </w:rPr>
            </w:pPr>
          </w:p>
        </w:tc>
      </w:tr>
      <w:tr w:rsidR="00970A30" w:rsidRPr="00E63DF4" w:rsidTr="00111E6E">
        <w:tc>
          <w:tcPr>
            <w:tcW w:w="568" w:type="pct"/>
            <w:vAlign w:val="center"/>
          </w:tcPr>
          <w:p w:rsidR="00970A30" w:rsidRPr="00E63DF4" w:rsidRDefault="00970A30" w:rsidP="00F26655">
            <w:pPr>
              <w:pStyle w:val="TableText0"/>
              <w:rPr>
                <w:vertAlign w:val="superscript"/>
              </w:rPr>
            </w:pPr>
            <w:r w:rsidRPr="00E63DF4">
              <w:t>ORR</w:t>
            </w:r>
            <w:r w:rsidRPr="00E63DF4">
              <w:rPr>
                <w:vertAlign w:val="superscript"/>
              </w:rPr>
              <w:t>a</w:t>
            </w:r>
          </w:p>
        </w:tc>
        <w:tc>
          <w:tcPr>
            <w:tcW w:w="866" w:type="pct"/>
          </w:tcPr>
          <w:p w:rsidR="00970A30" w:rsidRPr="00E63DF4" w:rsidRDefault="00970A30" w:rsidP="00F26655">
            <w:pPr>
              <w:pStyle w:val="TableText1"/>
              <w:jc w:val="center"/>
              <w:rPr>
                <w:rFonts w:ascii="Arial Narrow" w:hAnsi="Arial Narrow"/>
              </w:rPr>
            </w:pPr>
            <w:r w:rsidRPr="00E63DF4">
              <w:rPr>
                <w:rFonts w:ascii="Arial Narrow" w:hAnsi="Arial Narrow"/>
              </w:rPr>
              <w:t>89 (27.3)</w:t>
            </w:r>
          </w:p>
          <w:p w:rsidR="00970A30" w:rsidRPr="00E63DF4" w:rsidRDefault="00970A30" w:rsidP="00F26655">
            <w:pPr>
              <w:pStyle w:val="TableText0"/>
              <w:jc w:val="center"/>
            </w:pPr>
            <w:r w:rsidRPr="00E63DF4">
              <w:t>(22.54, 32.48)</w:t>
            </w:r>
          </w:p>
        </w:tc>
        <w:tc>
          <w:tcPr>
            <w:tcW w:w="912" w:type="pct"/>
          </w:tcPr>
          <w:p w:rsidR="00970A30" w:rsidRPr="00E63DF4" w:rsidRDefault="00970A30" w:rsidP="00F26655">
            <w:pPr>
              <w:pStyle w:val="TableText1"/>
              <w:jc w:val="center"/>
              <w:rPr>
                <w:rFonts w:ascii="Arial Narrow" w:hAnsi="Arial Narrow"/>
              </w:rPr>
            </w:pPr>
            <w:r w:rsidRPr="00E63DF4">
              <w:rPr>
                <w:rFonts w:ascii="Arial Narrow" w:hAnsi="Arial Narrow"/>
              </w:rPr>
              <w:t>19 (11.9)</w:t>
            </w:r>
          </w:p>
          <w:p w:rsidR="00970A30" w:rsidRPr="00E63DF4" w:rsidRDefault="00970A30" w:rsidP="00F26655">
            <w:pPr>
              <w:pStyle w:val="TableText0"/>
              <w:jc w:val="center"/>
            </w:pPr>
            <w:r w:rsidRPr="00E63DF4">
              <w:t>(7.35, 18.03)</w:t>
            </w:r>
          </w:p>
        </w:tc>
        <w:tc>
          <w:tcPr>
            <w:tcW w:w="896" w:type="pct"/>
          </w:tcPr>
          <w:p w:rsidR="00970A30" w:rsidRPr="00E63DF4" w:rsidRDefault="00970A30" w:rsidP="00F26655">
            <w:pPr>
              <w:pStyle w:val="TableText1"/>
              <w:jc w:val="center"/>
              <w:rPr>
                <w:rFonts w:ascii="Arial Narrow" w:hAnsi="Arial Narrow"/>
                <w:b/>
                <w:bCs w:val="0"/>
              </w:rPr>
            </w:pPr>
            <w:r w:rsidRPr="00E63DF4">
              <w:rPr>
                <w:rFonts w:ascii="Arial Narrow" w:hAnsi="Arial Narrow"/>
                <w:b/>
                <w:bCs w:val="0"/>
              </w:rPr>
              <w:t>2.90</w:t>
            </w:r>
          </w:p>
          <w:p w:rsidR="00970A30" w:rsidRPr="00E63DF4" w:rsidRDefault="00970A30" w:rsidP="00F26655">
            <w:pPr>
              <w:pStyle w:val="TableText0"/>
              <w:jc w:val="center"/>
              <w:rPr>
                <w:b/>
                <w:bCs w:val="0"/>
              </w:rPr>
            </w:pPr>
            <w:r w:rsidRPr="00E63DF4">
              <w:rPr>
                <w:b/>
                <w:bCs w:val="0"/>
              </w:rPr>
              <w:t>(1.68, 5.01)</w:t>
            </w:r>
          </w:p>
        </w:tc>
        <w:tc>
          <w:tcPr>
            <w:tcW w:w="879" w:type="pct"/>
          </w:tcPr>
          <w:p w:rsidR="00970A30" w:rsidRPr="00E63DF4" w:rsidRDefault="00970A30" w:rsidP="00F26655">
            <w:pPr>
              <w:pStyle w:val="TableText1"/>
              <w:jc w:val="center"/>
              <w:rPr>
                <w:rFonts w:ascii="Arial Narrow" w:hAnsi="Arial Narrow"/>
                <w:b/>
                <w:bCs w:val="0"/>
              </w:rPr>
            </w:pPr>
            <w:r w:rsidRPr="00E63DF4">
              <w:rPr>
                <w:rFonts w:ascii="Arial Narrow" w:hAnsi="Arial Narrow"/>
                <w:b/>
                <w:bCs w:val="0"/>
              </w:rPr>
              <w:t>15.35</w:t>
            </w:r>
          </w:p>
          <w:p w:rsidR="00970A30" w:rsidRPr="00E63DF4" w:rsidRDefault="00970A30" w:rsidP="00F26655">
            <w:pPr>
              <w:pStyle w:val="TableText0"/>
              <w:jc w:val="center"/>
              <w:rPr>
                <w:b/>
                <w:bCs w:val="0"/>
              </w:rPr>
            </w:pPr>
            <w:r w:rsidRPr="00E63DF4">
              <w:rPr>
                <w:b/>
                <w:bCs w:val="0"/>
              </w:rPr>
              <w:t>(7.90, 22.81)</w:t>
            </w:r>
          </w:p>
        </w:tc>
        <w:tc>
          <w:tcPr>
            <w:tcW w:w="879" w:type="pct"/>
            <w:vAlign w:val="center"/>
          </w:tcPr>
          <w:p w:rsidR="00970A30" w:rsidRPr="00E63DF4" w:rsidRDefault="00970A30" w:rsidP="00F26655">
            <w:pPr>
              <w:pStyle w:val="TableText1"/>
              <w:jc w:val="center"/>
              <w:rPr>
                <w:rFonts w:ascii="Arial Narrow" w:hAnsi="Arial Narrow"/>
                <w:b/>
                <w:bCs w:val="0"/>
              </w:rPr>
            </w:pPr>
            <w:r w:rsidRPr="00E63DF4">
              <w:rPr>
                <w:rFonts w:ascii="Arial Narrow" w:hAnsi="Arial Narrow"/>
                <w:b/>
              </w:rPr>
              <w:t>&lt;0.0001</w:t>
            </w:r>
          </w:p>
        </w:tc>
      </w:tr>
      <w:tr w:rsidR="00970A30" w:rsidRPr="00E63DF4" w:rsidTr="00111E6E">
        <w:tc>
          <w:tcPr>
            <w:tcW w:w="568" w:type="pct"/>
            <w:vAlign w:val="center"/>
          </w:tcPr>
          <w:p w:rsidR="00970A30" w:rsidRPr="00E63DF4" w:rsidRDefault="00970A30" w:rsidP="00F26655">
            <w:pPr>
              <w:pStyle w:val="TableText0"/>
              <w:rPr>
                <w:vertAlign w:val="superscript"/>
              </w:rPr>
            </w:pPr>
            <w:r w:rsidRPr="00E63DF4">
              <w:t>ORR</w:t>
            </w:r>
            <w:r w:rsidRPr="00E63DF4">
              <w:rPr>
                <w:vertAlign w:val="superscript"/>
              </w:rPr>
              <w:t>b</w:t>
            </w:r>
          </w:p>
        </w:tc>
        <w:tc>
          <w:tcPr>
            <w:tcW w:w="866" w:type="pct"/>
          </w:tcPr>
          <w:p w:rsidR="00970A30" w:rsidRPr="00E63DF4" w:rsidRDefault="00970A30" w:rsidP="00F26655">
            <w:pPr>
              <w:pStyle w:val="TableText1"/>
              <w:jc w:val="center"/>
              <w:rPr>
                <w:rFonts w:ascii="Arial Narrow" w:hAnsi="Arial Narrow"/>
              </w:rPr>
            </w:pPr>
            <w:r w:rsidRPr="00E63DF4">
              <w:rPr>
                <w:rFonts w:ascii="Arial Narrow" w:hAnsi="Arial Narrow"/>
              </w:rPr>
              <w:t>108 (33.2)</w:t>
            </w:r>
          </w:p>
          <w:p w:rsidR="00970A30" w:rsidRPr="00E63DF4" w:rsidRDefault="00970A30" w:rsidP="00F26655">
            <w:pPr>
              <w:pStyle w:val="TableText0"/>
              <w:jc w:val="center"/>
            </w:pPr>
            <w:r w:rsidRPr="00E63DF4">
              <w:t>(28.13, 38.64)</w:t>
            </w:r>
          </w:p>
        </w:tc>
        <w:tc>
          <w:tcPr>
            <w:tcW w:w="912" w:type="pct"/>
          </w:tcPr>
          <w:p w:rsidR="00970A30" w:rsidRPr="00E63DF4" w:rsidRDefault="00970A30" w:rsidP="00F26655">
            <w:pPr>
              <w:pStyle w:val="TableText1"/>
              <w:jc w:val="center"/>
              <w:rPr>
                <w:rFonts w:ascii="Arial Narrow" w:hAnsi="Arial Narrow"/>
              </w:rPr>
            </w:pPr>
            <w:r w:rsidRPr="00E63DF4">
              <w:rPr>
                <w:rFonts w:ascii="Arial Narrow" w:hAnsi="Arial Narrow"/>
              </w:rPr>
              <w:t>21 (13.3)</w:t>
            </w:r>
          </w:p>
          <w:p w:rsidR="00970A30" w:rsidRPr="00E63DF4" w:rsidRDefault="00970A30" w:rsidP="00F26655">
            <w:pPr>
              <w:pStyle w:val="TableText0"/>
              <w:jc w:val="center"/>
            </w:pPr>
            <w:r w:rsidRPr="00E63DF4">
              <w:t>(8.42, 19.60)</w:t>
            </w:r>
          </w:p>
        </w:tc>
        <w:tc>
          <w:tcPr>
            <w:tcW w:w="896" w:type="pct"/>
          </w:tcPr>
          <w:p w:rsidR="00970A30" w:rsidRPr="00E63DF4" w:rsidRDefault="00970A30" w:rsidP="00F26655">
            <w:pPr>
              <w:pStyle w:val="TableText1"/>
              <w:jc w:val="center"/>
              <w:rPr>
                <w:rFonts w:ascii="Arial Narrow" w:hAnsi="Arial Narrow"/>
                <w:b/>
                <w:bCs w:val="0"/>
              </w:rPr>
            </w:pPr>
            <w:r w:rsidRPr="00E63DF4">
              <w:rPr>
                <w:rFonts w:ascii="Arial Narrow" w:hAnsi="Arial Narrow"/>
                <w:b/>
                <w:bCs w:val="0"/>
              </w:rPr>
              <w:t>3.39</w:t>
            </w:r>
          </w:p>
          <w:p w:rsidR="00970A30" w:rsidRPr="00E63DF4" w:rsidRDefault="00970A30" w:rsidP="00F26655">
            <w:pPr>
              <w:pStyle w:val="TableText0"/>
              <w:jc w:val="center"/>
              <w:rPr>
                <w:b/>
                <w:bCs w:val="0"/>
              </w:rPr>
            </w:pPr>
            <w:r w:rsidRPr="00E63DF4">
              <w:rPr>
                <w:b/>
                <w:bCs w:val="0"/>
              </w:rPr>
              <w:t>(2.02, 5.71)</w:t>
            </w:r>
          </w:p>
        </w:tc>
        <w:tc>
          <w:tcPr>
            <w:tcW w:w="879" w:type="pct"/>
          </w:tcPr>
          <w:p w:rsidR="00970A30" w:rsidRPr="00E63DF4" w:rsidRDefault="00970A30" w:rsidP="00F26655">
            <w:pPr>
              <w:pStyle w:val="TableText1"/>
              <w:jc w:val="center"/>
              <w:rPr>
                <w:rFonts w:ascii="Arial Narrow" w:hAnsi="Arial Narrow"/>
                <w:b/>
                <w:bCs w:val="0"/>
              </w:rPr>
            </w:pPr>
            <w:r w:rsidRPr="00E63DF4">
              <w:rPr>
                <w:rFonts w:ascii="Arial Narrow" w:hAnsi="Arial Narrow"/>
                <w:b/>
                <w:bCs w:val="0"/>
              </w:rPr>
              <w:t>19.94</w:t>
            </w:r>
          </w:p>
          <w:p w:rsidR="00970A30" w:rsidRPr="00E63DF4" w:rsidRDefault="00970A30" w:rsidP="00F26655">
            <w:pPr>
              <w:pStyle w:val="TableText0"/>
              <w:jc w:val="center"/>
              <w:rPr>
                <w:b/>
                <w:bCs w:val="0"/>
              </w:rPr>
            </w:pPr>
            <w:r w:rsidRPr="00E63DF4">
              <w:rPr>
                <w:b/>
                <w:bCs w:val="0"/>
              </w:rPr>
              <w:t>(12.10, 27.78)</w:t>
            </w:r>
          </w:p>
        </w:tc>
        <w:tc>
          <w:tcPr>
            <w:tcW w:w="879" w:type="pct"/>
            <w:vAlign w:val="center"/>
          </w:tcPr>
          <w:p w:rsidR="00970A30" w:rsidRPr="00E63DF4" w:rsidRDefault="00970A30" w:rsidP="00F26655">
            <w:pPr>
              <w:pStyle w:val="TableText1"/>
              <w:jc w:val="center"/>
              <w:rPr>
                <w:rFonts w:ascii="Arial Narrow" w:hAnsi="Arial Narrow"/>
                <w:b/>
                <w:bCs w:val="0"/>
              </w:rPr>
            </w:pPr>
            <w:r w:rsidRPr="00E63DF4">
              <w:rPr>
                <w:rFonts w:ascii="Arial Narrow" w:hAnsi="Arial Narrow"/>
                <w:b/>
              </w:rPr>
              <w:t>&lt;0.0001</w:t>
            </w:r>
          </w:p>
        </w:tc>
      </w:tr>
    </w:tbl>
    <w:p w:rsidR="00970A30" w:rsidRPr="00E63DF4" w:rsidRDefault="00970A30" w:rsidP="00970A30">
      <w:pPr>
        <w:pStyle w:val="TableFigureFooter"/>
      </w:pPr>
      <w:r w:rsidRPr="00E63DF4">
        <w:t>Source: Table 2.15, p69 of the submission.</w:t>
      </w:r>
    </w:p>
    <w:p w:rsidR="00970A30" w:rsidRPr="00E63DF4" w:rsidRDefault="00970A30" w:rsidP="00970A30">
      <w:pPr>
        <w:pStyle w:val="TableFigureFooter"/>
        <w:rPr>
          <w:rFonts w:cs="Times New Roman"/>
          <w:bCs/>
          <w:iCs/>
          <w:color w:val="000000"/>
          <w:szCs w:val="18"/>
          <w:lang w:eastAsia="en-US"/>
        </w:rPr>
      </w:pPr>
      <w:r w:rsidRPr="00E63DF4">
        <w:rPr>
          <w:rFonts w:cs="Times New Roman"/>
          <w:bCs/>
          <w:iCs/>
          <w:color w:val="000000"/>
          <w:szCs w:val="18"/>
          <w:lang w:eastAsia="en-US"/>
        </w:rPr>
        <w:t xml:space="preserve">Abbreviations: Atezo+Bev </w:t>
      </w:r>
      <w:r w:rsidR="00AC75B8" w:rsidRPr="00E63DF4">
        <w:rPr>
          <w:rFonts w:cs="Times New Roman"/>
          <w:bCs/>
          <w:iCs/>
          <w:color w:val="000000"/>
          <w:szCs w:val="18"/>
          <w:lang w:eastAsia="en-US"/>
        </w:rPr>
        <w:t>= atezolizumab plus bevacizumab; CI = confidence intervals;</w:t>
      </w:r>
      <w:r w:rsidRPr="00E63DF4">
        <w:rPr>
          <w:rFonts w:cs="Times New Roman"/>
          <w:bCs/>
          <w:iCs/>
          <w:color w:val="000000"/>
          <w:szCs w:val="18"/>
          <w:lang w:eastAsia="en-US"/>
        </w:rPr>
        <w:t xml:space="preserve"> n = number of participants with event</w:t>
      </w:r>
      <w:r w:rsidR="00AC75B8" w:rsidRPr="00E63DF4">
        <w:rPr>
          <w:rFonts w:cs="Times New Roman"/>
          <w:bCs/>
          <w:iCs/>
          <w:color w:val="000000"/>
          <w:szCs w:val="18"/>
          <w:lang w:eastAsia="en-US"/>
        </w:rPr>
        <w:t>;</w:t>
      </w:r>
      <w:r w:rsidRPr="00E63DF4">
        <w:rPr>
          <w:rFonts w:cs="Times New Roman"/>
          <w:bCs/>
          <w:iCs/>
          <w:color w:val="000000"/>
          <w:szCs w:val="18"/>
          <w:lang w:eastAsia="en-US"/>
        </w:rPr>
        <w:t xml:space="preserve"> N = total participants in group</w:t>
      </w:r>
      <w:r w:rsidR="00AC75B8" w:rsidRPr="00E63DF4">
        <w:rPr>
          <w:rFonts w:cs="Times New Roman"/>
          <w:bCs/>
          <w:iCs/>
          <w:color w:val="000000"/>
          <w:szCs w:val="18"/>
          <w:lang w:eastAsia="en-US"/>
        </w:rPr>
        <w:t>;</w:t>
      </w:r>
      <w:r w:rsidRPr="00E63DF4">
        <w:rPr>
          <w:rFonts w:ascii="Calibri" w:eastAsiaTheme="minorEastAsia" w:hAnsi="Calibri" w:cstheme="minorBidi"/>
          <w:snapToGrid/>
          <w:sz w:val="22"/>
          <w:lang w:eastAsia="zh-CN"/>
        </w:rPr>
        <w:t xml:space="preserve"> </w:t>
      </w:r>
      <w:r w:rsidRPr="00E63DF4">
        <w:rPr>
          <w:rFonts w:cs="Times New Roman"/>
          <w:bCs/>
          <w:iCs/>
          <w:color w:val="000000"/>
          <w:szCs w:val="18"/>
          <w:lang w:eastAsia="en-US"/>
        </w:rPr>
        <w:t>ORR = objective response rate</w:t>
      </w:r>
    </w:p>
    <w:p w:rsidR="00970A30" w:rsidRPr="00E63DF4" w:rsidRDefault="00970A30" w:rsidP="00970A30">
      <w:pPr>
        <w:pStyle w:val="TableFigureFooter"/>
        <w:rPr>
          <w:rFonts w:cs="Times New Roman"/>
          <w:bCs/>
          <w:iCs/>
          <w:snapToGrid/>
          <w:color w:val="000000"/>
          <w:szCs w:val="18"/>
          <w:lang w:eastAsia="en-US"/>
        </w:rPr>
      </w:pPr>
      <w:r w:rsidRPr="00E63DF4">
        <w:rPr>
          <w:rFonts w:cs="Times New Roman"/>
          <w:bCs/>
          <w:iCs/>
          <w:color w:val="000000"/>
          <w:szCs w:val="18"/>
          <w:lang w:eastAsia="en-US"/>
        </w:rPr>
        <w:t xml:space="preserve">Note: </w:t>
      </w:r>
      <w:r w:rsidRPr="00E63DF4">
        <w:rPr>
          <w:rFonts w:cs="Times New Roman"/>
          <w:iCs/>
          <w:color w:val="000000"/>
          <w:szCs w:val="18"/>
          <w:lang w:eastAsia="en-US"/>
        </w:rPr>
        <w:t>Bold</w:t>
      </w:r>
      <w:r w:rsidRPr="00E63DF4">
        <w:rPr>
          <w:rFonts w:cs="Times New Roman"/>
          <w:bCs/>
          <w:iCs/>
          <w:color w:val="000000"/>
          <w:szCs w:val="18"/>
          <w:lang w:eastAsia="en-US"/>
        </w:rPr>
        <w:t xml:space="preserve"> indicates statistically significant difference</w:t>
      </w:r>
    </w:p>
    <w:p w:rsidR="00970A30" w:rsidRPr="00E63DF4" w:rsidRDefault="00970A30" w:rsidP="00970A30">
      <w:pPr>
        <w:pStyle w:val="TableFigureFooter"/>
        <w:rPr>
          <w:bCs/>
          <w:iCs/>
          <w:szCs w:val="18"/>
        </w:rPr>
      </w:pPr>
      <w:r w:rsidRPr="00E63DF4">
        <w:rPr>
          <w:bCs/>
          <w:iCs/>
          <w:szCs w:val="18"/>
        </w:rPr>
        <w:t>a Based on IRF-assessment per RECIST v1.1</w:t>
      </w:r>
    </w:p>
    <w:p w:rsidR="00970A30" w:rsidRPr="00E63DF4" w:rsidRDefault="00970A30" w:rsidP="00970A30">
      <w:pPr>
        <w:pStyle w:val="TableFigureFooter"/>
        <w:rPr>
          <w:bCs/>
          <w:iCs/>
          <w:szCs w:val="18"/>
        </w:rPr>
      </w:pPr>
      <w:r w:rsidRPr="00E63DF4">
        <w:rPr>
          <w:bCs/>
          <w:iCs/>
          <w:szCs w:val="18"/>
        </w:rPr>
        <w:t>b Based on IRF-assessment per HCC mRECIST</w:t>
      </w:r>
    </w:p>
    <w:p w:rsidR="009559FA" w:rsidRPr="00E63DF4" w:rsidRDefault="00970A30" w:rsidP="009559FA">
      <w:pPr>
        <w:pStyle w:val="TableFigureFooter"/>
        <w:rPr>
          <w:bCs/>
          <w:iCs/>
          <w:szCs w:val="18"/>
        </w:rPr>
      </w:pPr>
      <w:r w:rsidRPr="00E63DF4">
        <w:rPr>
          <w:bCs/>
          <w:iCs/>
          <w:szCs w:val="18"/>
        </w:rPr>
        <w:t>c ITT population with</w:t>
      </w:r>
      <w:r w:rsidR="009559FA" w:rsidRPr="00E63DF4">
        <w:rPr>
          <w:bCs/>
          <w:iCs/>
          <w:szCs w:val="18"/>
        </w:rPr>
        <w:t xml:space="preserve"> measurable disease at baseline</w:t>
      </w:r>
    </w:p>
    <w:p w:rsidR="00BD240A" w:rsidRPr="00E63DF4" w:rsidRDefault="00BD240A" w:rsidP="00BD240A">
      <w:pPr>
        <w:pStyle w:val="3-BodyText"/>
      </w:pPr>
      <w:r w:rsidRPr="00E63DF4">
        <w:t xml:space="preserve">A summary of the DOR results based on IRF-assessment per RECIST v1.1 and IRF-assessment per HCC mRECIST is presented in </w:t>
      </w:r>
      <w:r w:rsidR="009F4A79" w:rsidRPr="00E63DF4">
        <w:t>Table 6</w:t>
      </w:r>
      <w:r w:rsidRPr="00E63DF4">
        <w:t xml:space="preserve">. The results demonstrated a statistically significant difference in DOR, in favour of Atezo+Bev. </w:t>
      </w:r>
      <w:r w:rsidRPr="00E63DF4">
        <w:rPr>
          <w:iCs/>
        </w:rPr>
        <w:t>The median DOR in the Atezo+Bev arm was not reached.</w:t>
      </w:r>
    </w:p>
    <w:p w:rsidR="00BD240A" w:rsidRPr="00E63DF4" w:rsidRDefault="009F4A79" w:rsidP="00BD240A">
      <w:pPr>
        <w:pStyle w:val="TableFigureHeading"/>
      </w:pPr>
      <w:r w:rsidRPr="00E63DF4">
        <w:lastRenderedPageBreak/>
        <w:t>Table 6</w:t>
      </w:r>
      <w:r w:rsidR="00BD240A" w:rsidRPr="00E63DF4">
        <w:t>: Results of duration of response, IMbrave150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7"/>
        <w:gridCol w:w="917"/>
        <w:gridCol w:w="1381"/>
        <w:gridCol w:w="920"/>
        <w:gridCol w:w="1501"/>
        <w:gridCol w:w="1269"/>
        <w:gridCol w:w="911"/>
        <w:gridCol w:w="1224"/>
      </w:tblGrid>
      <w:tr w:rsidR="00BD240A" w:rsidRPr="00E63DF4" w:rsidTr="00111E6E">
        <w:trPr>
          <w:trHeight w:val="437"/>
          <w:tblHeader/>
        </w:trPr>
        <w:tc>
          <w:tcPr>
            <w:tcW w:w="507" w:type="pct"/>
            <w:tcBorders>
              <w:bottom w:val="nil"/>
            </w:tcBorders>
            <w:vAlign w:val="center"/>
          </w:tcPr>
          <w:p w:rsidR="00BD240A" w:rsidRPr="00E63DF4" w:rsidRDefault="00BD240A" w:rsidP="00F26655">
            <w:pPr>
              <w:pStyle w:val="In-tableHeading"/>
              <w:rPr>
                <w:lang w:val="en-AU" w:eastAsia="zh-CN"/>
              </w:rPr>
            </w:pPr>
          </w:p>
        </w:tc>
        <w:tc>
          <w:tcPr>
            <w:tcW w:w="1271" w:type="pct"/>
            <w:gridSpan w:val="2"/>
            <w:vAlign w:val="center"/>
          </w:tcPr>
          <w:p w:rsidR="00BD240A" w:rsidRPr="00E63DF4" w:rsidRDefault="00BD240A" w:rsidP="00F26655">
            <w:pPr>
              <w:pStyle w:val="In-tableHeading"/>
              <w:jc w:val="center"/>
              <w:rPr>
                <w:lang w:val="en-AU" w:eastAsia="zh-CN"/>
              </w:rPr>
            </w:pPr>
            <w:r w:rsidRPr="00E63DF4">
              <w:rPr>
                <w:lang w:val="en-AU" w:eastAsia="zh-CN"/>
              </w:rPr>
              <w:t xml:space="preserve">Atezo+Bev </w:t>
            </w:r>
            <w:r w:rsidRPr="00E63DF4">
              <w:rPr>
                <w:rFonts w:cstheme="minorHAnsi"/>
                <w:lang w:val="en-AU" w:eastAsia="zh-CN"/>
              </w:rPr>
              <w:t>(N=326</w:t>
            </w:r>
            <w:r w:rsidRPr="00E63DF4">
              <w:rPr>
                <w:rFonts w:cstheme="minorHAnsi"/>
                <w:vertAlign w:val="superscript"/>
                <w:lang w:val="en-AU" w:eastAsia="zh-CN"/>
              </w:rPr>
              <w:t>c</w:t>
            </w:r>
            <w:r w:rsidRPr="00E63DF4">
              <w:rPr>
                <w:rFonts w:cstheme="minorHAnsi"/>
                <w:lang w:val="en-AU" w:eastAsia="zh-CN"/>
              </w:rPr>
              <w:t>)</w:t>
            </w:r>
          </w:p>
        </w:tc>
        <w:tc>
          <w:tcPr>
            <w:tcW w:w="1339" w:type="pct"/>
            <w:gridSpan w:val="2"/>
            <w:vAlign w:val="center"/>
          </w:tcPr>
          <w:p w:rsidR="00BD240A" w:rsidRPr="00E63DF4" w:rsidRDefault="00BD240A" w:rsidP="00F26655">
            <w:pPr>
              <w:pStyle w:val="In-tableHeading"/>
              <w:jc w:val="center"/>
              <w:rPr>
                <w:lang w:val="en-AU" w:eastAsia="zh-CN"/>
              </w:rPr>
            </w:pPr>
            <w:r w:rsidRPr="00E63DF4">
              <w:rPr>
                <w:lang w:val="en-AU" w:eastAsia="zh-CN"/>
              </w:rPr>
              <w:t>Sorafenib (N=159</w:t>
            </w:r>
            <w:r w:rsidRPr="00E63DF4">
              <w:rPr>
                <w:vertAlign w:val="superscript"/>
                <w:lang w:val="en-AU" w:eastAsia="zh-CN"/>
              </w:rPr>
              <w:t>c</w:t>
            </w:r>
            <w:r w:rsidRPr="00E63DF4">
              <w:rPr>
                <w:lang w:val="en-AU" w:eastAsia="zh-CN"/>
              </w:rPr>
              <w:t>)</w:t>
            </w:r>
          </w:p>
        </w:tc>
        <w:tc>
          <w:tcPr>
            <w:tcW w:w="702" w:type="pct"/>
            <w:vMerge w:val="restart"/>
            <w:vAlign w:val="center"/>
          </w:tcPr>
          <w:p w:rsidR="00BD240A" w:rsidRPr="00E63DF4" w:rsidRDefault="00BD240A" w:rsidP="00F26655">
            <w:pPr>
              <w:pStyle w:val="In-tableHeading"/>
              <w:jc w:val="center"/>
              <w:rPr>
                <w:lang w:val="en-AU" w:eastAsia="zh-CN"/>
              </w:rPr>
            </w:pPr>
            <w:r w:rsidRPr="00E63DF4">
              <w:rPr>
                <w:lang w:val="en-AU" w:eastAsia="zh-CN"/>
              </w:rPr>
              <w:t>Difference in median</w:t>
            </w:r>
          </w:p>
        </w:tc>
        <w:tc>
          <w:tcPr>
            <w:tcW w:w="504" w:type="pct"/>
            <w:vMerge w:val="restart"/>
            <w:vAlign w:val="center"/>
          </w:tcPr>
          <w:p w:rsidR="00BD240A" w:rsidRPr="00E63DF4" w:rsidRDefault="00BD240A" w:rsidP="00F26655">
            <w:pPr>
              <w:pStyle w:val="In-tableHeading"/>
              <w:jc w:val="center"/>
              <w:rPr>
                <w:vertAlign w:val="superscript"/>
                <w:lang w:val="en-AU" w:eastAsia="zh-CN"/>
              </w:rPr>
            </w:pPr>
            <w:r w:rsidRPr="00E63DF4">
              <w:rPr>
                <w:lang w:val="en-AU" w:eastAsia="zh-CN"/>
              </w:rPr>
              <w:t>P value</w:t>
            </w:r>
          </w:p>
        </w:tc>
        <w:tc>
          <w:tcPr>
            <w:tcW w:w="677" w:type="pct"/>
            <w:vMerge w:val="restart"/>
            <w:vAlign w:val="center"/>
          </w:tcPr>
          <w:p w:rsidR="00BD240A" w:rsidRPr="00E63DF4" w:rsidRDefault="00BD240A" w:rsidP="00F26655">
            <w:pPr>
              <w:pStyle w:val="In-tableHeading"/>
              <w:jc w:val="center"/>
              <w:rPr>
                <w:vertAlign w:val="superscript"/>
                <w:lang w:val="en-AU" w:eastAsia="zh-CN"/>
              </w:rPr>
            </w:pPr>
            <w:r w:rsidRPr="00E63DF4">
              <w:rPr>
                <w:lang w:val="en-AU" w:eastAsia="zh-CN"/>
              </w:rPr>
              <w:t>HR (95% CI)</w:t>
            </w:r>
          </w:p>
        </w:tc>
      </w:tr>
      <w:tr w:rsidR="00BD240A" w:rsidRPr="00E63DF4" w:rsidTr="00111E6E">
        <w:trPr>
          <w:trHeight w:val="437"/>
          <w:tblHeader/>
        </w:trPr>
        <w:tc>
          <w:tcPr>
            <w:tcW w:w="507" w:type="pct"/>
            <w:tcBorders>
              <w:top w:val="nil"/>
            </w:tcBorders>
          </w:tcPr>
          <w:p w:rsidR="00BD240A" w:rsidRPr="00E63DF4" w:rsidRDefault="00BD240A" w:rsidP="00F26655">
            <w:pPr>
              <w:pStyle w:val="In-tableHeading"/>
              <w:rPr>
                <w:lang w:val="en-AU" w:eastAsia="zh-CN"/>
              </w:rPr>
            </w:pPr>
            <w:r w:rsidRPr="00E63DF4">
              <w:rPr>
                <w:lang w:val="en-AU" w:eastAsia="zh-CN"/>
              </w:rPr>
              <w:t>Outcome</w:t>
            </w:r>
          </w:p>
        </w:tc>
        <w:tc>
          <w:tcPr>
            <w:tcW w:w="507" w:type="pct"/>
          </w:tcPr>
          <w:p w:rsidR="00BD240A" w:rsidRPr="00E63DF4" w:rsidRDefault="00BD240A" w:rsidP="00F26655">
            <w:pPr>
              <w:pStyle w:val="In-tableHeading"/>
              <w:jc w:val="center"/>
              <w:rPr>
                <w:lang w:val="en-AU" w:eastAsia="zh-CN"/>
              </w:rPr>
            </w:pPr>
            <w:r w:rsidRPr="00E63DF4">
              <w:rPr>
                <w:lang w:val="en-AU" w:eastAsia="zh-CN"/>
              </w:rPr>
              <w:t>n/N (%)</w:t>
            </w:r>
          </w:p>
        </w:tc>
        <w:tc>
          <w:tcPr>
            <w:tcW w:w="764" w:type="pct"/>
          </w:tcPr>
          <w:p w:rsidR="00BD240A" w:rsidRPr="00E63DF4" w:rsidRDefault="00BD240A" w:rsidP="00F26655">
            <w:pPr>
              <w:pStyle w:val="In-tableHeading"/>
              <w:jc w:val="center"/>
              <w:rPr>
                <w:lang w:val="en-AU" w:eastAsia="zh-CN"/>
              </w:rPr>
            </w:pPr>
            <w:r w:rsidRPr="00E63DF4">
              <w:rPr>
                <w:lang w:val="en-AU" w:eastAsia="zh-CN"/>
              </w:rPr>
              <w:t>Median time to event (95% CI)</w:t>
            </w:r>
          </w:p>
        </w:tc>
        <w:tc>
          <w:tcPr>
            <w:tcW w:w="509" w:type="pct"/>
          </w:tcPr>
          <w:p w:rsidR="00BD240A" w:rsidRPr="00E63DF4" w:rsidRDefault="00BD240A" w:rsidP="00F26655">
            <w:pPr>
              <w:pStyle w:val="In-tableHeading"/>
              <w:jc w:val="center"/>
              <w:rPr>
                <w:lang w:val="en-AU" w:eastAsia="zh-CN"/>
              </w:rPr>
            </w:pPr>
            <w:r w:rsidRPr="00E63DF4">
              <w:rPr>
                <w:lang w:val="en-AU" w:eastAsia="zh-CN"/>
              </w:rPr>
              <w:t>n/N (%)</w:t>
            </w:r>
          </w:p>
        </w:tc>
        <w:tc>
          <w:tcPr>
            <w:tcW w:w="830" w:type="pct"/>
          </w:tcPr>
          <w:p w:rsidR="00BD240A" w:rsidRPr="00E63DF4" w:rsidRDefault="00BD240A" w:rsidP="00F26655">
            <w:pPr>
              <w:pStyle w:val="In-tableHeading"/>
              <w:jc w:val="center"/>
              <w:rPr>
                <w:lang w:val="en-AU" w:eastAsia="zh-CN"/>
              </w:rPr>
            </w:pPr>
            <w:r w:rsidRPr="00E63DF4">
              <w:rPr>
                <w:lang w:val="en-AU" w:eastAsia="zh-CN"/>
              </w:rPr>
              <w:t>Median time to event (95% CI)</w:t>
            </w:r>
          </w:p>
        </w:tc>
        <w:tc>
          <w:tcPr>
            <w:tcW w:w="702" w:type="pct"/>
            <w:vMerge/>
          </w:tcPr>
          <w:p w:rsidR="00BD240A" w:rsidRPr="00E63DF4" w:rsidRDefault="00BD240A" w:rsidP="00F26655">
            <w:pPr>
              <w:pStyle w:val="In-tableHeading"/>
              <w:jc w:val="center"/>
              <w:rPr>
                <w:lang w:val="en-AU" w:eastAsia="zh-CN"/>
              </w:rPr>
            </w:pPr>
          </w:p>
        </w:tc>
        <w:tc>
          <w:tcPr>
            <w:tcW w:w="504" w:type="pct"/>
            <w:vMerge/>
          </w:tcPr>
          <w:p w:rsidR="00BD240A" w:rsidRPr="00E63DF4" w:rsidRDefault="00BD240A" w:rsidP="00F26655">
            <w:pPr>
              <w:pStyle w:val="In-tableHeading"/>
              <w:jc w:val="center"/>
              <w:rPr>
                <w:lang w:val="en-AU" w:eastAsia="zh-CN"/>
              </w:rPr>
            </w:pPr>
          </w:p>
        </w:tc>
        <w:tc>
          <w:tcPr>
            <w:tcW w:w="677" w:type="pct"/>
            <w:vMerge/>
          </w:tcPr>
          <w:p w:rsidR="00BD240A" w:rsidRPr="00E63DF4" w:rsidRDefault="00BD240A" w:rsidP="00F26655">
            <w:pPr>
              <w:pStyle w:val="In-tableHeading"/>
              <w:jc w:val="center"/>
              <w:rPr>
                <w:lang w:val="en-AU" w:eastAsia="zh-CN"/>
              </w:rPr>
            </w:pPr>
          </w:p>
        </w:tc>
      </w:tr>
      <w:tr w:rsidR="00BD240A" w:rsidRPr="00E63DF4" w:rsidTr="00111E6E">
        <w:trPr>
          <w:trHeight w:val="207"/>
        </w:trPr>
        <w:tc>
          <w:tcPr>
            <w:tcW w:w="507" w:type="pct"/>
            <w:tcBorders>
              <w:top w:val="single" w:sz="4" w:space="0" w:color="000000"/>
            </w:tcBorders>
            <w:vAlign w:val="center"/>
          </w:tcPr>
          <w:p w:rsidR="00BD240A" w:rsidRPr="00E63DF4" w:rsidRDefault="00BD240A" w:rsidP="00F26655">
            <w:pPr>
              <w:pStyle w:val="TableText0"/>
              <w:rPr>
                <w:lang w:eastAsia="zh-CN"/>
              </w:rPr>
            </w:pPr>
            <w:r w:rsidRPr="00E63DF4">
              <w:rPr>
                <w:lang w:eastAsia="zh-CN"/>
              </w:rPr>
              <w:t>DOR</w:t>
            </w:r>
            <w:r w:rsidRPr="00E63DF4">
              <w:rPr>
                <w:vertAlign w:val="superscript"/>
                <w:lang w:eastAsia="zh-CN"/>
              </w:rPr>
              <w:t>a</w:t>
            </w:r>
            <w:r w:rsidR="00347B5B" w:rsidRPr="00E63DF4">
              <w:rPr>
                <w:vertAlign w:val="superscript"/>
                <w:lang w:eastAsia="zh-CN"/>
              </w:rPr>
              <w:t xml:space="preserve"> </w:t>
            </w:r>
            <w:r w:rsidR="00347B5B" w:rsidRPr="00E63DF4">
              <w:rPr>
                <w:lang w:eastAsia="zh-CN"/>
              </w:rPr>
              <w:t>(loss of resp.)</w:t>
            </w:r>
          </w:p>
        </w:tc>
        <w:tc>
          <w:tcPr>
            <w:tcW w:w="507" w:type="pct"/>
            <w:vAlign w:val="center"/>
          </w:tcPr>
          <w:p w:rsidR="00BD240A" w:rsidRPr="00E63DF4" w:rsidRDefault="00BD240A" w:rsidP="00F26655">
            <w:pPr>
              <w:pStyle w:val="TableText0"/>
              <w:jc w:val="center"/>
              <w:rPr>
                <w:lang w:eastAsia="zh-CN"/>
              </w:rPr>
            </w:pPr>
            <w:r w:rsidRPr="00E63DF4">
              <w:t>12/89 (13.5)</w:t>
            </w:r>
          </w:p>
        </w:tc>
        <w:tc>
          <w:tcPr>
            <w:tcW w:w="764" w:type="pct"/>
            <w:vAlign w:val="center"/>
          </w:tcPr>
          <w:p w:rsidR="00BD240A" w:rsidRPr="00E63DF4" w:rsidRDefault="00BD240A" w:rsidP="00F26655">
            <w:pPr>
              <w:pStyle w:val="TableText0"/>
              <w:jc w:val="center"/>
              <w:rPr>
                <w:lang w:eastAsia="zh-CN"/>
              </w:rPr>
            </w:pPr>
            <w:r w:rsidRPr="00E63DF4">
              <w:t>NE</w:t>
            </w:r>
          </w:p>
        </w:tc>
        <w:tc>
          <w:tcPr>
            <w:tcW w:w="509" w:type="pct"/>
            <w:vAlign w:val="center"/>
          </w:tcPr>
          <w:p w:rsidR="00347B5B" w:rsidRPr="00E63DF4" w:rsidRDefault="00BD240A" w:rsidP="00F26655">
            <w:pPr>
              <w:pStyle w:val="TableText0"/>
              <w:jc w:val="center"/>
            </w:pPr>
            <w:r w:rsidRPr="00E63DF4">
              <w:t xml:space="preserve">6/19 </w:t>
            </w:r>
          </w:p>
          <w:p w:rsidR="00BD240A" w:rsidRPr="00E63DF4" w:rsidRDefault="00BD240A" w:rsidP="00F26655">
            <w:pPr>
              <w:pStyle w:val="TableText0"/>
              <w:jc w:val="center"/>
              <w:rPr>
                <w:lang w:eastAsia="zh-CN"/>
              </w:rPr>
            </w:pPr>
            <w:r w:rsidRPr="00E63DF4">
              <w:t>(31.6)</w:t>
            </w:r>
          </w:p>
        </w:tc>
        <w:tc>
          <w:tcPr>
            <w:tcW w:w="830" w:type="pct"/>
            <w:vAlign w:val="center"/>
          </w:tcPr>
          <w:p w:rsidR="00BD240A" w:rsidRPr="00E63DF4" w:rsidRDefault="00BD240A" w:rsidP="00F26655">
            <w:pPr>
              <w:pStyle w:val="TableText0"/>
              <w:jc w:val="center"/>
            </w:pPr>
            <w:r w:rsidRPr="00E63DF4">
              <w:t>6.28 months</w:t>
            </w:r>
          </w:p>
          <w:p w:rsidR="00BD240A" w:rsidRPr="00E63DF4" w:rsidRDefault="00BD240A" w:rsidP="00F26655">
            <w:pPr>
              <w:pStyle w:val="TableText0"/>
              <w:jc w:val="center"/>
              <w:rPr>
                <w:lang w:eastAsia="zh-CN"/>
              </w:rPr>
            </w:pPr>
            <w:r w:rsidRPr="00E63DF4">
              <w:t>(4.67, NE)</w:t>
            </w:r>
          </w:p>
        </w:tc>
        <w:tc>
          <w:tcPr>
            <w:tcW w:w="702" w:type="pct"/>
            <w:vAlign w:val="center"/>
          </w:tcPr>
          <w:p w:rsidR="00BD240A" w:rsidRPr="00E63DF4" w:rsidRDefault="00BD240A" w:rsidP="00F26655">
            <w:pPr>
              <w:pStyle w:val="TableText0"/>
              <w:jc w:val="center"/>
              <w:rPr>
                <w:lang w:eastAsia="zh-CN"/>
              </w:rPr>
            </w:pPr>
            <w:r w:rsidRPr="00E63DF4">
              <w:t>NE</w:t>
            </w:r>
          </w:p>
        </w:tc>
        <w:tc>
          <w:tcPr>
            <w:tcW w:w="504" w:type="pct"/>
            <w:vAlign w:val="center"/>
          </w:tcPr>
          <w:p w:rsidR="00BD240A" w:rsidRPr="00E63DF4" w:rsidRDefault="00BD240A" w:rsidP="00F26655">
            <w:pPr>
              <w:pStyle w:val="TableText0"/>
              <w:jc w:val="center"/>
              <w:rPr>
                <w:b/>
              </w:rPr>
            </w:pPr>
            <w:r w:rsidRPr="00E63DF4">
              <w:rPr>
                <w:b/>
              </w:rPr>
              <w:t>0.0051</w:t>
            </w:r>
          </w:p>
        </w:tc>
        <w:tc>
          <w:tcPr>
            <w:tcW w:w="677" w:type="pct"/>
            <w:vAlign w:val="center"/>
          </w:tcPr>
          <w:p w:rsidR="00BD240A" w:rsidRPr="00E63DF4" w:rsidRDefault="00BD240A" w:rsidP="00F26655">
            <w:pPr>
              <w:pStyle w:val="TableText0"/>
              <w:jc w:val="center"/>
              <w:rPr>
                <w:b/>
              </w:rPr>
            </w:pPr>
            <w:r w:rsidRPr="00E63DF4">
              <w:rPr>
                <w:b/>
              </w:rPr>
              <w:t>0.23</w:t>
            </w:r>
          </w:p>
          <w:p w:rsidR="00BD240A" w:rsidRPr="00E63DF4" w:rsidRDefault="00BD240A" w:rsidP="00F26655">
            <w:pPr>
              <w:pStyle w:val="TableText0"/>
              <w:jc w:val="center"/>
              <w:rPr>
                <w:b/>
                <w:lang w:eastAsia="zh-CN"/>
              </w:rPr>
            </w:pPr>
            <w:r w:rsidRPr="00E63DF4">
              <w:rPr>
                <w:b/>
              </w:rPr>
              <w:t>(0.08, 0.70)</w:t>
            </w:r>
          </w:p>
        </w:tc>
      </w:tr>
      <w:tr w:rsidR="00BD240A" w:rsidRPr="00E63DF4" w:rsidTr="00111E6E">
        <w:trPr>
          <w:trHeight w:val="207"/>
        </w:trPr>
        <w:tc>
          <w:tcPr>
            <w:tcW w:w="507" w:type="pct"/>
            <w:tcBorders>
              <w:top w:val="single" w:sz="4" w:space="0" w:color="000000"/>
              <w:left w:val="single" w:sz="4" w:space="0" w:color="auto"/>
              <w:bottom w:val="single" w:sz="4" w:space="0" w:color="auto"/>
              <w:right w:val="single" w:sz="4" w:space="0" w:color="auto"/>
            </w:tcBorders>
            <w:vAlign w:val="center"/>
          </w:tcPr>
          <w:p w:rsidR="00BD240A" w:rsidRPr="00E63DF4" w:rsidRDefault="00BD240A" w:rsidP="00F26655">
            <w:pPr>
              <w:pStyle w:val="TableText0"/>
              <w:rPr>
                <w:lang w:eastAsia="zh-CN"/>
              </w:rPr>
            </w:pPr>
            <w:r w:rsidRPr="00E63DF4">
              <w:rPr>
                <w:lang w:eastAsia="zh-CN"/>
              </w:rPr>
              <w:t>DOR</w:t>
            </w:r>
            <w:r w:rsidRPr="00E63DF4">
              <w:rPr>
                <w:vertAlign w:val="superscript"/>
                <w:lang w:eastAsia="zh-CN"/>
              </w:rPr>
              <w:t>b</w:t>
            </w:r>
            <w:r w:rsidR="00347B5B" w:rsidRPr="00E63DF4">
              <w:rPr>
                <w:vertAlign w:val="superscript"/>
                <w:lang w:eastAsia="zh-CN"/>
              </w:rPr>
              <w:t xml:space="preserve"> </w:t>
            </w:r>
            <w:r w:rsidR="00347B5B" w:rsidRPr="00E63DF4">
              <w:rPr>
                <w:lang w:eastAsia="zh-CN"/>
              </w:rPr>
              <w:t>(loss of resp.)</w:t>
            </w:r>
          </w:p>
        </w:tc>
        <w:tc>
          <w:tcPr>
            <w:tcW w:w="507" w:type="pct"/>
            <w:vAlign w:val="center"/>
          </w:tcPr>
          <w:p w:rsidR="00BD240A" w:rsidRPr="00E63DF4" w:rsidRDefault="00BD240A" w:rsidP="00F26655">
            <w:pPr>
              <w:pStyle w:val="TableText0"/>
              <w:jc w:val="center"/>
              <w:rPr>
                <w:lang w:eastAsia="zh-CN"/>
              </w:rPr>
            </w:pPr>
            <w:r w:rsidRPr="00E63DF4">
              <w:t>24/108 (22.2)</w:t>
            </w:r>
          </w:p>
        </w:tc>
        <w:tc>
          <w:tcPr>
            <w:tcW w:w="764" w:type="pct"/>
            <w:vAlign w:val="center"/>
          </w:tcPr>
          <w:p w:rsidR="00BD240A" w:rsidRPr="00E63DF4" w:rsidRDefault="00BD240A" w:rsidP="00F26655">
            <w:pPr>
              <w:pStyle w:val="TableText0"/>
              <w:jc w:val="center"/>
              <w:rPr>
                <w:lang w:eastAsia="zh-CN"/>
              </w:rPr>
            </w:pPr>
            <w:r w:rsidRPr="00E63DF4">
              <w:t>NE</w:t>
            </w:r>
          </w:p>
        </w:tc>
        <w:tc>
          <w:tcPr>
            <w:tcW w:w="509" w:type="pct"/>
            <w:vAlign w:val="center"/>
          </w:tcPr>
          <w:p w:rsidR="00347B5B" w:rsidRPr="00E63DF4" w:rsidRDefault="00BD240A" w:rsidP="00F26655">
            <w:pPr>
              <w:pStyle w:val="TableText0"/>
              <w:jc w:val="center"/>
            </w:pPr>
            <w:r w:rsidRPr="00E63DF4">
              <w:t xml:space="preserve">8/21 </w:t>
            </w:r>
          </w:p>
          <w:p w:rsidR="00BD240A" w:rsidRPr="00E63DF4" w:rsidRDefault="00BD240A" w:rsidP="00F26655">
            <w:pPr>
              <w:pStyle w:val="TableText0"/>
              <w:jc w:val="center"/>
              <w:rPr>
                <w:lang w:eastAsia="zh-CN"/>
              </w:rPr>
            </w:pPr>
            <w:r w:rsidRPr="00E63DF4">
              <w:t>(38.1)</w:t>
            </w:r>
          </w:p>
        </w:tc>
        <w:tc>
          <w:tcPr>
            <w:tcW w:w="830" w:type="pct"/>
            <w:vAlign w:val="center"/>
          </w:tcPr>
          <w:p w:rsidR="00BD240A" w:rsidRPr="00E63DF4" w:rsidRDefault="00BD240A" w:rsidP="00F26655">
            <w:pPr>
              <w:pStyle w:val="TableText0"/>
              <w:jc w:val="center"/>
            </w:pPr>
            <w:r w:rsidRPr="00E63DF4">
              <w:t>6.28 months</w:t>
            </w:r>
          </w:p>
          <w:p w:rsidR="00BD240A" w:rsidRPr="00E63DF4" w:rsidRDefault="00BD240A" w:rsidP="00F26655">
            <w:pPr>
              <w:pStyle w:val="TableText0"/>
              <w:jc w:val="center"/>
              <w:rPr>
                <w:lang w:eastAsia="zh-CN"/>
              </w:rPr>
            </w:pPr>
            <w:r w:rsidRPr="00E63DF4">
              <w:t>(4.86, NE)</w:t>
            </w:r>
          </w:p>
        </w:tc>
        <w:tc>
          <w:tcPr>
            <w:tcW w:w="702" w:type="pct"/>
            <w:vAlign w:val="center"/>
          </w:tcPr>
          <w:p w:rsidR="00BD240A" w:rsidRPr="00E63DF4" w:rsidRDefault="00BD240A" w:rsidP="00F26655">
            <w:pPr>
              <w:pStyle w:val="TableText0"/>
              <w:jc w:val="center"/>
              <w:rPr>
                <w:lang w:eastAsia="zh-CN"/>
              </w:rPr>
            </w:pPr>
            <w:r w:rsidRPr="00E63DF4">
              <w:t>NE</w:t>
            </w:r>
          </w:p>
        </w:tc>
        <w:tc>
          <w:tcPr>
            <w:tcW w:w="504" w:type="pct"/>
            <w:vAlign w:val="center"/>
          </w:tcPr>
          <w:p w:rsidR="00BD240A" w:rsidRPr="00E63DF4" w:rsidRDefault="00BD240A" w:rsidP="00F26655">
            <w:pPr>
              <w:pStyle w:val="TableText0"/>
              <w:jc w:val="center"/>
              <w:rPr>
                <w:b/>
                <w:lang w:eastAsia="zh-CN"/>
              </w:rPr>
            </w:pPr>
            <w:r w:rsidRPr="00E63DF4">
              <w:rPr>
                <w:b/>
              </w:rPr>
              <w:t>0.0048</w:t>
            </w:r>
          </w:p>
        </w:tc>
        <w:tc>
          <w:tcPr>
            <w:tcW w:w="677" w:type="pct"/>
            <w:vAlign w:val="center"/>
          </w:tcPr>
          <w:p w:rsidR="00BD240A" w:rsidRPr="00E63DF4" w:rsidRDefault="00BD240A" w:rsidP="00F26655">
            <w:pPr>
              <w:pStyle w:val="TableText0"/>
              <w:jc w:val="center"/>
              <w:rPr>
                <w:b/>
              </w:rPr>
            </w:pPr>
            <w:r w:rsidRPr="00E63DF4">
              <w:rPr>
                <w:b/>
              </w:rPr>
              <w:t>0.30</w:t>
            </w:r>
          </w:p>
          <w:p w:rsidR="00BD240A" w:rsidRPr="00E63DF4" w:rsidRDefault="00BD240A" w:rsidP="00F26655">
            <w:pPr>
              <w:pStyle w:val="TableText0"/>
              <w:jc w:val="center"/>
              <w:rPr>
                <w:b/>
                <w:lang w:eastAsia="zh-CN"/>
              </w:rPr>
            </w:pPr>
            <w:r w:rsidRPr="00E63DF4">
              <w:rPr>
                <w:b/>
              </w:rPr>
              <w:t>(0.12, 0.73)</w:t>
            </w:r>
          </w:p>
        </w:tc>
      </w:tr>
    </w:tbl>
    <w:p w:rsidR="00BD240A" w:rsidRPr="00E63DF4" w:rsidRDefault="00BD240A" w:rsidP="00BD240A">
      <w:pPr>
        <w:pStyle w:val="TableFigureFooter"/>
        <w:rPr>
          <w:lang w:eastAsia="en-US"/>
        </w:rPr>
      </w:pPr>
      <w:r w:rsidRPr="00E63DF4">
        <w:rPr>
          <w:lang w:eastAsia="en-US"/>
        </w:rPr>
        <w:t>Source: Table 2.16</w:t>
      </w:r>
      <w:r w:rsidR="00C51546" w:rsidRPr="00E63DF4">
        <w:rPr>
          <w:lang w:eastAsia="en-US"/>
        </w:rPr>
        <w:t>, p</w:t>
      </w:r>
      <w:r w:rsidRPr="00E63DF4">
        <w:rPr>
          <w:lang w:eastAsia="en-US"/>
        </w:rPr>
        <w:t>70 of the submission</w:t>
      </w:r>
      <w:r w:rsidR="004F207B" w:rsidRPr="00E63DF4">
        <w:rPr>
          <w:lang w:eastAsia="en-US"/>
        </w:rPr>
        <w:t>; Table 24 and Table 25, pp110-111 of the IMbrave150</w:t>
      </w:r>
    </w:p>
    <w:p w:rsidR="00BD240A" w:rsidRPr="00E63DF4" w:rsidRDefault="00BD240A" w:rsidP="00BD240A">
      <w:pPr>
        <w:pStyle w:val="TableFigureFooter"/>
        <w:rPr>
          <w:lang w:eastAsia="en-US"/>
        </w:rPr>
      </w:pPr>
      <w:r w:rsidRPr="00E63DF4">
        <w:rPr>
          <w:lang w:eastAsia="en-US"/>
        </w:rPr>
        <w:t>Abbreviations: Atezo+Bev = atezolizumab plus bevacizumab</w:t>
      </w:r>
      <w:r w:rsidR="00AC75B8" w:rsidRPr="00E63DF4">
        <w:rPr>
          <w:lang w:eastAsia="en-US"/>
        </w:rPr>
        <w:t>; CI = confidence intervals; DOR = duration of response; HR = hazard ratio;</w:t>
      </w:r>
      <w:r w:rsidRPr="00E63DF4">
        <w:rPr>
          <w:lang w:eastAsia="en-US"/>
        </w:rPr>
        <w:t xml:space="preserve"> n = number</w:t>
      </w:r>
      <w:r w:rsidR="00AC75B8" w:rsidRPr="00E63DF4">
        <w:rPr>
          <w:lang w:eastAsia="en-US"/>
        </w:rPr>
        <w:t xml:space="preserve"> of participants reporting data;</w:t>
      </w:r>
      <w:r w:rsidRPr="00E63DF4">
        <w:rPr>
          <w:lang w:eastAsia="en-US"/>
        </w:rPr>
        <w:t xml:space="preserve"> </w:t>
      </w:r>
      <w:r w:rsidR="00AC75B8" w:rsidRPr="00E63DF4">
        <w:rPr>
          <w:lang w:eastAsia="en-US"/>
        </w:rPr>
        <w:t>N = total participants in group;</w:t>
      </w:r>
      <w:r w:rsidRPr="00E63DF4">
        <w:rPr>
          <w:lang w:eastAsia="en-US"/>
        </w:rPr>
        <w:t xml:space="preserve"> NE = not estimable</w:t>
      </w:r>
    </w:p>
    <w:p w:rsidR="00BD240A" w:rsidRPr="00E63DF4" w:rsidRDefault="00BD240A" w:rsidP="00BD240A">
      <w:pPr>
        <w:pStyle w:val="TableFigureFooter"/>
      </w:pPr>
      <w:r w:rsidRPr="00E63DF4">
        <w:t>Note: Bold indicates statistically significant difference.</w:t>
      </w:r>
    </w:p>
    <w:p w:rsidR="00BD240A" w:rsidRPr="00E63DF4" w:rsidRDefault="00BD240A" w:rsidP="00BD240A">
      <w:pPr>
        <w:pStyle w:val="TableFigureFooter"/>
      </w:pPr>
      <w:r w:rsidRPr="00E63DF4">
        <w:t>a Based on IRF-assessment per RECIST v1.1</w:t>
      </w:r>
    </w:p>
    <w:p w:rsidR="00BD240A" w:rsidRPr="00E63DF4" w:rsidRDefault="00BD240A" w:rsidP="00BD240A">
      <w:pPr>
        <w:pStyle w:val="TableFigureFooter"/>
      </w:pPr>
      <w:r w:rsidRPr="00E63DF4">
        <w:t>b Based on IRF-assessment per HCC mRECIST</w:t>
      </w:r>
    </w:p>
    <w:p w:rsidR="00BD240A" w:rsidRPr="00E63DF4" w:rsidRDefault="00BD240A" w:rsidP="00BD240A">
      <w:pPr>
        <w:pStyle w:val="TableFigureFooter"/>
      </w:pPr>
      <w:r w:rsidRPr="00E63DF4">
        <w:t>c Confirmed responders population include those in the ITT population who had an objective response</w:t>
      </w:r>
    </w:p>
    <w:p w:rsidR="00546576" w:rsidRPr="00E63DF4" w:rsidRDefault="00E56489" w:rsidP="00546576">
      <w:pPr>
        <w:pStyle w:val="3-BodyText"/>
      </w:pPr>
      <w:r w:rsidRPr="00E63DF4">
        <w:t>A summary of the TTP results based on IRF-assessment per RECIST v1.1 and IRF-assessment per HCC mRE</w:t>
      </w:r>
      <w:r w:rsidR="00546576" w:rsidRPr="00E63DF4">
        <w:t xml:space="preserve">CIST is presented in </w:t>
      </w:r>
      <w:r w:rsidR="009F4A79" w:rsidRPr="00E63DF4">
        <w:t>Table 7</w:t>
      </w:r>
      <w:r w:rsidR="00546576" w:rsidRPr="00E63DF4">
        <w:t>. The results</w:t>
      </w:r>
      <w:r w:rsidRPr="00E63DF4">
        <w:t xml:space="preserve"> demonstrated a statistically significant difference in TTP</w:t>
      </w:r>
      <w:r w:rsidR="00546576" w:rsidRPr="00E63DF4">
        <w:t>, in favour of Atezo+Bev.</w:t>
      </w:r>
    </w:p>
    <w:p w:rsidR="00546576" w:rsidRPr="00E63DF4" w:rsidRDefault="009F4A79" w:rsidP="00546576">
      <w:pPr>
        <w:pStyle w:val="TableFigureHeading"/>
      </w:pPr>
      <w:r w:rsidRPr="00E63DF4">
        <w:t>Table 7</w:t>
      </w:r>
      <w:r w:rsidR="00546576" w:rsidRPr="00E63DF4">
        <w:t>: Results of time to progression, IMbrave150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7"/>
        <w:gridCol w:w="917"/>
        <w:gridCol w:w="1381"/>
        <w:gridCol w:w="920"/>
        <w:gridCol w:w="1501"/>
        <w:gridCol w:w="1269"/>
        <w:gridCol w:w="911"/>
        <w:gridCol w:w="1224"/>
      </w:tblGrid>
      <w:tr w:rsidR="00546576" w:rsidRPr="00E63DF4" w:rsidTr="00E35EA1">
        <w:trPr>
          <w:trHeight w:val="437"/>
          <w:tblHeader/>
        </w:trPr>
        <w:tc>
          <w:tcPr>
            <w:tcW w:w="507" w:type="pct"/>
            <w:tcBorders>
              <w:bottom w:val="nil"/>
            </w:tcBorders>
            <w:vAlign w:val="center"/>
          </w:tcPr>
          <w:p w:rsidR="00546576" w:rsidRPr="00E63DF4" w:rsidRDefault="00546576" w:rsidP="00F26655">
            <w:pPr>
              <w:pStyle w:val="In-tableHeading"/>
              <w:rPr>
                <w:lang w:val="en-AU" w:eastAsia="zh-CN"/>
              </w:rPr>
            </w:pPr>
          </w:p>
        </w:tc>
        <w:tc>
          <w:tcPr>
            <w:tcW w:w="1271" w:type="pct"/>
            <w:gridSpan w:val="2"/>
            <w:vAlign w:val="center"/>
          </w:tcPr>
          <w:p w:rsidR="00546576" w:rsidRPr="00E63DF4" w:rsidRDefault="00546576" w:rsidP="00F26655">
            <w:pPr>
              <w:pStyle w:val="In-tableHeading"/>
              <w:jc w:val="center"/>
              <w:rPr>
                <w:lang w:val="en-AU" w:eastAsia="zh-CN"/>
              </w:rPr>
            </w:pPr>
            <w:r w:rsidRPr="00E63DF4">
              <w:rPr>
                <w:lang w:val="en-AU" w:eastAsia="zh-CN"/>
              </w:rPr>
              <w:t xml:space="preserve">Atezo+Bev </w:t>
            </w:r>
            <w:r w:rsidRPr="00E63DF4">
              <w:rPr>
                <w:rFonts w:cstheme="minorHAnsi"/>
                <w:lang w:val="en-AU" w:eastAsia="zh-CN"/>
              </w:rPr>
              <w:t>(N=336)</w:t>
            </w:r>
          </w:p>
        </w:tc>
        <w:tc>
          <w:tcPr>
            <w:tcW w:w="1339" w:type="pct"/>
            <w:gridSpan w:val="2"/>
            <w:vAlign w:val="center"/>
          </w:tcPr>
          <w:p w:rsidR="00546576" w:rsidRPr="00E63DF4" w:rsidRDefault="00546576" w:rsidP="00F26655">
            <w:pPr>
              <w:pStyle w:val="In-tableHeading"/>
              <w:jc w:val="center"/>
              <w:rPr>
                <w:lang w:val="en-AU" w:eastAsia="zh-CN"/>
              </w:rPr>
            </w:pPr>
            <w:r w:rsidRPr="00E63DF4">
              <w:rPr>
                <w:lang w:val="en-AU" w:eastAsia="zh-CN"/>
              </w:rPr>
              <w:t>Sorafenib (N=165)</w:t>
            </w:r>
          </w:p>
        </w:tc>
        <w:tc>
          <w:tcPr>
            <w:tcW w:w="702" w:type="pct"/>
            <w:vMerge w:val="restart"/>
            <w:vAlign w:val="center"/>
          </w:tcPr>
          <w:p w:rsidR="00546576" w:rsidRPr="00E63DF4" w:rsidRDefault="00546576" w:rsidP="00F26655">
            <w:pPr>
              <w:pStyle w:val="In-tableHeading"/>
              <w:jc w:val="center"/>
              <w:rPr>
                <w:lang w:val="en-AU" w:eastAsia="zh-CN"/>
              </w:rPr>
            </w:pPr>
            <w:r w:rsidRPr="00E63DF4">
              <w:rPr>
                <w:lang w:val="en-AU" w:eastAsia="zh-CN"/>
              </w:rPr>
              <w:t>Difference in median</w:t>
            </w:r>
          </w:p>
        </w:tc>
        <w:tc>
          <w:tcPr>
            <w:tcW w:w="504" w:type="pct"/>
            <w:vMerge w:val="restart"/>
            <w:vAlign w:val="center"/>
          </w:tcPr>
          <w:p w:rsidR="00546576" w:rsidRPr="00E63DF4" w:rsidRDefault="00546576" w:rsidP="00F26655">
            <w:pPr>
              <w:pStyle w:val="In-tableHeading"/>
              <w:jc w:val="center"/>
              <w:rPr>
                <w:vertAlign w:val="superscript"/>
                <w:lang w:val="en-AU" w:eastAsia="zh-CN"/>
              </w:rPr>
            </w:pPr>
            <w:r w:rsidRPr="00E63DF4">
              <w:rPr>
                <w:lang w:val="en-AU" w:eastAsia="zh-CN"/>
              </w:rPr>
              <w:t>P value</w:t>
            </w:r>
          </w:p>
        </w:tc>
        <w:tc>
          <w:tcPr>
            <w:tcW w:w="677" w:type="pct"/>
            <w:vMerge w:val="restart"/>
            <w:vAlign w:val="center"/>
          </w:tcPr>
          <w:p w:rsidR="00546576" w:rsidRPr="00E63DF4" w:rsidRDefault="00546576" w:rsidP="00F26655">
            <w:pPr>
              <w:pStyle w:val="In-tableHeading"/>
              <w:jc w:val="center"/>
              <w:rPr>
                <w:vertAlign w:val="superscript"/>
                <w:lang w:val="en-AU" w:eastAsia="zh-CN"/>
              </w:rPr>
            </w:pPr>
            <w:r w:rsidRPr="00E63DF4">
              <w:rPr>
                <w:lang w:val="en-AU" w:eastAsia="zh-CN"/>
              </w:rPr>
              <w:t>HR (95% CI)</w:t>
            </w:r>
          </w:p>
        </w:tc>
      </w:tr>
      <w:tr w:rsidR="00546576" w:rsidRPr="00E63DF4" w:rsidTr="00E35EA1">
        <w:trPr>
          <w:trHeight w:val="437"/>
          <w:tblHeader/>
        </w:trPr>
        <w:tc>
          <w:tcPr>
            <w:tcW w:w="507" w:type="pct"/>
            <w:tcBorders>
              <w:top w:val="nil"/>
            </w:tcBorders>
          </w:tcPr>
          <w:p w:rsidR="00546576" w:rsidRPr="00E63DF4" w:rsidRDefault="00546576" w:rsidP="00F26655">
            <w:pPr>
              <w:pStyle w:val="In-tableHeading"/>
              <w:rPr>
                <w:lang w:val="en-AU" w:eastAsia="zh-CN"/>
              </w:rPr>
            </w:pPr>
            <w:r w:rsidRPr="00E63DF4">
              <w:rPr>
                <w:lang w:val="en-AU" w:eastAsia="zh-CN"/>
              </w:rPr>
              <w:t>Outcome</w:t>
            </w:r>
          </w:p>
        </w:tc>
        <w:tc>
          <w:tcPr>
            <w:tcW w:w="507" w:type="pct"/>
          </w:tcPr>
          <w:p w:rsidR="00546576" w:rsidRPr="00E63DF4" w:rsidRDefault="00546576" w:rsidP="00F26655">
            <w:pPr>
              <w:pStyle w:val="In-tableHeading"/>
              <w:jc w:val="center"/>
              <w:rPr>
                <w:lang w:val="en-AU" w:eastAsia="zh-CN"/>
              </w:rPr>
            </w:pPr>
            <w:r w:rsidRPr="00E63DF4">
              <w:rPr>
                <w:lang w:val="en-AU" w:eastAsia="zh-CN"/>
              </w:rPr>
              <w:t>n/N (%)</w:t>
            </w:r>
          </w:p>
        </w:tc>
        <w:tc>
          <w:tcPr>
            <w:tcW w:w="764" w:type="pct"/>
          </w:tcPr>
          <w:p w:rsidR="00546576" w:rsidRPr="00E63DF4" w:rsidRDefault="00546576" w:rsidP="00F26655">
            <w:pPr>
              <w:pStyle w:val="In-tableHeading"/>
              <w:jc w:val="center"/>
              <w:rPr>
                <w:lang w:val="en-AU" w:eastAsia="zh-CN"/>
              </w:rPr>
            </w:pPr>
            <w:r w:rsidRPr="00E63DF4">
              <w:rPr>
                <w:lang w:val="en-AU" w:eastAsia="zh-CN"/>
              </w:rPr>
              <w:t>Median time to event (95% CI)</w:t>
            </w:r>
          </w:p>
        </w:tc>
        <w:tc>
          <w:tcPr>
            <w:tcW w:w="509" w:type="pct"/>
          </w:tcPr>
          <w:p w:rsidR="00546576" w:rsidRPr="00E63DF4" w:rsidRDefault="00546576" w:rsidP="00F26655">
            <w:pPr>
              <w:pStyle w:val="In-tableHeading"/>
              <w:jc w:val="center"/>
              <w:rPr>
                <w:lang w:val="en-AU" w:eastAsia="zh-CN"/>
              </w:rPr>
            </w:pPr>
            <w:r w:rsidRPr="00E63DF4">
              <w:rPr>
                <w:lang w:val="en-AU" w:eastAsia="zh-CN"/>
              </w:rPr>
              <w:t>n/N (%)</w:t>
            </w:r>
          </w:p>
        </w:tc>
        <w:tc>
          <w:tcPr>
            <w:tcW w:w="830" w:type="pct"/>
          </w:tcPr>
          <w:p w:rsidR="00546576" w:rsidRPr="00E63DF4" w:rsidRDefault="00546576" w:rsidP="00F26655">
            <w:pPr>
              <w:pStyle w:val="In-tableHeading"/>
              <w:jc w:val="center"/>
              <w:rPr>
                <w:lang w:val="en-AU" w:eastAsia="zh-CN"/>
              </w:rPr>
            </w:pPr>
            <w:r w:rsidRPr="00E63DF4">
              <w:rPr>
                <w:lang w:val="en-AU" w:eastAsia="zh-CN"/>
              </w:rPr>
              <w:t>Median time to event (95% CI)</w:t>
            </w:r>
          </w:p>
        </w:tc>
        <w:tc>
          <w:tcPr>
            <w:tcW w:w="702" w:type="pct"/>
            <w:vMerge/>
          </w:tcPr>
          <w:p w:rsidR="00546576" w:rsidRPr="00E63DF4" w:rsidRDefault="00546576" w:rsidP="00F26655">
            <w:pPr>
              <w:pStyle w:val="In-tableHeading"/>
              <w:jc w:val="center"/>
              <w:rPr>
                <w:lang w:val="en-AU" w:eastAsia="zh-CN"/>
              </w:rPr>
            </w:pPr>
          </w:p>
        </w:tc>
        <w:tc>
          <w:tcPr>
            <w:tcW w:w="504" w:type="pct"/>
            <w:vMerge/>
          </w:tcPr>
          <w:p w:rsidR="00546576" w:rsidRPr="00E63DF4" w:rsidRDefault="00546576" w:rsidP="00F26655">
            <w:pPr>
              <w:pStyle w:val="In-tableHeading"/>
              <w:jc w:val="center"/>
              <w:rPr>
                <w:lang w:val="en-AU" w:eastAsia="zh-CN"/>
              </w:rPr>
            </w:pPr>
          </w:p>
        </w:tc>
        <w:tc>
          <w:tcPr>
            <w:tcW w:w="677" w:type="pct"/>
            <w:vMerge/>
          </w:tcPr>
          <w:p w:rsidR="00546576" w:rsidRPr="00E63DF4" w:rsidRDefault="00546576" w:rsidP="00F26655">
            <w:pPr>
              <w:pStyle w:val="In-tableHeading"/>
              <w:jc w:val="center"/>
              <w:rPr>
                <w:lang w:val="en-AU" w:eastAsia="zh-CN"/>
              </w:rPr>
            </w:pPr>
          </w:p>
        </w:tc>
      </w:tr>
      <w:tr w:rsidR="00546576" w:rsidRPr="00E63DF4" w:rsidTr="00E35EA1">
        <w:trPr>
          <w:trHeight w:val="207"/>
        </w:trPr>
        <w:tc>
          <w:tcPr>
            <w:tcW w:w="507" w:type="pct"/>
            <w:tcBorders>
              <w:top w:val="single" w:sz="4" w:space="0" w:color="000000"/>
            </w:tcBorders>
            <w:vAlign w:val="center"/>
          </w:tcPr>
          <w:p w:rsidR="00546576" w:rsidRPr="00E63DF4" w:rsidRDefault="00546576" w:rsidP="00F26655">
            <w:pPr>
              <w:pStyle w:val="TableText0"/>
              <w:rPr>
                <w:vertAlign w:val="superscript"/>
                <w:lang w:eastAsia="zh-CN"/>
              </w:rPr>
            </w:pPr>
            <w:r w:rsidRPr="00E63DF4">
              <w:rPr>
                <w:lang w:eastAsia="zh-CN"/>
              </w:rPr>
              <w:t>TTP</w:t>
            </w:r>
            <w:r w:rsidRPr="00E63DF4">
              <w:rPr>
                <w:vertAlign w:val="superscript"/>
                <w:lang w:eastAsia="zh-CN"/>
              </w:rPr>
              <w:t>a</w:t>
            </w:r>
          </w:p>
        </w:tc>
        <w:tc>
          <w:tcPr>
            <w:tcW w:w="507" w:type="pct"/>
            <w:vAlign w:val="center"/>
          </w:tcPr>
          <w:p w:rsidR="00546576" w:rsidRPr="00E63DF4" w:rsidRDefault="00546576" w:rsidP="00F26655">
            <w:pPr>
              <w:pStyle w:val="TableText0"/>
              <w:jc w:val="center"/>
              <w:rPr>
                <w:lang w:eastAsia="zh-CN"/>
              </w:rPr>
            </w:pPr>
            <w:r w:rsidRPr="00E63DF4">
              <w:t>163/336 (48.5)</w:t>
            </w:r>
          </w:p>
        </w:tc>
        <w:tc>
          <w:tcPr>
            <w:tcW w:w="764" w:type="pct"/>
            <w:vAlign w:val="center"/>
          </w:tcPr>
          <w:p w:rsidR="00546576" w:rsidRPr="00E63DF4" w:rsidRDefault="00546576" w:rsidP="00F26655">
            <w:pPr>
              <w:pStyle w:val="TableText0"/>
              <w:jc w:val="center"/>
              <w:rPr>
                <w:lang w:eastAsia="zh-CN"/>
              </w:rPr>
            </w:pPr>
            <w:r w:rsidRPr="00E63DF4">
              <w:t>8.57 months (6.83, 9.86)</w:t>
            </w:r>
          </w:p>
        </w:tc>
        <w:tc>
          <w:tcPr>
            <w:tcW w:w="509" w:type="pct"/>
            <w:vAlign w:val="center"/>
          </w:tcPr>
          <w:p w:rsidR="00546576" w:rsidRPr="00E63DF4" w:rsidRDefault="00546576" w:rsidP="00F26655">
            <w:pPr>
              <w:pStyle w:val="TableText0"/>
              <w:jc w:val="center"/>
              <w:rPr>
                <w:lang w:eastAsia="zh-CN"/>
              </w:rPr>
            </w:pPr>
            <w:r w:rsidRPr="00E63DF4">
              <w:t>80/165 (48.5)</w:t>
            </w:r>
          </w:p>
        </w:tc>
        <w:tc>
          <w:tcPr>
            <w:tcW w:w="830" w:type="pct"/>
            <w:vAlign w:val="center"/>
          </w:tcPr>
          <w:p w:rsidR="00546576" w:rsidRPr="00E63DF4" w:rsidRDefault="00546576" w:rsidP="00F26655">
            <w:pPr>
              <w:pStyle w:val="TableText0"/>
              <w:jc w:val="center"/>
            </w:pPr>
            <w:r w:rsidRPr="00E63DF4">
              <w:t>5.59 months</w:t>
            </w:r>
          </w:p>
          <w:p w:rsidR="00546576" w:rsidRPr="00E63DF4" w:rsidRDefault="00546576" w:rsidP="00F26655">
            <w:pPr>
              <w:pStyle w:val="TableText0"/>
              <w:jc w:val="center"/>
              <w:rPr>
                <w:lang w:eastAsia="zh-CN"/>
              </w:rPr>
            </w:pPr>
            <w:r w:rsidRPr="00E63DF4">
              <w:t>(4.21, 7.72)</w:t>
            </w:r>
          </w:p>
        </w:tc>
        <w:tc>
          <w:tcPr>
            <w:tcW w:w="702" w:type="pct"/>
            <w:vAlign w:val="center"/>
          </w:tcPr>
          <w:p w:rsidR="00546576" w:rsidRPr="00E63DF4" w:rsidRDefault="00546576" w:rsidP="00F26655">
            <w:pPr>
              <w:pStyle w:val="TableText0"/>
              <w:jc w:val="center"/>
              <w:rPr>
                <w:lang w:eastAsia="zh-CN"/>
              </w:rPr>
            </w:pPr>
            <w:r w:rsidRPr="00E63DF4">
              <w:t>2.98 months</w:t>
            </w:r>
          </w:p>
        </w:tc>
        <w:tc>
          <w:tcPr>
            <w:tcW w:w="504" w:type="pct"/>
            <w:vAlign w:val="center"/>
          </w:tcPr>
          <w:p w:rsidR="00546576" w:rsidRPr="00E63DF4" w:rsidRDefault="00546576" w:rsidP="00F26655">
            <w:pPr>
              <w:pStyle w:val="TableText0"/>
              <w:jc w:val="center"/>
              <w:rPr>
                <w:b/>
                <w:lang w:eastAsia="zh-CN"/>
              </w:rPr>
            </w:pPr>
            <w:r w:rsidRPr="00E63DF4">
              <w:rPr>
                <w:b/>
              </w:rPr>
              <w:t>0.0105</w:t>
            </w:r>
          </w:p>
        </w:tc>
        <w:tc>
          <w:tcPr>
            <w:tcW w:w="677" w:type="pct"/>
            <w:vAlign w:val="center"/>
          </w:tcPr>
          <w:p w:rsidR="00546576" w:rsidRPr="00E63DF4" w:rsidRDefault="00546576" w:rsidP="00F26655">
            <w:pPr>
              <w:pStyle w:val="TableText0"/>
              <w:jc w:val="center"/>
              <w:rPr>
                <w:b/>
              </w:rPr>
            </w:pPr>
            <w:r w:rsidRPr="00E63DF4">
              <w:rPr>
                <w:b/>
              </w:rPr>
              <w:t>0.70</w:t>
            </w:r>
          </w:p>
          <w:p w:rsidR="00546576" w:rsidRPr="00E63DF4" w:rsidRDefault="00546576" w:rsidP="00F26655">
            <w:pPr>
              <w:pStyle w:val="TableText0"/>
              <w:jc w:val="center"/>
              <w:rPr>
                <w:b/>
              </w:rPr>
            </w:pPr>
            <w:r w:rsidRPr="00E63DF4">
              <w:rPr>
                <w:b/>
              </w:rPr>
              <w:t>(0.53, 0.92)</w:t>
            </w:r>
          </w:p>
        </w:tc>
      </w:tr>
      <w:tr w:rsidR="00546576" w:rsidRPr="00E63DF4" w:rsidTr="00E35EA1">
        <w:trPr>
          <w:trHeight w:val="207"/>
        </w:trPr>
        <w:tc>
          <w:tcPr>
            <w:tcW w:w="507" w:type="pct"/>
            <w:tcBorders>
              <w:top w:val="single" w:sz="4" w:space="0" w:color="000000"/>
              <w:left w:val="single" w:sz="4" w:space="0" w:color="auto"/>
              <w:bottom w:val="single" w:sz="4" w:space="0" w:color="auto"/>
              <w:right w:val="single" w:sz="4" w:space="0" w:color="auto"/>
            </w:tcBorders>
            <w:vAlign w:val="center"/>
          </w:tcPr>
          <w:p w:rsidR="00546576" w:rsidRPr="00E63DF4" w:rsidRDefault="00546576" w:rsidP="00F26655">
            <w:pPr>
              <w:pStyle w:val="TableText0"/>
              <w:rPr>
                <w:vertAlign w:val="superscript"/>
                <w:lang w:eastAsia="zh-CN"/>
              </w:rPr>
            </w:pPr>
            <w:r w:rsidRPr="00E63DF4">
              <w:rPr>
                <w:lang w:eastAsia="zh-CN"/>
              </w:rPr>
              <w:t>TTP</w:t>
            </w:r>
            <w:r w:rsidRPr="00E63DF4">
              <w:rPr>
                <w:vertAlign w:val="superscript"/>
                <w:lang w:eastAsia="zh-CN"/>
              </w:rPr>
              <w:t>b</w:t>
            </w:r>
          </w:p>
        </w:tc>
        <w:tc>
          <w:tcPr>
            <w:tcW w:w="507" w:type="pct"/>
            <w:vAlign w:val="center"/>
          </w:tcPr>
          <w:p w:rsidR="00546576" w:rsidRPr="00E63DF4" w:rsidRDefault="00546576" w:rsidP="00F26655">
            <w:pPr>
              <w:pStyle w:val="TableText0"/>
              <w:jc w:val="center"/>
              <w:rPr>
                <w:lang w:eastAsia="zh-CN"/>
              </w:rPr>
            </w:pPr>
            <w:r w:rsidRPr="00E63DF4">
              <w:t>164/336 (48.8)</w:t>
            </w:r>
          </w:p>
        </w:tc>
        <w:tc>
          <w:tcPr>
            <w:tcW w:w="764" w:type="pct"/>
            <w:vAlign w:val="center"/>
          </w:tcPr>
          <w:p w:rsidR="00546576" w:rsidRPr="00E63DF4" w:rsidRDefault="00546576" w:rsidP="00F26655">
            <w:pPr>
              <w:pStyle w:val="TableText0"/>
              <w:jc w:val="center"/>
              <w:rPr>
                <w:lang w:eastAsia="zh-CN"/>
              </w:rPr>
            </w:pPr>
            <w:r w:rsidRPr="00E63DF4">
              <w:t>8.28 months (6.80, 9.86)</w:t>
            </w:r>
          </w:p>
        </w:tc>
        <w:tc>
          <w:tcPr>
            <w:tcW w:w="509" w:type="pct"/>
            <w:vAlign w:val="center"/>
          </w:tcPr>
          <w:p w:rsidR="00546576" w:rsidRPr="00E63DF4" w:rsidRDefault="00546576" w:rsidP="00F26655">
            <w:pPr>
              <w:pStyle w:val="TableText0"/>
              <w:jc w:val="center"/>
              <w:rPr>
                <w:lang w:eastAsia="zh-CN"/>
              </w:rPr>
            </w:pPr>
            <w:r w:rsidRPr="00E63DF4">
              <w:t>82/165 (49.7)</w:t>
            </w:r>
          </w:p>
        </w:tc>
        <w:tc>
          <w:tcPr>
            <w:tcW w:w="830" w:type="pct"/>
            <w:vAlign w:val="center"/>
          </w:tcPr>
          <w:p w:rsidR="00546576" w:rsidRPr="00E63DF4" w:rsidRDefault="00546576" w:rsidP="00F26655">
            <w:pPr>
              <w:pStyle w:val="TableText0"/>
              <w:jc w:val="center"/>
            </w:pPr>
            <w:r w:rsidRPr="00E63DF4">
              <w:t>5.55 months</w:t>
            </w:r>
          </w:p>
          <w:p w:rsidR="00546576" w:rsidRPr="00E63DF4" w:rsidRDefault="00546576" w:rsidP="00F26655">
            <w:pPr>
              <w:pStyle w:val="TableText0"/>
              <w:jc w:val="center"/>
              <w:rPr>
                <w:lang w:eastAsia="zh-CN"/>
              </w:rPr>
            </w:pPr>
            <w:r w:rsidRPr="00E63DF4">
              <w:t>(4.21, 7.69)</w:t>
            </w:r>
          </w:p>
        </w:tc>
        <w:tc>
          <w:tcPr>
            <w:tcW w:w="702" w:type="pct"/>
            <w:vAlign w:val="center"/>
          </w:tcPr>
          <w:p w:rsidR="00546576" w:rsidRPr="00E63DF4" w:rsidRDefault="00546576" w:rsidP="00F26655">
            <w:pPr>
              <w:pStyle w:val="TableText0"/>
              <w:jc w:val="center"/>
              <w:rPr>
                <w:lang w:eastAsia="zh-CN"/>
              </w:rPr>
            </w:pPr>
            <w:r w:rsidRPr="00E63DF4">
              <w:t>2.73 months</w:t>
            </w:r>
          </w:p>
        </w:tc>
        <w:tc>
          <w:tcPr>
            <w:tcW w:w="504" w:type="pct"/>
            <w:vAlign w:val="center"/>
          </w:tcPr>
          <w:p w:rsidR="00546576" w:rsidRPr="00E63DF4" w:rsidRDefault="00546576" w:rsidP="00F26655">
            <w:pPr>
              <w:pStyle w:val="TableText0"/>
              <w:jc w:val="center"/>
              <w:rPr>
                <w:b/>
                <w:lang w:eastAsia="zh-CN"/>
              </w:rPr>
            </w:pPr>
            <w:r w:rsidRPr="00E63DF4">
              <w:rPr>
                <w:b/>
              </w:rPr>
              <w:t>0.0063</w:t>
            </w:r>
          </w:p>
        </w:tc>
        <w:tc>
          <w:tcPr>
            <w:tcW w:w="677" w:type="pct"/>
            <w:vAlign w:val="center"/>
          </w:tcPr>
          <w:p w:rsidR="00546576" w:rsidRPr="00E63DF4" w:rsidRDefault="00546576" w:rsidP="00F26655">
            <w:pPr>
              <w:pStyle w:val="TableText0"/>
              <w:jc w:val="center"/>
              <w:rPr>
                <w:b/>
              </w:rPr>
            </w:pPr>
            <w:r w:rsidRPr="00E63DF4">
              <w:rPr>
                <w:b/>
              </w:rPr>
              <w:t>0.69</w:t>
            </w:r>
          </w:p>
          <w:p w:rsidR="00546576" w:rsidRPr="00E63DF4" w:rsidRDefault="00546576" w:rsidP="00F26655">
            <w:pPr>
              <w:pStyle w:val="TableText0"/>
              <w:jc w:val="center"/>
              <w:rPr>
                <w:b/>
                <w:lang w:eastAsia="zh-CN"/>
              </w:rPr>
            </w:pPr>
            <w:r w:rsidRPr="00E63DF4">
              <w:rPr>
                <w:b/>
              </w:rPr>
              <w:t>(0.52, 0.90)</w:t>
            </w:r>
          </w:p>
        </w:tc>
      </w:tr>
    </w:tbl>
    <w:p w:rsidR="00546576" w:rsidRPr="00E63DF4" w:rsidRDefault="00546576" w:rsidP="00546576">
      <w:pPr>
        <w:pStyle w:val="TableFigureFooter"/>
        <w:rPr>
          <w:lang w:eastAsia="en-US"/>
        </w:rPr>
      </w:pPr>
      <w:r w:rsidRPr="00E63DF4">
        <w:rPr>
          <w:lang w:eastAsia="en-US"/>
        </w:rPr>
        <w:t>Source: Table 2.17</w:t>
      </w:r>
      <w:r w:rsidR="00C51546" w:rsidRPr="00E63DF4">
        <w:rPr>
          <w:lang w:eastAsia="en-US"/>
        </w:rPr>
        <w:t>, p</w:t>
      </w:r>
      <w:r w:rsidRPr="00E63DF4">
        <w:rPr>
          <w:lang w:eastAsia="en-US"/>
        </w:rPr>
        <w:t>71 of the submission</w:t>
      </w:r>
      <w:r w:rsidR="004F207B" w:rsidRPr="00E63DF4">
        <w:rPr>
          <w:lang w:eastAsia="en-US"/>
        </w:rPr>
        <w:t>; pp1471-1472 of the IMbrave150 CSR</w:t>
      </w:r>
    </w:p>
    <w:p w:rsidR="00546576" w:rsidRPr="00E63DF4" w:rsidRDefault="00546576" w:rsidP="00546576">
      <w:pPr>
        <w:pStyle w:val="TableFigureFooter"/>
        <w:rPr>
          <w:lang w:eastAsia="en-US"/>
        </w:rPr>
      </w:pPr>
      <w:r w:rsidRPr="00E63DF4">
        <w:rPr>
          <w:lang w:eastAsia="en-US"/>
        </w:rPr>
        <w:t>Abbreviations: Atezo+Bev = atezolizumab plus bevacizuma</w:t>
      </w:r>
      <w:r w:rsidR="004F2848" w:rsidRPr="00E63DF4">
        <w:rPr>
          <w:lang w:eastAsia="en-US"/>
        </w:rPr>
        <w:t>b; CI = confidence intervals; HR = hazard ratio;</w:t>
      </w:r>
      <w:r w:rsidRPr="00E63DF4">
        <w:rPr>
          <w:lang w:eastAsia="en-US"/>
        </w:rPr>
        <w:t xml:space="preserve"> n = number</w:t>
      </w:r>
      <w:r w:rsidR="004F2848" w:rsidRPr="00E63DF4">
        <w:rPr>
          <w:lang w:eastAsia="en-US"/>
        </w:rPr>
        <w:t xml:space="preserve"> of participants reporting data;</w:t>
      </w:r>
      <w:r w:rsidRPr="00E63DF4">
        <w:rPr>
          <w:lang w:eastAsia="en-US"/>
        </w:rPr>
        <w:t xml:space="preserve"> </w:t>
      </w:r>
      <w:r w:rsidR="004F2848" w:rsidRPr="00E63DF4">
        <w:rPr>
          <w:lang w:eastAsia="en-US"/>
        </w:rPr>
        <w:t>N = total participants in group; NE = not estimable;</w:t>
      </w:r>
      <w:r w:rsidRPr="00E63DF4">
        <w:rPr>
          <w:lang w:eastAsia="en-US"/>
        </w:rPr>
        <w:t xml:space="preserve"> TTP = time to progression</w:t>
      </w:r>
    </w:p>
    <w:p w:rsidR="00546576" w:rsidRPr="00E63DF4" w:rsidRDefault="00546576" w:rsidP="00546576">
      <w:pPr>
        <w:pStyle w:val="TableFigureFooter"/>
      </w:pPr>
      <w:r w:rsidRPr="00E63DF4">
        <w:t>Note: Bold indicates statistically significant difference.</w:t>
      </w:r>
    </w:p>
    <w:p w:rsidR="00546576" w:rsidRPr="00E63DF4" w:rsidRDefault="00546576" w:rsidP="00546576">
      <w:pPr>
        <w:pStyle w:val="TableFigureFooter"/>
      </w:pPr>
      <w:r w:rsidRPr="00E63DF4">
        <w:t>a Based on IRF-assessment per RECIST v1.1</w:t>
      </w:r>
    </w:p>
    <w:p w:rsidR="00546576" w:rsidRPr="00E63DF4" w:rsidRDefault="00546576" w:rsidP="00546576">
      <w:pPr>
        <w:pStyle w:val="TableFigureFooter"/>
      </w:pPr>
      <w:r w:rsidRPr="00E63DF4">
        <w:t>b Based on IRF-assessment per HCC mRECIST</w:t>
      </w:r>
    </w:p>
    <w:p w:rsidR="003C43D6" w:rsidRPr="00E63DF4" w:rsidRDefault="003C43D6" w:rsidP="0049734C">
      <w:pPr>
        <w:pStyle w:val="3-BodyText"/>
      </w:pPr>
      <w:r w:rsidRPr="00E63DF4">
        <w:t xml:space="preserve">A summary of </w:t>
      </w:r>
      <w:r w:rsidR="009C1843" w:rsidRPr="00E63DF4">
        <w:t xml:space="preserve">the </w:t>
      </w:r>
      <w:r w:rsidRPr="00E63DF4">
        <w:t xml:space="preserve">results </w:t>
      </w:r>
      <w:r w:rsidR="009C1843" w:rsidRPr="00E63DF4">
        <w:t xml:space="preserve">for </w:t>
      </w:r>
      <w:r w:rsidR="00694B69" w:rsidRPr="00E63DF4">
        <w:t xml:space="preserve">time </w:t>
      </w:r>
      <w:r w:rsidR="00244E9E" w:rsidRPr="00E63DF4">
        <w:t>to</w:t>
      </w:r>
      <w:r w:rsidR="00694B69" w:rsidRPr="00E63DF4">
        <w:t xml:space="preserve"> deterioration (TTD)</w:t>
      </w:r>
      <w:r w:rsidRPr="00E63DF4">
        <w:t xml:space="preserve"> of physical functioning, role functioning, </w:t>
      </w:r>
      <w:r w:rsidR="004B76CE" w:rsidRPr="00E63DF4">
        <w:t>global health status/quality of life (</w:t>
      </w:r>
      <w:r w:rsidRPr="00E63DF4">
        <w:t>GHS/QoL</w:t>
      </w:r>
      <w:r w:rsidR="004B76CE" w:rsidRPr="00E63DF4">
        <w:t>)</w:t>
      </w:r>
      <w:r w:rsidRPr="00E63DF4">
        <w:t xml:space="preserve"> and patient-reported symptoms is presented in </w:t>
      </w:r>
      <w:r w:rsidR="009F4A79" w:rsidRPr="00E63DF4">
        <w:t>Table 8</w:t>
      </w:r>
      <w:r w:rsidRPr="00E63DF4">
        <w:t>.</w:t>
      </w:r>
      <w:r w:rsidR="0049734C" w:rsidRPr="00E63DF4">
        <w:rPr>
          <w:rFonts w:ascii="Calibri" w:hAnsi="Calibri"/>
          <w:snapToGrid/>
        </w:rPr>
        <w:t xml:space="preserve"> </w:t>
      </w:r>
      <w:r w:rsidR="0049734C" w:rsidRPr="00E63DF4">
        <w:t>The results demonstrated a statistically significant difference in TTD, in favour of Atezo+Bev, for all outcomes except jaundice.</w:t>
      </w:r>
      <w:r w:rsidR="0049734C" w:rsidRPr="00E63DF4">
        <w:rPr>
          <w:rFonts w:ascii="Calibri" w:hAnsi="Calibri"/>
          <w:snapToGrid/>
        </w:rPr>
        <w:t xml:space="preserve"> </w:t>
      </w:r>
      <w:r w:rsidR="0049734C" w:rsidRPr="00E63DF4">
        <w:t>The median TTD of appetite loss, diarrhoea and pain (EORTC QLQ-HCC18) for Atezo+Bev was not reached.</w:t>
      </w:r>
      <w:r w:rsidR="004129BD" w:rsidRPr="00E63DF4">
        <w:t xml:space="preserve"> The ESC </w:t>
      </w:r>
      <w:r w:rsidR="001F21E5" w:rsidRPr="00E63DF4">
        <w:t xml:space="preserve">noted the </w:t>
      </w:r>
      <w:r w:rsidR="004129BD" w:rsidRPr="00E63DF4">
        <w:t xml:space="preserve">statistically significant difference in TTD in favour of Atezo+Bev </w:t>
      </w:r>
      <w:r w:rsidR="001F21E5" w:rsidRPr="00E63DF4">
        <w:t xml:space="preserve">and considered this is likely to be </w:t>
      </w:r>
      <w:r w:rsidR="004129BD" w:rsidRPr="00E63DF4">
        <w:t>clinically significant to patients</w:t>
      </w:r>
      <w:r w:rsidR="00F021BC" w:rsidRPr="00E63DF4">
        <w:t xml:space="preserve"> </w:t>
      </w:r>
      <w:r w:rsidR="001F21E5" w:rsidRPr="00E63DF4">
        <w:t xml:space="preserve">with HCC </w:t>
      </w:r>
      <w:r w:rsidR="00F021BC" w:rsidRPr="00E63DF4">
        <w:t>in terms of improved quality of life</w:t>
      </w:r>
      <w:r w:rsidR="004129BD" w:rsidRPr="00E63DF4">
        <w:t>.</w:t>
      </w:r>
    </w:p>
    <w:p w:rsidR="003C43D6" w:rsidRPr="00E63DF4" w:rsidRDefault="009F4A79" w:rsidP="00A00982">
      <w:pPr>
        <w:pStyle w:val="TableFigureHeading"/>
        <w:keepLines/>
      </w:pPr>
      <w:r w:rsidRPr="00E63DF4">
        <w:lastRenderedPageBreak/>
        <w:t>Table 8</w:t>
      </w:r>
      <w:r w:rsidR="003C43D6" w:rsidRPr="00E63DF4">
        <w:t>: Results of time to deterioration, IMbrave150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7"/>
        <w:gridCol w:w="917"/>
        <w:gridCol w:w="1381"/>
        <w:gridCol w:w="920"/>
        <w:gridCol w:w="1501"/>
        <w:gridCol w:w="1269"/>
        <w:gridCol w:w="911"/>
        <w:gridCol w:w="1224"/>
      </w:tblGrid>
      <w:tr w:rsidR="003C43D6" w:rsidRPr="00E63DF4" w:rsidTr="00E35EA1">
        <w:trPr>
          <w:trHeight w:val="437"/>
          <w:tblHeader/>
        </w:trPr>
        <w:tc>
          <w:tcPr>
            <w:tcW w:w="507" w:type="pct"/>
            <w:tcBorders>
              <w:bottom w:val="nil"/>
            </w:tcBorders>
            <w:vAlign w:val="center"/>
          </w:tcPr>
          <w:p w:rsidR="003C43D6" w:rsidRPr="00453BFD" w:rsidRDefault="003C43D6" w:rsidP="00A00982">
            <w:pPr>
              <w:pStyle w:val="In-tableHeading"/>
              <w:keepLines/>
              <w:rPr>
                <w:szCs w:val="20"/>
                <w:lang w:val="en-AU" w:eastAsia="zh-CN"/>
              </w:rPr>
            </w:pPr>
          </w:p>
        </w:tc>
        <w:tc>
          <w:tcPr>
            <w:tcW w:w="1271" w:type="pct"/>
            <w:gridSpan w:val="2"/>
            <w:vAlign w:val="center"/>
          </w:tcPr>
          <w:p w:rsidR="003C43D6" w:rsidRPr="00453BFD" w:rsidRDefault="003C43D6" w:rsidP="00A00982">
            <w:pPr>
              <w:pStyle w:val="In-tableHeading"/>
              <w:keepLines/>
              <w:jc w:val="center"/>
              <w:rPr>
                <w:szCs w:val="20"/>
                <w:lang w:val="en-AU" w:eastAsia="zh-CN"/>
              </w:rPr>
            </w:pPr>
            <w:r w:rsidRPr="00453BFD">
              <w:rPr>
                <w:szCs w:val="20"/>
                <w:lang w:val="en-AU" w:eastAsia="zh-CN"/>
              </w:rPr>
              <w:t xml:space="preserve">Atezo+Bev </w:t>
            </w:r>
            <w:r w:rsidRPr="00453BFD">
              <w:rPr>
                <w:rFonts w:cstheme="minorHAnsi"/>
                <w:szCs w:val="20"/>
                <w:lang w:val="en-AU" w:eastAsia="zh-CN"/>
              </w:rPr>
              <w:t>(N=336)</w:t>
            </w:r>
          </w:p>
        </w:tc>
        <w:tc>
          <w:tcPr>
            <w:tcW w:w="1339" w:type="pct"/>
            <w:gridSpan w:val="2"/>
            <w:vAlign w:val="center"/>
          </w:tcPr>
          <w:p w:rsidR="003C43D6" w:rsidRPr="00453BFD" w:rsidRDefault="003C43D6" w:rsidP="00A00982">
            <w:pPr>
              <w:pStyle w:val="In-tableHeading"/>
              <w:keepLines/>
              <w:jc w:val="center"/>
              <w:rPr>
                <w:szCs w:val="20"/>
                <w:lang w:val="en-AU" w:eastAsia="zh-CN"/>
              </w:rPr>
            </w:pPr>
            <w:r w:rsidRPr="00453BFD">
              <w:rPr>
                <w:szCs w:val="20"/>
                <w:lang w:val="en-AU" w:eastAsia="zh-CN"/>
              </w:rPr>
              <w:t>Sorafenib (N=165)</w:t>
            </w:r>
          </w:p>
        </w:tc>
        <w:tc>
          <w:tcPr>
            <w:tcW w:w="702" w:type="pct"/>
            <w:vMerge w:val="restart"/>
            <w:vAlign w:val="center"/>
          </w:tcPr>
          <w:p w:rsidR="003C43D6" w:rsidRPr="00453BFD" w:rsidRDefault="003C43D6" w:rsidP="00A00982">
            <w:pPr>
              <w:pStyle w:val="In-tableHeading"/>
              <w:keepLines/>
              <w:jc w:val="center"/>
              <w:rPr>
                <w:szCs w:val="20"/>
                <w:lang w:val="en-AU" w:eastAsia="zh-CN"/>
              </w:rPr>
            </w:pPr>
            <w:r w:rsidRPr="00453BFD">
              <w:rPr>
                <w:szCs w:val="20"/>
                <w:lang w:val="en-AU" w:eastAsia="zh-CN"/>
              </w:rPr>
              <w:t>Difference in median</w:t>
            </w:r>
          </w:p>
        </w:tc>
        <w:tc>
          <w:tcPr>
            <w:tcW w:w="504" w:type="pct"/>
            <w:vMerge w:val="restart"/>
            <w:vAlign w:val="center"/>
          </w:tcPr>
          <w:p w:rsidR="003C43D6" w:rsidRPr="00453BFD" w:rsidRDefault="003C43D6" w:rsidP="00A00982">
            <w:pPr>
              <w:pStyle w:val="In-tableHeading"/>
              <w:keepLines/>
              <w:jc w:val="center"/>
              <w:rPr>
                <w:szCs w:val="20"/>
                <w:vertAlign w:val="superscript"/>
                <w:lang w:val="en-AU" w:eastAsia="zh-CN"/>
              </w:rPr>
            </w:pPr>
            <w:r w:rsidRPr="00453BFD">
              <w:rPr>
                <w:szCs w:val="20"/>
                <w:lang w:val="en-AU" w:eastAsia="zh-CN"/>
              </w:rPr>
              <w:t>P value</w:t>
            </w:r>
          </w:p>
        </w:tc>
        <w:tc>
          <w:tcPr>
            <w:tcW w:w="677" w:type="pct"/>
            <w:vMerge w:val="restart"/>
            <w:vAlign w:val="center"/>
          </w:tcPr>
          <w:p w:rsidR="003C43D6" w:rsidRPr="00453BFD" w:rsidRDefault="003C43D6" w:rsidP="00A00982">
            <w:pPr>
              <w:pStyle w:val="In-tableHeading"/>
              <w:keepLines/>
              <w:jc w:val="center"/>
              <w:rPr>
                <w:szCs w:val="20"/>
                <w:vertAlign w:val="superscript"/>
                <w:lang w:val="en-AU" w:eastAsia="zh-CN"/>
              </w:rPr>
            </w:pPr>
            <w:r w:rsidRPr="00453BFD">
              <w:rPr>
                <w:szCs w:val="20"/>
                <w:lang w:val="en-AU" w:eastAsia="zh-CN"/>
              </w:rPr>
              <w:t>HR (95% CI)</w:t>
            </w:r>
          </w:p>
        </w:tc>
      </w:tr>
      <w:tr w:rsidR="003C43D6" w:rsidRPr="00E63DF4" w:rsidTr="00E35EA1">
        <w:trPr>
          <w:trHeight w:val="437"/>
          <w:tblHeader/>
        </w:trPr>
        <w:tc>
          <w:tcPr>
            <w:tcW w:w="507" w:type="pct"/>
            <w:tcBorders>
              <w:top w:val="nil"/>
            </w:tcBorders>
          </w:tcPr>
          <w:p w:rsidR="003C43D6" w:rsidRPr="00453BFD" w:rsidRDefault="003C43D6" w:rsidP="00A00982">
            <w:pPr>
              <w:pStyle w:val="In-tableHeading"/>
              <w:keepLines/>
              <w:rPr>
                <w:szCs w:val="20"/>
                <w:lang w:val="en-AU" w:eastAsia="zh-CN"/>
              </w:rPr>
            </w:pPr>
            <w:r w:rsidRPr="00453BFD">
              <w:rPr>
                <w:szCs w:val="20"/>
                <w:lang w:val="en-AU" w:eastAsia="zh-CN"/>
              </w:rPr>
              <w:t>Outcome</w:t>
            </w:r>
          </w:p>
        </w:tc>
        <w:tc>
          <w:tcPr>
            <w:tcW w:w="507" w:type="pct"/>
          </w:tcPr>
          <w:p w:rsidR="003C43D6" w:rsidRPr="00453BFD" w:rsidRDefault="003C43D6" w:rsidP="00A00982">
            <w:pPr>
              <w:pStyle w:val="In-tableHeading"/>
              <w:keepLines/>
              <w:jc w:val="center"/>
              <w:rPr>
                <w:szCs w:val="20"/>
                <w:lang w:val="en-AU" w:eastAsia="zh-CN"/>
              </w:rPr>
            </w:pPr>
            <w:r w:rsidRPr="00453BFD">
              <w:rPr>
                <w:szCs w:val="20"/>
                <w:lang w:val="en-AU" w:eastAsia="zh-CN"/>
              </w:rPr>
              <w:t>n/N (%)</w:t>
            </w:r>
          </w:p>
        </w:tc>
        <w:tc>
          <w:tcPr>
            <w:tcW w:w="764" w:type="pct"/>
          </w:tcPr>
          <w:p w:rsidR="003C43D6" w:rsidRPr="00453BFD" w:rsidRDefault="003C43D6" w:rsidP="00A00982">
            <w:pPr>
              <w:pStyle w:val="In-tableHeading"/>
              <w:keepLines/>
              <w:jc w:val="center"/>
              <w:rPr>
                <w:szCs w:val="20"/>
                <w:lang w:val="en-AU" w:eastAsia="zh-CN"/>
              </w:rPr>
            </w:pPr>
            <w:r w:rsidRPr="00453BFD">
              <w:rPr>
                <w:szCs w:val="20"/>
                <w:lang w:val="en-AU" w:eastAsia="zh-CN"/>
              </w:rPr>
              <w:t>Median time to event (95% CI)</w:t>
            </w:r>
          </w:p>
        </w:tc>
        <w:tc>
          <w:tcPr>
            <w:tcW w:w="509" w:type="pct"/>
          </w:tcPr>
          <w:p w:rsidR="003C43D6" w:rsidRPr="00453BFD" w:rsidRDefault="003C43D6" w:rsidP="00A00982">
            <w:pPr>
              <w:pStyle w:val="In-tableHeading"/>
              <w:keepLines/>
              <w:jc w:val="center"/>
              <w:rPr>
                <w:szCs w:val="20"/>
                <w:lang w:val="en-AU" w:eastAsia="zh-CN"/>
              </w:rPr>
            </w:pPr>
            <w:r w:rsidRPr="00453BFD">
              <w:rPr>
                <w:szCs w:val="20"/>
                <w:lang w:val="en-AU" w:eastAsia="zh-CN"/>
              </w:rPr>
              <w:t>n/N (%)</w:t>
            </w:r>
          </w:p>
        </w:tc>
        <w:tc>
          <w:tcPr>
            <w:tcW w:w="830" w:type="pct"/>
          </w:tcPr>
          <w:p w:rsidR="003C43D6" w:rsidRPr="00453BFD" w:rsidRDefault="003C43D6" w:rsidP="00A00982">
            <w:pPr>
              <w:pStyle w:val="In-tableHeading"/>
              <w:keepLines/>
              <w:jc w:val="center"/>
              <w:rPr>
                <w:szCs w:val="20"/>
                <w:lang w:val="en-AU" w:eastAsia="zh-CN"/>
              </w:rPr>
            </w:pPr>
            <w:r w:rsidRPr="00453BFD">
              <w:rPr>
                <w:szCs w:val="20"/>
                <w:lang w:val="en-AU" w:eastAsia="zh-CN"/>
              </w:rPr>
              <w:t>Median time to event (95% CI)</w:t>
            </w:r>
          </w:p>
        </w:tc>
        <w:tc>
          <w:tcPr>
            <w:tcW w:w="702" w:type="pct"/>
            <w:vMerge/>
          </w:tcPr>
          <w:p w:rsidR="003C43D6" w:rsidRPr="00453BFD" w:rsidRDefault="003C43D6" w:rsidP="00A00982">
            <w:pPr>
              <w:pStyle w:val="In-tableHeading"/>
              <w:keepLines/>
              <w:jc w:val="center"/>
              <w:rPr>
                <w:szCs w:val="20"/>
                <w:lang w:val="en-AU" w:eastAsia="zh-CN"/>
              </w:rPr>
            </w:pPr>
          </w:p>
        </w:tc>
        <w:tc>
          <w:tcPr>
            <w:tcW w:w="504" w:type="pct"/>
            <w:vMerge/>
          </w:tcPr>
          <w:p w:rsidR="003C43D6" w:rsidRPr="00453BFD" w:rsidRDefault="003C43D6" w:rsidP="00A00982">
            <w:pPr>
              <w:pStyle w:val="In-tableHeading"/>
              <w:keepLines/>
              <w:jc w:val="center"/>
              <w:rPr>
                <w:szCs w:val="20"/>
                <w:lang w:val="en-AU" w:eastAsia="zh-CN"/>
              </w:rPr>
            </w:pPr>
          </w:p>
        </w:tc>
        <w:tc>
          <w:tcPr>
            <w:tcW w:w="677" w:type="pct"/>
            <w:vMerge/>
          </w:tcPr>
          <w:p w:rsidR="003C43D6" w:rsidRPr="00453BFD" w:rsidRDefault="003C43D6" w:rsidP="00A00982">
            <w:pPr>
              <w:pStyle w:val="In-tableHeading"/>
              <w:keepLines/>
              <w:jc w:val="center"/>
              <w:rPr>
                <w:szCs w:val="20"/>
                <w:lang w:val="en-AU" w:eastAsia="zh-CN"/>
              </w:rPr>
            </w:pPr>
          </w:p>
        </w:tc>
      </w:tr>
      <w:tr w:rsidR="003C43D6" w:rsidRPr="00E63DF4" w:rsidTr="00E35EA1">
        <w:trPr>
          <w:trHeight w:val="207"/>
        </w:trPr>
        <w:tc>
          <w:tcPr>
            <w:tcW w:w="507" w:type="pct"/>
            <w:tcBorders>
              <w:top w:val="single" w:sz="4" w:space="0" w:color="000000"/>
            </w:tcBorders>
            <w:vAlign w:val="center"/>
          </w:tcPr>
          <w:p w:rsidR="003C43D6" w:rsidRPr="00453BFD" w:rsidRDefault="003C43D6" w:rsidP="00A00982">
            <w:pPr>
              <w:pStyle w:val="TableText0"/>
              <w:keepLines/>
              <w:rPr>
                <w:szCs w:val="20"/>
                <w:vertAlign w:val="superscript"/>
                <w:lang w:eastAsia="zh-CN"/>
              </w:rPr>
            </w:pPr>
            <w:r w:rsidRPr="00453BFD">
              <w:rPr>
                <w:szCs w:val="20"/>
                <w:lang w:eastAsia="zh-CN"/>
              </w:rPr>
              <w:t>Physical functioning</w:t>
            </w:r>
            <w:r w:rsidR="0049734C" w:rsidRPr="00453BFD">
              <w:rPr>
                <w:szCs w:val="20"/>
                <w:vertAlign w:val="superscript"/>
                <w:lang w:eastAsia="zh-CN"/>
              </w:rPr>
              <w:t>a</w:t>
            </w:r>
          </w:p>
        </w:tc>
        <w:tc>
          <w:tcPr>
            <w:tcW w:w="507" w:type="pct"/>
            <w:vAlign w:val="center"/>
          </w:tcPr>
          <w:p w:rsidR="003C43D6" w:rsidRPr="00453BFD" w:rsidRDefault="003C43D6" w:rsidP="00A00982">
            <w:pPr>
              <w:pStyle w:val="TableText0"/>
              <w:keepLines/>
              <w:jc w:val="center"/>
              <w:rPr>
                <w:szCs w:val="20"/>
                <w:lang w:eastAsia="zh-CN"/>
              </w:rPr>
            </w:pPr>
            <w:r w:rsidRPr="00453BFD">
              <w:rPr>
                <w:szCs w:val="20"/>
              </w:rPr>
              <w:t>114/336 (33.9)</w:t>
            </w:r>
          </w:p>
        </w:tc>
        <w:tc>
          <w:tcPr>
            <w:tcW w:w="764" w:type="pct"/>
            <w:vAlign w:val="center"/>
          </w:tcPr>
          <w:p w:rsidR="003C43D6" w:rsidRPr="00453BFD" w:rsidRDefault="003C43D6" w:rsidP="00A00982">
            <w:pPr>
              <w:pStyle w:val="TableText0"/>
              <w:keepLines/>
              <w:jc w:val="center"/>
              <w:rPr>
                <w:szCs w:val="20"/>
                <w:lang w:eastAsia="zh-CN"/>
              </w:rPr>
            </w:pPr>
            <w:r w:rsidRPr="00453BFD">
              <w:rPr>
                <w:szCs w:val="20"/>
              </w:rPr>
              <w:t>13.14 months (9.69, NE)</w:t>
            </w:r>
          </w:p>
        </w:tc>
        <w:tc>
          <w:tcPr>
            <w:tcW w:w="509" w:type="pct"/>
            <w:vAlign w:val="center"/>
          </w:tcPr>
          <w:p w:rsidR="003C43D6" w:rsidRPr="00453BFD" w:rsidRDefault="003C43D6" w:rsidP="00A00982">
            <w:pPr>
              <w:pStyle w:val="TableText0"/>
              <w:keepLines/>
              <w:jc w:val="center"/>
              <w:rPr>
                <w:szCs w:val="20"/>
                <w:lang w:eastAsia="zh-CN"/>
              </w:rPr>
            </w:pPr>
            <w:r w:rsidRPr="00453BFD">
              <w:rPr>
                <w:szCs w:val="20"/>
              </w:rPr>
              <w:t>64/165 (38.8)</w:t>
            </w:r>
          </w:p>
        </w:tc>
        <w:tc>
          <w:tcPr>
            <w:tcW w:w="830" w:type="pct"/>
            <w:vAlign w:val="center"/>
          </w:tcPr>
          <w:p w:rsidR="003C43D6" w:rsidRPr="00453BFD" w:rsidRDefault="003C43D6" w:rsidP="00A00982">
            <w:pPr>
              <w:pStyle w:val="TableText0"/>
              <w:keepLines/>
              <w:jc w:val="center"/>
              <w:rPr>
                <w:szCs w:val="20"/>
              </w:rPr>
            </w:pPr>
            <w:r w:rsidRPr="00453BFD">
              <w:rPr>
                <w:szCs w:val="20"/>
              </w:rPr>
              <w:t>4.86 months</w:t>
            </w:r>
          </w:p>
          <w:p w:rsidR="003C43D6" w:rsidRPr="00453BFD" w:rsidRDefault="003C43D6" w:rsidP="00A00982">
            <w:pPr>
              <w:pStyle w:val="TableText0"/>
              <w:keepLines/>
              <w:jc w:val="center"/>
              <w:rPr>
                <w:szCs w:val="20"/>
                <w:lang w:eastAsia="zh-CN"/>
              </w:rPr>
            </w:pPr>
            <w:r w:rsidRPr="00453BFD">
              <w:rPr>
                <w:szCs w:val="20"/>
              </w:rPr>
              <w:t>(3.48, 6.24)</w:t>
            </w:r>
          </w:p>
        </w:tc>
        <w:tc>
          <w:tcPr>
            <w:tcW w:w="702" w:type="pct"/>
            <w:vAlign w:val="center"/>
          </w:tcPr>
          <w:p w:rsidR="003C43D6" w:rsidRPr="00453BFD" w:rsidRDefault="003C43D6" w:rsidP="00A00982">
            <w:pPr>
              <w:pStyle w:val="TableText0"/>
              <w:keepLines/>
              <w:jc w:val="center"/>
              <w:rPr>
                <w:szCs w:val="20"/>
                <w:lang w:eastAsia="zh-CN"/>
              </w:rPr>
            </w:pPr>
            <w:r w:rsidRPr="00453BFD">
              <w:rPr>
                <w:i/>
                <w:szCs w:val="20"/>
              </w:rPr>
              <w:t>8.28</w:t>
            </w:r>
            <w:r w:rsidRPr="00453BFD">
              <w:rPr>
                <w:szCs w:val="20"/>
              </w:rPr>
              <w:t>^ months</w:t>
            </w:r>
          </w:p>
        </w:tc>
        <w:tc>
          <w:tcPr>
            <w:tcW w:w="504" w:type="pct"/>
            <w:vAlign w:val="center"/>
          </w:tcPr>
          <w:p w:rsidR="003C43D6" w:rsidRPr="00453BFD" w:rsidRDefault="003C43D6" w:rsidP="00A00982">
            <w:pPr>
              <w:pStyle w:val="TableText0"/>
              <w:keepLines/>
              <w:jc w:val="center"/>
              <w:rPr>
                <w:b/>
                <w:szCs w:val="20"/>
                <w:lang w:eastAsia="zh-CN"/>
              </w:rPr>
            </w:pPr>
            <w:r w:rsidRPr="00453BFD">
              <w:rPr>
                <w:b/>
                <w:szCs w:val="20"/>
              </w:rPr>
              <w:t>&lt;0.0001</w:t>
            </w:r>
          </w:p>
        </w:tc>
        <w:tc>
          <w:tcPr>
            <w:tcW w:w="677" w:type="pct"/>
            <w:vAlign w:val="center"/>
          </w:tcPr>
          <w:p w:rsidR="003C43D6" w:rsidRPr="00453BFD" w:rsidRDefault="003C43D6" w:rsidP="00A00982">
            <w:pPr>
              <w:pStyle w:val="TableText0"/>
              <w:keepLines/>
              <w:jc w:val="center"/>
              <w:rPr>
                <w:b/>
                <w:szCs w:val="20"/>
              </w:rPr>
            </w:pPr>
            <w:r w:rsidRPr="00453BFD">
              <w:rPr>
                <w:b/>
                <w:szCs w:val="20"/>
              </w:rPr>
              <w:t>0.53</w:t>
            </w:r>
          </w:p>
          <w:p w:rsidR="003C43D6" w:rsidRPr="00453BFD" w:rsidRDefault="003C43D6" w:rsidP="00A00982">
            <w:pPr>
              <w:pStyle w:val="TableText0"/>
              <w:keepLines/>
              <w:jc w:val="center"/>
              <w:rPr>
                <w:b/>
                <w:szCs w:val="20"/>
              </w:rPr>
            </w:pPr>
            <w:r w:rsidRPr="00453BFD">
              <w:rPr>
                <w:b/>
                <w:szCs w:val="20"/>
              </w:rPr>
              <w:t>(0.39, 0.73)</w:t>
            </w:r>
          </w:p>
        </w:tc>
      </w:tr>
      <w:tr w:rsidR="003C43D6" w:rsidRPr="00E63DF4" w:rsidTr="00E35EA1">
        <w:trPr>
          <w:trHeight w:val="207"/>
        </w:trPr>
        <w:tc>
          <w:tcPr>
            <w:tcW w:w="507" w:type="pct"/>
            <w:tcBorders>
              <w:top w:val="single" w:sz="4" w:space="0" w:color="000000"/>
              <w:left w:val="single" w:sz="4" w:space="0" w:color="auto"/>
              <w:bottom w:val="single" w:sz="4" w:space="0" w:color="000000"/>
              <w:right w:val="single" w:sz="4" w:space="0" w:color="auto"/>
            </w:tcBorders>
            <w:vAlign w:val="center"/>
          </w:tcPr>
          <w:p w:rsidR="003C43D6" w:rsidRPr="00453BFD" w:rsidRDefault="003C43D6" w:rsidP="00A00982">
            <w:pPr>
              <w:pStyle w:val="TableText0"/>
              <w:keepLines/>
              <w:rPr>
                <w:szCs w:val="20"/>
                <w:vertAlign w:val="superscript"/>
                <w:lang w:eastAsia="zh-CN"/>
              </w:rPr>
            </w:pPr>
            <w:r w:rsidRPr="00453BFD">
              <w:rPr>
                <w:szCs w:val="20"/>
                <w:lang w:eastAsia="zh-CN"/>
              </w:rPr>
              <w:t>Role functioning</w:t>
            </w:r>
            <w:r w:rsidR="0049734C" w:rsidRPr="00453BFD">
              <w:rPr>
                <w:szCs w:val="20"/>
                <w:vertAlign w:val="superscript"/>
                <w:lang w:eastAsia="zh-CN"/>
              </w:rPr>
              <w:t>a</w:t>
            </w:r>
          </w:p>
        </w:tc>
        <w:tc>
          <w:tcPr>
            <w:tcW w:w="507" w:type="pct"/>
            <w:vAlign w:val="center"/>
          </w:tcPr>
          <w:p w:rsidR="003C43D6" w:rsidRPr="00453BFD" w:rsidRDefault="003C43D6" w:rsidP="00A00982">
            <w:pPr>
              <w:pStyle w:val="TableText0"/>
              <w:keepLines/>
              <w:jc w:val="center"/>
              <w:rPr>
                <w:szCs w:val="20"/>
                <w:lang w:eastAsia="zh-CN"/>
              </w:rPr>
            </w:pPr>
            <w:r w:rsidRPr="00453BFD">
              <w:rPr>
                <w:szCs w:val="20"/>
              </w:rPr>
              <w:t>136/336 (40.5)</w:t>
            </w:r>
          </w:p>
        </w:tc>
        <w:tc>
          <w:tcPr>
            <w:tcW w:w="764" w:type="pct"/>
            <w:vAlign w:val="center"/>
          </w:tcPr>
          <w:p w:rsidR="003C43D6" w:rsidRPr="00453BFD" w:rsidRDefault="003C43D6" w:rsidP="00A00982">
            <w:pPr>
              <w:pStyle w:val="TableText0"/>
              <w:keepLines/>
              <w:jc w:val="center"/>
              <w:rPr>
                <w:szCs w:val="20"/>
                <w:lang w:eastAsia="zh-CN"/>
              </w:rPr>
            </w:pPr>
            <w:r w:rsidRPr="00453BFD">
              <w:rPr>
                <w:szCs w:val="20"/>
              </w:rPr>
              <w:t>9.13 months (6.51, NE)</w:t>
            </w:r>
          </w:p>
        </w:tc>
        <w:tc>
          <w:tcPr>
            <w:tcW w:w="509" w:type="pct"/>
            <w:vAlign w:val="center"/>
          </w:tcPr>
          <w:p w:rsidR="003C43D6" w:rsidRPr="00453BFD" w:rsidRDefault="003C43D6" w:rsidP="00A00982">
            <w:pPr>
              <w:pStyle w:val="TableText0"/>
              <w:keepLines/>
              <w:jc w:val="center"/>
              <w:rPr>
                <w:szCs w:val="20"/>
                <w:lang w:eastAsia="zh-CN"/>
              </w:rPr>
            </w:pPr>
            <w:r w:rsidRPr="00453BFD">
              <w:rPr>
                <w:szCs w:val="20"/>
              </w:rPr>
              <w:t>69/165 (41.8)</w:t>
            </w:r>
          </w:p>
        </w:tc>
        <w:tc>
          <w:tcPr>
            <w:tcW w:w="830" w:type="pct"/>
            <w:vAlign w:val="center"/>
          </w:tcPr>
          <w:p w:rsidR="003C43D6" w:rsidRPr="00453BFD" w:rsidRDefault="003C43D6" w:rsidP="00A00982">
            <w:pPr>
              <w:pStyle w:val="TableText0"/>
              <w:keepLines/>
              <w:jc w:val="center"/>
              <w:rPr>
                <w:szCs w:val="20"/>
              </w:rPr>
            </w:pPr>
            <w:r w:rsidRPr="00453BFD">
              <w:rPr>
                <w:szCs w:val="20"/>
              </w:rPr>
              <w:t>3.58 months</w:t>
            </w:r>
          </w:p>
          <w:p w:rsidR="003C43D6" w:rsidRPr="00453BFD" w:rsidRDefault="003C43D6" w:rsidP="00A00982">
            <w:pPr>
              <w:pStyle w:val="TableText0"/>
              <w:keepLines/>
              <w:jc w:val="center"/>
              <w:rPr>
                <w:szCs w:val="20"/>
                <w:lang w:eastAsia="zh-CN"/>
              </w:rPr>
            </w:pPr>
            <w:r w:rsidRPr="00453BFD">
              <w:rPr>
                <w:szCs w:val="20"/>
              </w:rPr>
              <w:t>(2.20, 5.98)</w:t>
            </w:r>
          </w:p>
        </w:tc>
        <w:tc>
          <w:tcPr>
            <w:tcW w:w="702" w:type="pct"/>
            <w:vAlign w:val="center"/>
          </w:tcPr>
          <w:p w:rsidR="003C43D6" w:rsidRPr="00453BFD" w:rsidRDefault="003C43D6" w:rsidP="00A00982">
            <w:pPr>
              <w:pStyle w:val="TableText0"/>
              <w:keepLines/>
              <w:jc w:val="center"/>
              <w:rPr>
                <w:szCs w:val="20"/>
                <w:lang w:eastAsia="zh-CN"/>
              </w:rPr>
            </w:pPr>
            <w:r w:rsidRPr="00453BFD">
              <w:rPr>
                <w:szCs w:val="20"/>
              </w:rPr>
              <w:t>5.55 months</w:t>
            </w:r>
          </w:p>
        </w:tc>
        <w:tc>
          <w:tcPr>
            <w:tcW w:w="504" w:type="pct"/>
            <w:vAlign w:val="center"/>
          </w:tcPr>
          <w:p w:rsidR="003C43D6" w:rsidRPr="00453BFD" w:rsidRDefault="003C43D6" w:rsidP="00A00982">
            <w:pPr>
              <w:pStyle w:val="TableText0"/>
              <w:keepLines/>
              <w:jc w:val="center"/>
              <w:rPr>
                <w:b/>
                <w:szCs w:val="20"/>
                <w:lang w:eastAsia="zh-CN"/>
              </w:rPr>
            </w:pPr>
            <w:r w:rsidRPr="00453BFD">
              <w:rPr>
                <w:b/>
                <w:szCs w:val="20"/>
              </w:rPr>
              <w:t>0.002</w:t>
            </w:r>
          </w:p>
        </w:tc>
        <w:tc>
          <w:tcPr>
            <w:tcW w:w="677" w:type="pct"/>
            <w:vAlign w:val="center"/>
          </w:tcPr>
          <w:p w:rsidR="003C43D6" w:rsidRPr="00453BFD" w:rsidRDefault="003C43D6" w:rsidP="00A00982">
            <w:pPr>
              <w:pStyle w:val="TableText0"/>
              <w:keepLines/>
              <w:jc w:val="center"/>
              <w:rPr>
                <w:b/>
                <w:szCs w:val="20"/>
              </w:rPr>
            </w:pPr>
            <w:r w:rsidRPr="00453BFD">
              <w:rPr>
                <w:b/>
                <w:szCs w:val="20"/>
              </w:rPr>
              <w:t>0.62</w:t>
            </w:r>
          </w:p>
          <w:p w:rsidR="003C43D6" w:rsidRPr="00453BFD" w:rsidRDefault="003C43D6" w:rsidP="00A00982">
            <w:pPr>
              <w:pStyle w:val="TableText0"/>
              <w:keepLines/>
              <w:jc w:val="center"/>
              <w:rPr>
                <w:b/>
                <w:szCs w:val="20"/>
                <w:lang w:eastAsia="zh-CN"/>
              </w:rPr>
            </w:pPr>
            <w:r w:rsidRPr="00453BFD">
              <w:rPr>
                <w:b/>
                <w:szCs w:val="20"/>
              </w:rPr>
              <w:t>(0.46, 0.84)</w:t>
            </w:r>
          </w:p>
        </w:tc>
      </w:tr>
      <w:tr w:rsidR="003C43D6" w:rsidRPr="00E63DF4" w:rsidTr="00E35EA1">
        <w:trPr>
          <w:trHeight w:val="207"/>
        </w:trPr>
        <w:tc>
          <w:tcPr>
            <w:tcW w:w="507" w:type="pct"/>
            <w:tcBorders>
              <w:top w:val="single" w:sz="4" w:space="0" w:color="000000"/>
              <w:left w:val="single" w:sz="4" w:space="0" w:color="auto"/>
              <w:bottom w:val="single" w:sz="4" w:space="0" w:color="auto"/>
              <w:right w:val="single" w:sz="4" w:space="0" w:color="auto"/>
            </w:tcBorders>
            <w:vAlign w:val="center"/>
          </w:tcPr>
          <w:p w:rsidR="003C43D6" w:rsidRPr="00453BFD" w:rsidRDefault="003C43D6" w:rsidP="00A00982">
            <w:pPr>
              <w:pStyle w:val="TableText0"/>
              <w:keepLines/>
              <w:rPr>
                <w:szCs w:val="20"/>
                <w:vertAlign w:val="superscript"/>
                <w:lang w:eastAsia="zh-CN"/>
              </w:rPr>
            </w:pPr>
            <w:r w:rsidRPr="00453BFD">
              <w:rPr>
                <w:szCs w:val="20"/>
                <w:lang w:eastAsia="zh-CN"/>
              </w:rPr>
              <w:t>GHS/QoL</w:t>
            </w:r>
            <w:r w:rsidR="0049734C" w:rsidRPr="00453BFD">
              <w:rPr>
                <w:szCs w:val="20"/>
                <w:vertAlign w:val="superscript"/>
                <w:lang w:eastAsia="zh-CN"/>
              </w:rPr>
              <w:t>a</w:t>
            </w:r>
          </w:p>
        </w:tc>
        <w:tc>
          <w:tcPr>
            <w:tcW w:w="507" w:type="pct"/>
            <w:vAlign w:val="center"/>
          </w:tcPr>
          <w:p w:rsidR="003C43D6" w:rsidRPr="00453BFD" w:rsidRDefault="003C43D6" w:rsidP="00A00982">
            <w:pPr>
              <w:pStyle w:val="TableText0"/>
              <w:keepLines/>
              <w:jc w:val="center"/>
              <w:rPr>
                <w:szCs w:val="20"/>
              </w:rPr>
            </w:pPr>
            <w:r w:rsidRPr="00453BFD">
              <w:rPr>
                <w:szCs w:val="20"/>
              </w:rPr>
              <w:t>132/336 (39.3)</w:t>
            </w:r>
          </w:p>
        </w:tc>
        <w:tc>
          <w:tcPr>
            <w:tcW w:w="764" w:type="pct"/>
            <w:vAlign w:val="center"/>
          </w:tcPr>
          <w:p w:rsidR="003C43D6" w:rsidRPr="00453BFD" w:rsidRDefault="003C43D6" w:rsidP="00A00982">
            <w:pPr>
              <w:pStyle w:val="TableText0"/>
              <w:keepLines/>
              <w:jc w:val="center"/>
              <w:rPr>
                <w:szCs w:val="20"/>
              </w:rPr>
            </w:pPr>
            <w:r w:rsidRPr="00453BFD">
              <w:rPr>
                <w:szCs w:val="20"/>
              </w:rPr>
              <w:t>11.24 months (5.98, NE)</w:t>
            </w:r>
          </w:p>
        </w:tc>
        <w:tc>
          <w:tcPr>
            <w:tcW w:w="509" w:type="pct"/>
            <w:vAlign w:val="center"/>
          </w:tcPr>
          <w:p w:rsidR="003C43D6" w:rsidRPr="00453BFD" w:rsidRDefault="003C43D6" w:rsidP="00A00982">
            <w:pPr>
              <w:pStyle w:val="TableText0"/>
              <w:keepLines/>
              <w:jc w:val="center"/>
              <w:rPr>
                <w:szCs w:val="20"/>
              </w:rPr>
            </w:pPr>
            <w:r w:rsidRPr="00453BFD">
              <w:rPr>
                <w:szCs w:val="20"/>
              </w:rPr>
              <w:t>66/165 (40.0)</w:t>
            </w:r>
          </w:p>
        </w:tc>
        <w:tc>
          <w:tcPr>
            <w:tcW w:w="830" w:type="pct"/>
            <w:vAlign w:val="center"/>
          </w:tcPr>
          <w:p w:rsidR="003C43D6" w:rsidRPr="00453BFD" w:rsidRDefault="003C43D6" w:rsidP="00A00982">
            <w:pPr>
              <w:pStyle w:val="TableText0"/>
              <w:keepLines/>
              <w:jc w:val="center"/>
              <w:rPr>
                <w:szCs w:val="20"/>
              </w:rPr>
            </w:pPr>
            <w:r w:rsidRPr="00453BFD">
              <w:rPr>
                <w:szCs w:val="20"/>
              </w:rPr>
              <w:t>3.58 months</w:t>
            </w:r>
          </w:p>
          <w:p w:rsidR="003C43D6" w:rsidRPr="00453BFD" w:rsidRDefault="003C43D6" w:rsidP="00A00982">
            <w:pPr>
              <w:pStyle w:val="TableText0"/>
              <w:keepLines/>
              <w:jc w:val="center"/>
              <w:rPr>
                <w:szCs w:val="20"/>
              </w:rPr>
            </w:pPr>
            <w:r w:rsidRPr="00453BFD">
              <w:rPr>
                <w:szCs w:val="20"/>
              </w:rPr>
              <w:t>(3.02, 6.97)</w:t>
            </w:r>
          </w:p>
        </w:tc>
        <w:tc>
          <w:tcPr>
            <w:tcW w:w="702" w:type="pct"/>
            <w:vAlign w:val="center"/>
          </w:tcPr>
          <w:p w:rsidR="003C43D6" w:rsidRPr="00453BFD" w:rsidRDefault="003C43D6" w:rsidP="00A00982">
            <w:pPr>
              <w:pStyle w:val="TableText0"/>
              <w:keepLines/>
              <w:jc w:val="center"/>
              <w:rPr>
                <w:szCs w:val="20"/>
              </w:rPr>
            </w:pPr>
            <w:r w:rsidRPr="00453BFD">
              <w:rPr>
                <w:szCs w:val="20"/>
              </w:rPr>
              <w:t>7.66 months</w:t>
            </w:r>
          </w:p>
        </w:tc>
        <w:tc>
          <w:tcPr>
            <w:tcW w:w="504" w:type="pct"/>
            <w:vAlign w:val="center"/>
          </w:tcPr>
          <w:p w:rsidR="003C43D6" w:rsidRPr="00453BFD" w:rsidRDefault="003C43D6" w:rsidP="00A00982">
            <w:pPr>
              <w:pStyle w:val="TableText0"/>
              <w:keepLines/>
              <w:jc w:val="center"/>
              <w:rPr>
                <w:b/>
                <w:szCs w:val="20"/>
              </w:rPr>
            </w:pPr>
            <w:r w:rsidRPr="00453BFD">
              <w:rPr>
                <w:b/>
                <w:szCs w:val="20"/>
              </w:rPr>
              <w:t>0.003</w:t>
            </w:r>
          </w:p>
        </w:tc>
        <w:tc>
          <w:tcPr>
            <w:tcW w:w="677" w:type="pct"/>
            <w:vAlign w:val="center"/>
          </w:tcPr>
          <w:p w:rsidR="003C43D6" w:rsidRPr="00453BFD" w:rsidRDefault="003C43D6" w:rsidP="00A00982">
            <w:pPr>
              <w:pStyle w:val="TableText0"/>
              <w:keepLines/>
              <w:jc w:val="center"/>
              <w:rPr>
                <w:b/>
                <w:szCs w:val="20"/>
              </w:rPr>
            </w:pPr>
            <w:r w:rsidRPr="00453BFD">
              <w:rPr>
                <w:b/>
                <w:szCs w:val="20"/>
              </w:rPr>
              <w:t>0.63</w:t>
            </w:r>
          </w:p>
          <w:p w:rsidR="003C43D6" w:rsidRPr="00453BFD" w:rsidRDefault="003C43D6" w:rsidP="00A00982">
            <w:pPr>
              <w:pStyle w:val="TableText0"/>
              <w:keepLines/>
              <w:jc w:val="center"/>
              <w:rPr>
                <w:b/>
                <w:szCs w:val="20"/>
              </w:rPr>
            </w:pPr>
            <w:r w:rsidRPr="00453BFD">
              <w:rPr>
                <w:b/>
                <w:szCs w:val="20"/>
              </w:rPr>
              <w:t>(0.46, 0.85)</w:t>
            </w:r>
          </w:p>
        </w:tc>
      </w:tr>
      <w:tr w:rsidR="003C43D6" w:rsidRPr="00E63DF4" w:rsidTr="00E35EA1">
        <w:trPr>
          <w:trHeight w:val="207"/>
        </w:trPr>
        <w:tc>
          <w:tcPr>
            <w:tcW w:w="507" w:type="pct"/>
          </w:tcPr>
          <w:p w:rsidR="003C43D6" w:rsidRPr="00453BFD" w:rsidRDefault="003C43D6" w:rsidP="00A00982">
            <w:pPr>
              <w:pStyle w:val="TableText0"/>
              <w:keepLines/>
              <w:rPr>
                <w:rFonts w:cs="Calibri"/>
                <w:szCs w:val="20"/>
                <w:vertAlign w:val="superscript"/>
                <w:lang w:eastAsia="zh-CN"/>
              </w:rPr>
            </w:pPr>
            <w:r w:rsidRPr="00453BFD">
              <w:rPr>
                <w:szCs w:val="20"/>
              </w:rPr>
              <w:t>Appetite loss</w:t>
            </w:r>
            <w:r w:rsidRPr="00453BFD">
              <w:rPr>
                <w:szCs w:val="20"/>
                <w:vertAlign w:val="superscript"/>
              </w:rPr>
              <w:t>a</w:t>
            </w:r>
            <w:r w:rsidRPr="00453BFD">
              <w:rPr>
                <w:szCs w:val="20"/>
              </w:rPr>
              <w:t xml:space="preserve"> </w:t>
            </w:r>
          </w:p>
        </w:tc>
        <w:tc>
          <w:tcPr>
            <w:tcW w:w="507" w:type="pct"/>
            <w:vAlign w:val="center"/>
          </w:tcPr>
          <w:p w:rsidR="003C43D6" w:rsidRPr="00453BFD" w:rsidRDefault="003C43D6" w:rsidP="00A00982">
            <w:pPr>
              <w:pStyle w:val="TableText0"/>
              <w:keepLines/>
              <w:jc w:val="center"/>
              <w:rPr>
                <w:rFonts w:cs="Calibri"/>
                <w:szCs w:val="20"/>
                <w:lang w:eastAsia="zh-CN"/>
              </w:rPr>
            </w:pPr>
            <w:r w:rsidRPr="00453BFD">
              <w:rPr>
                <w:rFonts w:cs="Calibri"/>
                <w:szCs w:val="20"/>
                <w:lang w:eastAsia="zh-CN"/>
              </w:rPr>
              <w:t>101/336 (30.1)</w:t>
            </w:r>
          </w:p>
        </w:tc>
        <w:tc>
          <w:tcPr>
            <w:tcW w:w="764" w:type="pct"/>
          </w:tcPr>
          <w:p w:rsidR="003C43D6" w:rsidRPr="00453BFD" w:rsidRDefault="003C43D6" w:rsidP="00A00982">
            <w:pPr>
              <w:pStyle w:val="TableText0"/>
              <w:keepLines/>
              <w:jc w:val="center"/>
              <w:rPr>
                <w:szCs w:val="20"/>
              </w:rPr>
            </w:pPr>
            <w:r w:rsidRPr="00453BFD">
              <w:rPr>
                <w:szCs w:val="20"/>
              </w:rPr>
              <w:t>NE</w:t>
            </w:r>
          </w:p>
          <w:p w:rsidR="003C43D6" w:rsidRPr="00453BFD" w:rsidRDefault="003C43D6" w:rsidP="00A00982">
            <w:pPr>
              <w:pStyle w:val="TableText0"/>
              <w:keepLines/>
              <w:jc w:val="center"/>
              <w:rPr>
                <w:rFonts w:cs="Calibri"/>
                <w:szCs w:val="20"/>
                <w:lang w:eastAsia="zh-CN"/>
              </w:rPr>
            </w:pPr>
            <w:r w:rsidRPr="00453BFD">
              <w:rPr>
                <w:szCs w:val="20"/>
              </w:rPr>
              <w:t>(4.14, NE)</w:t>
            </w:r>
          </w:p>
        </w:tc>
        <w:tc>
          <w:tcPr>
            <w:tcW w:w="509" w:type="pct"/>
            <w:vAlign w:val="center"/>
          </w:tcPr>
          <w:p w:rsidR="003C43D6" w:rsidRPr="00453BFD" w:rsidRDefault="003C43D6" w:rsidP="00A00982">
            <w:pPr>
              <w:pStyle w:val="TableText0"/>
              <w:keepLines/>
              <w:jc w:val="center"/>
              <w:rPr>
                <w:rFonts w:cs="Calibri"/>
                <w:szCs w:val="20"/>
                <w:lang w:eastAsia="zh-CN"/>
              </w:rPr>
            </w:pPr>
            <w:r w:rsidRPr="00453BFD">
              <w:rPr>
                <w:rFonts w:cs="Calibri"/>
                <w:szCs w:val="20"/>
                <w:lang w:eastAsia="zh-CN"/>
              </w:rPr>
              <w:t>54/165 (32.7)</w:t>
            </w:r>
          </w:p>
        </w:tc>
        <w:tc>
          <w:tcPr>
            <w:tcW w:w="830" w:type="pct"/>
          </w:tcPr>
          <w:p w:rsidR="003C43D6" w:rsidRPr="00453BFD" w:rsidRDefault="003C43D6" w:rsidP="00A00982">
            <w:pPr>
              <w:pStyle w:val="TableText0"/>
              <w:keepLines/>
              <w:jc w:val="center"/>
              <w:rPr>
                <w:szCs w:val="20"/>
              </w:rPr>
            </w:pPr>
            <w:r w:rsidRPr="00453BFD">
              <w:rPr>
                <w:szCs w:val="20"/>
              </w:rPr>
              <w:t>7.62</w:t>
            </w:r>
          </w:p>
          <w:p w:rsidR="003C43D6" w:rsidRPr="00453BFD" w:rsidRDefault="003C43D6" w:rsidP="00A00982">
            <w:pPr>
              <w:pStyle w:val="TableText0"/>
              <w:keepLines/>
              <w:jc w:val="center"/>
              <w:rPr>
                <w:rFonts w:cs="Calibri"/>
                <w:szCs w:val="20"/>
                <w:lang w:eastAsia="zh-CN"/>
              </w:rPr>
            </w:pPr>
            <w:r w:rsidRPr="00453BFD">
              <w:rPr>
                <w:szCs w:val="20"/>
              </w:rPr>
              <w:t>(3.48, NE)</w:t>
            </w:r>
          </w:p>
        </w:tc>
        <w:tc>
          <w:tcPr>
            <w:tcW w:w="702" w:type="pct"/>
            <w:vAlign w:val="center"/>
          </w:tcPr>
          <w:p w:rsidR="003C43D6" w:rsidRPr="00453BFD" w:rsidRDefault="003C43D6" w:rsidP="00A00982">
            <w:pPr>
              <w:pStyle w:val="TableText0"/>
              <w:keepLines/>
              <w:jc w:val="center"/>
              <w:rPr>
                <w:rFonts w:cs="Calibri"/>
                <w:i/>
                <w:szCs w:val="20"/>
                <w:lang w:eastAsia="zh-CN"/>
              </w:rPr>
            </w:pPr>
            <w:r w:rsidRPr="00453BFD">
              <w:rPr>
                <w:rFonts w:cs="Calibri"/>
                <w:i/>
                <w:szCs w:val="20"/>
                <w:lang w:eastAsia="zh-CN"/>
              </w:rPr>
              <w:t>NE</w:t>
            </w:r>
          </w:p>
        </w:tc>
        <w:tc>
          <w:tcPr>
            <w:tcW w:w="504" w:type="pct"/>
            <w:vAlign w:val="center"/>
          </w:tcPr>
          <w:p w:rsidR="003C43D6" w:rsidRPr="00453BFD" w:rsidRDefault="003C43D6" w:rsidP="00A00982">
            <w:pPr>
              <w:pStyle w:val="TableText0"/>
              <w:keepLines/>
              <w:jc w:val="center"/>
              <w:rPr>
                <w:rFonts w:cs="Calibri"/>
                <w:b/>
                <w:szCs w:val="20"/>
                <w:lang w:eastAsia="zh-CN"/>
              </w:rPr>
            </w:pPr>
            <w:r w:rsidRPr="00453BFD">
              <w:rPr>
                <w:rFonts w:cs="Calibri"/>
                <w:b/>
                <w:szCs w:val="20"/>
                <w:lang w:eastAsia="zh-CN"/>
              </w:rPr>
              <w:t>0.0013</w:t>
            </w:r>
          </w:p>
        </w:tc>
        <w:tc>
          <w:tcPr>
            <w:tcW w:w="677" w:type="pct"/>
          </w:tcPr>
          <w:p w:rsidR="003C43D6" w:rsidRPr="00453BFD" w:rsidRDefault="003C43D6" w:rsidP="00A00982">
            <w:pPr>
              <w:pStyle w:val="TableText0"/>
              <w:keepLines/>
              <w:jc w:val="center"/>
              <w:rPr>
                <w:b/>
                <w:szCs w:val="20"/>
              </w:rPr>
            </w:pPr>
            <w:r w:rsidRPr="00453BFD">
              <w:rPr>
                <w:b/>
                <w:szCs w:val="20"/>
              </w:rPr>
              <w:t>0.57</w:t>
            </w:r>
          </w:p>
          <w:p w:rsidR="003C43D6" w:rsidRPr="00453BFD" w:rsidRDefault="003C43D6" w:rsidP="00A00982">
            <w:pPr>
              <w:pStyle w:val="TableText0"/>
              <w:keepLines/>
              <w:jc w:val="center"/>
              <w:rPr>
                <w:b/>
                <w:szCs w:val="20"/>
              </w:rPr>
            </w:pPr>
            <w:r w:rsidRPr="00453BFD">
              <w:rPr>
                <w:b/>
                <w:szCs w:val="20"/>
              </w:rPr>
              <w:t>(0.40, 0.80)</w:t>
            </w:r>
          </w:p>
        </w:tc>
      </w:tr>
      <w:tr w:rsidR="003C43D6" w:rsidRPr="00E63DF4" w:rsidTr="00E35EA1">
        <w:trPr>
          <w:trHeight w:val="207"/>
        </w:trPr>
        <w:tc>
          <w:tcPr>
            <w:tcW w:w="507" w:type="pct"/>
          </w:tcPr>
          <w:p w:rsidR="003C43D6" w:rsidRPr="00453BFD" w:rsidRDefault="003C43D6" w:rsidP="00A00982">
            <w:pPr>
              <w:pStyle w:val="TableText0"/>
              <w:keepLines/>
              <w:rPr>
                <w:rFonts w:cs="Calibri"/>
                <w:szCs w:val="20"/>
                <w:vertAlign w:val="superscript"/>
                <w:lang w:eastAsia="zh-CN"/>
              </w:rPr>
            </w:pPr>
            <w:r w:rsidRPr="00453BFD">
              <w:rPr>
                <w:szCs w:val="20"/>
              </w:rPr>
              <w:t>Diarrhoea</w:t>
            </w:r>
            <w:r w:rsidRPr="00453BFD">
              <w:rPr>
                <w:szCs w:val="20"/>
                <w:vertAlign w:val="superscript"/>
              </w:rPr>
              <w:t>a</w:t>
            </w:r>
            <w:r w:rsidRPr="00453BFD">
              <w:rPr>
                <w:szCs w:val="20"/>
              </w:rPr>
              <w:t xml:space="preserve"> </w:t>
            </w:r>
          </w:p>
        </w:tc>
        <w:tc>
          <w:tcPr>
            <w:tcW w:w="507" w:type="pct"/>
            <w:vAlign w:val="center"/>
          </w:tcPr>
          <w:p w:rsidR="003C43D6" w:rsidRPr="00453BFD" w:rsidRDefault="003C43D6" w:rsidP="00A00982">
            <w:pPr>
              <w:pStyle w:val="TableText0"/>
              <w:keepLines/>
              <w:jc w:val="center"/>
              <w:rPr>
                <w:rFonts w:cs="Calibri"/>
                <w:szCs w:val="20"/>
                <w:lang w:eastAsia="zh-CN"/>
              </w:rPr>
            </w:pPr>
            <w:r w:rsidRPr="00453BFD">
              <w:rPr>
                <w:rFonts w:cs="Calibri"/>
                <w:szCs w:val="20"/>
                <w:lang w:eastAsia="zh-CN"/>
              </w:rPr>
              <w:t>62/336 (18.5)</w:t>
            </w:r>
          </w:p>
        </w:tc>
        <w:tc>
          <w:tcPr>
            <w:tcW w:w="764" w:type="pct"/>
          </w:tcPr>
          <w:p w:rsidR="003C43D6" w:rsidRPr="00453BFD" w:rsidRDefault="003C43D6" w:rsidP="00A00982">
            <w:pPr>
              <w:pStyle w:val="TableText0"/>
              <w:keepLines/>
              <w:jc w:val="center"/>
              <w:rPr>
                <w:szCs w:val="20"/>
              </w:rPr>
            </w:pPr>
            <w:r w:rsidRPr="00453BFD">
              <w:rPr>
                <w:szCs w:val="20"/>
              </w:rPr>
              <w:t>NE</w:t>
            </w:r>
          </w:p>
          <w:p w:rsidR="003C43D6" w:rsidRPr="00453BFD" w:rsidRDefault="003C43D6" w:rsidP="00A00982">
            <w:pPr>
              <w:pStyle w:val="TableText0"/>
              <w:keepLines/>
              <w:jc w:val="center"/>
              <w:rPr>
                <w:rFonts w:cs="Calibri"/>
                <w:szCs w:val="20"/>
                <w:lang w:eastAsia="zh-CN"/>
              </w:rPr>
            </w:pPr>
            <w:r w:rsidRPr="00453BFD">
              <w:rPr>
                <w:szCs w:val="20"/>
              </w:rPr>
              <w:t>(9.69, NE)</w:t>
            </w:r>
          </w:p>
        </w:tc>
        <w:tc>
          <w:tcPr>
            <w:tcW w:w="509" w:type="pct"/>
            <w:vAlign w:val="center"/>
          </w:tcPr>
          <w:p w:rsidR="003C43D6" w:rsidRPr="00453BFD" w:rsidRDefault="003C43D6" w:rsidP="00A00982">
            <w:pPr>
              <w:pStyle w:val="TableText0"/>
              <w:keepLines/>
              <w:jc w:val="center"/>
              <w:rPr>
                <w:rFonts w:cs="Calibri"/>
                <w:szCs w:val="20"/>
                <w:lang w:eastAsia="zh-CN"/>
              </w:rPr>
            </w:pPr>
            <w:r w:rsidRPr="00453BFD">
              <w:rPr>
                <w:rFonts w:cs="Calibri"/>
                <w:szCs w:val="20"/>
                <w:lang w:eastAsia="zh-CN"/>
              </w:rPr>
              <w:t>63/165 (38.2)</w:t>
            </w:r>
          </w:p>
        </w:tc>
        <w:tc>
          <w:tcPr>
            <w:tcW w:w="830" w:type="pct"/>
          </w:tcPr>
          <w:p w:rsidR="003C43D6" w:rsidRPr="00453BFD" w:rsidRDefault="003C43D6" w:rsidP="00A00982">
            <w:pPr>
              <w:pStyle w:val="TableText0"/>
              <w:keepLines/>
              <w:jc w:val="center"/>
              <w:rPr>
                <w:szCs w:val="20"/>
              </w:rPr>
            </w:pPr>
            <w:r w:rsidRPr="00453BFD">
              <w:rPr>
                <w:szCs w:val="20"/>
              </w:rPr>
              <w:t>4.44</w:t>
            </w:r>
          </w:p>
          <w:p w:rsidR="003C43D6" w:rsidRPr="00453BFD" w:rsidRDefault="003C43D6" w:rsidP="00A00982">
            <w:pPr>
              <w:pStyle w:val="TableText0"/>
              <w:keepLines/>
              <w:jc w:val="center"/>
              <w:rPr>
                <w:rFonts w:cs="Calibri"/>
                <w:szCs w:val="20"/>
                <w:lang w:eastAsia="zh-CN"/>
              </w:rPr>
            </w:pPr>
            <w:r w:rsidRPr="00453BFD">
              <w:rPr>
                <w:szCs w:val="20"/>
              </w:rPr>
              <w:t>(3.48, 5.59)</w:t>
            </w:r>
          </w:p>
        </w:tc>
        <w:tc>
          <w:tcPr>
            <w:tcW w:w="702" w:type="pct"/>
            <w:vAlign w:val="center"/>
          </w:tcPr>
          <w:p w:rsidR="003C43D6" w:rsidRPr="00453BFD" w:rsidRDefault="003C43D6" w:rsidP="00A00982">
            <w:pPr>
              <w:pStyle w:val="TableText0"/>
              <w:keepLines/>
              <w:jc w:val="center"/>
              <w:rPr>
                <w:rFonts w:cs="Calibri"/>
                <w:i/>
                <w:szCs w:val="20"/>
                <w:lang w:eastAsia="zh-CN"/>
              </w:rPr>
            </w:pPr>
            <w:r w:rsidRPr="00453BFD">
              <w:rPr>
                <w:rFonts w:cs="Calibri"/>
                <w:i/>
                <w:szCs w:val="20"/>
                <w:lang w:eastAsia="zh-CN"/>
              </w:rPr>
              <w:t>NE</w:t>
            </w:r>
          </w:p>
        </w:tc>
        <w:tc>
          <w:tcPr>
            <w:tcW w:w="504" w:type="pct"/>
            <w:vAlign w:val="center"/>
          </w:tcPr>
          <w:p w:rsidR="003C43D6" w:rsidRPr="00453BFD" w:rsidRDefault="003C43D6" w:rsidP="00A00982">
            <w:pPr>
              <w:pStyle w:val="TableText0"/>
              <w:keepLines/>
              <w:jc w:val="center"/>
              <w:rPr>
                <w:rFonts w:cs="Calibri"/>
                <w:b/>
                <w:szCs w:val="20"/>
                <w:lang w:eastAsia="zh-CN"/>
              </w:rPr>
            </w:pPr>
            <w:r w:rsidRPr="00453BFD">
              <w:rPr>
                <w:rFonts w:cs="Calibri"/>
                <w:b/>
                <w:szCs w:val="20"/>
                <w:lang w:eastAsia="zh-CN"/>
              </w:rPr>
              <w:t>&lt;0.0001</w:t>
            </w:r>
          </w:p>
        </w:tc>
        <w:tc>
          <w:tcPr>
            <w:tcW w:w="677" w:type="pct"/>
          </w:tcPr>
          <w:p w:rsidR="003C43D6" w:rsidRPr="00453BFD" w:rsidRDefault="003C43D6" w:rsidP="00A00982">
            <w:pPr>
              <w:pStyle w:val="TableText0"/>
              <w:keepLines/>
              <w:jc w:val="center"/>
              <w:rPr>
                <w:b/>
                <w:szCs w:val="20"/>
              </w:rPr>
            </w:pPr>
            <w:r w:rsidRPr="00453BFD">
              <w:rPr>
                <w:b/>
                <w:szCs w:val="20"/>
              </w:rPr>
              <w:t>0.23</w:t>
            </w:r>
          </w:p>
          <w:p w:rsidR="003C43D6" w:rsidRPr="00453BFD" w:rsidRDefault="003C43D6" w:rsidP="00A00982">
            <w:pPr>
              <w:pStyle w:val="TableText0"/>
              <w:keepLines/>
              <w:jc w:val="center"/>
              <w:rPr>
                <w:rFonts w:cs="Calibri"/>
                <w:b/>
                <w:szCs w:val="20"/>
                <w:lang w:eastAsia="zh-CN"/>
              </w:rPr>
            </w:pPr>
            <w:r w:rsidRPr="00453BFD">
              <w:rPr>
                <w:b/>
                <w:szCs w:val="20"/>
              </w:rPr>
              <w:t>(0.16, 0.34)</w:t>
            </w:r>
          </w:p>
        </w:tc>
      </w:tr>
      <w:tr w:rsidR="003C43D6" w:rsidRPr="00E63DF4" w:rsidTr="00E35EA1">
        <w:trPr>
          <w:trHeight w:val="207"/>
        </w:trPr>
        <w:tc>
          <w:tcPr>
            <w:tcW w:w="507" w:type="pct"/>
          </w:tcPr>
          <w:p w:rsidR="003C43D6" w:rsidRPr="00453BFD" w:rsidRDefault="003C43D6" w:rsidP="00A00982">
            <w:pPr>
              <w:pStyle w:val="TableText0"/>
              <w:keepLines/>
              <w:rPr>
                <w:rFonts w:cs="Calibri"/>
                <w:szCs w:val="20"/>
                <w:lang w:eastAsia="zh-CN"/>
              </w:rPr>
            </w:pPr>
            <w:r w:rsidRPr="00453BFD">
              <w:rPr>
                <w:szCs w:val="20"/>
              </w:rPr>
              <w:t>Fatigue</w:t>
            </w:r>
            <w:r w:rsidRPr="00453BFD">
              <w:rPr>
                <w:szCs w:val="20"/>
                <w:vertAlign w:val="superscript"/>
              </w:rPr>
              <w:t>a</w:t>
            </w:r>
            <w:r w:rsidRPr="00453BFD">
              <w:rPr>
                <w:szCs w:val="20"/>
              </w:rPr>
              <w:t xml:space="preserve"> </w:t>
            </w:r>
          </w:p>
        </w:tc>
        <w:tc>
          <w:tcPr>
            <w:tcW w:w="507" w:type="pct"/>
            <w:vAlign w:val="center"/>
          </w:tcPr>
          <w:p w:rsidR="003C43D6" w:rsidRPr="00453BFD" w:rsidRDefault="003C43D6" w:rsidP="00A00982">
            <w:pPr>
              <w:pStyle w:val="TableText0"/>
              <w:keepLines/>
              <w:jc w:val="center"/>
              <w:rPr>
                <w:szCs w:val="20"/>
              </w:rPr>
            </w:pPr>
            <w:r w:rsidRPr="00453BFD">
              <w:rPr>
                <w:szCs w:val="20"/>
              </w:rPr>
              <w:t>164/336 (48.8)</w:t>
            </w:r>
          </w:p>
        </w:tc>
        <w:tc>
          <w:tcPr>
            <w:tcW w:w="764" w:type="pct"/>
          </w:tcPr>
          <w:p w:rsidR="003C43D6" w:rsidRPr="00453BFD" w:rsidRDefault="003C43D6" w:rsidP="00A00982">
            <w:pPr>
              <w:pStyle w:val="TableText0"/>
              <w:keepLines/>
              <w:jc w:val="center"/>
              <w:rPr>
                <w:szCs w:val="20"/>
              </w:rPr>
            </w:pPr>
            <w:r w:rsidRPr="00453BFD">
              <w:rPr>
                <w:szCs w:val="20"/>
              </w:rPr>
              <w:t>5.68</w:t>
            </w:r>
          </w:p>
          <w:p w:rsidR="003C43D6" w:rsidRPr="00453BFD" w:rsidRDefault="003C43D6" w:rsidP="00A00982">
            <w:pPr>
              <w:pStyle w:val="TableText0"/>
              <w:keepLines/>
              <w:jc w:val="center"/>
              <w:rPr>
                <w:szCs w:val="20"/>
              </w:rPr>
            </w:pPr>
            <w:r w:rsidRPr="00453BFD">
              <w:rPr>
                <w:szCs w:val="20"/>
              </w:rPr>
              <w:t>(4.30, 7.10)</w:t>
            </w:r>
          </w:p>
        </w:tc>
        <w:tc>
          <w:tcPr>
            <w:tcW w:w="509" w:type="pct"/>
            <w:vAlign w:val="center"/>
          </w:tcPr>
          <w:p w:rsidR="003C43D6" w:rsidRPr="00453BFD" w:rsidRDefault="003C43D6" w:rsidP="00A00982">
            <w:pPr>
              <w:pStyle w:val="TableText0"/>
              <w:keepLines/>
              <w:jc w:val="center"/>
              <w:rPr>
                <w:szCs w:val="20"/>
              </w:rPr>
            </w:pPr>
            <w:r w:rsidRPr="00453BFD">
              <w:rPr>
                <w:szCs w:val="20"/>
              </w:rPr>
              <w:t>78/165 (47.3)</w:t>
            </w:r>
          </w:p>
        </w:tc>
        <w:tc>
          <w:tcPr>
            <w:tcW w:w="830" w:type="pct"/>
          </w:tcPr>
          <w:p w:rsidR="003C43D6" w:rsidRPr="00453BFD" w:rsidRDefault="003C43D6" w:rsidP="00A00982">
            <w:pPr>
              <w:pStyle w:val="TableText0"/>
              <w:keepLines/>
              <w:jc w:val="center"/>
              <w:rPr>
                <w:szCs w:val="20"/>
              </w:rPr>
            </w:pPr>
            <w:r w:rsidRPr="00453BFD">
              <w:rPr>
                <w:szCs w:val="20"/>
              </w:rPr>
              <w:t>2.10</w:t>
            </w:r>
          </w:p>
          <w:p w:rsidR="003C43D6" w:rsidRPr="00453BFD" w:rsidRDefault="003C43D6" w:rsidP="00A00982">
            <w:pPr>
              <w:pStyle w:val="TableText0"/>
              <w:keepLines/>
              <w:jc w:val="center"/>
              <w:rPr>
                <w:szCs w:val="20"/>
              </w:rPr>
            </w:pPr>
            <w:r w:rsidRPr="00453BFD">
              <w:rPr>
                <w:szCs w:val="20"/>
              </w:rPr>
              <w:t>(1.45, 4</w:t>
            </w:r>
            <w:r w:rsidR="004F207B" w:rsidRPr="00453BFD">
              <w:rPr>
                <w:szCs w:val="20"/>
              </w:rPr>
              <w:t>.</w:t>
            </w:r>
            <w:r w:rsidRPr="00453BFD">
              <w:rPr>
                <w:szCs w:val="20"/>
              </w:rPr>
              <w:t>83)</w:t>
            </w:r>
          </w:p>
        </w:tc>
        <w:tc>
          <w:tcPr>
            <w:tcW w:w="702" w:type="pct"/>
            <w:vAlign w:val="center"/>
          </w:tcPr>
          <w:p w:rsidR="003C43D6" w:rsidRPr="00453BFD" w:rsidRDefault="003C43D6" w:rsidP="00A00982">
            <w:pPr>
              <w:pStyle w:val="TableText0"/>
              <w:keepLines/>
              <w:jc w:val="center"/>
              <w:rPr>
                <w:i/>
                <w:szCs w:val="20"/>
              </w:rPr>
            </w:pPr>
            <w:r w:rsidRPr="00453BFD">
              <w:rPr>
                <w:i/>
                <w:szCs w:val="20"/>
              </w:rPr>
              <w:t>3.58</w:t>
            </w:r>
          </w:p>
        </w:tc>
        <w:tc>
          <w:tcPr>
            <w:tcW w:w="504" w:type="pct"/>
            <w:vAlign w:val="center"/>
          </w:tcPr>
          <w:p w:rsidR="003C43D6" w:rsidRPr="00453BFD" w:rsidRDefault="003C43D6" w:rsidP="00A00982">
            <w:pPr>
              <w:pStyle w:val="TableText0"/>
              <w:keepLines/>
              <w:jc w:val="center"/>
              <w:rPr>
                <w:b/>
                <w:szCs w:val="20"/>
              </w:rPr>
            </w:pPr>
            <w:r w:rsidRPr="00453BFD">
              <w:rPr>
                <w:b/>
                <w:szCs w:val="20"/>
              </w:rPr>
              <w:t>0.0006</w:t>
            </w:r>
          </w:p>
        </w:tc>
        <w:tc>
          <w:tcPr>
            <w:tcW w:w="677" w:type="pct"/>
          </w:tcPr>
          <w:p w:rsidR="003C43D6" w:rsidRPr="00453BFD" w:rsidRDefault="003C43D6" w:rsidP="00A00982">
            <w:pPr>
              <w:pStyle w:val="TableText0"/>
              <w:keepLines/>
              <w:jc w:val="center"/>
              <w:rPr>
                <w:b/>
                <w:szCs w:val="20"/>
              </w:rPr>
            </w:pPr>
            <w:r w:rsidRPr="00453BFD">
              <w:rPr>
                <w:b/>
                <w:szCs w:val="20"/>
              </w:rPr>
              <w:t>0.61</w:t>
            </w:r>
          </w:p>
          <w:p w:rsidR="003C43D6" w:rsidRPr="00453BFD" w:rsidRDefault="003C43D6" w:rsidP="00A00982">
            <w:pPr>
              <w:pStyle w:val="TableText0"/>
              <w:keepLines/>
              <w:jc w:val="center"/>
              <w:rPr>
                <w:b/>
                <w:szCs w:val="20"/>
              </w:rPr>
            </w:pPr>
            <w:r w:rsidRPr="00453BFD">
              <w:rPr>
                <w:b/>
                <w:szCs w:val="20"/>
              </w:rPr>
              <w:t>(0.46, 0.81)</w:t>
            </w:r>
          </w:p>
        </w:tc>
      </w:tr>
      <w:tr w:rsidR="003C43D6" w:rsidRPr="00E63DF4" w:rsidTr="00E35EA1">
        <w:trPr>
          <w:trHeight w:val="207"/>
        </w:trPr>
        <w:tc>
          <w:tcPr>
            <w:tcW w:w="507" w:type="pct"/>
          </w:tcPr>
          <w:p w:rsidR="003C43D6" w:rsidRPr="00453BFD" w:rsidRDefault="003C43D6" w:rsidP="00A00982">
            <w:pPr>
              <w:pStyle w:val="TableText0"/>
              <w:keepLines/>
              <w:rPr>
                <w:rFonts w:cs="Calibri"/>
                <w:szCs w:val="20"/>
                <w:vertAlign w:val="superscript"/>
                <w:lang w:eastAsia="zh-CN"/>
              </w:rPr>
            </w:pPr>
            <w:r w:rsidRPr="00453BFD">
              <w:rPr>
                <w:szCs w:val="20"/>
              </w:rPr>
              <w:t>Fatigue</w:t>
            </w:r>
            <w:r w:rsidRPr="00453BFD">
              <w:rPr>
                <w:szCs w:val="20"/>
                <w:vertAlign w:val="superscript"/>
              </w:rPr>
              <w:t>b</w:t>
            </w:r>
          </w:p>
        </w:tc>
        <w:tc>
          <w:tcPr>
            <w:tcW w:w="507" w:type="pct"/>
            <w:vAlign w:val="center"/>
          </w:tcPr>
          <w:p w:rsidR="003C43D6" w:rsidRPr="00453BFD" w:rsidRDefault="003C43D6" w:rsidP="00A00982">
            <w:pPr>
              <w:pStyle w:val="TableText0"/>
              <w:keepLines/>
              <w:jc w:val="center"/>
              <w:rPr>
                <w:szCs w:val="20"/>
              </w:rPr>
            </w:pPr>
            <w:r w:rsidRPr="00453BFD">
              <w:rPr>
                <w:szCs w:val="20"/>
              </w:rPr>
              <w:t>154/336 (45.8)</w:t>
            </w:r>
          </w:p>
        </w:tc>
        <w:tc>
          <w:tcPr>
            <w:tcW w:w="764" w:type="pct"/>
          </w:tcPr>
          <w:p w:rsidR="003C43D6" w:rsidRPr="00453BFD" w:rsidRDefault="003C43D6" w:rsidP="00A00982">
            <w:pPr>
              <w:pStyle w:val="TableText0"/>
              <w:keepLines/>
              <w:jc w:val="center"/>
              <w:rPr>
                <w:szCs w:val="20"/>
              </w:rPr>
            </w:pPr>
            <w:r w:rsidRPr="00453BFD">
              <w:rPr>
                <w:szCs w:val="20"/>
              </w:rPr>
              <w:t>5.65</w:t>
            </w:r>
          </w:p>
          <w:p w:rsidR="003C43D6" w:rsidRPr="00453BFD" w:rsidRDefault="003C43D6" w:rsidP="00A00982">
            <w:pPr>
              <w:pStyle w:val="TableText0"/>
              <w:keepLines/>
              <w:jc w:val="center"/>
              <w:rPr>
                <w:szCs w:val="20"/>
              </w:rPr>
            </w:pPr>
            <w:r w:rsidRPr="00453BFD">
              <w:rPr>
                <w:szCs w:val="20"/>
              </w:rPr>
              <w:t>(4.30, 9.03)</w:t>
            </w:r>
          </w:p>
        </w:tc>
        <w:tc>
          <w:tcPr>
            <w:tcW w:w="509" w:type="pct"/>
            <w:vAlign w:val="center"/>
          </w:tcPr>
          <w:p w:rsidR="003C43D6" w:rsidRPr="00453BFD" w:rsidRDefault="003C43D6" w:rsidP="00A00982">
            <w:pPr>
              <w:pStyle w:val="TableText0"/>
              <w:keepLines/>
              <w:jc w:val="center"/>
              <w:rPr>
                <w:szCs w:val="20"/>
              </w:rPr>
            </w:pPr>
            <w:r w:rsidRPr="00453BFD">
              <w:rPr>
                <w:szCs w:val="20"/>
              </w:rPr>
              <w:t>79/165 (47.9)</w:t>
            </w:r>
          </w:p>
        </w:tc>
        <w:tc>
          <w:tcPr>
            <w:tcW w:w="830" w:type="pct"/>
          </w:tcPr>
          <w:p w:rsidR="003C43D6" w:rsidRPr="00453BFD" w:rsidRDefault="003C43D6" w:rsidP="00A00982">
            <w:pPr>
              <w:pStyle w:val="TableText0"/>
              <w:keepLines/>
              <w:jc w:val="center"/>
              <w:rPr>
                <w:szCs w:val="20"/>
              </w:rPr>
            </w:pPr>
            <w:r w:rsidRPr="00453BFD">
              <w:rPr>
                <w:szCs w:val="20"/>
              </w:rPr>
              <w:t>2.14</w:t>
            </w:r>
          </w:p>
          <w:p w:rsidR="003C43D6" w:rsidRPr="00453BFD" w:rsidRDefault="003C43D6" w:rsidP="00A00982">
            <w:pPr>
              <w:pStyle w:val="TableText0"/>
              <w:keepLines/>
              <w:jc w:val="center"/>
              <w:rPr>
                <w:szCs w:val="20"/>
              </w:rPr>
            </w:pPr>
            <w:r w:rsidRPr="00453BFD">
              <w:rPr>
                <w:szCs w:val="20"/>
              </w:rPr>
              <w:t>(1.64, 2.83)</w:t>
            </w:r>
          </w:p>
        </w:tc>
        <w:tc>
          <w:tcPr>
            <w:tcW w:w="702" w:type="pct"/>
            <w:vAlign w:val="center"/>
          </w:tcPr>
          <w:p w:rsidR="003C43D6" w:rsidRPr="00453BFD" w:rsidRDefault="003C43D6" w:rsidP="00A00982">
            <w:pPr>
              <w:pStyle w:val="TableText0"/>
              <w:keepLines/>
              <w:jc w:val="center"/>
              <w:rPr>
                <w:i/>
                <w:szCs w:val="20"/>
              </w:rPr>
            </w:pPr>
            <w:r w:rsidRPr="00453BFD">
              <w:rPr>
                <w:i/>
                <w:szCs w:val="20"/>
              </w:rPr>
              <w:t>3.51</w:t>
            </w:r>
          </w:p>
        </w:tc>
        <w:tc>
          <w:tcPr>
            <w:tcW w:w="504" w:type="pct"/>
            <w:vAlign w:val="center"/>
          </w:tcPr>
          <w:p w:rsidR="003C43D6" w:rsidRPr="00453BFD" w:rsidRDefault="003C43D6" w:rsidP="00A00982">
            <w:pPr>
              <w:pStyle w:val="TableText0"/>
              <w:keepLines/>
              <w:jc w:val="center"/>
              <w:rPr>
                <w:b/>
                <w:szCs w:val="20"/>
              </w:rPr>
            </w:pPr>
            <w:r w:rsidRPr="00453BFD">
              <w:rPr>
                <w:b/>
                <w:szCs w:val="20"/>
              </w:rPr>
              <w:t>0.0004</w:t>
            </w:r>
          </w:p>
        </w:tc>
        <w:tc>
          <w:tcPr>
            <w:tcW w:w="677" w:type="pct"/>
          </w:tcPr>
          <w:p w:rsidR="003C43D6" w:rsidRPr="00453BFD" w:rsidRDefault="003C43D6" w:rsidP="00A00982">
            <w:pPr>
              <w:pStyle w:val="TableText0"/>
              <w:keepLines/>
              <w:jc w:val="center"/>
              <w:rPr>
                <w:b/>
                <w:szCs w:val="20"/>
              </w:rPr>
            </w:pPr>
            <w:r w:rsidRPr="00453BFD">
              <w:rPr>
                <w:b/>
                <w:szCs w:val="20"/>
              </w:rPr>
              <w:t>0.60</w:t>
            </w:r>
          </w:p>
          <w:p w:rsidR="003C43D6" w:rsidRPr="00453BFD" w:rsidRDefault="003C43D6" w:rsidP="00A00982">
            <w:pPr>
              <w:pStyle w:val="TableText0"/>
              <w:keepLines/>
              <w:jc w:val="center"/>
              <w:rPr>
                <w:b/>
                <w:szCs w:val="20"/>
              </w:rPr>
            </w:pPr>
            <w:r w:rsidRPr="00453BFD">
              <w:rPr>
                <w:b/>
                <w:szCs w:val="20"/>
              </w:rPr>
              <w:t>(0.45, 0.80)</w:t>
            </w:r>
          </w:p>
        </w:tc>
      </w:tr>
      <w:tr w:rsidR="003C43D6" w:rsidRPr="00E63DF4" w:rsidTr="00E35EA1">
        <w:trPr>
          <w:trHeight w:val="207"/>
        </w:trPr>
        <w:tc>
          <w:tcPr>
            <w:tcW w:w="507" w:type="pct"/>
          </w:tcPr>
          <w:p w:rsidR="003C43D6" w:rsidRPr="00453BFD" w:rsidRDefault="003C43D6" w:rsidP="00A00982">
            <w:pPr>
              <w:pStyle w:val="TableText0"/>
              <w:keepLines/>
              <w:rPr>
                <w:rFonts w:cs="Calibri"/>
                <w:szCs w:val="20"/>
                <w:lang w:eastAsia="zh-CN"/>
              </w:rPr>
            </w:pPr>
            <w:r w:rsidRPr="00453BFD">
              <w:rPr>
                <w:szCs w:val="20"/>
              </w:rPr>
              <w:t>Pain</w:t>
            </w:r>
            <w:r w:rsidRPr="00453BFD">
              <w:rPr>
                <w:szCs w:val="20"/>
                <w:vertAlign w:val="superscript"/>
              </w:rPr>
              <w:t>a</w:t>
            </w:r>
          </w:p>
        </w:tc>
        <w:tc>
          <w:tcPr>
            <w:tcW w:w="507" w:type="pct"/>
            <w:vAlign w:val="center"/>
          </w:tcPr>
          <w:p w:rsidR="003C43D6" w:rsidRPr="00453BFD" w:rsidRDefault="003C43D6" w:rsidP="00A00982">
            <w:pPr>
              <w:pStyle w:val="TableText0"/>
              <w:keepLines/>
              <w:jc w:val="center"/>
              <w:rPr>
                <w:szCs w:val="20"/>
              </w:rPr>
            </w:pPr>
            <w:r w:rsidRPr="00453BFD">
              <w:rPr>
                <w:szCs w:val="20"/>
              </w:rPr>
              <w:t>131/336 (39.0)</w:t>
            </w:r>
          </w:p>
        </w:tc>
        <w:tc>
          <w:tcPr>
            <w:tcW w:w="764" w:type="pct"/>
          </w:tcPr>
          <w:p w:rsidR="003C43D6" w:rsidRPr="00453BFD" w:rsidRDefault="003C43D6" w:rsidP="00A00982">
            <w:pPr>
              <w:pStyle w:val="TableText0"/>
              <w:keepLines/>
              <w:jc w:val="center"/>
              <w:rPr>
                <w:szCs w:val="20"/>
              </w:rPr>
            </w:pPr>
            <w:r w:rsidRPr="00453BFD">
              <w:rPr>
                <w:szCs w:val="20"/>
              </w:rPr>
              <w:t>9.72</w:t>
            </w:r>
          </w:p>
          <w:p w:rsidR="003C43D6" w:rsidRPr="00453BFD" w:rsidRDefault="003C43D6" w:rsidP="00A00982">
            <w:pPr>
              <w:pStyle w:val="TableText0"/>
              <w:keepLines/>
              <w:jc w:val="center"/>
              <w:rPr>
                <w:szCs w:val="20"/>
              </w:rPr>
            </w:pPr>
            <w:r w:rsidRPr="00453BFD">
              <w:rPr>
                <w:szCs w:val="20"/>
              </w:rPr>
              <w:t>(7.16, NE)</w:t>
            </w:r>
          </w:p>
        </w:tc>
        <w:tc>
          <w:tcPr>
            <w:tcW w:w="509" w:type="pct"/>
            <w:vAlign w:val="center"/>
          </w:tcPr>
          <w:p w:rsidR="003C43D6" w:rsidRPr="00453BFD" w:rsidRDefault="003C43D6" w:rsidP="00A00982">
            <w:pPr>
              <w:pStyle w:val="TableText0"/>
              <w:keepLines/>
              <w:jc w:val="center"/>
              <w:rPr>
                <w:szCs w:val="20"/>
              </w:rPr>
            </w:pPr>
            <w:r w:rsidRPr="00453BFD">
              <w:rPr>
                <w:szCs w:val="20"/>
              </w:rPr>
              <w:t>76/165 (46.1)</w:t>
            </w:r>
          </w:p>
        </w:tc>
        <w:tc>
          <w:tcPr>
            <w:tcW w:w="830" w:type="pct"/>
          </w:tcPr>
          <w:p w:rsidR="003C43D6" w:rsidRPr="00453BFD" w:rsidRDefault="003C43D6" w:rsidP="00A00982">
            <w:pPr>
              <w:pStyle w:val="TableText0"/>
              <w:keepLines/>
              <w:jc w:val="center"/>
              <w:rPr>
                <w:szCs w:val="20"/>
              </w:rPr>
            </w:pPr>
            <w:r w:rsidRPr="00453BFD">
              <w:rPr>
                <w:szCs w:val="20"/>
              </w:rPr>
              <w:t>2.79</w:t>
            </w:r>
          </w:p>
          <w:p w:rsidR="003C43D6" w:rsidRPr="00453BFD" w:rsidRDefault="003C43D6" w:rsidP="00A00982">
            <w:pPr>
              <w:pStyle w:val="TableText0"/>
              <w:keepLines/>
              <w:jc w:val="center"/>
              <w:rPr>
                <w:szCs w:val="20"/>
              </w:rPr>
            </w:pPr>
            <w:r w:rsidRPr="00453BFD">
              <w:rPr>
                <w:szCs w:val="20"/>
              </w:rPr>
              <w:t>(2.14, 4.30)</w:t>
            </w:r>
          </w:p>
        </w:tc>
        <w:tc>
          <w:tcPr>
            <w:tcW w:w="702" w:type="pct"/>
            <w:vAlign w:val="center"/>
          </w:tcPr>
          <w:p w:rsidR="003C43D6" w:rsidRPr="00453BFD" w:rsidRDefault="003C43D6" w:rsidP="00A00982">
            <w:pPr>
              <w:pStyle w:val="TableText0"/>
              <w:keepLines/>
              <w:jc w:val="center"/>
              <w:rPr>
                <w:i/>
                <w:szCs w:val="20"/>
              </w:rPr>
            </w:pPr>
            <w:r w:rsidRPr="00453BFD">
              <w:rPr>
                <w:i/>
                <w:szCs w:val="20"/>
              </w:rPr>
              <w:t>6.93</w:t>
            </w:r>
          </w:p>
        </w:tc>
        <w:tc>
          <w:tcPr>
            <w:tcW w:w="504" w:type="pct"/>
            <w:vAlign w:val="center"/>
          </w:tcPr>
          <w:p w:rsidR="003C43D6" w:rsidRPr="00453BFD" w:rsidRDefault="003C43D6" w:rsidP="00A00982">
            <w:pPr>
              <w:pStyle w:val="TableText0"/>
              <w:keepLines/>
              <w:jc w:val="center"/>
              <w:rPr>
                <w:b/>
                <w:szCs w:val="20"/>
              </w:rPr>
            </w:pPr>
            <w:r w:rsidRPr="00453BFD">
              <w:rPr>
                <w:b/>
                <w:szCs w:val="20"/>
              </w:rPr>
              <w:t>&lt;0.0001</w:t>
            </w:r>
          </w:p>
        </w:tc>
        <w:tc>
          <w:tcPr>
            <w:tcW w:w="677" w:type="pct"/>
          </w:tcPr>
          <w:p w:rsidR="003C43D6" w:rsidRPr="00453BFD" w:rsidRDefault="003C43D6" w:rsidP="00A00982">
            <w:pPr>
              <w:pStyle w:val="TableText0"/>
              <w:keepLines/>
              <w:jc w:val="center"/>
              <w:rPr>
                <w:b/>
                <w:szCs w:val="20"/>
              </w:rPr>
            </w:pPr>
            <w:r w:rsidRPr="00453BFD">
              <w:rPr>
                <w:b/>
                <w:szCs w:val="20"/>
              </w:rPr>
              <w:t>0.46</w:t>
            </w:r>
          </w:p>
          <w:p w:rsidR="003C43D6" w:rsidRPr="00453BFD" w:rsidRDefault="003C43D6" w:rsidP="00A00982">
            <w:pPr>
              <w:pStyle w:val="TableText0"/>
              <w:keepLines/>
              <w:jc w:val="center"/>
              <w:rPr>
                <w:b/>
                <w:szCs w:val="20"/>
              </w:rPr>
            </w:pPr>
            <w:r w:rsidRPr="00453BFD">
              <w:rPr>
                <w:b/>
                <w:szCs w:val="20"/>
              </w:rPr>
              <w:t>(0.34, 0.62)</w:t>
            </w:r>
          </w:p>
        </w:tc>
      </w:tr>
      <w:tr w:rsidR="003C43D6" w:rsidRPr="00E63DF4" w:rsidTr="00E35EA1">
        <w:trPr>
          <w:trHeight w:val="207"/>
        </w:trPr>
        <w:tc>
          <w:tcPr>
            <w:tcW w:w="507" w:type="pct"/>
          </w:tcPr>
          <w:p w:rsidR="003C43D6" w:rsidRPr="00453BFD" w:rsidRDefault="003C43D6" w:rsidP="00A00982">
            <w:pPr>
              <w:pStyle w:val="TableText0"/>
              <w:keepLines/>
              <w:rPr>
                <w:rFonts w:cs="Calibri"/>
                <w:szCs w:val="20"/>
                <w:lang w:eastAsia="zh-CN"/>
              </w:rPr>
            </w:pPr>
            <w:r w:rsidRPr="00453BFD">
              <w:rPr>
                <w:szCs w:val="20"/>
              </w:rPr>
              <w:t>Pain</w:t>
            </w:r>
            <w:r w:rsidRPr="00453BFD">
              <w:rPr>
                <w:szCs w:val="20"/>
                <w:vertAlign w:val="superscript"/>
              </w:rPr>
              <w:t>b</w:t>
            </w:r>
            <w:r w:rsidRPr="00453BFD">
              <w:rPr>
                <w:szCs w:val="20"/>
              </w:rPr>
              <w:t xml:space="preserve"> </w:t>
            </w:r>
          </w:p>
        </w:tc>
        <w:tc>
          <w:tcPr>
            <w:tcW w:w="507" w:type="pct"/>
            <w:vAlign w:val="center"/>
          </w:tcPr>
          <w:p w:rsidR="003C43D6" w:rsidRPr="00453BFD" w:rsidRDefault="003C43D6" w:rsidP="00A00982">
            <w:pPr>
              <w:pStyle w:val="TableText0"/>
              <w:keepLines/>
              <w:jc w:val="center"/>
              <w:rPr>
                <w:szCs w:val="20"/>
              </w:rPr>
            </w:pPr>
            <w:r w:rsidRPr="00453BFD">
              <w:rPr>
                <w:szCs w:val="20"/>
              </w:rPr>
              <w:t>101/336 (30.1)</w:t>
            </w:r>
          </w:p>
        </w:tc>
        <w:tc>
          <w:tcPr>
            <w:tcW w:w="764" w:type="pct"/>
          </w:tcPr>
          <w:p w:rsidR="003C43D6" w:rsidRPr="00453BFD" w:rsidRDefault="003C43D6" w:rsidP="00A00982">
            <w:pPr>
              <w:pStyle w:val="TableText0"/>
              <w:keepLines/>
              <w:jc w:val="center"/>
              <w:rPr>
                <w:szCs w:val="20"/>
              </w:rPr>
            </w:pPr>
            <w:r w:rsidRPr="00453BFD">
              <w:rPr>
                <w:szCs w:val="20"/>
              </w:rPr>
              <w:t>NE</w:t>
            </w:r>
          </w:p>
          <w:p w:rsidR="003C43D6" w:rsidRPr="00453BFD" w:rsidRDefault="003C43D6" w:rsidP="00A00982">
            <w:pPr>
              <w:pStyle w:val="TableText0"/>
              <w:keepLines/>
              <w:jc w:val="center"/>
              <w:rPr>
                <w:szCs w:val="20"/>
              </w:rPr>
            </w:pPr>
            <w:r w:rsidRPr="00453BFD">
              <w:rPr>
                <w:szCs w:val="20"/>
              </w:rPr>
              <w:t>(2.83, NE)</w:t>
            </w:r>
          </w:p>
        </w:tc>
        <w:tc>
          <w:tcPr>
            <w:tcW w:w="509" w:type="pct"/>
            <w:vAlign w:val="center"/>
          </w:tcPr>
          <w:p w:rsidR="003C43D6" w:rsidRPr="00453BFD" w:rsidRDefault="003C43D6" w:rsidP="00A00982">
            <w:pPr>
              <w:pStyle w:val="TableText0"/>
              <w:keepLines/>
              <w:jc w:val="center"/>
              <w:rPr>
                <w:szCs w:val="20"/>
              </w:rPr>
            </w:pPr>
            <w:r w:rsidRPr="00453BFD">
              <w:rPr>
                <w:szCs w:val="20"/>
              </w:rPr>
              <w:t>50/165 (30.3)</w:t>
            </w:r>
          </w:p>
        </w:tc>
        <w:tc>
          <w:tcPr>
            <w:tcW w:w="830" w:type="pct"/>
          </w:tcPr>
          <w:p w:rsidR="003C43D6" w:rsidRPr="00453BFD" w:rsidRDefault="003C43D6" w:rsidP="00A00982">
            <w:pPr>
              <w:pStyle w:val="TableText0"/>
              <w:keepLines/>
              <w:jc w:val="center"/>
              <w:rPr>
                <w:szCs w:val="20"/>
              </w:rPr>
            </w:pPr>
            <w:r w:rsidRPr="00453BFD">
              <w:rPr>
                <w:szCs w:val="20"/>
              </w:rPr>
              <w:t>9.82</w:t>
            </w:r>
          </w:p>
          <w:p w:rsidR="003C43D6" w:rsidRPr="00453BFD" w:rsidRDefault="003C43D6" w:rsidP="00A00982">
            <w:pPr>
              <w:pStyle w:val="TableText0"/>
              <w:keepLines/>
              <w:jc w:val="center"/>
              <w:rPr>
                <w:szCs w:val="20"/>
              </w:rPr>
            </w:pPr>
            <w:r w:rsidRPr="00453BFD">
              <w:rPr>
                <w:szCs w:val="20"/>
              </w:rPr>
              <w:t>(4.27, NE)</w:t>
            </w:r>
          </w:p>
        </w:tc>
        <w:tc>
          <w:tcPr>
            <w:tcW w:w="702" w:type="pct"/>
            <w:vAlign w:val="center"/>
          </w:tcPr>
          <w:p w:rsidR="003C43D6" w:rsidRPr="00453BFD" w:rsidRDefault="003C43D6" w:rsidP="00A00982">
            <w:pPr>
              <w:pStyle w:val="TableText0"/>
              <w:keepLines/>
              <w:jc w:val="center"/>
              <w:rPr>
                <w:i/>
                <w:szCs w:val="20"/>
              </w:rPr>
            </w:pPr>
            <w:r w:rsidRPr="00453BFD">
              <w:rPr>
                <w:i/>
                <w:szCs w:val="20"/>
              </w:rPr>
              <w:t>NE</w:t>
            </w:r>
          </w:p>
        </w:tc>
        <w:tc>
          <w:tcPr>
            <w:tcW w:w="504" w:type="pct"/>
            <w:vAlign w:val="center"/>
          </w:tcPr>
          <w:p w:rsidR="003C43D6" w:rsidRPr="00453BFD" w:rsidRDefault="003C43D6" w:rsidP="00A00982">
            <w:pPr>
              <w:pStyle w:val="TableText0"/>
              <w:keepLines/>
              <w:jc w:val="center"/>
              <w:rPr>
                <w:b/>
                <w:szCs w:val="20"/>
              </w:rPr>
            </w:pPr>
            <w:r w:rsidRPr="00453BFD">
              <w:rPr>
                <w:b/>
                <w:szCs w:val="20"/>
              </w:rPr>
              <w:t>0.0147</w:t>
            </w:r>
          </w:p>
        </w:tc>
        <w:tc>
          <w:tcPr>
            <w:tcW w:w="677" w:type="pct"/>
          </w:tcPr>
          <w:p w:rsidR="003C43D6" w:rsidRPr="00453BFD" w:rsidRDefault="003C43D6" w:rsidP="00A00982">
            <w:pPr>
              <w:pStyle w:val="TableText0"/>
              <w:keepLines/>
              <w:jc w:val="center"/>
              <w:rPr>
                <w:b/>
                <w:szCs w:val="20"/>
              </w:rPr>
            </w:pPr>
            <w:r w:rsidRPr="00453BFD">
              <w:rPr>
                <w:b/>
                <w:szCs w:val="20"/>
              </w:rPr>
              <w:t>0.65</w:t>
            </w:r>
          </w:p>
          <w:p w:rsidR="003C43D6" w:rsidRPr="00453BFD" w:rsidRDefault="003C43D6" w:rsidP="00A00982">
            <w:pPr>
              <w:pStyle w:val="TableText0"/>
              <w:keepLines/>
              <w:jc w:val="center"/>
              <w:rPr>
                <w:b/>
                <w:szCs w:val="20"/>
              </w:rPr>
            </w:pPr>
            <w:r w:rsidRPr="00453BFD">
              <w:rPr>
                <w:b/>
                <w:szCs w:val="20"/>
              </w:rPr>
              <w:t>(0.46, 0.92)</w:t>
            </w:r>
          </w:p>
        </w:tc>
      </w:tr>
      <w:tr w:rsidR="003C43D6" w:rsidRPr="00E63DF4" w:rsidTr="00E35EA1">
        <w:trPr>
          <w:trHeight w:val="207"/>
        </w:trPr>
        <w:tc>
          <w:tcPr>
            <w:tcW w:w="507" w:type="pct"/>
          </w:tcPr>
          <w:p w:rsidR="003C43D6" w:rsidRPr="00453BFD" w:rsidRDefault="003C43D6" w:rsidP="00A00982">
            <w:pPr>
              <w:pStyle w:val="TableText0"/>
              <w:keepLines/>
              <w:rPr>
                <w:rFonts w:cs="Calibri"/>
                <w:szCs w:val="20"/>
                <w:lang w:eastAsia="zh-CN"/>
              </w:rPr>
            </w:pPr>
            <w:r w:rsidRPr="00453BFD">
              <w:rPr>
                <w:szCs w:val="20"/>
              </w:rPr>
              <w:t>Jaundice</w:t>
            </w:r>
            <w:r w:rsidRPr="00453BFD">
              <w:rPr>
                <w:szCs w:val="20"/>
                <w:vertAlign w:val="superscript"/>
              </w:rPr>
              <w:t>b</w:t>
            </w:r>
          </w:p>
        </w:tc>
        <w:tc>
          <w:tcPr>
            <w:tcW w:w="507" w:type="pct"/>
            <w:vAlign w:val="center"/>
          </w:tcPr>
          <w:p w:rsidR="003C43D6" w:rsidRPr="00453BFD" w:rsidRDefault="003C43D6" w:rsidP="00A00982">
            <w:pPr>
              <w:pStyle w:val="TableText0"/>
              <w:keepLines/>
              <w:jc w:val="center"/>
              <w:rPr>
                <w:szCs w:val="20"/>
              </w:rPr>
            </w:pPr>
            <w:r w:rsidRPr="00453BFD">
              <w:rPr>
                <w:szCs w:val="20"/>
              </w:rPr>
              <w:t>128/336 (38.1)</w:t>
            </w:r>
          </w:p>
        </w:tc>
        <w:tc>
          <w:tcPr>
            <w:tcW w:w="764" w:type="pct"/>
          </w:tcPr>
          <w:p w:rsidR="003C43D6" w:rsidRPr="00453BFD" w:rsidRDefault="003C43D6" w:rsidP="00A00982">
            <w:pPr>
              <w:pStyle w:val="TableText0"/>
              <w:keepLines/>
              <w:jc w:val="center"/>
              <w:rPr>
                <w:szCs w:val="20"/>
              </w:rPr>
            </w:pPr>
            <w:r w:rsidRPr="00453BFD">
              <w:rPr>
                <w:szCs w:val="20"/>
              </w:rPr>
              <w:t>10.55</w:t>
            </w:r>
          </w:p>
          <w:p w:rsidR="003C43D6" w:rsidRPr="00453BFD" w:rsidRDefault="003C43D6" w:rsidP="00A00982">
            <w:pPr>
              <w:pStyle w:val="TableText0"/>
              <w:keepLines/>
              <w:jc w:val="center"/>
              <w:rPr>
                <w:szCs w:val="20"/>
              </w:rPr>
            </w:pPr>
            <w:r w:rsidRPr="00453BFD">
              <w:rPr>
                <w:szCs w:val="20"/>
              </w:rPr>
              <w:t>(6.93, NE)</w:t>
            </w:r>
          </w:p>
        </w:tc>
        <w:tc>
          <w:tcPr>
            <w:tcW w:w="509" w:type="pct"/>
            <w:vAlign w:val="center"/>
          </w:tcPr>
          <w:p w:rsidR="003C43D6" w:rsidRPr="00453BFD" w:rsidRDefault="003C43D6" w:rsidP="00A00982">
            <w:pPr>
              <w:pStyle w:val="TableText0"/>
              <w:keepLines/>
              <w:jc w:val="center"/>
              <w:rPr>
                <w:szCs w:val="20"/>
              </w:rPr>
            </w:pPr>
            <w:r w:rsidRPr="00453BFD">
              <w:rPr>
                <w:szCs w:val="20"/>
              </w:rPr>
              <w:t>51/165 (30.9)</w:t>
            </w:r>
          </w:p>
        </w:tc>
        <w:tc>
          <w:tcPr>
            <w:tcW w:w="830" w:type="pct"/>
          </w:tcPr>
          <w:p w:rsidR="003C43D6" w:rsidRPr="00453BFD" w:rsidRDefault="003C43D6" w:rsidP="00A00982">
            <w:pPr>
              <w:pStyle w:val="TableText0"/>
              <w:keepLines/>
              <w:jc w:val="center"/>
              <w:rPr>
                <w:szCs w:val="20"/>
              </w:rPr>
            </w:pPr>
            <w:r w:rsidRPr="00453BFD">
              <w:rPr>
                <w:szCs w:val="20"/>
              </w:rPr>
              <w:t>6.47</w:t>
            </w:r>
          </w:p>
          <w:p w:rsidR="003C43D6" w:rsidRPr="00453BFD" w:rsidRDefault="003C43D6" w:rsidP="00A00982">
            <w:pPr>
              <w:pStyle w:val="TableText0"/>
              <w:keepLines/>
              <w:jc w:val="center"/>
              <w:rPr>
                <w:szCs w:val="20"/>
              </w:rPr>
            </w:pPr>
            <w:r w:rsidRPr="00453BFD">
              <w:rPr>
                <w:szCs w:val="20"/>
              </w:rPr>
              <w:t>(5.55, NE)</w:t>
            </w:r>
          </w:p>
        </w:tc>
        <w:tc>
          <w:tcPr>
            <w:tcW w:w="702" w:type="pct"/>
            <w:vAlign w:val="center"/>
          </w:tcPr>
          <w:p w:rsidR="003C43D6" w:rsidRPr="00453BFD" w:rsidRDefault="003C43D6" w:rsidP="00A00982">
            <w:pPr>
              <w:pStyle w:val="TableText0"/>
              <w:keepLines/>
              <w:jc w:val="center"/>
              <w:rPr>
                <w:i/>
                <w:szCs w:val="20"/>
              </w:rPr>
            </w:pPr>
            <w:r w:rsidRPr="00453BFD">
              <w:rPr>
                <w:i/>
                <w:szCs w:val="20"/>
              </w:rPr>
              <w:t>4.08</w:t>
            </w:r>
          </w:p>
        </w:tc>
        <w:tc>
          <w:tcPr>
            <w:tcW w:w="504" w:type="pct"/>
            <w:vAlign w:val="center"/>
          </w:tcPr>
          <w:p w:rsidR="003C43D6" w:rsidRPr="00453BFD" w:rsidRDefault="003C43D6" w:rsidP="00A00982">
            <w:pPr>
              <w:pStyle w:val="TableText0"/>
              <w:keepLines/>
              <w:jc w:val="center"/>
              <w:rPr>
                <w:szCs w:val="20"/>
              </w:rPr>
            </w:pPr>
            <w:r w:rsidRPr="00453BFD">
              <w:rPr>
                <w:szCs w:val="20"/>
              </w:rPr>
              <w:t>0.1130</w:t>
            </w:r>
          </w:p>
        </w:tc>
        <w:tc>
          <w:tcPr>
            <w:tcW w:w="677" w:type="pct"/>
          </w:tcPr>
          <w:p w:rsidR="003C43D6" w:rsidRPr="00453BFD" w:rsidRDefault="003C43D6" w:rsidP="00A00982">
            <w:pPr>
              <w:pStyle w:val="TableText0"/>
              <w:keepLines/>
              <w:jc w:val="center"/>
              <w:rPr>
                <w:szCs w:val="20"/>
              </w:rPr>
            </w:pPr>
            <w:r w:rsidRPr="00453BFD">
              <w:rPr>
                <w:szCs w:val="20"/>
              </w:rPr>
              <w:t>0.76</w:t>
            </w:r>
          </w:p>
          <w:p w:rsidR="003C43D6" w:rsidRPr="00453BFD" w:rsidRDefault="003C43D6" w:rsidP="00A00982">
            <w:pPr>
              <w:pStyle w:val="TableText0"/>
              <w:keepLines/>
              <w:jc w:val="center"/>
              <w:rPr>
                <w:b/>
                <w:szCs w:val="20"/>
              </w:rPr>
            </w:pPr>
            <w:r w:rsidRPr="00453BFD">
              <w:rPr>
                <w:szCs w:val="20"/>
              </w:rPr>
              <w:t>(0.55, 1.07)</w:t>
            </w:r>
          </w:p>
        </w:tc>
      </w:tr>
    </w:tbl>
    <w:p w:rsidR="003C43D6" w:rsidRPr="00E63DF4" w:rsidRDefault="003C43D6" w:rsidP="00A00982">
      <w:pPr>
        <w:pStyle w:val="TableFigureFooter"/>
        <w:keepNext/>
        <w:keepLines/>
        <w:rPr>
          <w:lang w:eastAsia="en-US"/>
        </w:rPr>
      </w:pPr>
      <w:r w:rsidRPr="00E63DF4">
        <w:rPr>
          <w:lang w:eastAsia="en-US"/>
        </w:rPr>
        <w:t xml:space="preserve">Source: </w:t>
      </w:r>
      <w:r w:rsidR="0049734C" w:rsidRPr="00E63DF4">
        <w:rPr>
          <w:lang w:eastAsia="en-US"/>
        </w:rPr>
        <w:t xml:space="preserve">constructed during the evaluation; </w:t>
      </w:r>
      <w:r w:rsidRPr="00E63DF4">
        <w:rPr>
          <w:lang w:eastAsia="en-US"/>
        </w:rPr>
        <w:t>Table 2.18</w:t>
      </w:r>
      <w:r w:rsidR="00C51546" w:rsidRPr="00E63DF4">
        <w:rPr>
          <w:lang w:eastAsia="en-US"/>
        </w:rPr>
        <w:t>, p</w:t>
      </w:r>
      <w:r w:rsidRPr="00E63DF4">
        <w:rPr>
          <w:lang w:eastAsia="en-US"/>
        </w:rPr>
        <w:t>72 of the submission</w:t>
      </w:r>
      <w:r w:rsidR="0049734C" w:rsidRPr="00E63DF4">
        <w:rPr>
          <w:lang w:eastAsia="en-US"/>
        </w:rPr>
        <w:t>;</w:t>
      </w:r>
      <w:r w:rsidR="00C51546" w:rsidRPr="00E63DF4">
        <w:rPr>
          <w:lang w:eastAsia="en-US"/>
        </w:rPr>
        <w:t xml:space="preserve"> Table 2.19, p</w:t>
      </w:r>
      <w:r w:rsidRPr="00E63DF4">
        <w:rPr>
          <w:lang w:eastAsia="en-US"/>
        </w:rPr>
        <w:t>74 of the submission; p1583, p1639, pp1647-1651 of the IMbrave150 CSR</w:t>
      </w:r>
    </w:p>
    <w:p w:rsidR="003C43D6" w:rsidRPr="00E63DF4" w:rsidRDefault="003C43D6" w:rsidP="00A00982">
      <w:pPr>
        <w:pStyle w:val="TableFigureFooter"/>
        <w:keepNext/>
        <w:keepLines/>
        <w:rPr>
          <w:lang w:eastAsia="en-US"/>
        </w:rPr>
      </w:pPr>
      <w:r w:rsidRPr="00E63DF4">
        <w:rPr>
          <w:lang w:eastAsia="en-US"/>
        </w:rPr>
        <w:t>Abbreviations: Atezo+Bev =</w:t>
      </w:r>
      <w:r w:rsidR="004F2848" w:rsidRPr="00E63DF4">
        <w:rPr>
          <w:lang w:eastAsia="en-US"/>
        </w:rPr>
        <w:t xml:space="preserve"> atezolizumab plus bevacizumab;</w:t>
      </w:r>
      <w:r w:rsidRPr="00E63DF4">
        <w:rPr>
          <w:lang w:eastAsia="en-US"/>
        </w:rPr>
        <w:t xml:space="preserve"> CI =</w:t>
      </w:r>
      <w:r w:rsidR="004F2848" w:rsidRPr="00E63DF4">
        <w:rPr>
          <w:lang w:eastAsia="en-US"/>
        </w:rPr>
        <w:t xml:space="preserve"> confidence interval;</w:t>
      </w:r>
      <w:r w:rsidRPr="00E63DF4">
        <w:rPr>
          <w:lang w:eastAsia="en-US"/>
        </w:rPr>
        <w:t xml:space="preserve"> </w:t>
      </w:r>
      <w:r w:rsidR="0049734C" w:rsidRPr="00E63DF4">
        <w:rPr>
          <w:lang w:eastAsia="en-US"/>
        </w:rPr>
        <w:t>EORTC QLQ-C30 = European Organisation for the Research and Treatment of Cancer Qualit</w:t>
      </w:r>
      <w:r w:rsidR="004F2848" w:rsidRPr="00E63DF4">
        <w:rPr>
          <w:lang w:eastAsia="en-US"/>
        </w:rPr>
        <w:t>y of Life Questionnaire Core 30;</w:t>
      </w:r>
      <w:r w:rsidR="0049734C" w:rsidRPr="00E63DF4">
        <w:rPr>
          <w:lang w:eastAsia="en-US"/>
        </w:rPr>
        <w:t xml:space="preserve"> EORTC QLQ-HCC18 = European Organisation for the Research and Treatment of Hepatocellular Carcinoma Questionnaire 18 (HCC-specific 18-item)</w:t>
      </w:r>
      <w:r w:rsidR="004F2848" w:rsidRPr="00E63DF4">
        <w:rPr>
          <w:lang w:eastAsia="en-US"/>
        </w:rPr>
        <w:t>;</w:t>
      </w:r>
      <w:r w:rsidR="0049734C" w:rsidRPr="00E63DF4">
        <w:rPr>
          <w:lang w:eastAsia="en-US"/>
        </w:rPr>
        <w:t xml:space="preserve"> </w:t>
      </w:r>
      <w:r w:rsidRPr="00E63DF4">
        <w:rPr>
          <w:lang w:eastAsia="en-US"/>
        </w:rPr>
        <w:t>GHS/QoL= global health status/quality of life</w:t>
      </w:r>
      <w:r w:rsidR="004F2848" w:rsidRPr="00E63DF4">
        <w:rPr>
          <w:lang w:eastAsia="en-US"/>
        </w:rPr>
        <w:t>;</w:t>
      </w:r>
      <w:r w:rsidRPr="00E63DF4">
        <w:rPr>
          <w:lang w:eastAsia="en-US"/>
        </w:rPr>
        <w:t xml:space="preserve"> </w:t>
      </w:r>
      <w:r w:rsidR="004F2848" w:rsidRPr="00E63DF4">
        <w:rPr>
          <w:lang w:eastAsia="en-US"/>
        </w:rPr>
        <w:t>HR = hazard ratio;</w:t>
      </w:r>
      <w:r w:rsidRPr="00E63DF4">
        <w:rPr>
          <w:lang w:eastAsia="en-US"/>
        </w:rPr>
        <w:t xml:space="preserve"> n = number</w:t>
      </w:r>
      <w:r w:rsidR="004F2848" w:rsidRPr="00E63DF4">
        <w:rPr>
          <w:lang w:eastAsia="en-US"/>
        </w:rPr>
        <w:t xml:space="preserve"> of participants reporting data;</w:t>
      </w:r>
      <w:r w:rsidRPr="00E63DF4">
        <w:rPr>
          <w:lang w:eastAsia="en-US"/>
        </w:rPr>
        <w:t xml:space="preserve"> N = total participants in group</w:t>
      </w:r>
      <w:r w:rsidR="004F2848" w:rsidRPr="00E63DF4">
        <w:rPr>
          <w:lang w:eastAsia="en-US"/>
        </w:rPr>
        <w:t>;</w:t>
      </w:r>
      <w:r w:rsidRPr="00E63DF4">
        <w:rPr>
          <w:lang w:eastAsia="en-US"/>
        </w:rPr>
        <w:t xml:space="preserve"> NE = not estimable</w:t>
      </w:r>
      <w:r w:rsidR="0049734C" w:rsidRPr="00E63DF4">
        <w:rPr>
          <w:lang w:eastAsia="en-US"/>
        </w:rPr>
        <w:t>;</w:t>
      </w:r>
      <w:r w:rsidR="0049734C" w:rsidRPr="00E63DF4">
        <w:t xml:space="preserve"> </w:t>
      </w:r>
      <w:r w:rsidR="0049734C" w:rsidRPr="00E63DF4">
        <w:rPr>
          <w:lang w:eastAsia="en-US"/>
        </w:rPr>
        <w:t>TTD = time to deterioration</w:t>
      </w:r>
    </w:p>
    <w:p w:rsidR="003C43D6" w:rsidRPr="00E63DF4" w:rsidRDefault="003C43D6" w:rsidP="00A00982">
      <w:pPr>
        <w:pStyle w:val="TableFigureFooter"/>
        <w:keepNext/>
        <w:keepLines/>
      </w:pPr>
      <w:r w:rsidRPr="00E63DF4">
        <w:t>Note: Bold indicates statistically significant difference.</w:t>
      </w:r>
    </w:p>
    <w:p w:rsidR="0049734C" w:rsidRPr="00E63DF4" w:rsidRDefault="0049734C" w:rsidP="00A00982">
      <w:pPr>
        <w:pStyle w:val="TableFigureFooter"/>
        <w:keepNext/>
        <w:keepLines/>
      </w:pPr>
      <w:r w:rsidRPr="00E63DF4">
        <w:t>a Based on EORTC QLQ-C30</w:t>
      </w:r>
    </w:p>
    <w:p w:rsidR="0049734C" w:rsidRPr="00E63DF4" w:rsidRDefault="0049734C" w:rsidP="00A00982">
      <w:pPr>
        <w:pStyle w:val="TableFigureFooter"/>
        <w:keepNext/>
        <w:keepLines/>
      </w:pPr>
      <w:r w:rsidRPr="00E63DF4">
        <w:t>b Based on EORTC QLQ-HCC18</w:t>
      </w:r>
    </w:p>
    <w:p w:rsidR="003C43D6" w:rsidRPr="00E63DF4" w:rsidRDefault="006139F6" w:rsidP="00A00982">
      <w:pPr>
        <w:pStyle w:val="TableFigureFooter"/>
        <w:keepNext/>
        <w:keepLines/>
      </w:pPr>
      <w:r w:rsidRPr="00E63DF4">
        <w:t>^ corrected error from</w:t>
      </w:r>
      <w:r w:rsidR="003C43D6" w:rsidRPr="00E63DF4">
        <w:t xml:space="preserve"> submission during the evaluation</w:t>
      </w:r>
    </w:p>
    <w:p w:rsidR="00B60939" w:rsidRPr="00E63DF4" w:rsidRDefault="00B60939" w:rsidP="00D86231">
      <w:pPr>
        <w:pStyle w:val="4-SubsectionHeading"/>
      </w:pPr>
      <w:bookmarkStart w:id="14" w:name="_Toc22897642"/>
      <w:bookmarkStart w:id="15" w:name="_Toc40710593"/>
      <w:r w:rsidRPr="00E63DF4">
        <w:t>Comparative harms</w:t>
      </w:r>
      <w:bookmarkEnd w:id="14"/>
      <w:bookmarkEnd w:id="15"/>
    </w:p>
    <w:p w:rsidR="000239CD" w:rsidRPr="00E63DF4" w:rsidRDefault="001E0222" w:rsidP="000239CD">
      <w:pPr>
        <w:pStyle w:val="3-BodyText"/>
      </w:pPr>
      <w:r w:rsidRPr="00E63DF4">
        <w:t>A summary of</w:t>
      </w:r>
      <w:r w:rsidR="004F207B" w:rsidRPr="00E63DF4">
        <w:t xml:space="preserve"> the</w:t>
      </w:r>
      <w:r w:rsidRPr="00E63DF4">
        <w:t xml:space="preserve"> key AE</w:t>
      </w:r>
      <w:r w:rsidR="000239CD" w:rsidRPr="00E63DF4">
        <w:t xml:space="preserve"> data is presented in </w:t>
      </w:r>
      <w:r w:rsidR="009F4A79" w:rsidRPr="00E63DF4">
        <w:t>Table 9</w:t>
      </w:r>
      <w:r w:rsidR="000239CD" w:rsidRPr="00E63DF4">
        <w:t xml:space="preserve">. Overall, </w:t>
      </w:r>
      <w:r w:rsidR="004F207B" w:rsidRPr="00E63DF4">
        <w:t xml:space="preserve">the </w:t>
      </w:r>
      <w:r w:rsidR="000239CD" w:rsidRPr="00E63DF4">
        <w:t>majority of the key AEs were not statistically significantly different between Atezo+Bev and sorafenib, with the exception of treatment-related AE (any grade) and treatment-related Grade 3</w:t>
      </w:r>
      <w:r w:rsidR="004B76CE" w:rsidRPr="00E63DF4">
        <w:t>/</w:t>
      </w:r>
      <w:r w:rsidR="000239CD" w:rsidRPr="00E63DF4">
        <w:t>4 AE. A significantly higher proportion of patients in the sorafenib arm (94.2%) experienced at least one treatment-related AE (any grade) compared to patients in the Atezo+Bev arm (83.9%). In addition, sorafenib was associated with a significantly higher rate of treatment-related Grade 3</w:t>
      </w:r>
      <w:r w:rsidR="004325F5" w:rsidRPr="00E63DF4">
        <w:t>/</w:t>
      </w:r>
      <w:r w:rsidR="000239CD" w:rsidRPr="00E63DF4">
        <w:t>4 AE compared to Atezo+Bev (45.5% vs 35.6%, respectively).</w:t>
      </w:r>
    </w:p>
    <w:p w:rsidR="000239CD" w:rsidRPr="00E63DF4" w:rsidRDefault="009F4A79" w:rsidP="00B77E0B">
      <w:pPr>
        <w:pStyle w:val="TableFigureHeading"/>
        <w:keepLines/>
      </w:pPr>
      <w:r w:rsidRPr="00E63DF4">
        <w:lastRenderedPageBreak/>
        <w:t>Table 9</w:t>
      </w:r>
      <w:r w:rsidR="000239CD" w:rsidRPr="00E63DF4">
        <w:t>: Summary of key adverse events in IMbrave150 (Safety Population)</w:t>
      </w:r>
    </w:p>
    <w:tbl>
      <w:tblPr>
        <w:tblStyle w:val="TableGrid"/>
        <w:tblW w:w="5000" w:type="pct"/>
        <w:tblLook w:val="04A0" w:firstRow="1" w:lastRow="0" w:firstColumn="1" w:lastColumn="0" w:noHBand="0" w:noVBand="1"/>
        <w:tblCaption w:val="Table 9: Summary of key adverse events in IMbrave150 (Safety Population)"/>
      </w:tblPr>
      <w:tblGrid>
        <w:gridCol w:w="3253"/>
        <w:gridCol w:w="1242"/>
        <w:gridCol w:w="1087"/>
        <w:gridCol w:w="1709"/>
        <w:gridCol w:w="1181"/>
        <w:gridCol w:w="568"/>
      </w:tblGrid>
      <w:tr w:rsidR="000239CD" w:rsidRPr="00E63DF4" w:rsidTr="00E35EA1">
        <w:trPr>
          <w:trHeight w:val="241"/>
          <w:tblHeader/>
        </w:trPr>
        <w:tc>
          <w:tcPr>
            <w:tcW w:w="1800" w:type="pct"/>
            <w:tcBorders>
              <w:top w:val="single" w:sz="4" w:space="0" w:color="auto"/>
              <w:left w:val="single" w:sz="4" w:space="0" w:color="auto"/>
              <w:bottom w:val="nil"/>
              <w:right w:val="single" w:sz="4" w:space="0" w:color="auto"/>
            </w:tcBorders>
            <w:shd w:val="clear" w:color="auto" w:fill="auto"/>
            <w:hideMark/>
          </w:tcPr>
          <w:p w:rsidR="000239CD" w:rsidRPr="00E63DF4" w:rsidRDefault="000239CD" w:rsidP="00B77E0B">
            <w:pPr>
              <w:pStyle w:val="In-tableHeading"/>
              <w:keepLines/>
              <w:rPr>
                <w:lang w:val="en-AU"/>
              </w:rPr>
            </w:pPr>
          </w:p>
        </w:tc>
        <w:tc>
          <w:tcPr>
            <w:tcW w:w="3200" w:type="pct"/>
            <w:gridSpan w:val="5"/>
            <w:tcBorders>
              <w:top w:val="single" w:sz="4" w:space="0" w:color="auto"/>
              <w:left w:val="single" w:sz="4" w:space="0" w:color="auto"/>
              <w:bottom w:val="single" w:sz="4" w:space="0" w:color="auto"/>
              <w:right w:val="single" w:sz="4" w:space="0" w:color="auto"/>
            </w:tcBorders>
            <w:shd w:val="clear" w:color="auto" w:fill="auto"/>
          </w:tcPr>
          <w:p w:rsidR="000239CD" w:rsidRPr="00E63DF4" w:rsidRDefault="000239CD" w:rsidP="00B77E0B">
            <w:pPr>
              <w:pStyle w:val="In-tableHeading"/>
              <w:keepLines/>
              <w:jc w:val="center"/>
              <w:rPr>
                <w:lang w:val="en-AU"/>
              </w:rPr>
            </w:pPr>
            <w:r w:rsidRPr="00E63DF4">
              <w:rPr>
                <w:lang w:val="en-AU"/>
              </w:rPr>
              <w:t>Safety Population</w:t>
            </w:r>
          </w:p>
        </w:tc>
      </w:tr>
      <w:tr w:rsidR="000239CD" w:rsidRPr="00E63DF4" w:rsidTr="00E35EA1">
        <w:trPr>
          <w:trHeight w:val="482"/>
          <w:tblHeader/>
        </w:trPr>
        <w:tc>
          <w:tcPr>
            <w:tcW w:w="1800" w:type="pct"/>
            <w:tcBorders>
              <w:top w:val="nil"/>
              <w:left w:val="single" w:sz="4" w:space="0" w:color="auto"/>
              <w:bottom w:val="single" w:sz="4" w:space="0" w:color="auto"/>
              <w:right w:val="single" w:sz="4" w:space="0" w:color="auto"/>
            </w:tcBorders>
            <w:shd w:val="clear" w:color="auto" w:fill="auto"/>
          </w:tcPr>
          <w:p w:rsidR="000239CD" w:rsidRPr="00E35EA1" w:rsidRDefault="000239CD" w:rsidP="00B77E0B">
            <w:pPr>
              <w:pStyle w:val="In-tableHeading"/>
              <w:keepLines/>
              <w:rPr>
                <w:szCs w:val="20"/>
                <w:lang w:val="en-AU"/>
              </w:rPr>
            </w:pPr>
            <w:r w:rsidRPr="00E35EA1">
              <w:rPr>
                <w:szCs w:val="20"/>
                <w:lang w:val="en-AU"/>
              </w:rPr>
              <w:t>n (%)</w:t>
            </w:r>
          </w:p>
        </w:tc>
        <w:tc>
          <w:tcPr>
            <w:tcW w:w="687" w:type="pct"/>
            <w:tcBorders>
              <w:top w:val="single" w:sz="4" w:space="0" w:color="auto"/>
              <w:left w:val="single" w:sz="4" w:space="0" w:color="auto"/>
              <w:bottom w:val="single" w:sz="4" w:space="0" w:color="auto"/>
              <w:right w:val="single" w:sz="4" w:space="0" w:color="auto"/>
            </w:tcBorders>
            <w:shd w:val="clear" w:color="auto" w:fill="auto"/>
          </w:tcPr>
          <w:p w:rsidR="000239CD" w:rsidRPr="00E35EA1" w:rsidRDefault="000239CD" w:rsidP="00B77E0B">
            <w:pPr>
              <w:pStyle w:val="In-tableHeading"/>
              <w:keepLines/>
              <w:jc w:val="center"/>
              <w:rPr>
                <w:szCs w:val="20"/>
                <w:lang w:val="en-AU"/>
              </w:rPr>
            </w:pPr>
            <w:r w:rsidRPr="00E35EA1">
              <w:rPr>
                <w:szCs w:val="20"/>
                <w:lang w:val="en-AU"/>
              </w:rPr>
              <w:t>Atezo+Bev</w:t>
            </w:r>
          </w:p>
          <w:p w:rsidR="000239CD" w:rsidRPr="00E35EA1" w:rsidRDefault="000239CD" w:rsidP="00B77E0B">
            <w:pPr>
              <w:pStyle w:val="In-tableHeading"/>
              <w:keepLines/>
              <w:jc w:val="center"/>
              <w:rPr>
                <w:szCs w:val="20"/>
                <w:lang w:val="en-AU"/>
              </w:rPr>
            </w:pPr>
            <w:r w:rsidRPr="00E35EA1">
              <w:rPr>
                <w:szCs w:val="20"/>
                <w:lang w:val="en-AU"/>
              </w:rPr>
              <w:t>N = 329</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239CD" w:rsidRPr="00E35EA1" w:rsidRDefault="000239CD" w:rsidP="00B77E0B">
            <w:pPr>
              <w:pStyle w:val="In-tableHeading"/>
              <w:keepLines/>
              <w:jc w:val="center"/>
              <w:rPr>
                <w:szCs w:val="20"/>
                <w:lang w:val="en-AU"/>
              </w:rPr>
            </w:pPr>
            <w:r w:rsidRPr="00E35EA1">
              <w:rPr>
                <w:szCs w:val="20"/>
                <w:lang w:val="en-AU"/>
              </w:rPr>
              <w:t>Sorafenib</w:t>
            </w:r>
          </w:p>
          <w:p w:rsidR="000239CD" w:rsidRPr="00E35EA1" w:rsidRDefault="000239CD" w:rsidP="00B77E0B">
            <w:pPr>
              <w:pStyle w:val="In-tableHeading"/>
              <w:keepLines/>
              <w:jc w:val="center"/>
              <w:rPr>
                <w:szCs w:val="20"/>
                <w:lang w:val="en-AU"/>
              </w:rPr>
            </w:pPr>
            <w:r w:rsidRPr="00E35EA1">
              <w:rPr>
                <w:szCs w:val="20"/>
                <w:lang w:val="en-AU"/>
              </w:rPr>
              <w:t>N = 156</w:t>
            </w:r>
          </w:p>
        </w:tc>
        <w:tc>
          <w:tcPr>
            <w:tcW w:w="945" w:type="pct"/>
            <w:tcBorders>
              <w:top w:val="single" w:sz="4" w:space="0" w:color="auto"/>
              <w:left w:val="single" w:sz="4" w:space="0" w:color="auto"/>
              <w:bottom w:val="single" w:sz="4" w:space="0" w:color="auto"/>
              <w:right w:val="single" w:sz="4" w:space="0" w:color="auto"/>
            </w:tcBorders>
            <w:shd w:val="clear" w:color="auto" w:fill="auto"/>
          </w:tcPr>
          <w:p w:rsidR="000239CD" w:rsidRPr="00E35EA1" w:rsidRDefault="000239CD" w:rsidP="00B77E0B">
            <w:pPr>
              <w:pStyle w:val="In-tableHeading"/>
              <w:keepLines/>
              <w:jc w:val="center"/>
              <w:rPr>
                <w:szCs w:val="20"/>
                <w:lang w:val="en-AU"/>
              </w:rPr>
            </w:pPr>
            <w:r w:rsidRPr="00E35EA1">
              <w:rPr>
                <w:szCs w:val="20"/>
                <w:lang w:val="en-AU"/>
              </w:rPr>
              <w:t>RR</w:t>
            </w:r>
          </w:p>
          <w:p w:rsidR="000239CD" w:rsidRPr="00E35EA1" w:rsidRDefault="000239CD" w:rsidP="00B77E0B">
            <w:pPr>
              <w:pStyle w:val="In-tableHeading"/>
              <w:keepLines/>
              <w:jc w:val="center"/>
              <w:rPr>
                <w:szCs w:val="20"/>
                <w:lang w:val="en-AU"/>
              </w:rPr>
            </w:pPr>
            <w:r w:rsidRPr="00E35EA1">
              <w:rPr>
                <w:szCs w:val="20"/>
                <w:lang w:val="en-AU"/>
              </w:rPr>
              <w:t>(95% CI)</w:t>
            </w:r>
          </w:p>
        </w:tc>
        <w:tc>
          <w:tcPr>
            <w:tcW w:w="968" w:type="pct"/>
            <w:gridSpan w:val="2"/>
            <w:tcBorders>
              <w:top w:val="single" w:sz="4" w:space="0" w:color="auto"/>
              <w:left w:val="single" w:sz="4" w:space="0" w:color="auto"/>
              <w:bottom w:val="single" w:sz="4" w:space="0" w:color="auto"/>
              <w:right w:val="single" w:sz="4" w:space="0" w:color="auto"/>
            </w:tcBorders>
            <w:shd w:val="clear" w:color="auto" w:fill="auto"/>
          </w:tcPr>
          <w:p w:rsidR="000239CD" w:rsidRPr="00E35EA1" w:rsidRDefault="000239CD" w:rsidP="00B77E0B">
            <w:pPr>
              <w:pStyle w:val="In-tableHeading"/>
              <w:keepLines/>
              <w:jc w:val="center"/>
              <w:rPr>
                <w:szCs w:val="20"/>
                <w:lang w:val="en-AU"/>
              </w:rPr>
            </w:pPr>
            <w:r w:rsidRPr="00E35EA1">
              <w:rPr>
                <w:szCs w:val="20"/>
                <w:lang w:val="en-AU"/>
              </w:rPr>
              <w:t>RD</w:t>
            </w:r>
          </w:p>
          <w:p w:rsidR="000239CD" w:rsidRPr="00E35EA1" w:rsidRDefault="000239CD" w:rsidP="00B77E0B">
            <w:pPr>
              <w:pStyle w:val="In-tableHeading"/>
              <w:keepLines/>
              <w:jc w:val="center"/>
              <w:rPr>
                <w:szCs w:val="20"/>
                <w:lang w:val="en-AU"/>
              </w:rPr>
            </w:pPr>
            <w:r w:rsidRPr="00E35EA1">
              <w:rPr>
                <w:szCs w:val="20"/>
                <w:lang w:val="en-AU"/>
              </w:rPr>
              <w:t>(95% CI)</w:t>
            </w:r>
          </w:p>
        </w:tc>
      </w:tr>
      <w:tr w:rsidR="000239CD" w:rsidRPr="00E63DF4" w:rsidTr="00E35EA1">
        <w:trPr>
          <w:trHeight w:val="241"/>
        </w:trPr>
        <w:tc>
          <w:tcPr>
            <w:tcW w:w="1800" w:type="pct"/>
            <w:tcBorders>
              <w:top w:val="single" w:sz="4" w:space="0" w:color="auto"/>
              <w:left w:val="single" w:sz="4" w:space="0" w:color="auto"/>
              <w:bottom w:val="single" w:sz="4" w:space="0" w:color="auto"/>
              <w:right w:val="nil"/>
            </w:tcBorders>
            <w:shd w:val="clear" w:color="auto" w:fill="auto"/>
            <w:hideMark/>
          </w:tcPr>
          <w:p w:rsidR="000239CD" w:rsidRPr="00E35EA1" w:rsidRDefault="000239CD" w:rsidP="00B77E0B">
            <w:pPr>
              <w:pStyle w:val="TableText0"/>
              <w:keepLines/>
              <w:rPr>
                <w:b/>
                <w:szCs w:val="20"/>
              </w:rPr>
            </w:pPr>
            <w:r w:rsidRPr="00E35EA1">
              <w:rPr>
                <w:b/>
                <w:szCs w:val="20"/>
              </w:rPr>
              <w:t>All causality</w:t>
            </w:r>
          </w:p>
        </w:tc>
        <w:tc>
          <w:tcPr>
            <w:tcW w:w="687" w:type="pct"/>
            <w:tcBorders>
              <w:top w:val="single" w:sz="4" w:space="0" w:color="auto"/>
              <w:left w:val="nil"/>
              <w:bottom w:val="single" w:sz="4" w:space="0" w:color="auto"/>
              <w:right w:val="nil"/>
            </w:tcBorders>
            <w:shd w:val="clear" w:color="auto" w:fill="auto"/>
          </w:tcPr>
          <w:p w:rsidR="000239CD" w:rsidRPr="00E35EA1" w:rsidRDefault="000239CD" w:rsidP="00B77E0B">
            <w:pPr>
              <w:pStyle w:val="TableText0"/>
              <w:keepLines/>
              <w:rPr>
                <w:szCs w:val="20"/>
              </w:rPr>
            </w:pPr>
          </w:p>
        </w:tc>
        <w:tc>
          <w:tcPr>
            <w:tcW w:w="601" w:type="pct"/>
            <w:tcBorders>
              <w:top w:val="single" w:sz="4" w:space="0" w:color="auto"/>
              <w:left w:val="nil"/>
              <w:bottom w:val="single" w:sz="4" w:space="0" w:color="auto"/>
              <w:right w:val="nil"/>
            </w:tcBorders>
            <w:shd w:val="clear" w:color="auto" w:fill="auto"/>
          </w:tcPr>
          <w:p w:rsidR="000239CD" w:rsidRPr="00E35EA1" w:rsidRDefault="000239CD" w:rsidP="00B77E0B">
            <w:pPr>
              <w:pStyle w:val="TableText0"/>
              <w:keepLines/>
              <w:rPr>
                <w:szCs w:val="20"/>
              </w:rPr>
            </w:pPr>
          </w:p>
        </w:tc>
        <w:tc>
          <w:tcPr>
            <w:tcW w:w="945" w:type="pct"/>
            <w:tcBorders>
              <w:top w:val="single" w:sz="4" w:space="0" w:color="auto"/>
              <w:left w:val="nil"/>
              <w:bottom w:val="single" w:sz="4" w:space="0" w:color="auto"/>
              <w:right w:val="nil"/>
            </w:tcBorders>
            <w:shd w:val="clear" w:color="auto" w:fill="auto"/>
          </w:tcPr>
          <w:p w:rsidR="000239CD" w:rsidRPr="00E35EA1" w:rsidRDefault="000239CD" w:rsidP="00B77E0B">
            <w:pPr>
              <w:pStyle w:val="TableText0"/>
              <w:keepLines/>
              <w:rPr>
                <w:szCs w:val="20"/>
              </w:rPr>
            </w:pPr>
          </w:p>
        </w:tc>
        <w:tc>
          <w:tcPr>
            <w:tcW w:w="653" w:type="pct"/>
            <w:tcBorders>
              <w:top w:val="single" w:sz="4" w:space="0" w:color="auto"/>
              <w:left w:val="nil"/>
              <w:bottom w:val="single" w:sz="4" w:space="0" w:color="auto"/>
              <w:right w:val="nil"/>
            </w:tcBorders>
            <w:shd w:val="clear" w:color="auto" w:fill="auto"/>
          </w:tcPr>
          <w:p w:rsidR="000239CD" w:rsidRPr="00E35EA1" w:rsidRDefault="000239CD" w:rsidP="00B77E0B">
            <w:pPr>
              <w:pStyle w:val="TableText0"/>
              <w:keepLines/>
              <w:rPr>
                <w:szCs w:val="20"/>
              </w:rPr>
            </w:pPr>
          </w:p>
        </w:tc>
        <w:tc>
          <w:tcPr>
            <w:tcW w:w="315" w:type="pct"/>
            <w:tcBorders>
              <w:top w:val="single" w:sz="4" w:space="0" w:color="auto"/>
              <w:left w:val="nil"/>
              <w:bottom w:val="single" w:sz="4" w:space="0" w:color="auto"/>
              <w:right w:val="single" w:sz="4" w:space="0" w:color="auto"/>
            </w:tcBorders>
            <w:shd w:val="clear" w:color="auto" w:fill="auto"/>
          </w:tcPr>
          <w:p w:rsidR="000239CD" w:rsidRPr="00E35EA1" w:rsidRDefault="000239CD" w:rsidP="00B77E0B">
            <w:pPr>
              <w:pStyle w:val="TableText0"/>
              <w:keepLines/>
              <w:rPr>
                <w:szCs w:val="20"/>
              </w:rPr>
            </w:pPr>
          </w:p>
        </w:tc>
      </w:tr>
      <w:tr w:rsidR="000239CD" w:rsidRPr="00E63DF4" w:rsidTr="00E35EA1">
        <w:trPr>
          <w:trHeight w:val="241"/>
        </w:trPr>
        <w:tc>
          <w:tcPr>
            <w:tcW w:w="1800" w:type="pct"/>
            <w:tcBorders>
              <w:top w:val="single" w:sz="4" w:space="0" w:color="auto"/>
              <w:left w:val="single" w:sz="4" w:space="0" w:color="auto"/>
              <w:bottom w:val="single" w:sz="4" w:space="0" w:color="auto"/>
              <w:right w:val="single" w:sz="4" w:space="0" w:color="auto"/>
            </w:tcBorders>
            <w:shd w:val="clear" w:color="auto" w:fill="auto"/>
            <w:hideMark/>
          </w:tcPr>
          <w:p w:rsidR="000239CD" w:rsidRPr="00E35EA1" w:rsidRDefault="000239CD" w:rsidP="00B77E0B">
            <w:pPr>
              <w:pStyle w:val="TableText0"/>
              <w:keepLines/>
              <w:rPr>
                <w:szCs w:val="20"/>
              </w:rPr>
            </w:pPr>
            <w:r w:rsidRPr="00E35EA1">
              <w:rPr>
                <w:szCs w:val="20"/>
              </w:rPr>
              <w:t>At least one AE</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323 (98.2)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154 (98.7)</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0.99 (0.97, 1.02)</w:t>
            </w:r>
          </w:p>
        </w:tc>
        <w:tc>
          <w:tcPr>
            <w:tcW w:w="9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-0.01 (-0.03, 0.02)</w:t>
            </w:r>
          </w:p>
        </w:tc>
      </w:tr>
      <w:tr w:rsidR="000239CD" w:rsidRPr="00E63DF4" w:rsidTr="00E35EA1">
        <w:trPr>
          <w:trHeight w:val="241"/>
        </w:trPr>
        <w:tc>
          <w:tcPr>
            <w:tcW w:w="1800" w:type="pct"/>
            <w:tcBorders>
              <w:top w:val="single" w:sz="4" w:space="0" w:color="auto"/>
              <w:left w:val="single" w:sz="4" w:space="0" w:color="auto"/>
              <w:bottom w:val="single" w:sz="4" w:space="0" w:color="auto"/>
              <w:right w:val="single" w:sz="4" w:space="0" w:color="auto"/>
            </w:tcBorders>
            <w:shd w:val="clear" w:color="auto" w:fill="auto"/>
            <w:hideMark/>
          </w:tcPr>
          <w:p w:rsidR="000239CD" w:rsidRPr="00E35EA1" w:rsidRDefault="000239CD" w:rsidP="00B77E0B">
            <w:pPr>
              <w:pStyle w:val="TableText0"/>
              <w:keepLines/>
              <w:rPr>
                <w:szCs w:val="20"/>
              </w:rPr>
            </w:pPr>
            <w:r w:rsidRPr="00E35EA1">
              <w:rPr>
                <w:szCs w:val="20"/>
              </w:rPr>
              <w:t>Grade 3/4 AE</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186 (56.5)</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86 (55.1)</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1.03 (0.86, 1.22)</w:t>
            </w:r>
          </w:p>
        </w:tc>
        <w:tc>
          <w:tcPr>
            <w:tcW w:w="9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0.01 (-0.08, 0.11)</w:t>
            </w:r>
          </w:p>
        </w:tc>
      </w:tr>
      <w:tr w:rsidR="000239CD" w:rsidRPr="00E63DF4" w:rsidTr="00E35EA1">
        <w:trPr>
          <w:trHeight w:val="241"/>
        </w:trPr>
        <w:tc>
          <w:tcPr>
            <w:tcW w:w="1800" w:type="pct"/>
            <w:tcBorders>
              <w:top w:val="single" w:sz="4" w:space="0" w:color="auto"/>
              <w:left w:val="single" w:sz="4" w:space="0" w:color="auto"/>
              <w:bottom w:val="single" w:sz="4" w:space="0" w:color="auto"/>
              <w:right w:val="single" w:sz="4" w:space="0" w:color="auto"/>
            </w:tcBorders>
            <w:shd w:val="clear" w:color="auto" w:fill="auto"/>
            <w:hideMark/>
          </w:tcPr>
          <w:p w:rsidR="000239CD" w:rsidRPr="00E35EA1" w:rsidRDefault="000239CD" w:rsidP="00B77E0B">
            <w:pPr>
              <w:pStyle w:val="TableText0"/>
              <w:keepLines/>
              <w:rPr>
                <w:szCs w:val="20"/>
              </w:rPr>
            </w:pPr>
            <w:r w:rsidRPr="00E35EA1">
              <w:rPr>
                <w:szCs w:val="20"/>
              </w:rPr>
              <w:t xml:space="preserve">Grade 5 AE </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15 (</w:t>
            </w:r>
            <w:r w:rsidRPr="00E35EA1">
              <w:rPr>
                <w:iCs/>
                <w:szCs w:val="20"/>
              </w:rPr>
              <w:t>4.6^</w:t>
            </w:r>
            <w:r w:rsidRPr="00E35EA1">
              <w:rPr>
                <w:szCs w:val="20"/>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9 (5.8)</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0.79 (0.35, 1.77)</w:t>
            </w:r>
          </w:p>
        </w:tc>
        <w:tc>
          <w:tcPr>
            <w:tcW w:w="9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-0.01 (-0.06, 0.03)</w:t>
            </w:r>
          </w:p>
        </w:tc>
      </w:tr>
      <w:tr w:rsidR="000239CD" w:rsidRPr="00E63DF4" w:rsidTr="00E35EA1">
        <w:trPr>
          <w:trHeight w:val="241"/>
        </w:trPr>
        <w:tc>
          <w:tcPr>
            <w:tcW w:w="1800" w:type="pct"/>
            <w:tcBorders>
              <w:top w:val="single" w:sz="4" w:space="0" w:color="auto"/>
              <w:left w:val="single" w:sz="4" w:space="0" w:color="auto"/>
              <w:bottom w:val="single" w:sz="4" w:space="0" w:color="auto"/>
              <w:right w:val="single" w:sz="4" w:space="0" w:color="auto"/>
            </w:tcBorders>
            <w:shd w:val="clear" w:color="auto" w:fill="auto"/>
            <w:hideMark/>
          </w:tcPr>
          <w:p w:rsidR="000239CD" w:rsidRPr="00E35EA1" w:rsidRDefault="000239CD" w:rsidP="00B77E0B">
            <w:pPr>
              <w:pStyle w:val="TableText0"/>
              <w:keepLines/>
              <w:rPr>
                <w:szCs w:val="20"/>
              </w:rPr>
            </w:pPr>
            <w:r w:rsidRPr="00E35EA1">
              <w:rPr>
                <w:szCs w:val="20"/>
              </w:rPr>
              <w:t xml:space="preserve">Serious AE </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125 (38.0)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48 (30.8)</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1.23 (0.94, 1.62)</w:t>
            </w:r>
          </w:p>
        </w:tc>
        <w:tc>
          <w:tcPr>
            <w:tcW w:w="9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0.07 (-0.02, 0.16)</w:t>
            </w:r>
          </w:p>
        </w:tc>
      </w:tr>
      <w:tr w:rsidR="000239CD" w:rsidRPr="00E63DF4" w:rsidTr="00E35EA1">
        <w:trPr>
          <w:trHeight w:val="223"/>
        </w:trPr>
        <w:tc>
          <w:tcPr>
            <w:tcW w:w="1800" w:type="pct"/>
            <w:tcBorders>
              <w:top w:val="single" w:sz="4" w:space="0" w:color="auto"/>
              <w:left w:val="single" w:sz="4" w:space="0" w:color="auto"/>
              <w:bottom w:val="single" w:sz="4" w:space="0" w:color="auto"/>
              <w:right w:val="single" w:sz="4" w:space="0" w:color="auto"/>
            </w:tcBorders>
            <w:shd w:val="clear" w:color="auto" w:fill="auto"/>
          </w:tcPr>
          <w:p w:rsidR="000239CD" w:rsidRPr="00E35EA1" w:rsidRDefault="000239CD" w:rsidP="00B77E0B">
            <w:pPr>
              <w:pStyle w:val="TableText0"/>
              <w:keepLines/>
              <w:rPr>
                <w:szCs w:val="20"/>
              </w:rPr>
            </w:pPr>
            <w:r w:rsidRPr="00E35EA1">
              <w:rPr>
                <w:szCs w:val="20"/>
              </w:rPr>
              <w:t>AE leading to treatment discontinuation from any study treatment</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51 (15.5)</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16 (</w:t>
            </w:r>
            <w:r w:rsidRPr="00E35EA1">
              <w:rPr>
                <w:iCs/>
                <w:szCs w:val="20"/>
              </w:rPr>
              <w:t>10.3^</w:t>
            </w:r>
            <w:r w:rsidRPr="00E35EA1">
              <w:rPr>
                <w:szCs w:val="20"/>
              </w:rPr>
              <w:t>)</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1.51 (0.89, 2.56)</w:t>
            </w:r>
          </w:p>
        </w:tc>
        <w:tc>
          <w:tcPr>
            <w:tcW w:w="9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0.05 (-0.01, 0.11)</w:t>
            </w:r>
          </w:p>
        </w:tc>
      </w:tr>
      <w:tr w:rsidR="000239CD" w:rsidRPr="00E63DF4" w:rsidTr="00E35EA1">
        <w:trPr>
          <w:trHeight w:val="241"/>
        </w:trPr>
        <w:tc>
          <w:tcPr>
            <w:tcW w:w="1800" w:type="pct"/>
            <w:tcBorders>
              <w:top w:val="single" w:sz="4" w:space="0" w:color="auto"/>
              <w:left w:val="single" w:sz="4" w:space="0" w:color="auto"/>
              <w:bottom w:val="single" w:sz="4" w:space="0" w:color="auto"/>
              <w:right w:val="single" w:sz="4" w:space="0" w:color="auto"/>
            </w:tcBorders>
            <w:shd w:val="clear" w:color="auto" w:fill="auto"/>
          </w:tcPr>
          <w:p w:rsidR="000239CD" w:rsidRPr="00E35EA1" w:rsidRDefault="004178CA" w:rsidP="004178CA">
            <w:pPr>
              <w:pStyle w:val="TableText0"/>
              <w:keepLines/>
              <w:rPr>
                <w:szCs w:val="20"/>
              </w:rPr>
            </w:pPr>
            <w:r>
              <w:rPr>
                <w:szCs w:val="20"/>
              </w:rPr>
              <w:t xml:space="preserve">     </w:t>
            </w:r>
            <w:r w:rsidR="000239CD" w:rsidRPr="00E35EA1">
              <w:rPr>
                <w:szCs w:val="20"/>
              </w:rPr>
              <w:t>discontinuation from atezolizumab</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28 (8.5)</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w:t>
            </w:r>
          </w:p>
        </w:tc>
        <w:tc>
          <w:tcPr>
            <w:tcW w:w="9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w:t>
            </w:r>
          </w:p>
        </w:tc>
      </w:tr>
      <w:tr w:rsidR="000239CD" w:rsidRPr="00E63DF4" w:rsidTr="00E35EA1">
        <w:trPr>
          <w:trHeight w:val="241"/>
        </w:trPr>
        <w:tc>
          <w:tcPr>
            <w:tcW w:w="1800" w:type="pct"/>
            <w:tcBorders>
              <w:top w:val="single" w:sz="4" w:space="0" w:color="auto"/>
              <w:left w:val="single" w:sz="4" w:space="0" w:color="auto"/>
              <w:bottom w:val="single" w:sz="4" w:space="0" w:color="auto"/>
              <w:right w:val="single" w:sz="4" w:space="0" w:color="auto"/>
            </w:tcBorders>
            <w:shd w:val="clear" w:color="auto" w:fill="auto"/>
          </w:tcPr>
          <w:p w:rsidR="000239CD" w:rsidRPr="00E35EA1" w:rsidRDefault="000239CD" w:rsidP="00B77E0B">
            <w:pPr>
              <w:pStyle w:val="TableText0"/>
              <w:keepLines/>
              <w:rPr>
                <w:szCs w:val="20"/>
              </w:rPr>
            </w:pPr>
            <w:r w:rsidRPr="00E35EA1">
              <w:rPr>
                <w:szCs w:val="20"/>
              </w:rPr>
              <w:t xml:space="preserve">     discontinuation from bevacizumab</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48 (14.6)</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w:t>
            </w:r>
          </w:p>
        </w:tc>
        <w:tc>
          <w:tcPr>
            <w:tcW w:w="9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w:t>
            </w:r>
          </w:p>
        </w:tc>
      </w:tr>
      <w:tr w:rsidR="000239CD" w:rsidRPr="00E63DF4" w:rsidTr="00E35EA1">
        <w:trPr>
          <w:trHeight w:val="241"/>
        </w:trPr>
        <w:tc>
          <w:tcPr>
            <w:tcW w:w="1800" w:type="pct"/>
            <w:tcBorders>
              <w:top w:val="single" w:sz="4" w:space="0" w:color="auto"/>
              <w:left w:val="single" w:sz="4" w:space="0" w:color="auto"/>
              <w:bottom w:val="single" w:sz="4" w:space="0" w:color="auto"/>
              <w:right w:val="single" w:sz="4" w:space="0" w:color="auto"/>
            </w:tcBorders>
            <w:shd w:val="clear" w:color="auto" w:fill="auto"/>
          </w:tcPr>
          <w:p w:rsidR="000239CD" w:rsidRPr="00E35EA1" w:rsidRDefault="000239CD" w:rsidP="00B77E0B">
            <w:pPr>
              <w:pStyle w:val="TableText0"/>
              <w:keepLines/>
              <w:rPr>
                <w:szCs w:val="20"/>
              </w:rPr>
            </w:pPr>
            <w:r w:rsidRPr="00E35EA1">
              <w:rPr>
                <w:szCs w:val="20"/>
              </w:rPr>
              <w:t xml:space="preserve">     discontinuation from Atezo+Bev</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23 (7.0)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w:t>
            </w:r>
          </w:p>
        </w:tc>
        <w:tc>
          <w:tcPr>
            <w:tcW w:w="9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w:t>
            </w:r>
          </w:p>
        </w:tc>
      </w:tr>
      <w:tr w:rsidR="000239CD" w:rsidRPr="00E63DF4" w:rsidTr="00E35EA1">
        <w:trPr>
          <w:trHeight w:val="241"/>
        </w:trPr>
        <w:tc>
          <w:tcPr>
            <w:tcW w:w="1800" w:type="pct"/>
            <w:tcBorders>
              <w:top w:val="single" w:sz="4" w:space="0" w:color="auto"/>
              <w:left w:val="single" w:sz="4" w:space="0" w:color="auto"/>
              <w:bottom w:val="single" w:sz="4" w:space="0" w:color="auto"/>
              <w:right w:val="single" w:sz="4" w:space="0" w:color="auto"/>
            </w:tcBorders>
            <w:shd w:val="clear" w:color="auto" w:fill="auto"/>
          </w:tcPr>
          <w:p w:rsidR="000239CD" w:rsidRPr="00E35EA1" w:rsidRDefault="000239CD" w:rsidP="00B77E0B">
            <w:pPr>
              <w:pStyle w:val="TableText0"/>
              <w:keepLines/>
              <w:rPr>
                <w:szCs w:val="20"/>
              </w:rPr>
            </w:pPr>
            <w:r w:rsidRPr="00E35EA1">
              <w:rPr>
                <w:szCs w:val="20"/>
              </w:rPr>
              <w:t>AE leading to dose interruption of any study treatment</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163 (49.5)</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64 (41.0)</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szCs w:val="20"/>
              </w:rPr>
              <w:t>1.21 (0.97, 1.50)</w:t>
            </w:r>
          </w:p>
        </w:tc>
        <w:tc>
          <w:tcPr>
            <w:tcW w:w="968" w:type="pct"/>
            <w:gridSpan w:val="2"/>
            <w:tcBorders>
              <w:top w:val="single" w:sz="4" w:space="0" w:color="auto"/>
              <w:left w:val="nil"/>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szCs w:val="20"/>
              </w:rPr>
              <w:t>0.09 (-0.01, 0.18)</w:t>
            </w:r>
          </w:p>
        </w:tc>
      </w:tr>
      <w:tr w:rsidR="000239CD" w:rsidRPr="00E63DF4" w:rsidTr="00E35EA1">
        <w:trPr>
          <w:trHeight w:val="24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0239CD" w:rsidRPr="00E35EA1" w:rsidRDefault="000239CD" w:rsidP="00B77E0B">
            <w:pPr>
              <w:pStyle w:val="TableText0"/>
              <w:keepLines/>
              <w:rPr>
                <w:b/>
                <w:szCs w:val="20"/>
              </w:rPr>
            </w:pPr>
            <w:r w:rsidRPr="00E35EA1">
              <w:rPr>
                <w:b/>
                <w:szCs w:val="20"/>
              </w:rPr>
              <w:t>Treatment-related</w:t>
            </w:r>
          </w:p>
        </w:tc>
      </w:tr>
      <w:tr w:rsidR="000239CD" w:rsidRPr="00E63DF4" w:rsidTr="00E35EA1">
        <w:trPr>
          <w:trHeight w:val="241"/>
        </w:trPr>
        <w:tc>
          <w:tcPr>
            <w:tcW w:w="1800" w:type="pct"/>
            <w:tcBorders>
              <w:top w:val="single" w:sz="4" w:space="0" w:color="auto"/>
              <w:left w:val="single" w:sz="4" w:space="0" w:color="auto"/>
              <w:bottom w:val="single" w:sz="4" w:space="0" w:color="auto"/>
              <w:right w:val="single" w:sz="4" w:space="0" w:color="auto"/>
            </w:tcBorders>
            <w:shd w:val="clear" w:color="auto" w:fill="auto"/>
          </w:tcPr>
          <w:p w:rsidR="000239CD" w:rsidRPr="00E35EA1" w:rsidRDefault="000239CD" w:rsidP="00B77E0B">
            <w:pPr>
              <w:pStyle w:val="TableText0"/>
              <w:keepLines/>
              <w:rPr>
                <w:szCs w:val="20"/>
              </w:rPr>
            </w:pPr>
            <w:r w:rsidRPr="00E35EA1">
              <w:rPr>
                <w:szCs w:val="20"/>
              </w:rPr>
              <w:t>At least one AE</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276 (83.9)</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147 (94.2)</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b/>
                <w:iCs/>
                <w:szCs w:val="20"/>
              </w:rPr>
            </w:pPr>
            <w:r w:rsidRPr="00E35EA1">
              <w:rPr>
                <w:b/>
                <w:iCs/>
                <w:szCs w:val="20"/>
              </w:rPr>
              <w:t>0.89 (0.84, 0.95)</w:t>
            </w:r>
          </w:p>
        </w:tc>
        <w:tc>
          <w:tcPr>
            <w:tcW w:w="9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b/>
                <w:iCs/>
                <w:szCs w:val="20"/>
              </w:rPr>
            </w:pPr>
            <w:r w:rsidRPr="00E35EA1">
              <w:rPr>
                <w:b/>
                <w:iCs/>
                <w:szCs w:val="20"/>
              </w:rPr>
              <w:t>-0.10 (-0.16, -0.05)</w:t>
            </w:r>
          </w:p>
        </w:tc>
      </w:tr>
      <w:tr w:rsidR="000239CD" w:rsidRPr="00E63DF4" w:rsidTr="00E35EA1">
        <w:trPr>
          <w:trHeight w:val="241"/>
        </w:trPr>
        <w:tc>
          <w:tcPr>
            <w:tcW w:w="1800" w:type="pct"/>
            <w:tcBorders>
              <w:top w:val="single" w:sz="4" w:space="0" w:color="auto"/>
              <w:left w:val="single" w:sz="4" w:space="0" w:color="auto"/>
              <w:bottom w:val="single" w:sz="4" w:space="0" w:color="auto"/>
              <w:right w:val="single" w:sz="4" w:space="0" w:color="auto"/>
            </w:tcBorders>
            <w:shd w:val="clear" w:color="auto" w:fill="auto"/>
          </w:tcPr>
          <w:p w:rsidR="000239CD" w:rsidRPr="00E35EA1" w:rsidRDefault="000239CD" w:rsidP="00B77E0B">
            <w:pPr>
              <w:pStyle w:val="TableText0"/>
              <w:keepLines/>
              <w:rPr>
                <w:szCs w:val="20"/>
              </w:rPr>
            </w:pPr>
            <w:r w:rsidRPr="00E35EA1">
              <w:rPr>
                <w:szCs w:val="20"/>
              </w:rPr>
              <w:t xml:space="preserve">     related to atezolizumab</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252 (76.6)</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w:t>
            </w:r>
          </w:p>
        </w:tc>
        <w:tc>
          <w:tcPr>
            <w:tcW w:w="9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w:t>
            </w:r>
          </w:p>
        </w:tc>
      </w:tr>
      <w:tr w:rsidR="000239CD" w:rsidRPr="00E63DF4" w:rsidTr="00E35EA1">
        <w:trPr>
          <w:trHeight w:val="241"/>
        </w:trPr>
        <w:tc>
          <w:tcPr>
            <w:tcW w:w="1800" w:type="pct"/>
            <w:tcBorders>
              <w:top w:val="single" w:sz="4" w:space="0" w:color="auto"/>
              <w:left w:val="single" w:sz="4" w:space="0" w:color="auto"/>
              <w:bottom w:val="single" w:sz="4" w:space="0" w:color="auto"/>
              <w:right w:val="single" w:sz="4" w:space="0" w:color="auto"/>
            </w:tcBorders>
            <w:shd w:val="clear" w:color="auto" w:fill="auto"/>
          </w:tcPr>
          <w:p w:rsidR="000239CD" w:rsidRPr="00E35EA1" w:rsidRDefault="000239CD" w:rsidP="00B77E0B">
            <w:pPr>
              <w:pStyle w:val="TableText0"/>
              <w:keepLines/>
              <w:rPr>
                <w:szCs w:val="20"/>
              </w:rPr>
            </w:pPr>
            <w:r w:rsidRPr="00E35EA1">
              <w:rPr>
                <w:szCs w:val="20"/>
              </w:rPr>
              <w:t xml:space="preserve">     related to bevacizumab</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241 (73.3)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w:t>
            </w:r>
          </w:p>
        </w:tc>
        <w:tc>
          <w:tcPr>
            <w:tcW w:w="9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w:t>
            </w:r>
          </w:p>
        </w:tc>
      </w:tr>
      <w:tr w:rsidR="000239CD" w:rsidRPr="00E63DF4" w:rsidTr="00E35EA1">
        <w:trPr>
          <w:trHeight w:val="241"/>
        </w:trPr>
        <w:tc>
          <w:tcPr>
            <w:tcW w:w="1800" w:type="pct"/>
            <w:tcBorders>
              <w:top w:val="single" w:sz="4" w:space="0" w:color="auto"/>
              <w:left w:val="single" w:sz="4" w:space="0" w:color="auto"/>
              <w:bottom w:val="single" w:sz="4" w:space="0" w:color="auto"/>
              <w:right w:val="single" w:sz="4" w:space="0" w:color="auto"/>
            </w:tcBorders>
            <w:shd w:val="clear" w:color="auto" w:fill="auto"/>
          </w:tcPr>
          <w:p w:rsidR="000239CD" w:rsidRPr="00E35EA1" w:rsidRDefault="000239CD" w:rsidP="00B77E0B">
            <w:pPr>
              <w:pStyle w:val="TableText0"/>
              <w:keepLines/>
              <w:rPr>
                <w:szCs w:val="20"/>
              </w:rPr>
            </w:pPr>
            <w:r w:rsidRPr="00E35EA1">
              <w:rPr>
                <w:szCs w:val="20"/>
              </w:rPr>
              <w:t>Grade 3/4 AE</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117 (35.6)</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71 (45.5)</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b/>
                <w:iCs/>
                <w:szCs w:val="20"/>
              </w:rPr>
            </w:pPr>
            <w:r w:rsidRPr="00E35EA1">
              <w:rPr>
                <w:b/>
                <w:iCs/>
                <w:szCs w:val="20"/>
              </w:rPr>
              <w:t>0.78 (0.62, 0.98)</w:t>
            </w:r>
          </w:p>
        </w:tc>
        <w:tc>
          <w:tcPr>
            <w:tcW w:w="9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b/>
                <w:iCs/>
                <w:szCs w:val="20"/>
              </w:rPr>
            </w:pPr>
            <w:r w:rsidRPr="00E35EA1">
              <w:rPr>
                <w:b/>
                <w:iCs/>
                <w:szCs w:val="20"/>
              </w:rPr>
              <w:t>-0.10 (-0.19, -0.01)</w:t>
            </w:r>
          </w:p>
        </w:tc>
      </w:tr>
      <w:tr w:rsidR="000239CD" w:rsidRPr="00E63DF4" w:rsidTr="00E35EA1">
        <w:trPr>
          <w:trHeight w:val="241"/>
        </w:trPr>
        <w:tc>
          <w:tcPr>
            <w:tcW w:w="1800" w:type="pct"/>
            <w:tcBorders>
              <w:top w:val="single" w:sz="4" w:space="0" w:color="auto"/>
              <w:left w:val="single" w:sz="4" w:space="0" w:color="auto"/>
              <w:bottom w:val="single" w:sz="4" w:space="0" w:color="auto"/>
              <w:right w:val="single" w:sz="4" w:space="0" w:color="auto"/>
            </w:tcBorders>
            <w:shd w:val="clear" w:color="auto" w:fill="auto"/>
          </w:tcPr>
          <w:p w:rsidR="000239CD" w:rsidRPr="00E35EA1" w:rsidRDefault="000239CD" w:rsidP="00B77E0B">
            <w:pPr>
              <w:pStyle w:val="TableText0"/>
              <w:keepLines/>
              <w:rPr>
                <w:szCs w:val="20"/>
              </w:rPr>
            </w:pPr>
            <w:r w:rsidRPr="00E35EA1">
              <w:rPr>
                <w:szCs w:val="20"/>
              </w:rPr>
              <w:t xml:space="preserve">Grade 5 AE </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6 (1.8)</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1 (0.6)</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2.84 (0.35, 23.43)</w:t>
            </w:r>
          </w:p>
        </w:tc>
        <w:tc>
          <w:tcPr>
            <w:tcW w:w="9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0.01 (-0.01, 0.03)</w:t>
            </w:r>
          </w:p>
        </w:tc>
      </w:tr>
      <w:tr w:rsidR="000239CD" w:rsidRPr="00E63DF4" w:rsidTr="00E35EA1">
        <w:trPr>
          <w:trHeight w:val="241"/>
        </w:trPr>
        <w:tc>
          <w:tcPr>
            <w:tcW w:w="1800" w:type="pct"/>
            <w:tcBorders>
              <w:top w:val="single" w:sz="4" w:space="0" w:color="auto"/>
              <w:left w:val="single" w:sz="4" w:space="0" w:color="auto"/>
              <w:bottom w:val="single" w:sz="4" w:space="0" w:color="auto"/>
              <w:right w:val="single" w:sz="4" w:space="0" w:color="auto"/>
            </w:tcBorders>
            <w:shd w:val="clear" w:color="auto" w:fill="auto"/>
          </w:tcPr>
          <w:p w:rsidR="000239CD" w:rsidRPr="00E35EA1" w:rsidRDefault="000239CD" w:rsidP="00B77E0B">
            <w:pPr>
              <w:pStyle w:val="TableText0"/>
              <w:keepLines/>
              <w:rPr>
                <w:szCs w:val="20"/>
              </w:rPr>
            </w:pPr>
            <w:r w:rsidRPr="00E35EA1">
              <w:rPr>
                <w:szCs w:val="20"/>
              </w:rPr>
              <w:t xml:space="preserve">Serious AE </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56 (17.0)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szCs w:val="20"/>
              </w:rPr>
            </w:pPr>
            <w:r w:rsidRPr="00E35EA1">
              <w:rPr>
                <w:szCs w:val="20"/>
              </w:rPr>
              <w:t>24 (15.4)</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1.11 (0.71, 1.72)</w:t>
            </w:r>
          </w:p>
        </w:tc>
        <w:tc>
          <w:tcPr>
            <w:tcW w:w="9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39CD" w:rsidRPr="00E35EA1" w:rsidRDefault="000239CD" w:rsidP="00B77E0B">
            <w:pPr>
              <w:pStyle w:val="TableText0"/>
              <w:keepLines/>
              <w:jc w:val="center"/>
              <w:rPr>
                <w:iCs/>
                <w:szCs w:val="20"/>
              </w:rPr>
            </w:pPr>
            <w:r w:rsidRPr="00E35EA1">
              <w:rPr>
                <w:iCs/>
                <w:szCs w:val="20"/>
              </w:rPr>
              <w:t>0.02 (-0.05, 0.09)</w:t>
            </w:r>
          </w:p>
        </w:tc>
      </w:tr>
    </w:tbl>
    <w:p w:rsidR="000239CD" w:rsidRPr="00E63DF4" w:rsidRDefault="000239CD" w:rsidP="00B77E0B">
      <w:pPr>
        <w:pStyle w:val="TableFigureFooter"/>
        <w:keepNext/>
        <w:keepLines/>
      </w:pPr>
      <w:r w:rsidRPr="00E63DF4">
        <w:t>Source: calculated during the ev</w:t>
      </w:r>
      <w:r w:rsidR="00C51546" w:rsidRPr="00E63DF4">
        <w:t>aluation based on Table 2.20, p</w:t>
      </w:r>
      <w:r w:rsidRPr="00E63DF4">
        <w:t>75 of the submission.</w:t>
      </w:r>
    </w:p>
    <w:p w:rsidR="000239CD" w:rsidRPr="00E63DF4" w:rsidRDefault="000239CD" w:rsidP="00B77E0B">
      <w:pPr>
        <w:pStyle w:val="TableFigureFooter"/>
        <w:keepNext/>
        <w:keepLines/>
      </w:pPr>
      <w:r w:rsidRPr="00E63DF4">
        <w:t>Abb</w:t>
      </w:r>
      <w:r w:rsidR="008C6455" w:rsidRPr="00E63DF4">
        <w:t>reviations: AE = adverse events;</w:t>
      </w:r>
      <w:r w:rsidRPr="00E63DF4">
        <w:t xml:space="preserve"> Atezo+Bev = atezolizumab plus bevacizumab</w:t>
      </w:r>
      <w:r w:rsidR="004F2848" w:rsidRPr="00E63DF4">
        <w:t>;</w:t>
      </w:r>
      <w:r w:rsidRPr="00E63DF4">
        <w:t xml:space="preserve"> CI = confidence intervals</w:t>
      </w:r>
      <w:r w:rsidR="004F2848" w:rsidRPr="00E63DF4">
        <w:t>;</w:t>
      </w:r>
      <w:r w:rsidRPr="00E63DF4">
        <w:t xml:space="preserve"> HR = hazard rati</w:t>
      </w:r>
      <w:r w:rsidR="004F2848" w:rsidRPr="00E63DF4">
        <w:t>o;</w:t>
      </w:r>
      <w:r w:rsidRPr="00E63DF4">
        <w:t xml:space="preserve"> n = number of participants reporting data</w:t>
      </w:r>
      <w:r w:rsidR="004F2848" w:rsidRPr="00E63DF4">
        <w:t>;</w:t>
      </w:r>
      <w:r w:rsidRPr="00E63DF4">
        <w:t xml:space="preserve"> N = total participants in group</w:t>
      </w:r>
      <w:r w:rsidR="004F2848" w:rsidRPr="00E63DF4">
        <w:t xml:space="preserve">; </w:t>
      </w:r>
      <w:r w:rsidR="008C6455" w:rsidRPr="00E63DF4">
        <w:t>RD = risk difference;</w:t>
      </w:r>
      <w:r w:rsidRPr="00E63DF4">
        <w:t xml:space="preserve"> RR = relative risk</w:t>
      </w:r>
    </w:p>
    <w:p w:rsidR="000239CD" w:rsidRPr="00E63DF4" w:rsidRDefault="000239CD" w:rsidP="00B77E0B">
      <w:pPr>
        <w:pStyle w:val="TableFigureFooter"/>
        <w:keepNext/>
        <w:keepLines/>
        <w:rPr>
          <w:rFonts w:eastAsia="Calibri"/>
        </w:rPr>
      </w:pPr>
      <w:r w:rsidRPr="00E63DF4">
        <w:rPr>
          <w:rFonts w:eastAsia="Calibri"/>
        </w:rPr>
        <w:t>Note: Bold indicates statistically significant difference.</w:t>
      </w:r>
    </w:p>
    <w:p w:rsidR="000239CD" w:rsidRPr="00E63DF4" w:rsidRDefault="000239CD" w:rsidP="00B77E0B">
      <w:pPr>
        <w:pStyle w:val="TableFigureFooter"/>
        <w:keepNext/>
        <w:keepLines/>
      </w:pPr>
      <w:r w:rsidRPr="00E63DF4">
        <w:rPr>
          <w:rFonts w:eastAsia="Calibri"/>
        </w:rPr>
        <w:t>^ correct</w:t>
      </w:r>
      <w:r w:rsidR="006A6A3C" w:rsidRPr="00E63DF4">
        <w:rPr>
          <w:rFonts w:eastAsia="Calibri"/>
        </w:rPr>
        <w:t xml:space="preserve">ed </w:t>
      </w:r>
      <w:r w:rsidRPr="00E63DF4">
        <w:rPr>
          <w:rFonts w:eastAsia="Calibri"/>
        </w:rPr>
        <w:t xml:space="preserve">error </w:t>
      </w:r>
      <w:r w:rsidR="006139F6" w:rsidRPr="00E63DF4">
        <w:rPr>
          <w:rFonts w:eastAsia="Calibri"/>
        </w:rPr>
        <w:t>from submission during the evaluation</w:t>
      </w:r>
    </w:p>
    <w:p w:rsidR="00F568AB" w:rsidRPr="00E63DF4" w:rsidRDefault="000239CD" w:rsidP="00F568AB">
      <w:pPr>
        <w:pStyle w:val="3-BodyText"/>
      </w:pPr>
      <w:r w:rsidRPr="00E63DF4">
        <w:t>The treatment-related Grade 3</w:t>
      </w:r>
      <w:r w:rsidR="004325F5" w:rsidRPr="00E63DF4">
        <w:t>/</w:t>
      </w:r>
      <w:r w:rsidRPr="00E63DF4">
        <w:t>4 AEs reported with higher incidences (≥2% difference) in the sorafenib arm were palmar-plantar erythrodysaesthesia syndrome (PPES), rash, blood bilirubin increased, diarrhoea, hypophosphataemia, and decreased appetite</w:t>
      </w:r>
      <w:r w:rsidR="000E51A9" w:rsidRPr="00E63DF4">
        <w:t>.</w:t>
      </w:r>
      <w:r w:rsidRPr="00E63DF4">
        <w:t xml:space="preserve"> </w:t>
      </w:r>
      <w:r w:rsidR="000E51A9" w:rsidRPr="00E63DF4">
        <w:t>T</w:t>
      </w:r>
      <w:r w:rsidRPr="00E63DF4">
        <w:t>he AEs reported with higher incidences (≥ 2% difference) in the Atezo+Bev arm were alanine aminotransferase increased, proteinuria, and infusion-related reaction (T</w:t>
      </w:r>
      <w:r w:rsidR="009F4A79" w:rsidRPr="00E63DF4">
        <w:t>able 10</w:t>
      </w:r>
      <w:r w:rsidRPr="00E63DF4">
        <w:t>). The risk difference</w:t>
      </w:r>
      <w:r w:rsidR="000E51A9" w:rsidRPr="00E63DF4">
        <w:t>s</w:t>
      </w:r>
      <w:r w:rsidRPr="00E63DF4">
        <w:t xml:space="preserve"> show that </w:t>
      </w:r>
      <w:r w:rsidR="004F207B" w:rsidRPr="00E63DF4">
        <w:t xml:space="preserve">the </w:t>
      </w:r>
      <w:r w:rsidRPr="00E63DF4">
        <w:t xml:space="preserve">Atezo+Bev </w:t>
      </w:r>
      <w:r w:rsidR="004F207B" w:rsidRPr="00E63DF4">
        <w:t>arm had a significantly higher incidence of alanine aminotransferase increased and infusion-related reaction while the sorafenib arm had a significantly higher incidence of diarrhoea and PPES.</w:t>
      </w:r>
    </w:p>
    <w:p w:rsidR="00F568AB" w:rsidRPr="00E63DF4" w:rsidRDefault="009F4A79" w:rsidP="00F568AB">
      <w:pPr>
        <w:pStyle w:val="TableFigureHeading"/>
      </w:pPr>
      <w:r w:rsidRPr="00E63DF4">
        <w:lastRenderedPageBreak/>
        <w:t>Table 10</w:t>
      </w:r>
      <w:r w:rsidR="00F568AB" w:rsidRPr="00E63DF4">
        <w:t>: Treatment-related Grade 3</w:t>
      </w:r>
      <w:r w:rsidR="004325F5" w:rsidRPr="00E63DF4">
        <w:t>/</w:t>
      </w:r>
      <w:r w:rsidR="00F568AB" w:rsidRPr="00E63DF4">
        <w:t>4 adverse events (≥ 2% difference) in IMbrave150 (Safety Population)</w:t>
      </w:r>
    </w:p>
    <w:tbl>
      <w:tblPr>
        <w:tblStyle w:val="TableGrid"/>
        <w:tblW w:w="5000" w:type="pct"/>
        <w:tblLook w:val="04A0" w:firstRow="1" w:lastRow="0" w:firstColumn="1" w:lastColumn="0" w:noHBand="0" w:noVBand="1"/>
        <w:tblCaption w:val="Table 10: Treatment-related Grade 3/4 adverse events (≥ 2% difference) in IMbrave150 (Safety Population)"/>
      </w:tblPr>
      <w:tblGrid>
        <w:gridCol w:w="2648"/>
        <w:gridCol w:w="1510"/>
        <w:gridCol w:w="1502"/>
        <w:gridCol w:w="1690"/>
        <w:gridCol w:w="1690"/>
      </w:tblGrid>
      <w:tr w:rsidR="00F568AB" w:rsidRPr="00E63DF4" w:rsidTr="009C58F4">
        <w:trPr>
          <w:trHeight w:val="222"/>
          <w:tblHeader/>
        </w:trPr>
        <w:tc>
          <w:tcPr>
            <w:tcW w:w="1464" w:type="pct"/>
            <w:tcBorders>
              <w:top w:val="single" w:sz="4" w:space="0" w:color="auto"/>
              <w:left w:val="single" w:sz="4" w:space="0" w:color="auto"/>
              <w:bottom w:val="nil"/>
              <w:right w:val="single" w:sz="4" w:space="0" w:color="auto"/>
            </w:tcBorders>
            <w:shd w:val="clear" w:color="auto" w:fill="auto"/>
            <w:hideMark/>
          </w:tcPr>
          <w:p w:rsidR="00F568AB" w:rsidRPr="00E35EA1" w:rsidRDefault="00F568AB" w:rsidP="00CA26CC">
            <w:pPr>
              <w:pStyle w:val="In-tableHeading"/>
              <w:rPr>
                <w:szCs w:val="20"/>
                <w:lang w:val="en-AU"/>
              </w:rPr>
            </w:pPr>
          </w:p>
        </w:tc>
        <w:tc>
          <w:tcPr>
            <w:tcW w:w="3536" w:type="pct"/>
            <w:gridSpan w:val="4"/>
            <w:tcBorders>
              <w:top w:val="single" w:sz="4" w:space="0" w:color="auto"/>
              <w:left w:val="single" w:sz="4" w:space="0" w:color="auto"/>
              <w:bottom w:val="single" w:sz="4" w:space="0" w:color="auto"/>
              <w:right w:val="single" w:sz="4" w:space="0" w:color="auto"/>
            </w:tcBorders>
            <w:shd w:val="clear" w:color="auto" w:fill="auto"/>
          </w:tcPr>
          <w:p w:rsidR="00F568AB" w:rsidRPr="00E35EA1" w:rsidRDefault="00F568AB" w:rsidP="00CA26CC">
            <w:pPr>
              <w:pStyle w:val="In-tableHeading"/>
              <w:jc w:val="center"/>
              <w:rPr>
                <w:szCs w:val="20"/>
                <w:lang w:val="en-AU"/>
              </w:rPr>
            </w:pPr>
            <w:r w:rsidRPr="00E35EA1">
              <w:rPr>
                <w:szCs w:val="20"/>
                <w:lang w:val="en-AU"/>
              </w:rPr>
              <w:t>Safety Population</w:t>
            </w:r>
          </w:p>
        </w:tc>
      </w:tr>
      <w:tr w:rsidR="00F568AB" w:rsidRPr="00E63DF4" w:rsidTr="00E35EA1">
        <w:trPr>
          <w:trHeight w:val="445"/>
        </w:trPr>
        <w:tc>
          <w:tcPr>
            <w:tcW w:w="1464" w:type="pct"/>
            <w:tcBorders>
              <w:top w:val="nil"/>
              <w:left w:val="single" w:sz="4" w:space="0" w:color="auto"/>
              <w:bottom w:val="single" w:sz="4" w:space="0" w:color="auto"/>
              <w:right w:val="single" w:sz="4" w:space="0" w:color="auto"/>
            </w:tcBorders>
            <w:shd w:val="clear" w:color="auto" w:fill="auto"/>
          </w:tcPr>
          <w:p w:rsidR="00F568AB" w:rsidRPr="00E35EA1" w:rsidRDefault="00F568AB" w:rsidP="00CA26CC">
            <w:pPr>
              <w:pStyle w:val="In-tableHeading"/>
              <w:rPr>
                <w:szCs w:val="20"/>
                <w:lang w:val="en-AU"/>
              </w:rPr>
            </w:pPr>
            <w:r w:rsidRPr="00E35EA1">
              <w:rPr>
                <w:szCs w:val="20"/>
                <w:lang w:val="en-AU"/>
              </w:rPr>
              <w:t>n (%)</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F568AB" w:rsidRPr="00E35EA1" w:rsidRDefault="00F568AB" w:rsidP="00CA26CC">
            <w:pPr>
              <w:pStyle w:val="In-tableHeading"/>
              <w:jc w:val="center"/>
              <w:rPr>
                <w:szCs w:val="20"/>
                <w:lang w:val="en-AU"/>
              </w:rPr>
            </w:pPr>
            <w:r w:rsidRPr="00E35EA1">
              <w:rPr>
                <w:szCs w:val="20"/>
                <w:lang w:val="en-AU"/>
              </w:rPr>
              <w:t>Atezo+Bev</w:t>
            </w:r>
          </w:p>
          <w:p w:rsidR="00F568AB" w:rsidRPr="00E35EA1" w:rsidRDefault="00F568AB" w:rsidP="00CA26CC">
            <w:pPr>
              <w:pStyle w:val="In-tableHeading"/>
              <w:jc w:val="center"/>
              <w:rPr>
                <w:szCs w:val="20"/>
                <w:lang w:val="en-AU"/>
              </w:rPr>
            </w:pPr>
            <w:r w:rsidRPr="00E35EA1">
              <w:rPr>
                <w:szCs w:val="20"/>
                <w:lang w:val="en-AU"/>
              </w:rPr>
              <w:t>N = 329</w:t>
            </w:r>
          </w:p>
        </w:tc>
        <w:tc>
          <w:tcPr>
            <w:tcW w:w="831" w:type="pct"/>
            <w:tcBorders>
              <w:top w:val="single" w:sz="4" w:space="0" w:color="auto"/>
              <w:left w:val="single" w:sz="4" w:space="0" w:color="auto"/>
              <w:bottom w:val="single" w:sz="4" w:space="0" w:color="auto"/>
              <w:right w:val="single" w:sz="4" w:space="0" w:color="auto"/>
            </w:tcBorders>
            <w:shd w:val="clear" w:color="auto" w:fill="auto"/>
          </w:tcPr>
          <w:p w:rsidR="00F568AB" w:rsidRPr="00E35EA1" w:rsidRDefault="00F568AB" w:rsidP="00CA26CC">
            <w:pPr>
              <w:pStyle w:val="In-tableHeading"/>
              <w:jc w:val="center"/>
              <w:rPr>
                <w:szCs w:val="20"/>
                <w:lang w:val="en-AU"/>
              </w:rPr>
            </w:pPr>
            <w:r w:rsidRPr="00E35EA1">
              <w:rPr>
                <w:szCs w:val="20"/>
                <w:lang w:val="en-AU"/>
              </w:rPr>
              <w:t>Sorafenib</w:t>
            </w:r>
          </w:p>
          <w:p w:rsidR="00F568AB" w:rsidRPr="00E35EA1" w:rsidRDefault="00F568AB" w:rsidP="00CA26CC">
            <w:pPr>
              <w:pStyle w:val="In-tableHeading"/>
              <w:jc w:val="center"/>
              <w:rPr>
                <w:szCs w:val="20"/>
                <w:lang w:val="en-AU"/>
              </w:rPr>
            </w:pPr>
            <w:r w:rsidRPr="00E35EA1">
              <w:rPr>
                <w:szCs w:val="20"/>
                <w:lang w:val="en-AU"/>
              </w:rPr>
              <w:t>N = 156</w:t>
            </w:r>
          </w:p>
        </w:tc>
        <w:tc>
          <w:tcPr>
            <w:tcW w:w="935" w:type="pct"/>
            <w:tcBorders>
              <w:top w:val="single" w:sz="4" w:space="0" w:color="auto"/>
              <w:left w:val="single" w:sz="4" w:space="0" w:color="auto"/>
              <w:bottom w:val="single" w:sz="4" w:space="0" w:color="auto"/>
              <w:right w:val="single" w:sz="4" w:space="0" w:color="auto"/>
            </w:tcBorders>
          </w:tcPr>
          <w:p w:rsidR="00F568AB" w:rsidRPr="00E35EA1" w:rsidRDefault="00F568AB" w:rsidP="00CA26CC">
            <w:pPr>
              <w:pStyle w:val="In-tableHeading"/>
              <w:jc w:val="center"/>
              <w:rPr>
                <w:szCs w:val="20"/>
                <w:lang w:val="en-AU"/>
              </w:rPr>
            </w:pPr>
            <w:r w:rsidRPr="00E35EA1">
              <w:rPr>
                <w:szCs w:val="20"/>
                <w:lang w:val="en-AU"/>
              </w:rPr>
              <w:t>RR</w:t>
            </w:r>
          </w:p>
          <w:p w:rsidR="00F568AB" w:rsidRPr="00E35EA1" w:rsidRDefault="00F568AB" w:rsidP="00CA26CC">
            <w:pPr>
              <w:pStyle w:val="In-tableHeading"/>
              <w:jc w:val="center"/>
              <w:rPr>
                <w:szCs w:val="20"/>
                <w:lang w:val="en-AU"/>
              </w:rPr>
            </w:pPr>
            <w:r w:rsidRPr="00E35EA1">
              <w:rPr>
                <w:szCs w:val="20"/>
                <w:lang w:val="en-AU"/>
              </w:rPr>
              <w:t>(95% CI)</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F568AB" w:rsidRPr="00E35EA1" w:rsidRDefault="00F568AB" w:rsidP="00CA26CC">
            <w:pPr>
              <w:pStyle w:val="In-tableHeading"/>
              <w:jc w:val="center"/>
              <w:rPr>
                <w:szCs w:val="20"/>
                <w:lang w:val="en-AU"/>
              </w:rPr>
            </w:pPr>
            <w:r w:rsidRPr="00E35EA1">
              <w:rPr>
                <w:szCs w:val="20"/>
                <w:lang w:val="en-AU"/>
              </w:rPr>
              <w:t>RD</w:t>
            </w:r>
          </w:p>
          <w:p w:rsidR="00F568AB" w:rsidRPr="00E35EA1" w:rsidRDefault="00F568AB" w:rsidP="00CA26CC">
            <w:pPr>
              <w:pStyle w:val="In-tableHeading"/>
              <w:jc w:val="center"/>
              <w:rPr>
                <w:szCs w:val="20"/>
                <w:lang w:val="en-AU"/>
              </w:rPr>
            </w:pPr>
            <w:r w:rsidRPr="00E35EA1">
              <w:rPr>
                <w:szCs w:val="20"/>
                <w:lang w:val="en-AU"/>
              </w:rPr>
              <w:t>(95% CI)</w:t>
            </w:r>
          </w:p>
        </w:tc>
      </w:tr>
      <w:tr w:rsidR="00F568AB" w:rsidRPr="00E63DF4" w:rsidTr="00E35EA1">
        <w:trPr>
          <w:trHeight w:val="222"/>
        </w:trPr>
        <w:tc>
          <w:tcPr>
            <w:tcW w:w="1464" w:type="pct"/>
            <w:tcBorders>
              <w:top w:val="single" w:sz="4" w:space="0" w:color="auto"/>
              <w:left w:val="single" w:sz="4" w:space="0" w:color="auto"/>
              <w:bottom w:val="single" w:sz="4" w:space="0" w:color="auto"/>
              <w:right w:val="single" w:sz="4" w:space="0" w:color="auto"/>
            </w:tcBorders>
            <w:shd w:val="clear" w:color="auto" w:fill="auto"/>
            <w:hideMark/>
          </w:tcPr>
          <w:p w:rsidR="00F568AB" w:rsidRPr="00E35EA1" w:rsidRDefault="00F568AB" w:rsidP="00CA26CC">
            <w:pPr>
              <w:pStyle w:val="TableText0"/>
              <w:rPr>
                <w:szCs w:val="20"/>
              </w:rPr>
            </w:pPr>
            <w:r w:rsidRPr="00E35EA1">
              <w:rPr>
                <w:szCs w:val="20"/>
              </w:rPr>
              <w:t>Alanine aminotransferase increased</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szCs w:val="20"/>
              </w:rPr>
            </w:pPr>
            <w:r w:rsidRPr="00E35EA1">
              <w:rPr>
                <w:szCs w:val="20"/>
              </w:rPr>
              <w:t>7 (2.1)</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szCs w:val="20"/>
              </w:rPr>
            </w:pPr>
            <w:r w:rsidRPr="00E35EA1">
              <w:rPr>
                <w:szCs w:val="20"/>
              </w:rPr>
              <w:t>0</w:t>
            </w:r>
          </w:p>
        </w:tc>
        <w:tc>
          <w:tcPr>
            <w:tcW w:w="935" w:type="pct"/>
            <w:tcBorders>
              <w:top w:val="single" w:sz="4" w:space="0" w:color="auto"/>
              <w:left w:val="single" w:sz="4" w:space="0" w:color="auto"/>
              <w:bottom w:val="single" w:sz="4" w:space="0" w:color="auto"/>
              <w:right w:val="single" w:sz="4" w:space="0" w:color="auto"/>
            </w:tcBorders>
            <w:vAlign w:val="center"/>
          </w:tcPr>
          <w:p w:rsidR="00F568AB" w:rsidRPr="00E35EA1" w:rsidRDefault="00F568AB" w:rsidP="00CA26CC">
            <w:pPr>
              <w:pStyle w:val="TableText0"/>
              <w:jc w:val="center"/>
              <w:rPr>
                <w:szCs w:val="20"/>
              </w:rPr>
            </w:pPr>
            <w:r w:rsidRPr="00E35EA1">
              <w:rPr>
                <w:szCs w:val="20"/>
              </w:rPr>
              <w:t>NE</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b/>
                <w:iCs/>
                <w:szCs w:val="20"/>
              </w:rPr>
            </w:pPr>
            <w:r w:rsidRPr="00E35EA1">
              <w:rPr>
                <w:b/>
                <w:szCs w:val="20"/>
              </w:rPr>
              <w:t>0.02 (0.01, 0.04)</w:t>
            </w:r>
          </w:p>
        </w:tc>
      </w:tr>
      <w:tr w:rsidR="00F568AB" w:rsidRPr="00E63DF4" w:rsidTr="00E35EA1">
        <w:trPr>
          <w:trHeight w:val="222"/>
        </w:trPr>
        <w:tc>
          <w:tcPr>
            <w:tcW w:w="1464" w:type="pct"/>
            <w:tcBorders>
              <w:top w:val="single" w:sz="4" w:space="0" w:color="auto"/>
              <w:left w:val="single" w:sz="4" w:space="0" w:color="auto"/>
              <w:bottom w:val="single" w:sz="4" w:space="0" w:color="auto"/>
              <w:right w:val="single" w:sz="4" w:space="0" w:color="auto"/>
            </w:tcBorders>
            <w:shd w:val="clear" w:color="auto" w:fill="auto"/>
            <w:hideMark/>
          </w:tcPr>
          <w:p w:rsidR="00F568AB" w:rsidRPr="00E35EA1" w:rsidRDefault="00F568AB" w:rsidP="00CA26CC">
            <w:pPr>
              <w:pStyle w:val="TableText0"/>
              <w:rPr>
                <w:szCs w:val="20"/>
              </w:rPr>
            </w:pPr>
            <w:r w:rsidRPr="00E35EA1">
              <w:rPr>
                <w:szCs w:val="20"/>
              </w:rPr>
              <w:t>Blood bilirubin increased</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szCs w:val="20"/>
              </w:rPr>
            </w:pPr>
            <w:r w:rsidRPr="00E35EA1">
              <w:rPr>
                <w:szCs w:val="20"/>
              </w:rPr>
              <w:t>2 (0.6)</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szCs w:val="20"/>
              </w:rPr>
            </w:pPr>
            <w:r w:rsidRPr="00E35EA1">
              <w:rPr>
                <w:szCs w:val="20"/>
              </w:rPr>
              <w:t>4 (2.6)</w:t>
            </w:r>
          </w:p>
        </w:tc>
        <w:tc>
          <w:tcPr>
            <w:tcW w:w="935" w:type="pct"/>
            <w:tcBorders>
              <w:top w:val="nil"/>
              <w:left w:val="single" w:sz="4" w:space="0" w:color="auto"/>
              <w:bottom w:val="single" w:sz="4" w:space="0" w:color="auto"/>
              <w:right w:val="single" w:sz="4" w:space="0" w:color="auto"/>
            </w:tcBorders>
            <w:vAlign w:val="center"/>
          </w:tcPr>
          <w:p w:rsidR="00F568AB" w:rsidRPr="00E35EA1" w:rsidRDefault="00F568AB" w:rsidP="00CA26CC">
            <w:pPr>
              <w:pStyle w:val="TableText0"/>
              <w:jc w:val="center"/>
              <w:rPr>
                <w:szCs w:val="20"/>
              </w:rPr>
            </w:pPr>
            <w:r w:rsidRPr="00E35EA1">
              <w:rPr>
                <w:szCs w:val="20"/>
              </w:rPr>
              <w:t>0.24 (0.04, 1.28)</w:t>
            </w:r>
          </w:p>
        </w:tc>
        <w:tc>
          <w:tcPr>
            <w:tcW w:w="935" w:type="pct"/>
            <w:tcBorders>
              <w:top w:val="nil"/>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iCs/>
                <w:szCs w:val="20"/>
              </w:rPr>
            </w:pPr>
            <w:r w:rsidRPr="00E35EA1">
              <w:rPr>
                <w:szCs w:val="20"/>
              </w:rPr>
              <w:t>-0.02 (-0.05, 0.01)</w:t>
            </w:r>
          </w:p>
        </w:tc>
      </w:tr>
      <w:tr w:rsidR="00F568AB" w:rsidRPr="00E63DF4" w:rsidTr="00E35EA1">
        <w:trPr>
          <w:trHeight w:val="222"/>
        </w:trPr>
        <w:tc>
          <w:tcPr>
            <w:tcW w:w="1464" w:type="pct"/>
            <w:tcBorders>
              <w:top w:val="single" w:sz="4" w:space="0" w:color="auto"/>
              <w:left w:val="single" w:sz="4" w:space="0" w:color="auto"/>
              <w:bottom w:val="single" w:sz="4" w:space="0" w:color="auto"/>
              <w:right w:val="single" w:sz="4" w:space="0" w:color="auto"/>
            </w:tcBorders>
            <w:shd w:val="clear" w:color="auto" w:fill="auto"/>
            <w:hideMark/>
          </w:tcPr>
          <w:p w:rsidR="00F568AB" w:rsidRPr="00E35EA1" w:rsidRDefault="00F568AB" w:rsidP="00CA26CC">
            <w:pPr>
              <w:pStyle w:val="TableText0"/>
              <w:rPr>
                <w:szCs w:val="20"/>
              </w:rPr>
            </w:pPr>
            <w:r w:rsidRPr="00E35EA1">
              <w:rPr>
                <w:szCs w:val="20"/>
              </w:rPr>
              <w:t>Diarrhoea</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szCs w:val="20"/>
              </w:rPr>
            </w:pPr>
            <w:r w:rsidRPr="00E35EA1">
              <w:rPr>
                <w:szCs w:val="20"/>
              </w:rPr>
              <w:t>1 (0.3)</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szCs w:val="20"/>
              </w:rPr>
            </w:pPr>
            <w:r w:rsidRPr="00E35EA1">
              <w:rPr>
                <w:szCs w:val="20"/>
              </w:rPr>
              <w:t>6 (3.8)</w:t>
            </w:r>
          </w:p>
        </w:tc>
        <w:tc>
          <w:tcPr>
            <w:tcW w:w="935" w:type="pct"/>
            <w:tcBorders>
              <w:top w:val="nil"/>
              <w:left w:val="single" w:sz="4" w:space="0" w:color="auto"/>
              <w:bottom w:val="single" w:sz="4" w:space="0" w:color="auto"/>
              <w:right w:val="single" w:sz="4" w:space="0" w:color="auto"/>
            </w:tcBorders>
            <w:vAlign w:val="center"/>
          </w:tcPr>
          <w:p w:rsidR="00F568AB" w:rsidRPr="00E35EA1" w:rsidRDefault="00F568AB" w:rsidP="00CA26CC">
            <w:pPr>
              <w:pStyle w:val="TableText0"/>
              <w:jc w:val="center"/>
              <w:rPr>
                <w:b/>
                <w:szCs w:val="20"/>
              </w:rPr>
            </w:pPr>
            <w:r w:rsidRPr="00E35EA1">
              <w:rPr>
                <w:b/>
                <w:szCs w:val="20"/>
              </w:rPr>
              <w:t>0.08 (0.01, 0.65)</w:t>
            </w:r>
          </w:p>
        </w:tc>
        <w:tc>
          <w:tcPr>
            <w:tcW w:w="935" w:type="pct"/>
            <w:tcBorders>
              <w:top w:val="nil"/>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iCs/>
                <w:szCs w:val="20"/>
              </w:rPr>
            </w:pPr>
            <w:r w:rsidRPr="00E35EA1">
              <w:rPr>
                <w:szCs w:val="20"/>
              </w:rPr>
              <w:t>-</w:t>
            </w:r>
            <w:r w:rsidRPr="00E35EA1">
              <w:rPr>
                <w:b/>
                <w:szCs w:val="20"/>
              </w:rPr>
              <w:t>0.04 (-0.07, -0.01)</w:t>
            </w:r>
          </w:p>
        </w:tc>
      </w:tr>
      <w:tr w:rsidR="00F568AB" w:rsidRPr="00E63DF4" w:rsidTr="00E35EA1">
        <w:trPr>
          <w:trHeight w:val="222"/>
        </w:trPr>
        <w:tc>
          <w:tcPr>
            <w:tcW w:w="1464" w:type="pct"/>
            <w:tcBorders>
              <w:top w:val="single" w:sz="4" w:space="0" w:color="auto"/>
              <w:left w:val="single" w:sz="4" w:space="0" w:color="auto"/>
              <w:bottom w:val="single" w:sz="4" w:space="0" w:color="auto"/>
              <w:right w:val="single" w:sz="4" w:space="0" w:color="auto"/>
            </w:tcBorders>
            <w:shd w:val="clear" w:color="auto" w:fill="auto"/>
            <w:hideMark/>
          </w:tcPr>
          <w:p w:rsidR="00F568AB" w:rsidRPr="00E35EA1" w:rsidRDefault="00F568AB" w:rsidP="00CA26CC">
            <w:pPr>
              <w:pStyle w:val="TableText0"/>
              <w:rPr>
                <w:szCs w:val="20"/>
              </w:rPr>
            </w:pPr>
            <w:r w:rsidRPr="00E35EA1">
              <w:rPr>
                <w:szCs w:val="20"/>
              </w:rPr>
              <w:t xml:space="preserve">Palmar-plantar erythrodysaesthesia syndrome </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szCs w:val="20"/>
              </w:rPr>
            </w:pPr>
            <w:r w:rsidRPr="00E35EA1">
              <w:rPr>
                <w:szCs w:val="20"/>
              </w:rPr>
              <w:t>0</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szCs w:val="20"/>
              </w:rPr>
            </w:pPr>
            <w:r w:rsidRPr="00E35EA1">
              <w:rPr>
                <w:szCs w:val="20"/>
              </w:rPr>
              <w:t>13 (8.3)</w:t>
            </w:r>
          </w:p>
        </w:tc>
        <w:tc>
          <w:tcPr>
            <w:tcW w:w="935" w:type="pct"/>
            <w:tcBorders>
              <w:top w:val="nil"/>
              <w:left w:val="single" w:sz="4" w:space="0" w:color="auto"/>
              <w:bottom w:val="single" w:sz="4" w:space="0" w:color="auto"/>
              <w:right w:val="single" w:sz="4" w:space="0" w:color="auto"/>
            </w:tcBorders>
            <w:vAlign w:val="center"/>
          </w:tcPr>
          <w:p w:rsidR="00F568AB" w:rsidRPr="00E35EA1" w:rsidRDefault="00F568AB" w:rsidP="00CA26CC">
            <w:pPr>
              <w:pStyle w:val="TableText0"/>
              <w:jc w:val="center"/>
              <w:rPr>
                <w:szCs w:val="20"/>
              </w:rPr>
            </w:pPr>
            <w:r w:rsidRPr="00E35EA1">
              <w:rPr>
                <w:szCs w:val="20"/>
              </w:rPr>
              <w:t>NE</w:t>
            </w:r>
          </w:p>
        </w:tc>
        <w:tc>
          <w:tcPr>
            <w:tcW w:w="935" w:type="pct"/>
            <w:tcBorders>
              <w:top w:val="nil"/>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b/>
                <w:iCs/>
                <w:szCs w:val="20"/>
              </w:rPr>
            </w:pPr>
            <w:r w:rsidRPr="00E35EA1">
              <w:rPr>
                <w:b/>
                <w:szCs w:val="20"/>
              </w:rPr>
              <w:t>-0.08 (-0.13, -0.04)</w:t>
            </w:r>
          </w:p>
        </w:tc>
      </w:tr>
      <w:tr w:rsidR="00F568AB" w:rsidRPr="00E63DF4" w:rsidTr="00E35EA1">
        <w:trPr>
          <w:trHeight w:val="222"/>
        </w:trPr>
        <w:tc>
          <w:tcPr>
            <w:tcW w:w="1464" w:type="pct"/>
            <w:tcBorders>
              <w:top w:val="single" w:sz="4" w:space="0" w:color="auto"/>
              <w:left w:val="single" w:sz="4" w:space="0" w:color="auto"/>
              <w:bottom w:val="single" w:sz="4" w:space="0" w:color="auto"/>
              <w:right w:val="single" w:sz="4" w:space="0" w:color="auto"/>
            </w:tcBorders>
            <w:shd w:val="clear" w:color="auto" w:fill="auto"/>
          </w:tcPr>
          <w:p w:rsidR="00F568AB" w:rsidRPr="00E35EA1" w:rsidRDefault="00F568AB" w:rsidP="00CA26CC">
            <w:pPr>
              <w:pStyle w:val="TableText0"/>
              <w:rPr>
                <w:szCs w:val="20"/>
              </w:rPr>
            </w:pPr>
            <w:r w:rsidRPr="00E35EA1">
              <w:rPr>
                <w:szCs w:val="20"/>
              </w:rPr>
              <w:t>Rash</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szCs w:val="20"/>
              </w:rPr>
            </w:pPr>
            <w:r w:rsidRPr="00E35EA1">
              <w:rPr>
                <w:szCs w:val="20"/>
              </w:rPr>
              <w:t>0</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szCs w:val="20"/>
              </w:rPr>
            </w:pPr>
            <w:r w:rsidRPr="00E35EA1">
              <w:rPr>
                <w:szCs w:val="20"/>
              </w:rPr>
              <w:t>4 (2.6)</w:t>
            </w:r>
          </w:p>
        </w:tc>
        <w:tc>
          <w:tcPr>
            <w:tcW w:w="935" w:type="pct"/>
            <w:tcBorders>
              <w:top w:val="nil"/>
              <w:left w:val="single" w:sz="4" w:space="0" w:color="auto"/>
              <w:bottom w:val="single" w:sz="4" w:space="0" w:color="auto"/>
              <w:right w:val="single" w:sz="4" w:space="0" w:color="auto"/>
            </w:tcBorders>
            <w:vAlign w:val="center"/>
          </w:tcPr>
          <w:p w:rsidR="00F568AB" w:rsidRPr="00E35EA1" w:rsidRDefault="00F568AB" w:rsidP="00CA26CC">
            <w:pPr>
              <w:pStyle w:val="TableText0"/>
              <w:jc w:val="center"/>
              <w:rPr>
                <w:szCs w:val="20"/>
              </w:rPr>
            </w:pPr>
            <w:r w:rsidRPr="00E35EA1">
              <w:rPr>
                <w:szCs w:val="20"/>
              </w:rPr>
              <w:t>NE</w:t>
            </w:r>
          </w:p>
        </w:tc>
        <w:tc>
          <w:tcPr>
            <w:tcW w:w="935" w:type="pct"/>
            <w:tcBorders>
              <w:top w:val="nil"/>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iCs/>
                <w:szCs w:val="20"/>
              </w:rPr>
            </w:pPr>
            <w:r w:rsidRPr="00E35EA1">
              <w:rPr>
                <w:szCs w:val="20"/>
              </w:rPr>
              <w:t>-0.03 (-0.05, 0.00)</w:t>
            </w:r>
          </w:p>
        </w:tc>
      </w:tr>
      <w:tr w:rsidR="00F568AB" w:rsidRPr="00E63DF4" w:rsidTr="00E35EA1">
        <w:trPr>
          <w:trHeight w:val="222"/>
        </w:trPr>
        <w:tc>
          <w:tcPr>
            <w:tcW w:w="1464" w:type="pct"/>
            <w:tcBorders>
              <w:top w:val="single" w:sz="4" w:space="0" w:color="auto"/>
              <w:left w:val="single" w:sz="4" w:space="0" w:color="auto"/>
              <w:bottom w:val="single" w:sz="4" w:space="0" w:color="auto"/>
              <w:right w:val="single" w:sz="4" w:space="0" w:color="auto"/>
            </w:tcBorders>
            <w:shd w:val="clear" w:color="auto" w:fill="auto"/>
          </w:tcPr>
          <w:p w:rsidR="00F568AB" w:rsidRPr="00E35EA1" w:rsidRDefault="00F568AB" w:rsidP="00CA26CC">
            <w:pPr>
              <w:pStyle w:val="TableText0"/>
              <w:rPr>
                <w:szCs w:val="20"/>
              </w:rPr>
            </w:pPr>
            <w:r w:rsidRPr="00E35EA1">
              <w:rPr>
                <w:szCs w:val="20"/>
              </w:rPr>
              <w:t>Decreased appetite</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szCs w:val="20"/>
              </w:rPr>
            </w:pPr>
            <w:r w:rsidRPr="00E35EA1">
              <w:rPr>
                <w:szCs w:val="20"/>
              </w:rPr>
              <w:t>2 (0.6)</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szCs w:val="20"/>
              </w:rPr>
            </w:pPr>
            <w:r w:rsidRPr="00E35EA1">
              <w:rPr>
                <w:szCs w:val="20"/>
              </w:rPr>
              <w:t>6 (3.8)</w:t>
            </w:r>
          </w:p>
        </w:tc>
        <w:tc>
          <w:tcPr>
            <w:tcW w:w="935" w:type="pct"/>
            <w:tcBorders>
              <w:top w:val="nil"/>
              <w:left w:val="single" w:sz="4" w:space="0" w:color="auto"/>
              <w:bottom w:val="single" w:sz="4" w:space="0" w:color="auto"/>
              <w:right w:val="single" w:sz="4" w:space="0" w:color="auto"/>
            </w:tcBorders>
            <w:vAlign w:val="center"/>
          </w:tcPr>
          <w:p w:rsidR="00F568AB" w:rsidRPr="00E35EA1" w:rsidRDefault="00F568AB" w:rsidP="00CA26CC">
            <w:pPr>
              <w:pStyle w:val="TableText0"/>
              <w:jc w:val="center"/>
              <w:rPr>
                <w:b/>
                <w:szCs w:val="20"/>
              </w:rPr>
            </w:pPr>
            <w:r w:rsidRPr="00E35EA1">
              <w:rPr>
                <w:b/>
                <w:szCs w:val="20"/>
              </w:rPr>
              <w:t>0.16 (0.03, 0.77)</w:t>
            </w:r>
          </w:p>
        </w:tc>
        <w:tc>
          <w:tcPr>
            <w:tcW w:w="935" w:type="pct"/>
            <w:tcBorders>
              <w:top w:val="nil"/>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b/>
                <w:iCs/>
                <w:szCs w:val="20"/>
              </w:rPr>
            </w:pPr>
            <w:r w:rsidRPr="00E35EA1">
              <w:rPr>
                <w:szCs w:val="20"/>
              </w:rPr>
              <w:t>-0.03 (-0.06, 0.00)</w:t>
            </w:r>
          </w:p>
        </w:tc>
      </w:tr>
      <w:tr w:rsidR="00F568AB" w:rsidRPr="00E63DF4" w:rsidTr="00E35EA1">
        <w:trPr>
          <w:trHeight w:val="222"/>
        </w:trPr>
        <w:tc>
          <w:tcPr>
            <w:tcW w:w="1464" w:type="pct"/>
            <w:tcBorders>
              <w:top w:val="single" w:sz="4" w:space="0" w:color="auto"/>
              <w:left w:val="single" w:sz="4" w:space="0" w:color="auto"/>
              <w:bottom w:val="single" w:sz="4" w:space="0" w:color="auto"/>
              <w:right w:val="single" w:sz="4" w:space="0" w:color="auto"/>
            </w:tcBorders>
            <w:shd w:val="clear" w:color="auto" w:fill="auto"/>
          </w:tcPr>
          <w:p w:rsidR="00F568AB" w:rsidRPr="00E35EA1" w:rsidRDefault="00F568AB" w:rsidP="00CA26CC">
            <w:pPr>
              <w:pStyle w:val="TableText0"/>
              <w:rPr>
                <w:szCs w:val="20"/>
              </w:rPr>
            </w:pPr>
            <w:r w:rsidRPr="00E35EA1">
              <w:rPr>
                <w:szCs w:val="20"/>
              </w:rPr>
              <w:t>Hypophosphatemia</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szCs w:val="20"/>
              </w:rPr>
            </w:pPr>
            <w:r w:rsidRPr="00E35EA1">
              <w:rPr>
                <w:szCs w:val="20"/>
              </w:rPr>
              <w:t>1 (0.3)</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szCs w:val="20"/>
              </w:rPr>
            </w:pPr>
            <w:r w:rsidRPr="00E35EA1">
              <w:rPr>
                <w:szCs w:val="20"/>
              </w:rPr>
              <w:t>5 (3.2)</w:t>
            </w:r>
          </w:p>
        </w:tc>
        <w:tc>
          <w:tcPr>
            <w:tcW w:w="935" w:type="pct"/>
            <w:tcBorders>
              <w:top w:val="nil"/>
              <w:left w:val="single" w:sz="4" w:space="0" w:color="auto"/>
              <w:bottom w:val="single" w:sz="4" w:space="0" w:color="auto"/>
              <w:right w:val="single" w:sz="4" w:space="0" w:color="auto"/>
            </w:tcBorders>
            <w:vAlign w:val="center"/>
          </w:tcPr>
          <w:p w:rsidR="00F568AB" w:rsidRPr="00E35EA1" w:rsidRDefault="00F568AB" w:rsidP="00CA26CC">
            <w:pPr>
              <w:pStyle w:val="TableText0"/>
              <w:jc w:val="center"/>
              <w:rPr>
                <w:b/>
                <w:szCs w:val="20"/>
              </w:rPr>
            </w:pPr>
            <w:r w:rsidRPr="00E35EA1">
              <w:rPr>
                <w:b/>
                <w:szCs w:val="20"/>
              </w:rPr>
              <w:t>0.09 (0.01, 0.80)</w:t>
            </w:r>
          </w:p>
        </w:tc>
        <w:tc>
          <w:tcPr>
            <w:tcW w:w="935" w:type="pct"/>
            <w:tcBorders>
              <w:top w:val="nil"/>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b/>
                <w:iCs/>
                <w:szCs w:val="20"/>
              </w:rPr>
            </w:pPr>
            <w:r w:rsidRPr="00E35EA1">
              <w:rPr>
                <w:szCs w:val="20"/>
              </w:rPr>
              <w:t>-0.03 (-0.06, 0.00)</w:t>
            </w:r>
          </w:p>
        </w:tc>
      </w:tr>
      <w:tr w:rsidR="00F568AB" w:rsidRPr="00E63DF4" w:rsidTr="00E35EA1">
        <w:trPr>
          <w:trHeight w:val="222"/>
        </w:trPr>
        <w:tc>
          <w:tcPr>
            <w:tcW w:w="1464" w:type="pct"/>
            <w:tcBorders>
              <w:top w:val="single" w:sz="4" w:space="0" w:color="auto"/>
              <w:left w:val="single" w:sz="4" w:space="0" w:color="auto"/>
              <w:bottom w:val="single" w:sz="4" w:space="0" w:color="auto"/>
              <w:right w:val="single" w:sz="4" w:space="0" w:color="auto"/>
            </w:tcBorders>
            <w:shd w:val="clear" w:color="auto" w:fill="auto"/>
          </w:tcPr>
          <w:p w:rsidR="00F568AB" w:rsidRPr="00E35EA1" w:rsidRDefault="00F568AB" w:rsidP="00CA26CC">
            <w:pPr>
              <w:pStyle w:val="TableText0"/>
              <w:rPr>
                <w:szCs w:val="20"/>
              </w:rPr>
            </w:pPr>
            <w:r w:rsidRPr="00E35EA1">
              <w:rPr>
                <w:szCs w:val="20"/>
              </w:rPr>
              <w:t>Proteinuria</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szCs w:val="20"/>
              </w:rPr>
            </w:pPr>
            <w:r w:rsidRPr="00E35EA1">
              <w:rPr>
                <w:szCs w:val="20"/>
              </w:rPr>
              <w:t>9 (2.7)</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szCs w:val="20"/>
              </w:rPr>
            </w:pPr>
            <w:r w:rsidRPr="00E35EA1">
              <w:rPr>
                <w:szCs w:val="20"/>
              </w:rPr>
              <w:t>1 (0.6)</w:t>
            </w:r>
          </w:p>
        </w:tc>
        <w:tc>
          <w:tcPr>
            <w:tcW w:w="935" w:type="pct"/>
            <w:tcBorders>
              <w:top w:val="nil"/>
              <w:left w:val="single" w:sz="4" w:space="0" w:color="auto"/>
              <w:bottom w:val="single" w:sz="4" w:space="0" w:color="auto"/>
              <w:right w:val="single" w:sz="4" w:space="0" w:color="auto"/>
            </w:tcBorders>
            <w:vAlign w:val="center"/>
          </w:tcPr>
          <w:p w:rsidR="00F568AB" w:rsidRPr="00E35EA1" w:rsidRDefault="00F568AB" w:rsidP="00CA26CC">
            <w:pPr>
              <w:pStyle w:val="TableText0"/>
              <w:jc w:val="center"/>
              <w:rPr>
                <w:szCs w:val="20"/>
              </w:rPr>
            </w:pPr>
            <w:r w:rsidRPr="00E35EA1">
              <w:rPr>
                <w:szCs w:val="20"/>
              </w:rPr>
              <w:t>4.27 (0.55, 33.39)</w:t>
            </w:r>
          </w:p>
        </w:tc>
        <w:tc>
          <w:tcPr>
            <w:tcW w:w="935" w:type="pct"/>
            <w:tcBorders>
              <w:top w:val="nil"/>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iCs/>
                <w:szCs w:val="20"/>
              </w:rPr>
            </w:pPr>
            <w:r w:rsidRPr="00E35EA1">
              <w:rPr>
                <w:szCs w:val="20"/>
              </w:rPr>
              <w:t>0.02 (0.00, 0.04)</w:t>
            </w:r>
          </w:p>
        </w:tc>
      </w:tr>
      <w:tr w:rsidR="00F568AB" w:rsidRPr="00E63DF4" w:rsidTr="00E35EA1">
        <w:trPr>
          <w:trHeight w:val="222"/>
        </w:trPr>
        <w:tc>
          <w:tcPr>
            <w:tcW w:w="1464" w:type="pct"/>
            <w:tcBorders>
              <w:top w:val="single" w:sz="4" w:space="0" w:color="auto"/>
              <w:left w:val="single" w:sz="4" w:space="0" w:color="auto"/>
              <w:bottom w:val="single" w:sz="4" w:space="0" w:color="auto"/>
              <w:right w:val="single" w:sz="4" w:space="0" w:color="auto"/>
            </w:tcBorders>
            <w:shd w:val="clear" w:color="auto" w:fill="auto"/>
          </w:tcPr>
          <w:p w:rsidR="00F568AB" w:rsidRPr="00E35EA1" w:rsidRDefault="00F568AB" w:rsidP="00CA26CC">
            <w:pPr>
              <w:pStyle w:val="TableText0"/>
              <w:rPr>
                <w:szCs w:val="20"/>
              </w:rPr>
            </w:pPr>
            <w:r w:rsidRPr="00E35EA1">
              <w:rPr>
                <w:szCs w:val="20"/>
              </w:rPr>
              <w:t>Infusion-related reaction</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szCs w:val="20"/>
              </w:rPr>
            </w:pPr>
            <w:r w:rsidRPr="00E35EA1">
              <w:rPr>
                <w:szCs w:val="20"/>
              </w:rPr>
              <w:t>7 (2.1)</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szCs w:val="20"/>
              </w:rPr>
            </w:pPr>
            <w:r w:rsidRPr="00E35EA1">
              <w:rPr>
                <w:szCs w:val="20"/>
              </w:rPr>
              <w:t>0</w:t>
            </w:r>
          </w:p>
        </w:tc>
        <w:tc>
          <w:tcPr>
            <w:tcW w:w="935" w:type="pct"/>
            <w:tcBorders>
              <w:top w:val="nil"/>
              <w:left w:val="single" w:sz="4" w:space="0" w:color="auto"/>
              <w:bottom w:val="single" w:sz="4" w:space="0" w:color="auto"/>
              <w:right w:val="single" w:sz="4" w:space="0" w:color="auto"/>
            </w:tcBorders>
            <w:vAlign w:val="center"/>
          </w:tcPr>
          <w:p w:rsidR="00F568AB" w:rsidRPr="00E35EA1" w:rsidRDefault="00F568AB" w:rsidP="00CA26CC">
            <w:pPr>
              <w:pStyle w:val="TableText0"/>
              <w:jc w:val="center"/>
              <w:rPr>
                <w:szCs w:val="20"/>
              </w:rPr>
            </w:pPr>
            <w:r w:rsidRPr="00E35EA1">
              <w:rPr>
                <w:szCs w:val="20"/>
              </w:rPr>
              <w:t>NE</w:t>
            </w:r>
          </w:p>
        </w:tc>
        <w:tc>
          <w:tcPr>
            <w:tcW w:w="935" w:type="pct"/>
            <w:tcBorders>
              <w:top w:val="nil"/>
              <w:left w:val="single" w:sz="4" w:space="0" w:color="auto"/>
              <w:bottom w:val="single" w:sz="4" w:space="0" w:color="auto"/>
              <w:right w:val="single" w:sz="4" w:space="0" w:color="auto"/>
            </w:tcBorders>
            <w:shd w:val="clear" w:color="auto" w:fill="auto"/>
            <w:vAlign w:val="center"/>
          </w:tcPr>
          <w:p w:rsidR="00F568AB" w:rsidRPr="00E35EA1" w:rsidRDefault="00F568AB" w:rsidP="00CA26CC">
            <w:pPr>
              <w:pStyle w:val="TableText0"/>
              <w:jc w:val="center"/>
              <w:rPr>
                <w:b/>
                <w:iCs/>
                <w:szCs w:val="20"/>
              </w:rPr>
            </w:pPr>
            <w:r w:rsidRPr="00E35EA1">
              <w:rPr>
                <w:b/>
                <w:szCs w:val="20"/>
              </w:rPr>
              <w:t>0.02 (0.01, 0.04)</w:t>
            </w:r>
          </w:p>
        </w:tc>
      </w:tr>
    </w:tbl>
    <w:p w:rsidR="00F568AB" w:rsidRPr="00E63DF4" w:rsidRDefault="00F568AB" w:rsidP="00F568AB">
      <w:pPr>
        <w:pStyle w:val="TableFigureFooter"/>
      </w:pPr>
      <w:r w:rsidRPr="00E63DF4">
        <w:t>Source: calculated during the ev</w:t>
      </w:r>
      <w:r w:rsidR="00C51546" w:rsidRPr="00E63DF4">
        <w:t>aluation based on Table 2.23, p</w:t>
      </w:r>
      <w:r w:rsidRPr="00E63DF4">
        <w:t>78 of the submission.</w:t>
      </w:r>
    </w:p>
    <w:p w:rsidR="00F568AB" w:rsidRPr="00E63DF4" w:rsidRDefault="00F568AB" w:rsidP="00F568AB">
      <w:pPr>
        <w:pStyle w:val="TableFigureFooter"/>
      </w:pPr>
      <w:r w:rsidRPr="00E63DF4">
        <w:t>Abb</w:t>
      </w:r>
      <w:r w:rsidR="008C6455" w:rsidRPr="00E63DF4">
        <w:t>reviations: AE = adverse events;</w:t>
      </w:r>
      <w:r w:rsidRPr="00E63DF4">
        <w:t xml:space="preserve"> Atezo+Bev = atezolizumab plus bevacizumab</w:t>
      </w:r>
      <w:r w:rsidR="008C6455" w:rsidRPr="00E63DF4">
        <w:t>;</w:t>
      </w:r>
      <w:r w:rsidRPr="00E63DF4">
        <w:t xml:space="preserve"> CI = confidence intervals</w:t>
      </w:r>
      <w:r w:rsidR="008C6455" w:rsidRPr="00E63DF4">
        <w:t>;</w:t>
      </w:r>
      <w:r w:rsidRPr="00E63DF4">
        <w:t xml:space="preserve"> HR = hazard rati</w:t>
      </w:r>
      <w:r w:rsidR="008C6455" w:rsidRPr="00E63DF4">
        <w:t>o;</w:t>
      </w:r>
      <w:r w:rsidRPr="00E63DF4">
        <w:t xml:space="preserve"> n = number of participants reporting data, N = total participants in group</w:t>
      </w:r>
      <w:r w:rsidR="008C6455" w:rsidRPr="00E63DF4">
        <w:t>;</w:t>
      </w:r>
      <w:r w:rsidRPr="00E63DF4">
        <w:t xml:space="preserve"> NE = not e</w:t>
      </w:r>
      <w:r w:rsidR="008C6455" w:rsidRPr="00E63DF4">
        <w:t>stimable;</w:t>
      </w:r>
      <w:r w:rsidRPr="00E63DF4">
        <w:t xml:space="preserve"> RD = risk difference</w:t>
      </w:r>
      <w:r w:rsidR="008C6455" w:rsidRPr="00E63DF4">
        <w:t>;</w:t>
      </w:r>
      <w:r w:rsidRPr="00E63DF4">
        <w:t xml:space="preserve"> RR = relative risk</w:t>
      </w:r>
    </w:p>
    <w:p w:rsidR="00F568AB" w:rsidRPr="00E63DF4" w:rsidRDefault="00F568AB" w:rsidP="00F568AB">
      <w:pPr>
        <w:pStyle w:val="TableFigureFooter"/>
        <w:rPr>
          <w:rFonts w:eastAsia="Calibri"/>
        </w:rPr>
      </w:pPr>
      <w:r w:rsidRPr="00E63DF4">
        <w:rPr>
          <w:rFonts w:eastAsia="Calibri"/>
        </w:rPr>
        <w:t xml:space="preserve">Note: Bold indicates statistically significant difference; </w:t>
      </w:r>
      <w:r w:rsidRPr="00E63DF4">
        <w:rPr>
          <w:rFonts w:eastAsia="Calibri"/>
          <w:iCs/>
        </w:rPr>
        <w:t>excluded pulmonary embolism (&lt;2% difference) due to incorrect n (%) stated for sorafenib in the submission – should be 2 (1.3%) instead of 4 (2.6%)</w:t>
      </w:r>
    </w:p>
    <w:p w:rsidR="000239CD" w:rsidRPr="00E63DF4" w:rsidRDefault="004F207B" w:rsidP="000239CD">
      <w:pPr>
        <w:pStyle w:val="3-BodyText"/>
      </w:pPr>
      <w:r w:rsidRPr="00E63DF4">
        <w:rPr>
          <w:bCs/>
        </w:rPr>
        <w:t>A higher proportion of patients experienced treatment-related PPES in the sorafenib arm (48.1%, any grade; 8.3%, Grade 3</w:t>
      </w:r>
      <w:r w:rsidR="004325F5" w:rsidRPr="00E63DF4">
        <w:rPr>
          <w:bCs/>
        </w:rPr>
        <w:t>/</w:t>
      </w:r>
      <w:r w:rsidRPr="00E63DF4">
        <w:rPr>
          <w:bCs/>
        </w:rPr>
        <w:t>4) compared to the Atezo+Bev arm (0.6%, any grade; 0, Grade 3</w:t>
      </w:r>
      <w:r w:rsidR="004325F5" w:rsidRPr="00E63DF4">
        <w:rPr>
          <w:bCs/>
        </w:rPr>
        <w:t>/</w:t>
      </w:r>
      <w:r w:rsidRPr="00E63DF4">
        <w:rPr>
          <w:bCs/>
        </w:rPr>
        <w:t xml:space="preserve">4). </w:t>
      </w:r>
      <w:r w:rsidR="00F57997" w:rsidRPr="00E63DF4">
        <w:rPr>
          <w:bCs/>
          <w:iCs/>
        </w:rPr>
        <w:t>T</w:t>
      </w:r>
      <w:r w:rsidRPr="00E63DF4">
        <w:rPr>
          <w:bCs/>
          <w:iCs/>
        </w:rPr>
        <w:t>he PBAC previously noted that th</w:t>
      </w:r>
      <w:r w:rsidR="000E51A9" w:rsidRPr="00E63DF4">
        <w:rPr>
          <w:bCs/>
          <w:iCs/>
        </w:rPr>
        <w:t xml:space="preserve">e occurrence of PPES </w:t>
      </w:r>
      <w:r w:rsidRPr="00E63DF4">
        <w:rPr>
          <w:bCs/>
          <w:iCs/>
        </w:rPr>
        <w:t>may have a significant impact on a patient’s quality of life (para 4.2, lenvatinib, Public Summary Document, November 2018 PBAC meeting</w:t>
      </w:r>
      <w:r w:rsidR="00407B27" w:rsidRPr="00E63DF4">
        <w:rPr>
          <w:bCs/>
          <w:iCs/>
        </w:rPr>
        <w:t>).</w:t>
      </w:r>
    </w:p>
    <w:p w:rsidR="007F1017" w:rsidRPr="00E63DF4" w:rsidRDefault="007F1017" w:rsidP="00D86231">
      <w:pPr>
        <w:pStyle w:val="4-SubsectionHeading"/>
      </w:pPr>
      <w:bookmarkStart w:id="16" w:name="_Toc22897643"/>
      <w:bookmarkStart w:id="17" w:name="_Toc40710594"/>
      <w:r w:rsidRPr="00E63DF4">
        <w:t>Benefits/harms</w:t>
      </w:r>
      <w:bookmarkEnd w:id="16"/>
      <w:bookmarkEnd w:id="17"/>
    </w:p>
    <w:p w:rsidR="00E723BA" w:rsidRPr="00E63DF4" w:rsidRDefault="00EC00C9" w:rsidP="0052144F">
      <w:pPr>
        <w:pStyle w:val="3-BodyText"/>
        <w:rPr>
          <w:rStyle w:val="CommentReference"/>
          <w:rFonts w:asciiTheme="minorHAnsi" w:hAnsiTheme="minorHAnsi"/>
          <w:b w:val="0"/>
          <w:sz w:val="24"/>
          <w:szCs w:val="24"/>
        </w:rPr>
      </w:pPr>
      <w:r w:rsidRPr="00E63DF4">
        <w:t xml:space="preserve">A summary of the comparative benefits and harms for </w:t>
      </w:r>
      <w:r w:rsidR="00E855C5" w:rsidRPr="00E63DF4">
        <w:t>A</w:t>
      </w:r>
      <w:r w:rsidR="00DC2064" w:rsidRPr="00E63DF4">
        <w:t>tezo+Bev</w:t>
      </w:r>
      <w:r w:rsidR="00E855C5" w:rsidRPr="00E63DF4">
        <w:t xml:space="preserve"> versus sorafenib</w:t>
      </w:r>
      <w:r w:rsidRPr="00E63DF4">
        <w:t xml:space="preserve"> is presented in </w:t>
      </w:r>
      <w:r w:rsidR="00B77E0B" w:rsidRPr="00E63DF4">
        <w:t>T</w:t>
      </w:r>
      <w:r w:rsidRPr="00E63DF4">
        <w:t xml:space="preserve">able </w:t>
      </w:r>
      <w:r w:rsidR="00B77E0B" w:rsidRPr="00E63DF4">
        <w:t>11</w:t>
      </w:r>
      <w:r w:rsidRPr="00E63DF4">
        <w:t>.</w:t>
      </w:r>
    </w:p>
    <w:p w:rsidR="00B62715" w:rsidRPr="00E63DF4" w:rsidRDefault="009F4A79" w:rsidP="00D2155B">
      <w:pPr>
        <w:pStyle w:val="TableFigureHeading"/>
        <w:rPr>
          <w:rStyle w:val="CommentReference"/>
          <w:b/>
          <w:szCs w:val="24"/>
        </w:rPr>
      </w:pPr>
      <w:r w:rsidRPr="00E63DF4">
        <w:rPr>
          <w:rStyle w:val="CommentReference"/>
          <w:b/>
          <w:szCs w:val="24"/>
        </w:rPr>
        <w:lastRenderedPageBreak/>
        <w:t>Table 11</w:t>
      </w:r>
      <w:r w:rsidR="00B62715" w:rsidRPr="00E63DF4">
        <w:rPr>
          <w:rStyle w:val="CommentReference"/>
          <w:b/>
          <w:szCs w:val="24"/>
        </w:rPr>
        <w:t xml:space="preserve">: Summary of comparative benefits and harms for </w:t>
      </w:r>
      <w:r w:rsidR="003F7DAE" w:rsidRPr="00E63DF4">
        <w:rPr>
          <w:rStyle w:val="CommentReference"/>
          <w:b/>
          <w:szCs w:val="24"/>
        </w:rPr>
        <w:t>Atezo+Bev and sorafenib</w:t>
      </w:r>
    </w:p>
    <w:tbl>
      <w:tblPr>
        <w:tblStyle w:val="TableGrid"/>
        <w:tblW w:w="5000" w:type="pct"/>
        <w:tblCellMar>
          <w:left w:w="28" w:type="dxa"/>
          <w:right w:w="28" w:type="dxa"/>
        </w:tblCellMar>
        <w:tblLook w:val="04A0" w:firstRow="1" w:lastRow="0" w:firstColumn="1" w:lastColumn="0" w:noHBand="0" w:noVBand="1"/>
        <w:tblCaption w:val="Table 11: Summary of comparative benefits and harms for Atezo+Bev and sorafenib"/>
      </w:tblPr>
      <w:tblGrid>
        <w:gridCol w:w="2470"/>
        <w:gridCol w:w="1450"/>
        <w:gridCol w:w="1519"/>
        <w:gridCol w:w="2012"/>
        <w:gridCol w:w="1589"/>
      </w:tblGrid>
      <w:tr w:rsidR="003F7DAE" w:rsidRPr="00E35EA1" w:rsidTr="009C58F4">
        <w:trPr>
          <w:trHeight w:val="20"/>
          <w:tblHeader/>
        </w:trPr>
        <w:tc>
          <w:tcPr>
            <w:tcW w:w="5000" w:type="pct"/>
            <w:gridSpan w:val="5"/>
            <w:shd w:val="clear" w:color="auto" w:fill="auto"/>
          </w:tcPr>
          <w:p w:rsidR="003F7DAE" w:rsidRPr="00E35EA1" w:rsidRDefault="003F7DAE" w:rsidP="00D2155B">
            <w:pPr>
              <w:pStyle w:val="In-tableHeading"/>
              <w:rPr>
                <w:szCs w:val="20"/>
                <w:lang w:val="en-AU"/>
              </w:rPr>
            </w:pPr>
            <w:r w:rsidRPr="00E35EA1">
              <w:rPr>
                <w:szCs w:val="20"/>
                <w:lang w:val="en-AU"/>
              </w:rPr>
              <w:t>Benefits</w:t>
            </w:r>
          </w:p>
        </w:tc>
      </w:tr>
      <w:tr w:rsidR="00330DAA" w:rsidRPr="00E35EA1" w:rsidTr="00E35EA1">
        <w:trPr>
          <w:trHeight w:val="20"/>
        </w:trPr>
        <w:tc>
          <w:tcPr>
            <w:tcW w:w="5000" w:type="pct"/>
            <w:gridSpan w:val="5"/>
            <w:shd w:val="clear" w:color="auto" w:fill="auto"/>
          </w:tcPr>
          <w:p w:rsidR="00330DAA" w:rsidRPr="00E35EA1" w:rsidRDefault="00330DAA" w:rsidP="00D2155B">
            <w:pPr>
              <w:pStyle w:val="In-tableHeading"/>
              <w:rPr>
                <w:szCs w:val="20"/>
                <w:lang w:val="en-AU"/>
              </w:rPr>
            </w:pPr>
            <w:r w:rsidRPr="00E35EA1">
              <w:rPr>
                <w:szCs w:val="20"/>
                <w:lang w:val="en-AU"/>
              </w:rPr>
              <w:t>Progression</w:t>
            </w:r>
            <w:r w:rsidR="007245E0" w:rsidRPr="00E35EA1">
              <w:rPr>
                <w:szCs w:val="20"/>
                <w:lang w:val="en-AU"/>
              </w:rPr>
              <w:t>-</w:t>
            </w:r>
            <w:r w:rsidRPr="00E35EA1">
              <w:rPr>
                <w:szCs w:val="20"/>
                <w:lang w:val="en-AU"/>
              </w:rPr>
              <w:t>free survival</w:t>
            </w:r>
            <w:r w:rsidR="00C83FAD" w:rsidRPr="00E35EA1">
              <w:rPr>
                <w:szCs w:val="20"/>
                <w:vertAlign w:val="superscript"/>
                <w:lang w:val="en-AU"/>
              </w:rPr>
              <w:t>a</w:t>
            </w:r>
            <w:r w:rsidR="003F7DAE" w:rsidRPr="00E35EA1">
              <w:rPr>
                <w:szCs w:val="20"/>
                <w:lang w:val="en-AU"/>
              </w:rPr>
              <w:t xml:space="preserve"> (median duration of follow</w:t>
            </w:r>
            <w:r w:rsidR="00B21079" w:rsidRPr="00E35EA1">
              <w:rPr>
                <w:szCs w:val="20"/>
                <w:lang w:val="en-AU"/>
              </w:rPr>
              <w:t>-</w:t>
            </w:r>
            <w:r w:rsidR="003F7DAE" w:rsidRPr="00E35EA1">
              <w:rPr>
                <w:szCs w:val="20"/>
                <w:lang w:val="en-AU"/>
              </w:rPr>
              <w:t>up 8.6</w:t>
            </w:r>
            <w:r w:rsidRPr="00E35EA1">
              <w:rPr>
                <w:szCs w:val="20"/>
                <w:lang w:val="en-AU"/>
              </w:rPr>
              <w:t xml:space="preserve"> months)</w:t>
            </w:r>
          </w:p>
        </w:tc>
      </w:tr>
      <w:tr w:rsidR="00330DAA" w:rsidRPr="00E35EA1" w:rsidTr="00E35EA1">
        <w:trPr>
          <w:trHeight w:val="20"/>
        </w:trPr>
        <w:tc>
          <w:tcPr>
            <w:tcW w:w="1366" w:type="pct"/>
            <w:tcBorders>
              <w:bottom w:val="single" w:sz="4" w:space="0" w:color="auto"/>
            </w:tcBorders>
            <w:shd w:val="clear" w:color="auto" w:fill="auto"/>
          </w:tcPr>
          <w:p w:rsidR="00330DAA" w:rsidRPr="00E35EA1" w:rsidRDefault="00330DAA" w:rsidP="00D2155B">
            <w:pPr>
              <w:pStyle w:val="In-tableHeading"/>
              <w:rPr>
                <w:szCs w:val="20"/>
                <w:lang w:val="en-AU"/>
              </w:rPr>
            </w:pPr>
            <w:r w:rsidRPr="00E35EA1">
              <w:rPr>
                <w:szCs w:val="20"/>
                <w:lang w:val="en-AU"/>
              </w:rPr>
              <w:t>Event</w:t>
            </w:r>
          </w:p>
        </w:tc>
        <w:tc>
          <w:tcPr>
            <w:tcW w:w="802" w:type="pct"/>
            <w:tcBorders>
              <w:bottom w:val="single" w:sz="4" w:space="0" w:color="auto"/>
            </w:tcBorders>
            <w:shd w:val="clear" w:color="auto" w:fill="auto"/>
          </w:tcPr>
          <w:p w:rsidR="00330DAA" w:rsidRPr="00E35EA1" w:rsidRDefault="003F7DAE" w:rsidP="00D2155B">
            <w:pPr>
              <w:pStyle w:val="In-tableHeading"/>
              <w:jc w:val="center"/>
              <w:rPr>
                <w:szCs w:val="20"/>
                <w:lang w:val="en-AU"/>
              </w:rPr>
            </w:pPr>
            <w:r w:rsidRPr="00E35EA1">
              <w:rPr>
                <w:szCs w:val="20"/>
                <w:lang w:val="en-AU"/>
              </w:rPr>
              <w:t>Atezo+Bev</w:t>
            </w:r>
          </w:p>
        </w:tc>
        <w:tc>
          <w:tcPr>
            <w:tcW w:w="840" w:type="pct"/>
            <w:tcBorders>
              <w:bottom w:val="single" w:sz="4" w:space="0" w:color="auto"/>
            </w:tcBorders>
            <w:shd w:val="clear" w:color="auto" w:fill="auto"/>
          </w:tcPr>
          <w:p w:rsidR="00330DAA" w:rsidRPr="00E35EA1" w:rsidRDefault="003F7DAE" w:rsidP="00D2155B">
            <w:pPr>
              <w:pStyle w:val="In-tableHeading"/>
              <w:jc w:val="center"/>
              <w:rPr>
                <w:szCs w:val="20"/>
                <w:lang w:val="en-AU"/>
              </w:rPr>
            </w:pPr>
            <w:r w:rsidRPr="00E35EA1">
              <w:rPr>
                <w:szCs w:val="20"/>
                <w:lang w:val="en-AU"/>
              </w:rPr>
              <w:t>Sorafenib</w:t>
            </w:r>
          </w:p>
        </w:tc>
        <w:tc>
          <w:tcPr>
            <w:tcW w:w="1113" w:type="pct"/>
            <w:tcBorders>
              <w:bottom w:val="single" w:sz="4" w:space="0" w:color="auto"/>
            </w:tcBorders>
            <w:shd w:val="clear" w:color="auto" w:fill="auto"/>
          </w:tcPr>
          <w:p w:rsidR="00330DAA" w:rsidRPr="00E35EA1" w:rsidRDefault="00330DAA" w:rsidP="00D2155B">
            <w:pPr>
              <w:pStyle w:val="In-tableHeading"/>
              <w:jc w:val="center"/>
              <w:rPr>
                <w:szCs w:val="20"/>
                <w:lang w:val="en-AU"/>
              </w:rPr>
            </w:pPr>
            <w:r w:rsidRPr="00E35EA1">
              <w:rPr>
                <w:szCs w:val="20"/>
                <w:lang w:val="en-AU"/>
              </w:rPr>
              <w:t>Absolute Difference</w:t>
            </w:r>
          </w:p>
        </w:tc>
        <w:tc>
          <w:tcPr>
            <w:tcW w:w="879" w:type="pct"/>
            <w:tcBorders>
              <w:bottom w:val="single" w:sz="4" w:space="0" w:color="auto"/>
            </w:tcBorders>
            <w:shd w:val="clear" w:color="auto" w:fill="auto"/>
          </w:tcPr>
          <w:p w:rsidR="00330DAA" w:rsidRPr="00E35EA1" w:rsidRDefault="00330DAA" w:rsidP="00D2155B">
            <w:pPr>
              <w:pStyle w:val="In-tableHeading"/>
              <w:jc w:val="center"/>
              <w:rPr>
                <w:szCs w:val="20"/>
                <w:lang w:val="en-AU"/>
              </w:rPr>
            </w:pPr>
            <w:r w:rsidRPr="00E35EA1">
              <w:rPr>
                <w:szCs w:val="20"/>
                <w:lang w:val="en-AU"/>
              </w:rPr>
              <w:t>HR (95% CI)</w:t>
            </w:r>
          </w:p>
        </w:tc>
      </w:tr>
      <w:tr w:rsidR="00C83FAD" w:rsidRPr="00E35EA1" w:rsidTr="00E35EA1">
        <w:trPr>
          <w:trHeight w:val="20"/>
        </w:trPr>
        <w:tc>
          <w:tcPr>
            <w:tcW w:w="1366" w:type="pct"/>
            <w:tcBorders>
              <w:bottom w:val="single" w:sz="4" w:space="0" w:color="auto"/>
              <w:right w:val="single" w:sz="4" w:space="0" w:color="auto"/>
            </w:tcBorders>
            <w:shd w:val="clear" w:color="auto" w:fill="auto"/>
          </w:tcPr>
          <w:p w:rsidR="00C83FAD" w:rsidRPr="00E35EA1" w:rsidRDefault="00C83FAD" w:rsidP="00C83FAD">
            <w:pPr>
              <w:pStyle w:val="TableText0"/>
              <w:keepLines/>
              <w:widowControl w:val="0"/>
              <w:rPr>
                <w:szCs w:val="20"/>
              </w:rPr>
            </w:pPr>
            <w:r w:rsidRPr="00E35EA1">
              <w:rPr>
                <w:szCs w:val="20"/>
              </w:rPr>
              <w:t>Progressed</w:t>
            </w:r>
            <w:r w:rsidR="0076439D" w:rsidRPr="00E35EA1">
              <w:rPr>
                <w:szCs w:val="20"/>
              </w:rPr>
              <w:t>/dead</w:t>
            </w:r>
            <w:r w:rsidRPr="00E35EA1">
              <w:rPr>
                <w:szCs w:val="20"/>
              </w:rPr>
              <w:t>, n/N (%)</w:t>
            </w:r>
          </w:p>
        </w:tc>
        <w:tc>
          <w:tcPr>
            <w:tcW w:w="802" w:type="pct"/>
            <w:vAlign w:val="center"/>
          </w:tcPr>
          <w:p w:rsidR="00C83FAD" w:rsidRPr="00E35EA1" w:rsidRDefault="00C83FAD" w:rsidP="00C83FAD">
            <w:pPr>
              <w:pStyle w:val="TableText0"/>
              <w:keepLines/>
              <w:widowControl w:val="0"/>
              <w:jc w:val="center"/>
              <w:rPr>
                <w:szCs w:val="20"/>
              </w:rPr>
            </w:pPr>
            <w:r w:rsidRPr="00E35EA1">
              <w:rPr>
                <w:szCs w:val="20"/>
              </w:rPr>
              <w:t>197/336 (58.6)</w:t>
            </w:r>
          </w:p>
        </w:tc>
        <w:tc>
          <w:tcPr>
            <w:tcW w:w="840" w:type="pct"/>
            <w:vAlign w:val="center"/>
          </w:tcPr>
          <w:p w:rsidR="00C83FAD" w:rsidRPr="00E35EA1" w:rsidRDefault="00C83FAD" w:rsidP="00C83FAD">
            <w:pPr>
              <w:pStyle w:val="TableText0"/>
              <w:keepLines/>
              <w:widowControl w:val="0"/>
              <w:jc w:val="center"/>
              <w:rPr>
                <w:szCs w:val="20"/>
              </w:rPr>
            </w:pPr>
            <w:r w:rsidRPr="00E35EA1">
              <w:rPr>
                <w:szCs w:val="20"/>
              </w:rPr>
              <w:t>109/165 (66.1)</w:t>
            </w:r>
          </w:p>
        </w:tc>
        <w:tc>
          <w:tcPr>
            <w:tcW w:w="1113" w:type="pct"/>
            <w:vAlign w:val="center"/>
          </w:tcPr>
          <w:p w:rsidR="00C83FAD" w:rsidRPr="00E35EA1" w:rsidRDefault="00C83FAD" w:rsidP="008A0B77">
            <w:pPr>
              <w:pStyle w:val="TableText0"/>
              <w:keepLines/>
              <w:widowControl w:val="0"/>
              <w:jc w:val="center"/>
              <w:rPr>
                <w:szCs w:val="20"/>
              </w:rPr>
            </w:pPr>
            <w:r w:rsidRPr="00E35EA1">
              <w:rPr>
                <w:szCs w:val="20"/>
              </w:rPr>
              <w:t>-</w:t>
            </w:r>
          </w:p>
        </w:tc>
        <w:tc>
          <w:tcPr>
            <w:tcW w:w="879" w:type="pct"/>
            <w:vMerge w:val="restart"/>
            <w:tcBorders>
              <w:left w:val="single" w:sz="4" w:space="0" w:color="auto"/>
            </w:tcBorders>
            <w:shd w:val="clear" w:color="auto" w:fill="auto"/>
            <w:vAlign w:val="center"/>
          </w:tcPr>
          <w:p w:rsidR="00C83FAD" w:rsidRPr="00E35EA1" w:rsidRDefault="00C83FAD" w:rsidP="00C83FAD">
            <w:pPr>
              <w:pStyle w:val="TableText0"/>
              <w:keepNext w:val="0"/>
              <w:jc w:val="center"/>
              <w:rPr>
                <w:b/>
                <w:szCs w:val="20"/>
              </w:rPr>
            </w:pPr>
            <w:r w:rsidRPr="00E35EA1">
              <w:rPr>
                <w:b/>
                <w:szCs w:val="20"/>
              </w:rPr>
              <w:t>0.59</w:t>
            </w:r>
          </w:p>
          <w:p w:rsidR="00C83FAD" w:rsidRPr="00E35EA1" w:rsidRDefault="00C83FAD" w:rsidP="00C83FAD">
            <w:pPr>
              <w:pStyle w:val="TableText0"/>
              <w:keepLines/>
              <w:widowControl w:val="0"/>
              <w:jc w:val="center"/>
              <w:rPr>
                <w:szCs w:val="20"/>
              </w:rPr>
            </w:pPr>
            <w:r w:rsidRPr="00E35EA1">
              <w:rPr>
                <w:b/>
                <w:szCs w:val="20"/>
              </w:rPr>
              <w:t>(0.47, 0.76)</w:t>
            </w:r>
          </w:p>
          <w:p w:rsidR="00C83FAD" w:rsidRPr="00E35EA1" w:rsidRDefault="00C83FAD" w:rsidP="00C83FAD">
            <w:pPr>
              <w:pStyle w:val="TableText0"/>
              <w:keepLines/>
              <w:widowControl w:val="0"/>
              <w:jc w:val="center"/>
              <w:rPr>
                <w:b/>
                <w:szCs w:val="20"/>
              </w:rPr>
            </w:pPr>
            <w:r w:rsidRPr="00E35EA1">
              <w:rPr>
                <w:b/>
                <w:szCs w:val="20"/>
              </w:rPr>
              <w:t>P &lt;0.0001</w:t>
            </w:r>
          </w:p>
        </w:tc>
      </w:tr>
      <w:tr w:rsidR="00C83FAD" w:rsidRPr="00E35EA1" w:rsidTr="00E35EA1">
        <w:trPr>
          <w:trHeight w:val="20"/>
        </w:trPr>
        <w:tc>
          <w:tcPr>
            <w:tcW w:w="1366" w:type="pct"/>
            <w:tcBorders>
              <w:bottom w:val="single" w:sz="4" w:space="0" w:color="auto"/>
              <w:right w:val="single" w:sz="4" w:space="0" w:color="auto"/>
            </w:tcBorders>
            <w:shd w:val="clear" w:color="auto" w:fill="auto"/>
          </w:tcPr>
          <w:p w:rsidR="00C83FAD" w:rsidRPr="00E35EA1" w:rsidRDefault="00C83FAD" w:rsidP="00C83FAD">
            <w:pPr>
              <w:pStyle w:val="TableText0"/>
              <w:keepLines/>
              <w:widowControl w:val="0"/>
              <w:rPr>
                <w:szCs w:val="20"/>
              </w:rPr>
            </w:pPr>
            <w:r w:rsidRPr="00E35EA1">
              <w:rPr>
                <w:szCs w:val="20"/>
              </w:rPr>
              <w:t>Median PFS, months (95% CI)</w:t>
            </w:r>
          </w:p>
        </w:tc>
        <w:tc>
          <w:tcPr>
            <w:tcW w:w="802" w:type="pct"/>
            <w:vAlign w:val="center"/>
          </w:tcPr>
          <w:p w:rsidR="00C83FAD" w:rsidRPr="00E35EA1" w:rsidRDefault="00C83FAD" w:rsidP="00C83FAD">
            <w:pPr>
              <w:pStyle w:val="TableText0"/>
              <w:keepNext w:val="0"/>
              <w:jc w:val="center"/>
              <w:rPr>
                <w:szCs w:val="20"/>
              </w:rPr>
            </w:pPr>
            <w:r w:rsidRPr="00E35EA1">
              <w:rPr>
                <w:szCs w:val="20"/>
              </w:rPr>
              <w:t>6.83 months</w:t>
            </w:r>
          </w:p>
          <w:p w:rsidR="00C83FAD" w:rsidRPr="00E35EA1" w:rsidRDefault="00C83FAD" w:rsidP="00C83FAD">
            <w:pPr>
              <w:pStyle w:val="TableText0"/>
              <w:keepLines/>
              <w:widowControl w:val="0"/>
              <w:jc w:val="center"/>
              <w:rPr>
                <w:rFonts w:cs="Times New Roman"/>
                <w:szCs w:val="20"/>
              </w:rPr>
            </w:pPr>
            <w:r w:rsidRPr="00E35EA1">
              <w:rPr>
                <w:szCs w:val="20"/>
              </w:rPr>
              <w:t>(5.75, 8.28)</w:t>
            </w:r>
          </w:p>
        </w:tc>
        <w:tc>
          <w:tcPr>
            <w:tcW w:w="840" w:type="pct"/>
            <w:vAlign w:val="center"/>
          </w:tcPr>
          <w:p w:rsidR="00C83FAD" w:rsidRPr="00E35EA1" w:rsidRDefault="00C83FAD" w:rsidP="00C83FAD">
            <w:pPr>
              <w:pStyle w:val="TableText0"/>
              <w:keepNext w:val="0"/>
              <w:jc w:val="center"/>
              <w:rPr>
                <w:szCs w:val="20"/>
              </w:rPr>
            </w:pPr>
            <w:r w:rsidRPr="00E35EA1">
              <w:rPr>
                <w:szCs w:val="20"/>
              </w:rPr>
              <w:t>4.27 months</w:t>
            </w:r>
          </w:p>
          <w:p w:rsidR="00C83FAD" w:rsidRPr="00E35EA1" w:rsidRDefault="00C83FAD" w:rsidP="00C83FAD">
            <w:pPr>
              <w:pStyle w:val="TableText0"/>
              <w:keepLines/>
              <w:widowControl w:val="0"/>
              <w:jc w:val="center"/>
              <w:rPr>
                <w:rFonts w:cs="Times New Roman"/>
                <w:szCs w:val="20"/>
              </w:rPr>
            </w:pPr>
            <w:r w:rsidRPr="00E35EA1">
              <w:rPr>
                <w:szCs w:val="20"/>
              </w:rPr>
              <w:t>(3.98, 5.55)</w:t>
            </w:r>
          </w:p>
        </w:tc>
        <w:tc>
          <w:tcPr>
            <w:tcW w:w="1113" w:type="pct"/>
            <w:vAlign w:val="center"/>
          </w:tcPr>
          <w:p w:rsidR="00C83FAD" w:rsidRPr="00E35EA1" w:rsidRDefault="00C83FAD" w:rsidP="008A0B77">
            <w:pPr>
              <w:pStyle w:val="TableText0"/>
              <w:keepLines/>
              <w:widowControl w:val="0"/>
              <w:jc w:val="center"/>
              <w:rPr>
                <w:szCs w:val="20"/>
              </w:rPr>
            </w:pPr>
            <w:r w:rsidRPr="00E35EA1">
              <w:rPr>
                <w:szCs w:val="20"/>
              </w:rPr>
              <w:t>2.56 months</w:t>
            </w:r>
          </w:p>
        </w:tc>
        <w:tc>
          <w:tcPr>
            <w:tcW w:w="879" w:type="pct"/>
            <w:vMerge/>
            <w:tcBorders>
              <w:left w:val="single" w:sz="4" w:space="0" w:color="auto"/>
            </w:tcBorders>
            <w:shd w:val="clear" w:color="auto" w:fill="auto"/>
          </w:tcPr>
          <w:p w:rsidR="00C83FAD" w:rsidRPr="00E35EA1" w:rsidRDefault="00C83FAD" w:rsidP="00C83FAD">
            <w:pPr>
              <w:pStyle w:val="TableText0"/>
              <w:keepLines/>
              <w:widowControl w:val="0"/>
              <w:jc w:val="center"/>
              <w:rPr>
                <w:szCs w:val="20"/>
              </w:rPr>
            </w:pPr>
          </w:p>
        </w:tc>
      </w:tr>
      <w:tr w:rsidR="00C83FAD" w:rsidRPr="00E35EA1" w:rsidTr="00E35EA1">
        <w:trPr>
          <w:trHeight w:val="20"/>
        </w:trPr>
        <w:tc>
          <w:tcPr>
            <w:tcW w:w="1366" w:type="pct"/>
            <w:tcBorders>
              <w:top w:val="single" w:sz="4" w:space="0" w:color="auto"/>
              <w:bottom w:val="single" w:sz="4" w:space="0" w:color="auto"/>
              <w:right w:val="single" w:sz="4" w:space="0" w:color="auto"/>
            </w:tcBorders>
            <w:shd w:val="clear" w:color="auto" w:fill="auto"/>
          </w:tcPr>
          <w:p w:rsidR="00C83FAD" w:rsidRPr="00E35EA1" w:rsidRDefault="00C83FAD" w:rsidP="00816361">
            <w:pPr>
              <w:pStyle w:val="TableText0"/>
              <w:keepLines/>
              <w:widowControl w:val="0"/>
              <w:rPr>
                <w:szCs w:val="20"/>
              </w:rPr>
            </w:pPr>
            <w:r w:rsidRPr="00E35EA1">
              <w:rPr>
                <w:szCs w:val="20"/>
              </w:rPr>
              <w:t>% not progressed</w:t>
            </w:r>
            <w:r w:rsidR="0076439D" w:rsidRPr="00E35EA1">
              <w:rPr>
                <w:szCs w:val="20"/>
              </w:rPr>
              <w:t>/dead</w:t>
            </w:r>
            <w:r w:rsidRPr="00E35EA1">
              <w:rPr>
                <w:szCs w:val="20"/>
              </w:rPr>
              <w:t xml:space="preserve"> at 6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C83FAD" w:rsidRPr="00E35EA1" w:rsidRDefault="0076439D" w:rsidP="00816361">
            <w:pPr>
              <w:pStyle w:val="TableText0"/>
              <w:keepLines/>
              <w:widowControl w:val="0"/>
              <w:jc w:val="center"/>
              <w:rPr>
                <w:szCs w:val="20"/>
              </w:rPr>
            </w:pPr>
            <w:r w:rsidRPr="00E35EA1">
              <w:rPr>
                <w:szCs w:val="20"/>
              </w:rPr>
              <w:t>54.51</w:t>
            </w:r>
          </w:p>
          <w:p w:rsidR="0076439D" w:rsidRPr="00E35EA1" w:rsidRDefault="0076439D" w:rsidP="00816361">
            <w:pPr>
              <w:pStyle w:val="TableText0"/>
              <w:keepLines/>
              <w:widowControl w:val="0"/>
              <w:jc w:val="center"/>
              <w:rPr>
                <w:szCs w:val="20"/>
              </w:rPr>
            </w:pPr>
            <w:r w:rsidRPr="00E35EA1">
              <w:rPr>
                <w:szCs w:val="20"/>
              </w:rPr>
              <w:t>(49.06, 59.96)</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76439D" w:rsidRPr="00E35EA1" w:rsidRDefault="0076439D" w:rsidP="00816361">
            <w:pPr>
              <w:pStyle w:val="TableText0"/>
              <w:keepLines/>
              <w:widowControl w:val="0"/>
              <w:jc w:val="center"/>
              <w:rPr>
                <w:szCs w:val="20"/>
              </w:rPr>
            </w:pPr>
            <w:r w:rsidRPr="00E35EA1">
              <w:rPr>
                <w:szCs w:val="20"/>
              </w:rPr>
              <w:t>37.17</w:t>
            </w:r>
          </w:p>
          <w:p w:rsidR="00C83FAD" w:rsidRPr="00E35EA1" w:rsidRDefault="0076439D" w:rsidP="00816361">
            <w:pPr>
              <w:pStyle w:val="TableText0"/>
              <w:keepLines/>
              <w:widowControl w:val="0"/>
              <w:jc w:val="center"/>
              <w:rPr>
                <w:szCs w:val="20"/>
              </w:rPr>
            </w:pPr>
            <w:r w:rsidRPr="00E35EA1">
              <w:rPr>
                <w:szCs w:val="20"/>
              </w:rPr>
              <w:t>(29.00, 45.34)</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C83FAD" w:rsidRPr="00E35EA1" w:rsidRDefault="00794F3A" w:rsidP="008A0B77">
            <w:pPr>
              <w:pStyle w:val="TableText0"/>
              <w:keepLines/>
              <w:widowControl w:val="0"/>
              <w:jc w:val="center"/>
              <w:rPr>
                <w:szCs w:val="20"/>
              </w:rPr>
            </w:pPr>
            <w:r w:rsidRPr="00E35EA1">
              <w:rPr>
                <w:szCs w:val="20"/>
              </w:rPr>
              <w:t>17.34</w:t>
            </w:r>
            <w:r w:rsidR="00C83FAD" w:rsidRPr="00E35EA1">
              <w:rPr>
                <w:szCs w:val="20"/>
              </w:rPr>
              <w:t>%</w:t>
            </w:r>
          </w:p>
        </w:tc>
        <w:tc>
          <w:tcPr>
            <w:tcW w:w="879" w:type="pct"/>
            <w:vMerge/>
            <w:tcBorders>
              <w:left w:val="single" w:sz="4" w:space="0" w:color="auto"/>
            </w:tcBorders>
            <w:shd w:val="clear" w:color="auto" w:fill="auto"/>
          </w:tcPr>
          <w:p w:rsidR="00C83FAD" w:rsidRPr="00E35EA1" w:rsidRDefault="00C83FAD" w:rsidP="00C83FAD">
            <w:pPr>
              <w:pStyle w:val="TableText0"/>
              <w:keepLines/>
              <w:widowControl w:val="0"/>
              <w:rPr>
                <w:szCs w:val="20"/>
              </w:rPr>
            </w:pPr>
          </w:p>
        </w:tc>
      </w:tr>
      <w:tr w:rsidR="00C83FAD" w:rsidRPr="00E35EA1" w:rsidTr="00E35EA1">
        <w:trPr>
          <w:trHeight w:val="20"/>
        </w:trPr>
        <w:tc>
          <w:tcPr>
            <w:tcW w:w="1366" w:type="pct"/>
            <w:tcBorders>
              <w:top w:val="single" w:sz="4" w:space="0" w:color="auto"/>
              <w:bottom w:val="single" w:sz="4" w:space="0" w:color="auto"/>
              <w:right w:val="single" w:sz="4" w:space="0" w:color="auto"/>
            </w:tcBorders>
            <w:shd w:val="clear" w:color="auto" w:fill="auto"/>
          </w:tcPr>
          <w:p w:rsidR="00C83FAD" w:rsidRPr="00E35EA1" w:rsidRDefault="00C83FAD" w:rsidP="00816361">
            <w:pPr>
              <w:pStyle w:val="TableText0"/>
              <w:keepLines/>
              <w:widowControl w:val="0"/>
              <w:rPr>
                <w:szCs w:val="20"/>
              </w:rPr>
            </w:pPr>
            <w:r w:rsidRPr="00E35EA1">
              <w:rPr>
                <w:szCs w:val="20"/>
              </w:rPr>
              <w:t>% not progressed</w:t>
            </w:r>
            <w:r w:rsidR="0076439D" w:rsidRPr="00E35EA1">
              <w:rPr>
                <w:szCs w:val="20"/>
              </w:rPr>
              <w:t>/dead</w:t>
            </w:r>
            <w:r w:rsidRPr="00E35EA1">
              <w:rPr>
                <w:szCs w:val="20"/>
              </w:rPr>
              <w:t xml:space="preserve"> at 12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794F3A" w:rsidRPr="00E35EA1" w:rsidRDefault="00794F3A" w:rsidP="00816361">
            <w:pPr>
              <w:pStyle w:val="TableText0"/>
              <w:keepLines/>
              <w:widowControl w:val="0"/>
              <w:jc w:val="center"/>
              <w:rPr>
                <w:szCs w:val="20"/>
              </w:rPr>
            </w:pPr>
            <w:r w:rsidRPr="00E35EA1">
              <w:rPr>
                <w:szCs w:val="20"/>
              </w:rPr>
              <w:t>34.00</w:t>
            </w:r>
          </w:p>
          <w:p w:rsidR="00C83FAD" w:rsidRPr="00E35EA1" w:rsidRDefault="00794F3A" w:rsidP="00816361">
            <w:pPr>
              <w:pStyle w:val="TableText0"/>
              <w:keepLines/>
              <w:widowControl w:val="0"/>
              <w:jc w:val="center"/>
              <w:rPr>
                <w:szCs w:val="20"/>
              </w:rPr>
            </w:pPr>
            <w:r w:rsidRPr="00E35EA1">
              <w:rPr>
                <w:szCs w:val="20"/>
              </w:rPr>
              <w:t>(27.90, 40.10)</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794F3A" w:rsidRPr="00E35EA1" w:rsidRDefault="00794F3A" w:rsidP="00816361">
            <w:pPr>
              <w:pStyle w:val="TableText0"/>
              <w:keepLines/>
              <w:widowControl w:val="0"/>
              <w:jc w:val="center"/>
              <w:rPr>
                <w:szCs w:val="20"/>
              </w:rPr>
            </w:pPr>
            <w:r w:rsidRPr="00E35EA1">
              <w:rPr>
                <w:szCs w:val="20"/>
              </w:rPr>
              <w:t>9.22</w:t>
            </w:r>
          </w:p>
          <w:p w:rsidR="00C83FAD" w:rsidRPr="00E35EA1" w:rsidRDefault="00794F3A" w:rsidP="00816361">
            <w:pPr>
              <w:pStyle w:val="TableText0"/>
              <w:keepLines/>
              <w:widowControl w:val="0"/>
              <w:jc w:val="center"/>
              <w:rPr>
                <w:szCs w:val="20"/>
              </w:rPr>
            </w:pPr>
            <w:r w:rsidRPr="00E35EA1">
              <w:rPr>
                <w:szCs w:val="20"/>
              </w:rPr>
              <w:t>(0.00, 18.46)</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C83FAD" w:rsidRPr="00E35EA1" w:rsidRDefault="00794F3A" w:rsidP="008A0B77">
            <w:pPr>
              <w:pStyle w:val="TableText0"/>
              <w:keepLines/>
              <w:widowControl w:val="0"/>
              <w:jc w:val="center"/>
              <w:rPr>
                <w:rFonts w:cs="Times New Roman"/>
                <w:szCs w:val="20"/>
              </w:rPr>
            </w:pPr>
            <w:r w:rsidRPr="00E35EA1">
              <w:rPr>
                <w:rFonts w:cs="Times New Roman"/>
                <w:szCs w:val="20"/>
              </w:rPr>
              <w:t>24.78</w:t>
            </w:r>
            <w:r w:rsidR="00C83FAD" w:rsidRPr="00E35EA1">
              <w:rPr>
                <w:rFonts w:cs="Times New Roman"/>
                <w:szCs w:val="20"/>
              </w:rPr>
              <w:t>%</w:t>
            </w:r>
          </w:p>
        </w:tc>
        <w:tc>
          <w:tcPr>
            <w:tcW w:w="879" w:type="pct"/>
            <w:vMerge/>
            <w:tcBorders>
              <w:left w:val="single" w:sz="4" w:space="0" w:color="auto"/>
              <w:bottom w:val="single" w:sz="4" w:space="0" w:color="auto"/>
            </w:tcBorders>
            <w:shd w:val="clear" w:color="auto" w:fill="auto"/>
          </w:tcPr>
          <w:p w:rsidR="00C83FAD" w:rsidRPr="00E35EA1" w:rsidRDefault="00C83FAD" w:rsidP="00816361">
            <w:pPr>
              <w:pStyle w:val="TableText0"/>
              <w:keepLines/>
              <w:widowControl w:val="0"/>
              <w:jc w:val="center"/>
              <w:rPr>
                <w:szCs w:val="20"/>
              </w:rPr>
            </w:pPr>
          </w:p>
        </w:tc>
      </w:tr>
      <w:tr w:rsidR="00330DAA" w:rsidRPr="00E35EA1" w:rsidTr="00E35EA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330DAA" w:rsidRPr="00E35EA1" w:rsidRDefault="00330DAA" w:rsidP="00D2155B">
            <w:pPr>
              <w:pStyle w:val="In-tableHeading"/>
              <w:rPr>
                <w:szCs w:val="20"/>
                <w:lang w:val="en-AU"/>
              </w:rPr>
            </w:pPr>
            <w:r w:rsidRPr="00E35EA1">
              <w:rPr>
                <w:szCs w:val="20"/>
                <w:lang w:val="en-AU"/>
              </w:rPr>
              <w:t>Overall survival</w:t>
            </w:r>
            <w:r w:rsidR="00C83FAD" w:rsidRPr="00E35EA1">
              <w:rPr>
                <w:szCs w:val="20"/>
                <w:lang w:val="en-AU"/>
              </w:rPr>
              <w:t xml:space="preserve"> (median duration of follow</w:t>
            </w:r>
            <w:r w:rsidR="00B21079" w:rsidRPr="00E35EA1">
              <w:rPr>
                <w:szCs w:val="20"/>
                <w:lang w:val="en-AU"/>
              </w:rPr>
              <w:t>-</w:t>
            </w:r>
            <w:r w:rsidR="00C83FAD" w:rsidRPr="00E35EA1">
              <w:rPr>
                <w:szCs w:val="20"/>
                <w:lang w:val="en-AU"/>
              </w:rPr>
              <w:t>up 8.6</w:t>
            </w:r>
            <w:r w:rsidRPr="00E35EA1">
              <w:rPr>
                <w:szCs w:val="20"/>
                <w:lang w:val="en-AU"/>
              </w:rPr>
              <w:t xml:space="preserve"> months)</w:t>
            </w:r>
          </w:p>
        </w:tc>
      </w:tr>
      <w:tr w:rsidR="008A0B77" w:rsidRPr="00E35EA1" w:rsidTr="00E35EA1">
        <w:trPr>
          <w:trHeight w:val="241"/>
        </w:trPr>
        <w:tc>
          <w:tcPr>
            <w:tcW w:w="1366" w:type="pct"/>
            <w:tcBorders>
              <w:top w:val="single" w:sz="4" w:space="0" w:color="auto"/>
              <w:left w:val="single" w:sz="4" w:space="0" w:color="auto"/>
              <w:bottom w:val="single" w:sz="4" w:space="0" w:color="auto"/>
              <w:right w:val="single" w:sz="4" w:space="0" w:color="auto"/>
            </w:tcBorders>
            <w:shd w:val="clear" w:color="auto" w:fill="auto"/>
          </w:tcPr>
          <w:p w:rsidR="008A0B77" w:rsidRPr="00E35EA1" w:rsidRDefault="008A0B77" w:rsidP="00C83FAD">
            <w:pPr>
              <w:pStyle w:val="TableText0"/>
              <w:keepLines/>
              <w:widowControl w:val="0"/>
              <w:rPr>
                <w:szCs w:val="20"/>
              </w:rPr>
            </w:pPr>
            <w:bookmarkStart w:id="18" w:name="_GoBack" w:colFirst="4" w:colLast="4"/>
            <w:r w:rsidRPr="00E35EA1">
              <w:rPr>
                <w:szCs w:val="20"/>
              </w:rPr>
              <w:t xml:space="preserve">Deaths, n/N (%) </w:t>
            </w:r>
          </w:p>
        </w:tc>
        <w:tc>
          <w:tcPr>
            <w:tcW w:w="802" w:type="pct"/>
            <w:vAlign w:val="center"/>
          </w:tcPr>
          <w:p w:rsidR="008A0B77" w:rsidRPr="00E35EA1" w:rsidRDefault="008A0B77" w:rsidP="00C83FAD">
            <w:pPr>
              <w:pStyle w:val="TableText0"/>
              <w:keepLines/>
              <w:widowControl w:val="0"/>
              <w:jc w:val="center"/>
              <w:rPr>
                <w:szCs w:val="20"/>
              </w:rPr>
            </w:pPr>
            <w:r w:rsidRPr="00E35EA1">
              <w:rPr>
                <w:szCs w:val="20"/>
              </w:rPr>
              <w:t>96/336 (28.6)</w:t>
            </w:r>
          </w:p>
        </w:tc>
        <w:tc>
          <w:tcPr>
            <w:tcW w:w="840" w:type="pct"/>
            <w:vAlign w:val="center"/>
          </w:tcPr>
          <w:p w:rsidR="008A0B77" w:rsidRPr="00E35EA1" w:rsidRDefault="008A0B77" w:rsidP="00C83FAD">
            <w:pPr>
              <w:pStyle w:val="TableText0"/>
              <w:keepLines/>
              <w:widowControl w:val="0"/>
              <w:jc w:val="center"/>
              <w:rPr>
                <w:szCs w:val="20"/>
              </w:rPr>
            </w:pPr>
            <w:r w:rsidRPr="00E35EA1">
              <w:rPr>
                <w:szCs w:val="20"/>
              </w:rPr>
              <w:t>65/165 (39.4)</w:t>
            </w:r>
          </w:p>
        </w:tc>
        <w:tc>
          <w:tcPr>
            <w:tcW w:w="1113" w:type="pct"/>
            <w:vAlign w:val="center"/>
          </w:tcPr>
          <w:p w:rsidR="008A0B77" w:rsidRPr="00E35EA1" w:rsidRDefault="008A0B77" w:rsidP="00C83FAD">
            <w:pPr>
              <w:pStyle w:val="TableText0"/>
              <w:keepLines/>
              <w:widowControl w:val="0"/>
              <w:jc w:val="center"/>
              <w:rPr>
                <w:szCs w:val="20"/>
              </w:rPr>
            </w:pPr>
            <w:r w:rsidRPr="00E35EA1">
              <w:rPr>
                <w:szCs w:val="20"/>
              </w:rPr>
              <w:t>-</w:t>
            </w:r>
          </w:p>
        </w:tc>
        <w:tc>
          <w:tcPr>
            <w:tcW w:w="879" w:type="pct"/>
            <w:vMerge w:val="restart"/>
            <w:tcBorders>
              <w:top w:val="single" w:sz="4" w:space="0" w:color="auto"/>
              <w:left w:val="single" w:sz="4" w:space="0" w:color="auto"/>
              <w:right w:val="single" w:sz="4" w:space="0" w:color="auto"/>
            </w:tcBorders>
            <w:shd w:val="clear" w:color="auto" w:fill="auto"/>
            <w:vAlign w:val="center"/>
          </w:tcPr>
          <w:p w:rsidR="008A0B77" w:rsidRPr="00E35EA1" w:rsidRDefault="008A0B77" w:rsidP="008D3BAB">
            <w:pPr>
              <w:pStyle w:val="TableText0"/>
              <w:keepNext w:val="0"/>
              <w:jc w:val="center"/>
              <w:rPr>
                <w:b/>
                <w:szCs w:val="20"/>
              </w:rPr>
            </w:pPr>
            <w:r w:rsidRPr="00E35EA1">
              <w:rPr>
                <w:b/>
                <w:szCs w:val="20"/>
              </w:rPr>
              <w:t>0.58</w:t>
            </w:r>
          </w:p>
          <w:p w:rsidR="008A0B77" w:rsidRPr="00E35EA1" w:rsidRDefault="008A0B77" w:rsidP="008D3BAB">
            <w:pPr>
              <w:pStyle w:val="TableText0"/>
              <w:keepLines/>
              <w:widowControl w:val="0"/>
              <w:jc w:val="center"/>
              <w:rPr>
                <w:b/>
                <w:szCs w:val="20"/>
              </w:rPr>
            </w:pPr>
            <w:r w:rsidRPr="00E35EA1">
              <w:rPr>
                <w:b/>
                <w:szCs w:val="20"/>
              </w:rPr>
              <w:t>(0.42, 0.79)</w:t>
            </w:r>
          </w:p>
          <w:p w:rsidR="008A0B77" w:rsidRPr="00E35EA1" w:rsidRDefault="008A0B77" w:rsidP="008D3BAB">
            <w:pPr>
              <w:pStyle w:val="TableText0"/>
              <w:keepLines/>
              <w:widowControl w:val="0"/>
              <w:jc w:val="center"/>
              <w:rPr>
                <w:b/>
                <w:szCs w:val="20"/>
              </w:rPr>
            </w:pPr>
            <w:r w:rsidRPr="00E35EA1">
              <w:rPr>
                <w:b/>
                <w:szCs w:val="20"/>
              </w:rPr>
              <w:t>P=0.0006</w:t>
            </w:r>
          </w:p>
        </w:tc>
      </w:tr>
      <w:bookmarkEnd w:id="18"/>
      <w:tr w:rsidR="008A0B77" w:rsidRPr="00E35EA1" w:rsidTr="00E35EA1">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rsidR="008A0B77" w:rsidRPr="00E35EA1" w:rsidRDefault="008A0B77" w:rsidP="00C83FAD">
            <w:pPr>
              <w:pStyle w:val="TableText0"/>
              <w:keepLines/>
              <w:widowControl w:val="0"/>
              <w:rPr>
                <w:szCs w:val="20"/>
              </w:rPr>
            </w:pPr>
            <w:r w:rsidRPr="00E35EA1">
              <w:rPr>
                <w:szCs w:val="20"/>
              </w:rPr>
              <w:t>Median OS, months (95% CI)</w:t>
            </w:r>
          </w:p>
        </w:tc>
        <w:tc>
          <w:tcPr>
            <w:tcW w:w="802" w:type="pct"/>
            <w:vAlign w:val="center"/>
          </w:tcPr>
          <w:p w:rsidR="008A0B77" w:rsidRPr="00E35EA1" w:rsidRDefault="008A0B77" w:rsidP="00C83FAD">
            <w:pPr>
              <w:pStyle w:val="TableText0"/>
              <w:keepLines/>
              <w:widowControl w:val="0"/>
              <w:jc w:val="center"/>
              <w:rPr>
                <w:rFonts w:cs="Times New Roman"/>
                <w:szCs w:val="20"/>
              </w:rPr>
            </w:pPr>
            <w:r w:rsidRPr="00E35EA1">
              <w:rPr>
                <w:szCs w:val="20"/>
              </w:rPr>
              <w:t>NE</w:t>
            </w:r>
          </w:p>
        </w:tc>
        <w:tc>
          <w:tcPr>
            <w:tcW w:w="840" w:type="pct"/>
            <w:vAlign w:val="center"/>
          </w:tcPr>
          <w:p w:rsidR="008A0B77" w:rsidRPr="00E35EA1" w:rsidRDefault="008A0B77" w:rsidP="00C83FAD">
            <w:pPr>
              <w:pStyle w:val="TableText0"/>
              <w:keepLines/>
              <w:widowControl w:val="0"/>
              <w:jc w:val="center"/>
              <w:rPr>
                <w:rFonts w:cs="Times New Roman"/>
                <w:szCs w:val="20"/>
              </w:rPr>
            </w:pPr>
            <w:r w:rsidRPr="00E35EA1">
              <w:rPr>
                <w:szCs w:val="20"/>
              </w:rPr>
              <w:t>13.24 months (10.41, NE)</w:t>
            </w:r>
          </w:p>
        </w:tc>
        <w:tc>
          <w:tcPr>
            <w:tcW w:w="1113" w:type="pct"/>
            <w:vAlign w:val="center"/>
          </w:tcPr>
          <w:p w:rsidR="008A0B77" w:rsidRPr="00E35EA1" w:rsidRDefault="008A0B77" w:rsidP="00C83FAD">
            <w:pPr>
              <w:pStyle w:val="TableText0"/>
              <w:keepLines/>
              <w:widowControl w:val="0"/>
              <w:jc w:val="center"/>
              <w:rPr>
                <w:szCs w:val="20"/>
              </w:rPr>
            </w:pPr>
            <w:r w:rsidRPr="00E35EA1">
              <w:rPr>
                <w:szCs w:val="20"/>
              </w:rPr>
              <w:t>NE</w:t>
            </w:r>
          </w:p>
        </w:tc>
        <w:tc>
          <w:tcPr>
            <w:tcW w:w="879" w:type="pct"/>
            <w:vMerge/>
            <w:tcBorders>
              <w:left w:val="single" w:sz="4" w:space="0" w:color="auto"/>
              <w:right w:val="single" w:sz="4" w:space="0" w:color="auto"/>
            </w:tcBorders>
            <w:shd w:val="clear" w:color="auto" w:fill="auto"/>
          </w:tcPr>
          <w:p w:rsidR="008A0B77" w:rsidRPr="00E35EA1" w:rsidRDefault="008A0B77" w:rsidP="00C83FAD">
            <w:pPr>
              <w:pStyle w:val="TableText0"/>
              <w:keepLines/>
              <w:widowControl w:val="0"/>
              <w:jc w:val="center"/>
              <w:rPr>
                <w:szCs w:val="20"/>
              </w:rPr>
            </w:pPr>
          </w:p>
        </w:tc>
      </w:tr>
      <w:tr w:rsidR="008A0B77" w:rsidRPr="00E35EA1" w:rsidTr="00E35EA1">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rsidR="008A0B77" w:rsidRPr="00E35EA1" w:rsidRDefault="008A0B77" w:rsidP="00816361">
            <w:pPr>
              <w:pStyle w:val="TableText0"/>
              <w:keepLines/>
              <w:widowControl w:val="0"/>
              <w:rPr>
                <w:szCs w:val="20"/>
              </w:rPr>
            </w:pPr>
            <w:r w:rsidRPr="00E35EA1">
              <w:rPr>
                <w:szCs w:val="20"/>
              </w:rPr>
              <w:t xml:space="preserve">% Alive at 6 months (95% CI) </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8A0B77" w:rsidRPr="00E35EA1" w:rsidRDefault="008A0B77" w:rsidP="00816361">
            <w:pPr>
              <w:pStyle w:val="TableText0"/>
              <w:keepLines/>
              <w:widowControl w:val="0"/>
              <w:jc w:val="center"/>
              <w:rPr>
                <w:szCs w:val="20"/>
              </w:rPr>
            </w:pPr>
            <w:r w:rsidRPr="00E35EA1">
              <w:rPr>
                <w:szCs w:val="20"/>
              </w:rPr>
              <w:t>84.81</w:t>
            </w:r>
          </w:p>
          <w:p w:rsidR="008A0B77" w:rsidRPr="00E35EA1" w:rsidRDefault="008A0B77" w:rsidP="00816361">
            <w:pPr>
              <w:pStyle w:val="TableText0"/>
              <w:keepLines/>
              <w:widowControl w:val="0"/>
              <w:jc w:val="center"/>
              <w:rPr>
                <w:szCs w:val="20"/>
              </w:rPr>
            </w:pPr>
            <w:r w:rsidRPr="00E35EA1">
              <w:rPr>
                <w:szCs w:val="20"/>
              </w:rPr>
              <w:t>(80.93, 88.69)</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8A0B77" w:rsidRPr="00E35EA1" w:rsidRDefault="008A0B77" w:rsidP="00816361">
            <w:pPr>
              <w:pStyle w:val="TableText0"/>
              <w:keepLines/>
              <w:widowControl w:val="0"/>
              <w:jc w:val="center"/>
              <w:rPr>
                <w:szCs w:val="20"/>
              </w:rPr>
            </w:pPr>
            <w:r w:rsidRPr="00E35EA1">
              <w:rPr>
                <w:szCs w:val="20"/>
              </w:rPr>
              <w:t>72.25</w:t>
            </w:r>
          </w:p>
          <w:p w:rsidR="008A0B77" w:rsidRPr="00E35EA1" w:rsidRDefault="008A0B77" w:rsidP="00816361">
            <w:pPr>
              <w:pStyle w:val="TableText0"/>
              <w:keepLines/>
              <w:widowControl w:val="0"/>
              <w:jc w:val="center"/>
              <w:rPr>
                <w:szCs w:val="20"/>
              </w:rPr>
            </w:pPr>
            <w:r w:rsidRPr="00E35EA1">
              <w:rPr>
                <w:szCs w:val="20"/>
              </w:rPr>
              <w:t>(65.10, 79.40)</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8A0B77" w:rsidRPr="00E35EA1" w:rsidRDefault="008A0B77" w:rsidP="008A0B77">
            <w:pPr>
              <w:pStyle w:val="TableText0"/>
              <w:keepLines/>
              <w:widowControl w:val="0"/>
              <w:jc w:val="center"/>
              <w:rPr>
                <w:szCs w:val="20"/>
              </w:rPr>
            </w:pPr>
            <w:r w:rsidRPr="00E35EA1">
              <w:rPr>
                <w:szCs w:val="20"/>
              </w:rPr>
              <w:t>12.56%</w:t>
            </w:r>
          </w:p>
        </w:tc>
        <w:tc>
          <w:tcPr>
            <w:tcW w:w="879" w:type="pct"/>
            <w:vMerge/>
            <w:tcBorders>
              <w:left w:val="single" w:sz="4" w:space="0" w:color="auto"/>
              <w:bottom w:val="single" w:sz="4" w:space="0" w:color="auto"/>
              <w:right w:val="single" w:sz="4" w:space="0" w:color="auto"/>
            </w:tcBorders>
            <w:shd w:val="clear" w:color="auto" w:fill="auto"/>
          </w:tcPr>
          <w:p w:rsidR="008A0B77" w:rsidRPr="00E35EA1" w:rsidRDefault="008A0B77" w:rsidP="00816361">
            <w:pPr>
              <w:pStyle w:val="TableText0"/>
              <w:keepLines/>
              <w:widowControl w:val="0"/>
              <w:jc w:val="center"/>
              <w:rPr>
                <w:szCs w:val="20"/>
              </w:rPr>
            </w:pPr>
          </w:p>
        </w:tc>
      </w:tr>
      <w:tr w:rsidR="008A0B77" w:rsidRPr="00E35EA1" w:rsidTr="00E35EA1">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rsidR="008A0B77" w:rsidRPr="00E35EA1" w:rsidRDefault="008A0B77" w:rsidP="00816361">
            <w:pPr>
              <w:pStyle w:val="TableText0"/>
              <w:keepLines/>
              <w:widowControl w:val="0"/>
              <w:rPr>
                <w:szCs w:val="20"/>
              </w:rPr>
            </w:pPr>
            <w:r w:rsidRPr="00E35EA1">
              <w:rPr>
                <w:szCs w:val="20"/>
              </w:rPr>
              <w:t>% Alive at 12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8A0B77" w:rsidRPr="00E35EA1" w:rsidRDefault="008A0B77" w:rsidP="00816361">
            <w:pPr>
              <w:pStyle w:val="TableText0"/>
              <w:keepLines/>
              <w:widowControl w:val="0"/>
              <w:jc w:val="center"/>
              <w:rPr>
                <w:szCs w:val="20"/>
              </w:rPr>
            </w:pPr>
            <w:r w:rsidRPr="00E35EA1">
              <w:rPr>
                <w:szCs w:val="20"/>
              </w:rPr>
              <w:t>67.19</w:t>
            </w:r>
          </w:p>
          <w:p w:rsidR="008A0B77" w:rsidRPr="00E35EA1" w:rsidRDefault="008A0B77" w:rsidP="00816361">
            <w:pPr>
              <w:pStyle w:val="TableText0"/>
              <w:keepLines/>
              <w:widowControl w:val="0"/>
              <w:jc w:val="center"/>
              <w:rPr>
                <w:szCs w:val="20"/>
              </w:rPr>
            </w:pPr>
            <w:r w:rsidRPr="00E35EA1">
              <w:rPr>
                <w:szCs w:val="20"/>
              </w:rPr>
              <w:t>(61.26, 73.12)</w:t>
            </w:r>
          </w:p>
        </w:tc>
        <w:tc>
          <w:tcPr>
            <w:tcW w:w="840" w:type="pct"/>
            <w:tcBorders>
              <w:top w:val="single" w:sz="4" w:space="0" w:color="auto"/>
              <w:left w:val="single" w:sz="4" w:space="0" w:color="auto"/>
              <w:bottom w:val="single" w:sz="4" w:space="0" w:color="auto"/>
              <w:right w:val="single" w:sz="4" w:space="0" w:color="auto"/>
            </w:tcBorders>
            <w:shd w:val="clear" w:color="auto" w:fill="auto"/>
          </w:tcPr>
          <w:p w:rsidR="008A0B77" w:rsidRPr="00E35EA1" w:rsidRDefault="008A0B77" w:rsidP="00816361">
            <w:pPr>
              <w:pStyle w:val="TableText0"/>
              <w:keepLines/>
              <w:widowControl w:val="0"/>
              <w:jc w:val="center"/>
              <w:rPr>
                <w:szCs w:val="20"/>
              </w:rPr>
            </w:pPr>
            <w:r w:rsidRPr="00E35EA1">
              <w:rPr>
                <w:szCs w:val="20"/>
              </w:rPr>
              <w:t>54.60</w:t>
            </w:r>
          </w:p>
          <w:p w:rsidR="008A0B77" w:rsidRPr="00E35EA1" w:rsidRDefault="008A0B77" w:rsidP="00816361">
            <w:pPr>
              <w:pStyle w:val="TableText0"/>
              <w:keepLines/>
              <w:widowControl w:val="0"/>
              <w:jc w:val="center"/>
              <w:rPr>
                <w:szCs w:val="20"/>
              </w:rPr>
            </w:pPr>
            <w:r w:rsidRPr="00E35EA1">
              <w:rPr>
                <w:szCs w:val="20"/>
              </w:rPr>
              <w:t>(45.15, 64.04)</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8A0B77" w:rsidRPr="00E35EA1" w:rsidRDefault="008A0B77" w:rsidP="008A0B77">
            <w:pPr>
              <w:pStyle w:val="TableText0"/>
              <w:keepLines/>
              <w:widowControl w:val="0"/>
              <w:jc w:val="center"/>
              <w:rPr>
                <w:szCs w:val="20"/>
              </w:rPr>
            </w:pPr>
            <w:r w:rsidRPr="00E35EA1">
              <w:rPr>
                <w:szCs w:val="20"/>
              </w:rPr>
              <w:t>12.59%</w:t>
            </w: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rsidR="008A0B77" w:rsidRPr="00E35EA1" w:rsidRDefault="008A0B77" w:rsidP="00816361">
            <w:pPr>
              <w:pStyle w:val="TableText0"/>
              <w:keepLines/>
              <w:widowControl w:val="0"/>
              <w:jc w:val="center"/>
              <w:rPr>
                <w:szCs w:val="20"/>
              </w:rPr>
            </w:pPr>
          </w:p>
        </w:tc>
      </w:tr>
    </w:tbl>
    <w:tbl>
      <w:tblPr>
        <w:tblW w:w="5000" w:type="pct"/>
        <w:tblLayout w:type="fixed"/>
        <w:tblCellMar>
          <w:left w:w="28" w:type="dxa"/>
          <w:right w:w="28" w:type="dxa"/>
        </w:tblCellMar>
        <w:tblLook w:val="04A0" w:firstRow="1" w:lastRow="0" w:firstColumn="1" w:lastColumn="0" w:noHBand="0" w:noVBand="1"/>
        <w:tblCaption w:val="Table 11: Summary of comparative benefits and harms for Atezo+Bev and sorafenib"/>
      </w:tblPr>
      <w:tblGrid>
        <w:gridCol w:w="1559"/>
        <w:gridCol w:w="1143"/>
        <w:gridCol w:w="1137"/>
        <w:gridCol w:w="1564"/>
        <w:gridCol w:w="1137"/>
        <w:gridCol w:w="996"/>
        <w:gridCol w:w="1504"/>
      </w:tblGrid>
      <w:tr w:rsidR="0099451E" w:rsidRPr="00E35EA1" w:rsidTr="00EE3CA6">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9451E" w:rsidRPr="00E35EA1" w:rsidRDefault="0099451E" w:rsidP="00D2155B">
            <w:pPr>
              <w:pStyle w:val="In-tableHeading"/>
              <w:rPr>
                <w:szCs w:val="20"/>
                <w:lang w:val="en-AU"/>
              </w:rPr>
            </w:pPr>
            <w:r w:rsidRPr="00E35EA1">
              <w:rPr>
                <w:szCs w:val="20"/>
                <w:lang w:val="en-AU"/>
              </w:rPr>
              <w:t xml:space="preserve">Harms </w:t>
            </w:r>
          </w:p>
        </w:tc>
      </w:tr>
      <w:tr w:rsidR="0099451E" w:rsidRPr="00E35EA1" w:rsidTr="00BE126D">
        <w:trPr>
          <w:trHeight w:val="70"/>
        </w:trPr>
        <w:tc>
          <w:tcPr>
            <w:tcW w:w="8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51E" w:rsidRPr="00E35EA1" w:rsidRDefault="0099451E" w:rsidP="00D2155B">
            <w:pPr>
              <w:pStyle w:val="In-tableHeading"/>
              <w:rPr>
                <w:szCs w:val="20"/>
                <w:lang w:val="en-AU"/>
              </w:rPr>
            </w:pPr>
          </w:p>
        </w:tc>
        <w:tc>
          <w:tcPr>
            <w:tcW w:w="632" w:type="pct"/>
            <w:vMerge w:val="restart"/>
            <w:tcBorders>
              <w:top w:val="single" w:sz="4" w:space="0" w:color="auto"/>
              <w:left w:val="single" w:sz="4" w:space="0" w:color="auto"/>
              <w:bottom w:val="single" w:sz="4" w:space="0" w:color="auto"/>
              <w:right w:val="single" w:sz="4" w:space="0" w:color="auto"/>
            </w:tcBorders>
            <w:vAlign w:val="center"/>
          </w:tcPr>
          <w:p w:rsidR="0099451E" w:rsidRPr="00E35EA1" w:rsidRDefault="00BE126D" w:rsidP="001E34DF">
            <w:pPr>
              <w:pStyle w:val="In-tableHeading"/>
              <w:jc w:val="center"/>
              <w:rPr>
                <w:szCs w:val="20"/>
                <w:lang w:val="en-AU"/>
              </w:rPr>
            </w:pPr>
            <w:r w:rsidRPr="00E35EA1">
              <w:rPr>
                <w:szCs w:val="20"/>
                <w:lang w:val="en-AU"/>
              </w:rPr>
              <w:t>Atezo+Bev</w:t>
            </w:r>
          </w:p>
          <w:p w:rsidR="0099451E" w:rsidRPr="00E35EA1" w:rsidRDefault="0099451E" w:rsidP="001E34DF">
            <w:pPr>
              <w:pStyle w:val="In-tableHeading"/>
              <w:jc w:val="center"/>
              <w:rPr>
                <w:szCs w:val="20"/>
                <w:lang w:val="en-AU"/>
              </w:rPr>
            </w:pPr>
            <w:r w:rsidRPr="00E35EA1">
              <w:rPr>
                <w:szCs w:val="20"/>
                <w:lang w:val="en-AU"/>
              </w:rPr>
              <w:t>n/N</w:t>
            </w:r>
          </w:p>
        </w:tc>
        <w:tc>
          <w:tcPr>
            <w:tcW w:w="629" w:type="pct"/>
            <w:vMerge w:val="restart"/>
            <w:tcBorders>
              <w:top w:val="single" w:sz="4" w:space="0" w:color="auto"/>
              <w:left w:val="single" w:sz="4" w:space="0" w:color="auto"/>
              <w:bottom w:val="single" w:sz="4" w:space="0" w:color="auto"/>
              <w:right w:val="single" w:sz="4" w:space="0" w:color="auto"/>
            </w:tcBorders>
            <w:vAlign w:val="center"/>
          </w:tcPr>
          <w:p w:rsidR="0099451E" w:rsidRPr="00E35EA1" w:rsidRDefault="00BE126D" w:rsidP="001E34DF">
            <w:pPr>
              <w:pStyle w:val="In-tableHeading"/>
              <w:jc w:val="center"/>
              <w:rPr>
                <w:szCs w:val="20"/>
                <w:lang w:val="en-AU"/>
              </w:rPr>
            </w:pPr>
            <w:r w:rsidRPr="00E35EA1">
              <w:rPr>
                <w:szCs w:val="20"/>
                <w:lang w:val="en-AU"/>
              </w:rPr>
              <w:t>Sorafenib</w:t>
            </w:r>
          </w:p>
          <w:p w:rsidR="0099451E" w:rsidRPr="00E35EA1" w:rsidRDefault="0099451E" w:rsidP="001E34DF">
            <w:pPr>
              <w:pStyle w:val="In-tableHeading"/>
              <w:jc w:val="center"/>
              <w:rPr>
                <w:szCs w:val="20"/>
                <w:lang w:val="en-AU"/>
              </w:rPr>
            </w:pPr>
            <w:r w:rsidRPr="00E35EA1">
              <w:rPr>
                <w:szCs w:val="20"/>
                <w:lang w:val="en-AU"/>
              </w:rPr>
              <w:t>n/N</w:t>
            </w:r>
          </w:p>
        </w:tc>
        <w:tc>
          <w:tcPr>
            <w:tcW w:w="865" w:type="pct"/>
            <w:vMerge w:val="restart"/>
            <w:tcBorders>
              <w:top w:val="single" w:sz="4" w:space="0" w:color="auto"/>
              <w:left w:val="single" w:sz="4" w:space="0" w:color="auto"/>
              <w:bottom w:val="single" w:sz="4" w:space="0" w:color="auto"/>
              <w:right w:val="single" w:sz="4" w:space="0" w:color="auto"/>
            </w:tcBorders>
            <w:vAlign w:val="center"/>
          </w:tcPr>
          <w:p w:rsidR="0099451E" w:rsidRPr="00E35EA1" w:rsidRDefault="00BE126D" w:rsidP="00BE126D">
            <w:pPr>
              <w:pStyle w:val="In-tableHeading"/>
              <w:jc w:val="center"/>
              <w:rPr>
                <w:szCs w:val="20"/>
                <w:lang w:val="en-AU"/>
              </w:rPr>
            </w:pPr>
            <w:r w:rsidRPr="00E35EA1">
              <w:rPr>
                <w:szCs w:val="20"/>
                <w:lang w:val="en-AU"/>
              </w:rPr>
              <w:t xml:space="preserve">RR </w:t>
            </w:r>
            <w:r w:rsidR="0099451E" w:rsidRPr="00E35EA1">
              <w:rPr>
                <w:szCs w:val="20"/>
                <w:lang w:val="en-AU"/>
              </w:rPr>
              <w:t>(95% CI)</w:t>
            </w:r>
          </w:p>
        </w:tc>
        <w:tc>
          <w:tcPr>
            <w:tcW w:w="1180" w:type="pct"/>
            <w:gridSpan w:val="2"/>
            <w:tcBorders>
              <w:top w:val="single" w:sz="4" w:space="0" w:color="auto"/>
              <w:left w:val="single" w:sz="4" w:space="0" w:color="auto"/>
              <w:bottom w:val="single" w:sz="4" w:space="0" w:color="auto"/>
              <w:right w:val="single" w:sz="4" w:space="0" w:color="auto"/>
            </w:tcBorders>
            <w:vAlign w:val="center"/>
          </w:tcPr>
          <w:p w:rsidR="0099451E" w:rsidRPr="00E35EA1" w:rsidRDefault="0099451E" w:rsidP="001E34DF">
            <w:pPr>
              <w:pStyle w:val="In-tableHeading"/>
              <w:jc w:val="center"/>
              <w:rPr>
                <w:szCs w:val="20"/>
                <w:lang w:val="en-AU"/>
              </w:rPr>
            </w:pPr>
            <w:r w:rsidRPr="00E35EA1">
              <w:rPr>
                <w:szCs w:val="20"/>
                <w:lang w:val="en-AU"/>
              </w:rPr>
              <w:t>Event rate/100 patients*</w:t>
            </w:r>
          </w:p>
        </w:tc>
        <w:tc>
          <w:tcPr>
            <w:tcW w:w="832" w:type="pct"/>
            <w:vMerge w:val="restart"/>
            <w:tcBorders>
              <w:top w:val="single" w:sz="4" w:space="0" w:color="auto"/>
              <w:left w:val="single" w:sz="4" w:space="0" w:color="auto"/>
              <w:bottom w:val="single" w:sz="4" w:space="0" w:color="auto"/>
              <w:right w:val="single" w:sz="4" w:space="0" w:color="auto"/>
            </w:tcBorders>
            <w:vAlign w:val="center"/>
          </w:tcPr>
          <w:p w:rsidR="0099451E" w:rsidRPr="00E35EA1" w:rsidRDefault="00BE126D" w:rsidP="00BE126D">
            <w:pPr>
              <w:pStyle w:val="In-tableHeading"/>
              <w:jc w:val="center"/>
              <w:rPr>
                <w:szCs w:val="20"/>
                <w:lang w:val="en-AU"/>
              </w:rPr>
            </w:pPr>
            <w:r w:rsidRPr="00E35EA1">
              <w:rPr>
                <w:szCs w:val="20"/>
                <w:lang w:val="en-AU"/>
              </w:rPr>
              <w:t xml:space="preserve">RD </w:t>
            </w:r>
            <w:r w:rsidR="0099451E" w:rsidRPr="00E35EA1">
              <w:rPr>
                <w:szCs w:val="20"/>
                <w:lang w:val="en-AU"/>
              </w:rPr>
              <w:t>(95% CI)</w:t>
            </w:r>
          </w:p>
        </w:tc>
      </w:tr>
      <w:tr w:rsidR="0099451E" w:rsidRPr="00E35EA1" w:rsidTr="00BE126D">
        <w:trPr>
          <w:trHeight w:val="390"/>
        </w:trPr>
        <w:tc>
          <w:tcPr>
            <w:tcW w:w="8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9451E" w:rsidRPr="00E35EA1" w:rsidRDefault="0099451E" w:rsidP="00D2155B">
            <w:pPr>
              <w:pStyle w:val="In-tableHeading"/>
              <w:rPr>
                <w:szCs w:val="20"/>
                <w:lang w:val="en-AU"/>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99451E" w:rsidRPr="00E35EA1" w:rsidRDefault="0099451E" w:rsidP="00D2155B">
            <w:pPr>
              <w:pStyle w:val="In-tableHeading"/>
              <w:rPr>
                <w:szCs w:val="20"/>
                <w:lang w:val="en-AU"/>
              </w:rPr>
            </w:pPr>
          </w:p>
        </w:tc>
        <w:tc>
          <w:tcPr>
            <w:tcW w:w="629" w:type="pct"/>
            <w:vMerge/>
            <w:tcBorders>
              <w:top w:val="single" w:sz="4" w:space="0" w:color="auto"/>
              <w:left w:val="single" w:sz="4" w:space="0" w:color="auto"/>
              <w:bottom w:val="single" w:sz="4" w:space="0" w:color="auto"/>
              <w:right w:val="single" w:sz="4" w:space="0" w:color="auto"/>
            </w:tcBorders>
            <w:vAlign w:val="center"/>
          </w:tcPr>
          <w:p w:rsidR="0099451E" w:rsidRPr="00E35EA1" w:rsidRDefault="0099451E" w:rsidP="00D2155B">
            <w:pPr>
              <w:pStyle w:val="In-tableHeading"/>
              <w:rPr>
                <w:szCs w:val="20"/>
                <w:lang w:val="en-AU"/>
              </w:rPr>
            </w:pPr>
          </w:p>
        </w:tc>
        <w:tc>
          <w:tcPr>
            <w:tcW w:w="865" w:type="pct"/>
            <w:vMerge/>
            <w:tcBorders>
              <w:top w:val="single" w:sz="4" w:space="0" w:color="auto"/>
              <w:left w:val="single" w:sz="4" w:space="0" w:color="auto"/>
              <w:bottom w:val="single" w:sz="4" w:space="0" w:color="auto"/>
              <w:right w:val="single" w:sz="4" w:space="0" w:color="auto"/>
            </w:tcBorders>
            <w:vAlign w:val="center"/>
          </w:tcPr>
          <w:p w:rsidR="0099451E" w:rsidRPr="00E35EA1" w:rsidRDefault="0099451E" w:rsidP="00D2155B">
            <w:pPr>
              <w:pStyle w:val="In-tableHeading"/>
              <w:rPr>
                <w:szCs w:val="20"/>
                <w:lang w:val="en-AU"/>
              </w:rPr>
            </w:pPr>
          </w:p>
        </w:tc>
        <w:tc>
          <w:tcPr>
            <w:tcW w:w="629" w:type="pct"/>
            <w:tcBorders>
              <w:top w:val="single" w:sz="4" w:space="0" w:color="auto"/>
              <w:left w:val="single" w:sz="4" w:space="0" w:color="auto"/>
              <w:bottom w:val="single" w:sz="4" w:space="0" w:color="auto"/>
              <w:right w:val="single" w:sz="4" w:space="0" w:color="auto"/>
            </w:tcBorders>
            <w:vAlign w:val="center"/>
          </w:tcPr>
          <w:p w:rsidR="0099451E" w:rsidRPr="00E35EA1" w:rsidRDefault="00BE126D" w:rsidP="001E34DF">
            <w:pPr>
              <w:pStyle w:val="In-tableHeading"/>
              <w:jc w:val="center"/>
              <w:rPr>
                <w:szCs w:val="20"/>
                <w:lang w:val="en-AU"/>
              </w:rPr>
            </w:pPr>
            <w:r w:rsidRPr="00E35EA1">
              <w:rPr>
                <w:szCs w:val="20"/>
                <w:lang w:val="en-AU"/>
              </w:rPr>
              <w:t>Atezo+Bev</w:t>
            </w:r>
          </w:p>
        </w:tc>
        <w:tc>
          <w:tcPr>
            <w:tcW w:w="551" w:type="pct"/>
            <w:tcBorders>
              <w:top w:val="single" w:sz="4" w:space="0" w:color="auto"/>
              <w:left w:val="single" w:sz="4" w:space="0" w:color="auto"/>
              <w:bottom w:val="single" w:sz="4" w:space="0" w:color="auto"/>
              <w:right w:val="single" w:sz="4" w:space="0" w:color="auto"/>
            </w:tcBorders>
            <w:vAlign w:val="center"/>
          </w:tcPr>
          <w:p w:rsidR="0099451E" w:rsidRPr="00E35EA1" w:rsidRDefault="00BE126D" w:rsidP="001E34DF">
            <w:pPr>
              <w:pStyle w:val="In-tableHeading"/>
              <w:jc w:val="center"/>
              <w:rPr>
                <w:szCs w:val="20"/>
                <w:lang w:val="en-AU"/>
              </w:rPr>
            </w:pPr>
            <w:r w:rsidRPr="00E35EA1">
              <w:rPr>
                <w:szCs w:val="20"/>
                <w:lang w:val="en-AU"/>
              </w:rPr>
              <w:t>Sorafenib</w:t>
            </w:r>
          </w:p>
        </w:tc>
        <w:tc>
          <w:tcPr>
            <w:tcW w:w="832" w:type="pct"/>
            <w:vMerge/>
            <w:tcBorders>
              <w:top w:val="single" w:sz="4" w:space="0" w:color="auto"/>
              <w:left w:val="single" w:sz="4" w:space="0" w:color="auto"/>
              <w:bottom w:val="single" w:sz="4" w:space="0" w:color="auto"/>
              <w:right w:val="single" w:sz="4" w:space="0" w:color="auto"/>
            </w:tcBorders>
            <w:vAlign w:val="center"/>
          </w:tcPr>
          <w:p w:rsidR="0099451E" w:rsidRPr="00E35EA1" w:rsidRDefault="0099451E" w:rsidP="00D2155B">
            <w:pPr>
              <w:pStyle w:val="In-tableHeading"/>
              <w:rPr>
                <w:szCs w:val="20"/>
                <w:lang w:val="en-AU"/>
              </w:rPr>
            </w:pPr>
          </w:p>
        </w:tc>
      </w:tr>
      <w:tr w:rsidR="0099451E" w:rsidRPr="00E35EA1" w:rsidTr="003D1DE4">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9451E" w:rsidRPr="00E35EA1" w:rsidRDefault="00BE126D" w:rsidP="00D2155B">
            <w:pPr>
              <w:pStyle w:val="In-tableHeading"/>
              <w:jc w:val="both"/>
              <w:rPr>
                <w:szCs w:val="20"/>
                <w:lang w:val="en-AU"/>
              </w:rPr>
            </w:pPr>
            <w:r w:rsidRPr="00E35EA1">
              <w:rPr>
                <w:szCs w:val="20"/>
                <w:lang w:val="en-AU"/>
              </w:rPr>
              <w:t>Treatment-related Grade 3</w:t>
            </w:r>
            <w:r w:rsidR="004325F5" w:rsidRPr="00E35EA1">
              <w:rPr>
                <w:szCs w:val="20"/>
                <w:lang w:val="en-AU"/>
              </w:rPr>
              <w:t>/</w:t>
            </w:r>
            <w:r w:rsidRPr="00E35EA1">
              <w:rPr>
                <w:szCs w:val="20"/>
                <w:lang w:val="en-AU"/>
              </w:rPr>
              <w:t>4 adverse events (≥ 2% difference</w:t>
            </w:r>
            <w:r w:rsidR="00380322" w:rsidRPr="00E35EA1">
              <w:rPr>
                <w:szCs w:val="20"/>
                <w:lang w:val="en-AU"/>
              </w:rPr>
              <w:t xml:space="preserve"> with a statistically significant RD</w:t>
            </w:r>
            <w:r w:rsidRPr="00E35EA1">
              <w:rPr>
                <w:szCs w:val="20"/>
                <w:lang w:val="en-AU"/>
              </w:rPr>
              <w:t>)</w:t>
            </w:r>
          </w:p>
        </w:tc>
      </w:tr>
      <w:tr w:rsidR="00BE126D" w:rsidRPr="00E35EA1" w:rsidTr="00BE126D">
        <w:tc>
          <w:tcPr>
            <w:tcW w:w="862" w:type="pct"/>
            <w:tcBorders>
              <w:top w:val="single" w:sz="4" w:space="0" w:color="auto"/>
              <w:left w:val="single" w:sz="4" w:space="0" w:color="auto"/>
              <w:bottom w:val="single" w:sz="4" w:space="0" w:color="auto"/>
              <w:right w:val="single" w:sz="4" w:space="0" w:color="auto"/>
            </w:tcBorders>
            <w:shd w:val="clear" w:color="auto" w:fill="auto"/>
          </w:tcPr>
          <w:p w:rsidR="00BE126D" w:rsidRPr="00E35EA1" w:rsidRDefault="00BE126D" w:rsidP="00BE126D">
            <w:pPr>
              <w:pStyle w:val="TableText0"/>
              <w:rPr>
                <w:szCs w:val="20"/>
              </w:rPr>
            </w:pPr>
            <w:r w:rsidRPr="00E35EA1">
              <w:rPr>
                <w:szCs w:val="20"/>
              </w:rPr>
              <w:t>ALT increased</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E126D" w:rsidRPr="00E35EA1" w:rsidRDefault="00BE126D" w:rsidP="00BE126D">
            <w:pPr>
              <w:pStyle w:val="TableText0"/>
              <w:jc w:val="center"/>
              <w:rPr>
                <w:szCs w:val="20"/>
              </w:rPr>
            </w:pPr>
            <w:r w:rsidRPr="00E35EA1">
              <w:rPr>
                <w:szCs w:val="20"/>
              </w:rPr>
              <w:t>7/329</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BE126D" w:rsidRPr="00E35EA1" w:rsidRDefault="00BE126D" w:rsidP="00BE126D">
            <w:pPr>
              <w:pStyle w:val="TableText0"/>
              <w:jc w:val="center"/>
              <w:rPr>
                <w:szCs w:val="20"/>
              </w:rPr>
            </w:pPr>
            <w:r w:rsidRPr="00E35EA1">
              <w:rPr>
                <w:szCs w:val="20"/>
              </w:rPr>
              <w:t>0/156</w:t>
            </w:r>
          </w:p>
        </w:tc>
        <w:tc>
          <w:tcPr>
            <w:tcW w:w="865" w:type="pct"/>
            <w:tcBorders>
              <w:top w:val="single" w:sz="4" w:space="0" w:color="auto"/>
              <w:left w:val="single" w:sz="4" w:space="0" w:color="auto"/>
              <w:bottom w:val="single" w:sz="4" w:space="0" w:color="auto"/>
              <w:right w:val="single" w:sz="4" w:space="0" w:color="auto"/>
            </w:tcBorders>
            <w:vAlign w:val="center"/>
          </w:tcPr>
          <w:p w:rsidR="00BE126D" w:rsidRPr="00E35EA1" w:rsidRDefault="00BE126D" w:rsidP="00BE126D">
            <w:pPr>
              <w:pStyle w:val="TableText0"/>
              <w:jc w:val="center"/>
              <w:rPr>
                <w:szCs w:val="20"/>
              </w:rPr>
            </w:pPr>
            <w:r w:rsidRPr="00E35EA1">
              <w:rPr>
                <w:i/>
                <w:szCs w:val="20"/>
              </w:rPr>
              <w:t>NE</w:t>
            </w:r>
          </w:p>
        </w:tc>
        <w:tc>
          <w:tcPr>
            <w:tcW w:w="629" w:type="pct"/>
            <w:tcBorders>
              <w:top w:val="single" w:sz="4" w:space="0" w:color="auto"/>
              <w:left w:val="single" w:sz="4" w:space="0" w:color="auto"/>
              <w:bottom w:val="single" w:sz="4" w:space="0" w:color="auto"/>
              <w:right w:val="single" w:sz="4" w:space="0" w:color="auto"/>
            </w:tcBorders>
            <w:vAlign w:val="center"/>
          </w:tcPr>
          <w:p w:rsidR="00BE126D" w:rsidRPr="00E35EA1" w:rsidRDefault="00BE126D" w:rsidP="00BE126D">
            <w:pPr>
              <w:pStyle w:val="TableText0"/>
              <w:jc w:val="center"/>
              <w:rPr>
                <w:szCs w:val="20"/>
              </w:rPr>
            </w:pPr>
            <w:r w:rsidRPr="00E35EA1">
              <w:rPr>
                <w:szCs w:val="20"/>
              </w:rPr>
              <w:t>2.1</w:t>
            </w:r>
          </w:p>
        </w:tc>
        <w:tc>
          <w:tcPr>
            <w:tcW w:w="551" w:type="pct"/>
            <w:tcBorders>
              <w:top w:val="single" w:sz="4" w:space="0" w:color="auto"/>
              <w:left w:val="single" w:sz="4" w:space="0" w:color="auto"/>
              <w:bottom w:val="single" w:sz="4" w:space="0" w:color="auto"/>
              <w:right w:val="single" w:sz="4" w:space="0" w:color="auto"/>
            </w:tcBorders>
            <w:vAlign w:val="center"/>
          </w:tcPr>
          <w:p w:rsidR="00BE126D" w:rsidRPr="00E35EA1" w:rsidRDefault="00BE126D" w:rsidP="00BE126D">
            <w:pPr>
              <w:pStyle w:val="TableText0"/>
              <w:jc w:val="center"/>
              <w:rPr>
                <w:szCs w:val="20"/>
              </w:rPr>
            </w:pPr>
            <w:r w:rsidRPr="00E35EA1">
              <w:rPr>
                <w:szCs w:val="20"/>
              </w:rPr>
              <w:t>0</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BE126D" w:rsidRPr="00E35EA1" w:rsidRDefault="00BE126D" w:rsidP="00BE126D">
            <w:pPr>
              <w:pStyle w:val="TableText0"/>
              <w:jc w:val="center"/>
              <w:rPr>
                <w:szCs w:val="20"/>
              </w:rPr>
            </w:pPr>
            <w:r w:rsidRPr="00E35EA1">
              <w:rPr>
                <w:b/>
                <w:szCs w:val="20"/>
              </w:rPr>
              <w:t>0.02 (0.01, 0.04)</w:t>
            </w:r>
          </w:p>
        </w:tc>
      </w:tr>
      <w:tr w:rsidR="00BE126D" w:rsidRPr="00E35EA1" w:rsidTr="00BE126D">
        <w:tc>
          <w:tcPr>
            <w:tcW w:w="862" w:type="pct"/>
            <w:tcBorders>
              <w:top w:val="single" w:sz="4" w:space="0" w:color="auto"/>
              <w:left w:val="single" w:sz="4" w:space="0" w:color="auto"/>
              <w:bottom w:val="single" w:sz="4" w:space="0" w:color="auto"/>
              <w:right w:val="single" w:sz="4" w:space="0" w:color="auto"/>
            </w:tcBorders>
            <w:shd w:val="clear" w:color="auto" w:fill="auto"/>
          </w:tcPr>
          <w:p w:rsidR="00BE126D" w:rsidRPr="00E35EA1" w:rsidRDefault="00BE126D" w:rsidP="00BE126D">
            <w:pPr>
              <w:pStyle w:val="TableText0"/>
              <w:rPr>
                <w:szCs w:val="20"/>
              </w:rPr>
            </w:pPr>
            <w:r w:rsidRPr="00E35EA1">
              <w:rPr>
                <w:szCs w:val="20"/>
              </w:rPr>
              <w:t>Diarrhoea</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E126D" w:rsidRPr="00E35EA1" w:rsidRDefault="00BE126D" w:rsidP="00BE126D">
            <w:pPr>
              <w:pStyle w:val="TableText0"/>
              <w:jc w:val="center"/>
              <w:rPr>
                <w:szCs w:val="20"/>
              </w:rPr>
            </w:pPr>
            <w:r w:rsidRPr="00E35EA1">
              <w:rPr>
                <w:szCs w:val="20"/>
              </w:rPr>
              <w:t>1/329</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BE126D" w:rsidRPr="00E35EA1" w:rsidRDefault="00BE126D" w:rsidP="00BE126D">
            <w:pPr>
              <w:pStyle w:val="TableText0"/>
              <w:jc w:val="center"/>
              <w:rPr>
                <w:szCs w:val="20"/>
              </w:rPr>
            </w:pPr>
            <w:r w:rsidRPr="00E35EA1">
              <w:rPr>
                <w:szCs w:val="20"/>
              </w:rPr>
              <w:t>6/156</w:t>
            </w:r>
          </w:p>
        </w:tc>
        <w:tc>
          <w:tcPr>
            <w:tcW w:w="865" w:type="pct"/>
            <w:tcBorders>
              <w:top w:val="nil"/>
              <w:left w:val="single" w:sz="4" w:space="0" w:color="auto"/>
              <w:bottom w:val="single" w:sz="4" w:space="0" w:color="auto"/>
              <w:right w:val="single" w:sz="4" w:space="0" w:color="auto"/>
            </w:tcBorders>
            <w:vAlign w:val="center"/>
          </w:tcPr>
          <w:p w:rsidR="00BE126D" w:rsidRPr="00E35EA1" w:rsidRDefault="00BE126D" w:rsidP="00BE126D">
            <w:pPr>
              <w:pStyle w:val="TableText0"/>
              <w:jc w:val="center"/>
              <w:rPr>
                <w:b/>
                <w:szCs w:val="20"/>
              </w:rPr>
            </w:pPr>
            <w:r w:rsidRPr="00E35EA1">
              <w:rPr>
                <w:b/>
                <w:i/>
                <w:szCs w:val="20"/>
              </w:rPr>
              <w:t>0.08 (0.01, 0.65)</w:t>
            </w:r>
          </w:p>
        </w:tc>
        <w:tc>
          <w:tcPr>
            <w:tcW w:w="629" w:type="pct"/>
            <w:tcBorders>
              <w:top w:val="single" w:sz="4" w:space="0" w:color="auto"/>
              <w:left w:val="single" w:sz="4" w:space="0" w:color="auto"/>
              <w:bottom w:val="single" w:sz="4" w:space="0" w:color="auto"/>
              <w:right w:val="single" w:sz="4" w:space="0" w:color="auto"/>
            </w:tcBorders>
            <w:vAlign w:val="center"/>
          </w:tcPr>
          <w:p w:rsidR="00BE126D" w:rsidRPr="00E35EA1" w:rsidRDefault="00BE126D" w:rsidP="00BE126D">
            <w:pPr>
              <w:pStyle w:val="TableText0"/>
              <w:jc w:val="center"/>
              <w:rPr>
                <w:szCs w:val="20"/>
              </w:rPr>
            </w:pPr>
            <w:r w:rsidRPr="00E35EA1">
              <w:rPr>
                <w:szCs w:val="20"/>
              </w:rPr>
              <w:t>0.3</w:t>
            </w:r>
          </w:p>
        </w:tc>
        <w:tc>
          <w:tcPr>
            <w:tcW w:w="551" w:type="pct"/>
            <w:tcBorders>
              <w:top w:val="single" w:sz="4" w:space="0" w:color="auto"/>
              <w:left w:val="single" w:sz="4" w:space="0" w:color="auto"/>
              <w:bottom w:val="single" w:sz="4" w:space="0" w:color="auto"/>
              <w:right w:val="single" w:sz="4" w:space="0" w:color="auto"/>
            </w:tcBorders>
            <w:vAlign w:val="center"/>
          </w:tcPr>
          <w:p w:rsidR="00BE126D" w:rsidRPr="00E35EA1" w:rsidRDefault="00BE126D" w:rsidP="00BE126D">
            <w:pPr>
              <w:pStyle w:val="TableText0"/>
              <w:jc w:val="center"/>
              <w:rPr>
                <w:szCs w:val="20"/>
              </w:rPr>
            </w:pPr>
            <w:r w:rsidRPr="00E35EA1">
              <w:rPr>
                <w:szCs w:val="20"/>
              </w:rPr>
              <w:t>3.8</w:t>
            </w:r>
          </w:p>
        </w:tc>
        <w:tc>
          <w:tcPr>
            <w:tcW w:w="832" w:type="pct"/>
            <w:tcBorders>
              <w:top w:val="nil"/>
              <w:left w:val="single" w:sz="4" w:space="0" w:color="auto"/>
              <w:bottom w:val="single" w:sz="4" w:space="0" w:color="auto"/>
              <w:right w:val="single" w:sz="4" w:space="0" w:color="auto"/>
            </w:tcBorders>
            <w:shd w:val="clear" w:color="auto" w:fill="auto"/>
            <w:vAlign w:val="center"/>
          </w:tcPr>
          <w:p w:rsidR="00BE126D" w:rsidRPr="00E35EA1" w:rsidRDefault="00BE126D" w:rsidP="00BE126D">
            <w:pPr>
              <w:pStyle w:val="TableText0"/>
              <w:jc w:val="center"/>
              <w:rPr>
                <w:szCs w:val="20"/>
              </w:rPr>
            </w:pPr>
            <w:r w:rsidRPr="00E35EA1">
              <w:rPr>
                <w:szCs w:val="20"/>
              </w:rPr>
              <w:t>-</w:t>
            </w:r>
            <w:r w:rsidRPr="00E35EA1">
              <w:rPr>
                <w:b/>
                <w:szCs w:val="20"/>
              </w:rPr>
              <w:t>0.04 (-0.07, -0.01)</w:t>
            </w:r>
          </w:p>
        </w:tc>
      </w:tr>
      <w:tr w:rsidR="00BE126D" w:rsidRPr="00E35EA1" w:rsidTr="00BE126D">
        <w:tc>
          <w:tcPr>
            <w:tcW w:w="862" w:type="pct"/>
            <w:tcBorders>
              <w:top w:val="single" w:sz="4" w:space="0" w:color="auto"/>
              <w:left w:val="single" w:sz="4" w:space="0" w:color="auto"/>
              <w:bottom w:val="single" w:sz="4" w:space="0" w:color="auto"/>
              <w:right w:val="single" w:sz="4" w:space="0" w:color="auto"/>
            </w:tcBorders>
            <w:shd w:val="clear" w:color="auto" w:fill="auto"/>
          </w:tcPr>
          <w:p w:rsidR="00BE126D" w:rsidRPr="00E35EA1" w:rsidRDefault="00BE126D" w:rsidP="00BE126D">
            <w:pPr>
              <w:pStyle w:val="TableText0"/>
              <w:rPr>
                <w:szCs w:val="20"/>
              </w:rPr>
            </w:pPr>
            <w:r w:rsidRPr="00E35EA1">
              <w:rPr>
                <w:szCs w:val="20"/>
              </w:rPr>
              <w:t xml:space="preserve">PPES </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E126D" w:rsidRPr="00E35EA1" w:rsidRDefault="00BE126D" w:rsidP="00BE126D">
            <w:pPr>
              <w:pStyle w:val="TableText0"/>
              <w:jc w:val="center"/>
              <w:rPr>
                <w:szCs w:val="20"/>
              </w:rPr>
            </w:pPr>
            <w:r w:rsidRPr="00E35EA1">
              <w:rPr>
                <w:szCs w:val="20"/>
              </w:rPr>
              <w:t>0/329</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BE126D" w:rsidRPr="00E35EA1" w:rsidRDefault="00BE126D" w:rsidP="00BE126D">
            <w:pPr>
              <w:pStyle w:val="TableText0"/>
              <w:jc w:val="center"/>
              <w:rPr>
                <w:szCs w:val="20"/>
              </w:rPr>
            </w:pPr>
            <w:r w:rsidRPr="00E35EA1">
              <w:rPr>
                <w:szCs w:val="20"/>
              </w:rPr>
              <w:t>13/156</w:t>
            </w:r>
          </w:p>
        </w:tc>
        <w:tc>
          <w:tcPr>
            <w:tcW w:w="865" w:type="pct"/>
            <w:tcBorders>
              <w:top w:val="nil"/>
              <w:left w:val="single" w:sz="4" w:space="0" w:color="auto"/>
              <w:bottom w:val="single" w:sz="4" w:space="0" w:color="auto"/>
              <w:right w:val="single" w:sz="4" w:space="0" w:color="auto"/>
            </w:tcBorders>
            <w:vAlign w:val="center"/>
          </w:tcPr>
          <w:p w:rsidR="00BE126D" w:rsidRPr="00E35EA1" w:rsidRDefault="00BE126D" w:rsidP="00BE126D">
            <w:pPr>
              <w:pStyle w:val="TableText0"/>
              <w:jc w:val="center"/>
              <w:rPr>
                <w:szCs w:val="20"/>
              </w:rPr>
            </w:pPr>
            <w:r w:rsidRPr="00E35EA1">
              <w:rPr>
                <w:i/>
                <w:szCs w:val="20"/>
              </w:rPr>
              <w:t>NE</w:t>
            </w:r>
          </w:p>
        </w:tc>
        <w:tc>
          <w:tcPr>
            <w:tcW w:w="629" w:type="pct"/>
            <w:tcBorders>
              <w:top w:val="single" w:sz="4" w:space="0" w:color="auto"/>
              <w:left w:val="single" w:sz="4" w:space="0" w:color="auto"/>
              <w:bottom w:val="single" w:sz="4" w:space="0" w:color="auto"/>
              <w:right w:val="single" w:sz="4" w:space="0" w:color="auto"/>
            </w:tcBorders>
            <w:vAlign w:val="center"/>
          </w:tcPr>
          <w:p w:rsidR="00BE126D" w:rsidRPr="00E35EA1" w:rsidRDefault="00BE126D" w:rsidP="00BE126D">
            <w:pPr>
              <w:pStyle w:val="TableText0"/>
              <w:jc w:val="center"/>
              <w:rPr>
                <w:szCs w:val="20"/>
              </w:rPr>
            </w:pPr>
            <w:r w:rsidRPr="00E35EA1">
              <w:rPr>
                <w:szCs w:val="20"/>
              </w:rPr>
              <w:t>0</w:t>
            </w:r>
          </w:p>
        </w:tc>
        <w:tc>
          <w:tcPr>
            <w:tcW w:w="551" w:type="pct"/>
            <w:tcBorders>
              <w:top w:val="single" w:sz="4" w:space="0" w:color="auto"/>
              <w:left w:val="single" w:sz="4" w:space="0" w:color="auto"/>
              <w:bottom w:val="single" w:sz="4" w:space="0" w:color="auto"/>
              <w:right w:val="single" w:sz="4" w:space="0" w:color="auto"/>
            </w:tcBorders>
            <w:vAlign w:val="center"/>
          </w:tcPr>
          <w:p w:rsidR="00BE126D" w:rsidRPr="00E35EA1" w:rsidRDefault="00BE126D" w:rsidP="00BE126D">
            <w:pPr>
              <w:pStyle w:val="TableText0"/>
              <w:jc w:val="center"/>
              <w:rPr>
                <w:szCs w:val="20"/>
              </w:rPr>
            </w:pPr>
            <w:r w:rsidRPr="00E35EA1">
              <w:rPr>
                <w:szCs w:val="20"/>
              </w:rPr>
              <w:t>8.3</w:t>
            </w:r>
          </w:p>
        </w:tc>
        <w:tc>
          <w:tcPr>
            <w:tcW w:w="832" w:type="pct"/>
            <w:tcBorders>
              <w:top w:val="nil"/>
              <w:left w:val="single" w:sz="4" w:space="0" w:color="auto"/>
              <w:bottom w:val="single" w:sz="4" w:space="0" w:color="auto"/>
              <w:right w:val="single" w:sz="4" w:space="0" w:color="auto"/>
            </w:tcBorders>
            <w:shd w:val="clear" w:color="auto" w:fill="auto"/>
            <w:vAlign w:val="center"/>
          </w:tcPr>
          <w:p w:rsidR="00BE126D" w:rsidRPr="00E35EA1" w:rsidRDefault="00BE126D" w:rsidP="00BE126D">
            <w:pPr>
              <w:pStyle w:val="TableText0"/>
              <w:jc w:val="center"/>
              <w:rPr>
                <w:szCs w:val="20"/>
              </w:rPr>
            </w:pPr>
            <w:r w:rsidRPr="00E35EA1">
              <w:rPr>
                <w:b/>
                <w:szCs w:val="20"/>
              </w:rPr>
              <w:t>-0.08 (-0.13, -0.04)</w:t>
            </w:r>
          </w:p>
        </w:tc>
      </w:tr>
      <w:tr w:rsidR="00BE126D" w:rsidRPr="00E35EA1" w:rsidTr="00BE126D">
        <w:tc>
          <w:tcPr>
            <w:tcW w:w="862" w:type="pct"/>
            <w:tcBorders>
              <w:top w:val="single" w:sz="4" w:space="0" w:color="auto"/>
              <w:left w:val="single" w:sz="4" w:space="0" w:color="auto"/>
              <w:bottom w:val="single" w:sz="4" w:space="0" w:color="auto"/>
              <w:right w:val="single" w:sz="4" w:space="0" w:color="auto"/>
            </w:tcBorders>
            <w:shd w:val="clear" w:color="auto" w:fill="auto"/>
          </w:tcPr>
          <w:p w:rsidR="00BE126D" w:rsidRPr="00E35EA1" w:rsidRDefault="00BE126D" w:rsidP="00BE126D">
            <w:pPr>
              <w:pStyle w:val="TableText0"/>
              <w:rPr>
                <w:szCs w:val="20"/>
              </w:rPr>
            </w:pPr>
            <w:r w:rsidRPr="00E35EA1">
              <w:rPr>
                <w:szCs w:val="20"/>
              </w:rPr>
              <w:t>Infusion-related reaction</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BE126D" w:rsidRPr="00E35EA1" w:rsidRDefault="00BE126D" w:rsidP="00BE126D">
            <w:pPr>
              <w:pStyle w:val="TableText0"/>
              <w:jc w:val="center"/>
              <w:rPr>
                <w:szCs w:val="20"/>
              </w:rPr>
            </w:pPr>
            <w:r w:rsidRPr="00E35EA1">
              <w:rPr>
                <w:szCs w:val="20"/>
              </w:rPr>
              <w:t>7/329</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BE126D" w:rsidRPr="00E35EA1" w:rsidRDefault="00BE126D" w:rsidP="00BE126D">
            <w:pPr>
              <w:pStyle w:val="TableText0"/>
              <w:jc w:val="center"/>
              <w:rPr>
                <w:szCs w:val="20"/>
              </w:rPr>
            </w:pPr>
            <w:r w:rsidRPr="00E35EA1">
              <w:rPr>
                <w:szCs w:val="20"/>
              </w:rPr>
              <w:t>0/156</w:t>
            </w:r>
          </w:p>
        </w:tc>
        <w:tc>
          <w:tcPr>
            <w:tcW w:w="865" w:type="pct"/>
            <w:tcBorders>
              <w:top w:val="nil"/>
              <w:left w:val="single" w:sz="4" w:space="0" w:color="auto"/>
              <w:bottom w:val="single" w:sz="4" w:space="0" w:color="auto"/>
              <w:right w:val="single" w:sz="4" w:space="0" w:color="auto"/>
            </w:tcBorders>
            <w:vAlign w:val="center"/>
          </w:tcPr>
          <w:p w:rsidR="00BE126D" w:rsidRPr="00E35EA1" w:rsidRDefault="00BE126D" w:rsidP="00BE126D">
            <w:pPr>
              <w:pStyle w:val="TableText0"/>
              <w:jc w:val="center"/>
              <w:rPr>
                <w:szCs w:val="20"/>
              </w:rPr>
            </w:pPr>
            <w:r w:rsidRPr="00E35EA1">
              <w:rPr>
                <w:i/>
                <w:szCs w:val="20"/>
              </w:rPr>
              <w:t>NE</w:t>
            </w:r>
          </w:p>
        </w:tc>
        <w:tc>
          <w:tcPr>
            <w:tcW w:w="629" w:type="pct"/>
            <w:tcBorders>
              <w:top w:val="single" w:sz="4" w:space="0" w:color="auto"/>
              <w:left w:val="single" w:sz="4" w:space="0" w:color="auto"/>
              <w:bottom w:val="single" w:sz="4" w:space="0" w:color="auto"/>
              <w:right w:val="single" w:sz="4" w:space="0" w:color="auto"/>
            </w:tcBorders>
            <w:vAlign w:val="center"/>
          </w:tcPr>
          <w:p w:rsidR="00BE126D" w:rsidRPr="00E35EA1" w:rsidRDefault="00BE126D" w:rsidP="00BE126D">
            <w:pPr>
              <w:pStyle w:val="TableText0"/>
              <w:jc w:val="center"/>
              <w:rPr>
                <w:szCs w:val="20"/>
              </w:rPr>
            </w:pPr>
            <w:r w:rsidRPr="00E35EA1">
              <w:rPr>
                <w:szCs w:val="20"/>
              </w:rPr>
              <w:t>2.1</w:t>
            </w:r>
          </w:p>
        </w:tc>
        <w:tc>
          <w:tcPr>
            <w:tcW w:w="551" w:type="pct"/>
            <w:tcBorders>
              <w:top w:val="single" w:sz="4" w:space="0" w:color="auto"/>
              <w:left w:val="single" w:sz="4" w:space="0" w:color="auto"/>
              <w:bottom w:val="single" w:sz="4" w:space="0" w:color="auto"/>
              <w:right w:val="single" w:sz="4" w:space="0" w:color="auto"/>
            </w:tcBorders>
            <w:vAlign w:val="center"/>
          </w:tcPr>
          <w:p w:rsidR="00BE126D" w:rsidRPr="00E35EA1" w:rsidRDefault="00BE126D" w:rsidP="00BE126D">
            <w:pPr>
              <w:pStyle w:val="TableText0"/>
              <w:jc w:val="center"/>
              <w:rPr>
                <w:szCs w:val="20"/>
              </w:rPr>
            </w:pPr>
            <w:r w:rsidRPr="00E35EA1">
              <w:rPr>
                <w:szCs w:val="20"/>
              </w:rPr>
              <w:t>0</w:t>
            </w:r>
          </w:p>
        </w:tc>
        <w:tc>
          <w:tcPr>
            <w:tcW w:w="832" w:type="pct"/>
            <w:tcBorders>
              <w:top w:val="nil"/>
              <w:left w:val="single" w:sz="4" w:space="0" w:color="auto"/>
              <w:bottom w:val="single" w:sz="4" w:space="0" w:color="auto"/>
              <w:right w:val="single" w:sz="4" w:space="0" w:color="auto"/>
            </w:tcBorders>
            <w:shd w:val="clear" w:color="auto" w:fill="auto"/>
            <w:vAlign w:val="center"/>
          </w:tcPr>
          <w:p w:rsidR="00BE126D" w:rsidRPr="00E35EA1" w:rsidRDefault="00BE126D" w:rsidP="00BE126D">
            <w:pPr>
              <w:pStyle w:val="TableText0"/>
              <w:jc w:val="center"/>
              <w:rPr>
                <w:szCs w:val="20"/>
              </w:rPr>
            </w:pPr>
            <w:r w:rsidRPr="00E35EA1">
              <w:rPr>
                <w:b/>
                <w:szCs w:val="20"/>
              </w:rPr>
              <w:t>0.02 (0.01, 0.04)</w:t>
            </w:r>
          </w:p>
        </w:tc>
      </w:tr>
    </w:tbl>
    <w:p w:rsidR="00C83FAD" w:rsidRPr="00E63DF4" w:rsidRDefault="00DC2064" w:rsidP="00C83FAD">
      <w:pPr>
        <w:pStyle w:val="TableFigureFooter"/>
        <w:rPr>
          <w:rFonts w:eastAsia="Calibri"/>
          <w:bCs/>
          <w:iCs/>
        </w:rPr>
      </w:pPr>
      <w:r w:rsidRPr="00E63DF4">
        <w:rPr>
          <w:rFonts w:eastAsia="Calibri"/>
          <w:bCs/>
          <w:iCs/>
        </w:rPr>
        <w:t xml:space="preserve">Source: </w:t>
      </w:r>
      <w:r w:rsidR="006C57AC" w:rsidRPr="00E63DF4">
        <w:rPr>
          <w:rFonts w:eastAsia="Calibri"/>
          <w:bCs/>
          <w:iCs/>
        </w:rPr>
        <w:t xml:space="preserve">constructed during the evaluation based on </w:t>
      </w:r>
      <w:r w:rsidR="00C51546" w:rsidRPr="00E63DF4">
        <w:rPr>
          <w:rFonts w:eastAsia="Calibri"/>
          <w:bCs/>
          <w:iCs/>
        </w:rPr>
        <w:t>Table 2.13, p</w:t>
      </w:r>
      <w:r w:rsidRPr="00E63DF4">
        <w:rPr>
          <w:rFonts w:eastAsia="Calibri"/>
          <w:bCs/>
          <w:iCs/>
        </w:rPr>
        <w:t>65,</w:t>
      </w:r>
      <w:r w:rsidR="00C83FAD" w:rsidRPr="00E63DF4">
        <w:rPr>
          <w:rFonts w:eastAsia="Calibri"/>
          <w:bCs/>
          <w:iCs/>
        </w:rPr>
        <w:t xml:space="preserve"> Tabl</w:t>
      </w:r>
      <w:r w:rsidR="00C51546" w:rsidRPr="00E63DF4">
        <w:rPr>
          <w:rFonts w:eastAsia="Calibri"/>
          <w:bCs/>
          <w:iCs/>
        </w:rPr>
        <w:t>e 2.14, p</w:t>
      </w:r>
      <w:r w:rsidRPr="00E63DF4">
        <w:rPr>
          <w:rFonts w:eastAsia="Calibri"/>
          <w:bCs/>
          <w:iCs/>
        </w:rPr>
        <w:t xml:space="preserve">67 and </w:t>
      </w:r>
      <w:r w:rsidR="00C51546" w:rsidRPr="00E63DF4">
        <w:rPr>
          <w:rFonts w:eastAsia="Calibri"/>
          <w:bCs/>
          <w:iCs/>
        </w:rPr>
        <w:t>Table 2.23, p</w:t>
      </w:r>
      <w:r w:rsidRPr="00E63DF4">
        <w:rPr>
          <w:rFonts w:eastAsia="Calibri"/>
          <w:bCs/>
          <w:iCs/>
        </w:rPr>
        <w:t>78 of the submission</w:t>
      </w:r>
      <w:r w:rsidR="0076439D" w:rsidRPr="00E63DF4">
        <w:rPr>
          <w:rFonts w:eastAsia="Calibri"/>
          <w:bCs/>
          <w:iCs/>
        </w:rPr>
        <w:t>; Table 20, p101</w:t>
      </w:r>
      <w:r w:rsidRPr="00E63DF4">
        <w:rPr>
          <w:rFonts w:eastAsia="Calibri"/>
          <w:bCs/>
          <w:iCs/>
        </w:rPr>
        <w:t xml:space="preserve"> and</w:t>
      </w:r>
      <w:r w:rsidR="00794F3A" w:rsidRPr="00E63DF4">
        <w:rPr>
          <w:rFonts w:eastAsia="Calibri"/>
          <w:bCs/>
          <w:iCs/>
        </w:rPr>
        <w:t xml:space="preserve"> Table 21, p104</w:t>
      </w:r>
      <w:r w:rsidR="0076439D" w:rsidRPr="00E63DF4">
        <w:rPr>
          <w:rFonts w:eastAsia="Calibri"/>
          <w:bCs/>
          <w:iCs/>
        </w:rPr>
        <w:t xml:space="preserve"> of the IMbrave150 CSR</w:t>
      </w:r>
    </w:p>
    <w:p w:rsidR="00C83FAD" w:rsidRPr="00E63DF4" w:rsidRDefault="00C83FAD" w:rsidP="00C83FAD">
      <w:pPr>
        <w:pStyle w:val="TableFigureFooter"/>
        <w:rPr>
          <w:rFonts w:eastAsia="Calibri"/>
          <w:bCs/>
          <w:iCs/>
        </w:rPr>
      </w:pPr>
      <w:r w:rsidRPr="00E63DF4">
        <w:rPr>
          <w:rFonts w:eastAsia="Calibri"/>
          <w:bCs/>
          <w:iCs/>
        </w:rPr>
        <w:t xml:space="preserve">Abbreviations: </w:t>
      </w:r>
      <w:r w:rsidR="006C57AC" w:rsidRPr="00E63DF4">
        <w:rPr>
          <w:rFonts w:eastAsia="Calibri"/>
          <w:bCs/>
          <w:iCs/>
        </w:rPr>
        <w:t xml:space="preserve">ALT = alanine aminotransferase; </w:t>
      </w:r>
      <w:r w:rsidRPr="00E63DF4">
        <w:rPr>
          <w:rFonts w:eastAsia="Calibri"/>
          <w:bCs/>
          <w:iCs/>
        </w:rPr>
        <w:t xml:space="preserve">Atezo+Bev </w:t>
      </w:r>
      <w:r w:rsidR="008C6455" w:rsidRPr="00E63DF4">
        <w:rPr>
          <w:rFonts w:eastAsia="Calibri"/>
          <w:bCs/>
          <w:iCs/>
        </w:rPr>
        <w:t>= atezolizumab plus bevacizumab; CI = confidence intervals; HR = hazard ratio;</w:t>
      </w:r>
      <w:r w:rsidRPr="00E63DF4">
        <w:rPr>
          <w:rFonts w:eastAsia="Calibri"/>
          <w:bCs/>
          <w:iCs/>
        </w:rPr>
        <w:t xml:space="preserve"> n = number</w:t>
      </w:r>
      <w:r w:rsidR="008C6455" w:rsidRPr="00E63DF4">
        <w:rPr>
          <w:rFonts w:eastAsia="Calibri"/>
          <w:bCs/>
          <w:iCs/>
        </w:rPr>
        <w:t xml:space="preserve"> of participants reporting data;</w:t>
      </w:r>
      <w:r w:rsidRPr="00E63DF4">
        <w:rPr>
          <w:rFonts w:eastAsia="Calibri"/>
          <w:bCs/>
          <w:iCs/>
        </w:rPr>
        <w:t xml:space="preserve"> N = total </w:t>
      </w:r>
      <w:r w:rsidR="008C6455" w:rsidRPr="00E63DF4">
        <w:rPr>
          <w:rFonts w:eastAsia="Calibri"/>
          <w:bCs/>
          <w:iCs/>
        </w:rPr>
        <w:t>participants in group; NE = not estimable; OS = overall survival;</w:t>
      </w:r>
      <w:r w:rsidRPr="00E63DF4">
        <w:rPr>
          <w:rFonts w:eastAsia="Calibri"/>
          <w:bCs/>
          <w:iCs/>
        </w:rPr>
        <w:t xml:space="preserve"> </w:t>
      </w:r>
      <w:r w:rsidR="00DC2064" w:rsidRPr="00E63DF4">
        <w:rPr>
          <w:rFonts w:eastAsia="Calibri"/>
          <w:bCs/>
          <w:iCs/>
        </w:rPr>
        <w:t>PFS = progression</w:t>
      </w:r>
      <w:r w:rsidR="007245E0" w:rsidRPr="00E63DF4">
        <w:rPr>
          <w:rFonts w:eastAsia="Calibri"/>
          <w:bCs/>
          <w:iCs/>
        </w:rPr>
        <w:t>-</w:t>
      </w:r>
      <w:r w:rsidR="00DC2064" w:rsidRPr="00E63DF4">
        <w:rPr>
          <w:rFonts w:eastAsia="Calibri"/>
          <w:bCs/>
          <w:iCs/>
        </w:rPr>
        <w:t>free survival;</w:t>
      </w:r>
      <w:r w:rsidR="00DC2064" w:rsidRPr="00E63DF4">
        <w:t xml:space="preserve"> PPES =</w:t>
      </w:r>
      <w:r w:rsidR="00DC2064" w:rsidRPr="00E63DF4">
        <w:rPr>
          <w:rFonts w:ascii="Calibri" w:hAnsi="Calibri"/>
          <w:snapToGrid/>
          <w:sz w:val="24"/>
          <w:szCs w:val="24"/>
        </w:rPr>
        <w:t xml:space="preserve"> </w:t>
      </w:r>
      <w:r w:rsidR="006C57AC" w:rsidRPr="00E63DF4">
        <w:t>p</w:t>
      </w:r>
      <w:r w:rsidR="00DC2064" w:rsidRPr="00E63DF4">
        <w:t>almar-plantar erythrodysaesthesia syndrome</w:t>
      </w:r>
      <w:r w:rsidR="006C57AC" w:rsidRPr="00E63DF4">
        <w:t>;</w:t>
      </w:r>
      <w:r w:rsidR="00DC2064" w:rsidRPr="00E63DF4">
        <w:t xml:space="preserve"> </w:t>
      </w:r>
      <w:r w:rsidR="00DC2064" w:rsidRPr="00E63DF4">
        <w:rPr>
          <w:rFonts w:eastAsia="Calibri"/>
          <w:bCs/>
          <w:iCs/>
        </w:rPr>
        <w:t>RD = risk difference; RR = relative risk</w:t>
      </w:r>
    </w:p>
    <w:p w:rsidR="00C83FAD" w:rsidRPr="00E63DF4" w:rsidRDefault="00C83FAD" w:rsidP="00C83FAD">
      <w:pPr>
        <w:pStyle w:val="TableFigureFooter"/>
        <w:rPr>
          <w:rFonts w:eastAsia="Calibri"/>
        </w:rPr>
      </w:pPr>
      <w:r w:rsidRPr="00E63DF4">
        <w:rPr>
          <w:rFonts w:eastAsia="Calibri"/>
        </w:rPr>
        <w:t>Note: Bold indicates statistically significant difference.</w:t>
      </w:r>
    </w:p>
    <w:p w:rsidR="00C83FAD" w:rsidRPr="00E63DF4" w:rsidRDefault="00C83FAD" w:rsidP="00C83FAD">
      <w:pPr>
        <w:pStyle w:val="TableFigureFooter"/>
      </w:pPr>
      <w:r w:rsidRPr="00E63DF4">
        <w:rPr>
          <w:rFonts w:eastAsia="Calibri"/>
        </w:rPr>
        <w:t>a Based on IRF-assessment per RECIST v1.1</w:t>
      </w:r>
    </w:p>
    <w:p w:rsidR="009B5637" w:rsidRPr="00E63DF4" w:rsidRDefault="00B62715" w:rsidP="00D2155B">
      <w:pPr>
        <w:pStyle w:val="TableFigureFooter"/>
      </w:pPr>
      <w:r w:rsidRPr="00E63DF4">
        <w:t xml:space="preserve">* </w:t>
      </w:r>
      <w:r w:rsidR="006C57AC" w:rsidRPr="00E63DF4">
        <w:t>includes adverse events with onset date on or after the date of the first dose of study drug up to the data cut</w:t>
      </w:r>
      <w:r w:rsidR="00407B27" w:rsidRPr="00E63DF4">
        <w:t>-</w:t>
      </w:r>
      <w:r w:rsidR="006C57AC" w:rsidRPr="00E63DF4">
        <w:t>off date</w:t>
      </w:r>
    </w:p>
    <w:p w:rsidR="002441D2" w:rsidRPr="00E63DF4" w:rsidRDefault="002441D2" w:rsidP="00E9094A">
      <w:pPr>
        <w:pStyle w:val="3-BodyText"/>
      </w:pPr>
      <w:r w:rsidRPr="00E63DF4">
        <w:t>On the bas</w:t>
      </w:r>
      <w:r w:rsidR="008A0B77" w:rsidRPr="00E63DF4">
        <w:t>is of direct</w:t>
      </w:r>
      <w:r w:rsidRPr="00E63DF4">
        <w:t xml:space="preserve"> evidence presented by the submission, for every 100 pati</w:t>
      </w:r>
      <w:r w:rsidR="008A0B77" w:rsidRPr="00E63DF4">
        <w:t>ents treated with Atezo+Bev</w:t>
      </w:r>
      <w:r w:rsidRPr="00E63DF4">
        <w:t xml:space="preserve"> in comparison </w:t>
      </w:r>
      <w:r w:rsidR="006D68FB" w:rsidRPr="00E63DF4">
        <w:t>with</w:t>
      </w:r>
      <w:r w:rsidR="008A0B77" w:rsidRPr="00E63DF4">
        <w:t xml:space="preserve"> sorafenib</w:t>
      </w:r>
      <w:r w:rsidRPr="00E63DF4">
        <w:t>:</w:t>
      </w:r>
    </w:p>
    <w:p w:rsidR="000E51A9" w:rsidRPr="00E63DF4" w:rsidRDefault="002441D2" w:rsidP="000E51A9">
      <w:pPr>
        <w:pStyle w:val="ListBullet"/>
        <w:tabs>
          <w:tab w:val="clear" w:pos="360"/>
        </w:tabs>
        <w:ind w:left="1134"/>
      </w:pPr>
      <w:r w:rsidRPr="00E63DF4">
        <w:t>Approximately</w:t>
      </w:r>
      <w:r w:rsidR="00F92E85" w:rsidRPr="00E63DF4">
        <w:t xml:space="preserve"> 25</w:t>
      </w:r>
      <w:r w:rsidRPr="00E63DF4">
        <w:t xml:space="preserve"> </w:t>
      </w:r>
      <w:r w:rsidR="00C41768" w:rsidRPr="00E63DF4">
        <w:t>additional</w:t>
      </w:r>
      <w:r w:rsidRPr="00E63DF4">
        <w:t xml:space="preserve"> patients </w:t>
      </w:r>
      <w:r w:rsidR="00C41768" w:rsidRPr="00E63DF4">
        <w:t xml:space="preserve">will </w:t>
      </w:r>
      <w:r w:rsidR="000E51A9" w:rsidRPr="00E63DF4">
        <w:t xml:space="preserve">be alive or free from disease </w:t>
      </w:r>
      <w:r w:rsidRPr="00E63DF4">
        <w:t>progression</w:t>
      </w:r>
      <w:r w:rsidR="000E51A9" w:rsidRPr="00E63DF4">
        <w:t xml:space="preserve"> </w:t>
      </w:r>
      <w:r w:rsidR="008A0B77" w:rsidRPr="00E63DF4">
        <w:t>at 12 months,</w:t>
      </w:r>
    </w:p>
    <w:p w:rsidR="00184B0E" w:rsidRPr="00E63DF4" w:rsidRDefault="008A0B77" w:rsidP="00F211EE">
      <w:pPr>
        <w:pStyle w:val="ListParagraph"/>
        <w:numPr>
          <w:ilvl w:val="0"/>
          <w:numId w:val="11"/>
        </w:numPr>
        <w:ind w:left="1134"/>
      </w:pPr>
      <w:r w:rsidRPr="00E63DF4">
        <w:t xml:space="preserve">Approximately </w:t>
      </w:r>
      <w:r w:rsidR="00F92E85" w:rsidRPr="00E63DF4">
        <w:t>13</w:t>
      </w:r>
      <w:r w:rsidRPr="00E63DF4">
        <w:t xml:space="preserve"> additional patients will be alive at 12 months</w:t>
      </w:r>
      <w:r w:rsidR="00CA7619" w:rsidRPr="00E63DF4">
        <w:t>.</w:t>
      </w:r>
    </w:p>
    <w:p w:rsidR="00CA7619" w:rsidRPr="00E63DF4" w:rsidRDefault="00CA7619" w:rsidP="00603C25">
      <w:pPr>
        <w:pStyle w:val="ListBullet"/>
        <w:numPr>
          <w:ilvl w:val="0"/>
          <w:numId w:val="0"/>
        </w:numPr>
        <w:ind w:left="720"/>
      </w:pPr>
      <w:r w:rsidRPr="00E63DF4">
        <w:t>Over a median duration of follow-up of 8.6 months:</w:t>
      </w:r>
    </w:p>
    <w:p w:rsidR="00F92E85" w:rsidRPr="00E63DF4" w:rsidRDefault="00F92E85" w:rsidP="00603C25">
      <w:pPr>
        <w:pStyle w:val="ListBullet"/>
        <w:tabs>
          <w:tab w:val="clear" w:pos="360"/>
          <w:tab w:val="num" w:pos="1080"/>
        </w:tabs>
        <w:ind w:left="1080"/>
      </w:pPr>
      <w:r w:rsidRPr="00E63DF4">
        <w:t>Approximately 2 additional patients would experience</w:t>
      </w:r>
      <w:r w:rsidR="00CA7619" w:rsidRPr="00E63DF4">
        <w:t xml:space="preserve"> an</w:t>
      </w:r>
      <w:r w:rsidRPr="00E63DF4">
        <w:t xml:space="preserve"> increase in alanine aminotransferase</w:t>
      </w:r>
      <w:r w:rsidR="00CA7619" w:rsidRPr="00E63DF4">
        <w:t xml:space="preserve"> (</w:t>
      </w:r>
      <w:r w:rsidR="000E51A9" w:rsidRPr="00E63DF4">
        <w:t xml:space="preserve">a change in </w:t>
      </w:r>
      <w:r w:rsidR="00CA7619" w:rsidRPr="00E63DF4">
        <w:t>liver enzyme</w:t>
      </w:r>
      <w:r w:rsidR="000E51A9" w:rsidRPr="00E63DF4">
        <w:t>s that can only be detected through blood tests and may/may not result in clinical symptoms</w:t>
      </w:r>
      <w:r w:rsidR="00CA7619" w:rsidRPr="00E63DF4">
        <w:t>),</w:t>
      </w:r>
    </w:p>
    <w:p w:rsidR="00CA7619" w:rsidRPr="00E63DF4" w:rsidRDefault="00CA7619" w:rsidP="00603C25">
      <w:pPr>
        <w:pStyle w:val="ListBullet"/>
        <w:tabs>
          <w:tab w:val="clear" w:pos="360"/>
          <w:tab w:val="num" w:pos="1080"/>
        </w:tabs>
        <w:ind w:left="1080"/>
      </w:pPr>
      <w:r w:rsidRPr="00E63DF4">
        <w:t>Approximately 2 additional patients would experience</w:t>
      </w:r>
      <w:r w:rsidR="000E51A9" w:rsidRPr="00E63DF4">
        <w:t xml:space="preserve"> an</w:t>
      </w:r>
      <w:r w:rsidRPr="00E63DF4">
        <w:t xml:space="preserve"> infusion-related reaction</w:t>
      </w:r>
      <w:r w:rsidR="004325F5" w:rsidRPr="00E63DF4">
        <w:t xml:space="preserve"> (such as difficulty breathing and itching of the skin)</w:t>
      </w:r>
      <w:r w:rsidRPr="00E63DF4">
        <w:t>,</w:t>
      </w:r>
    </w:p>
    <w:p w:rsidR="00CA7619" w:rsidRPr="00E63DF4" w:rsidRDefault="00CA7619" w:rsidP="00603C25">
      <w:pPr>
        <w:pStyle w:val="ListBullet"/>
        <w:tabs>
          <w:tab w:val="clear" w:pos="360"/>
          <w:tab w:val="num" w:pos="1080"/>
        </w:tabs>
        <w:ind w:left="1080"/>
      </w:pPr>
      <w:r w:rsidRPr="00E63DF4">
        <w:t>Approximately 4 fewer patients would experience diarrhoea,</w:t>
      </w:r>
    </w:p>
    <w:p w:rsidR="00CA7619" w:rsidRPr="00E63DF4" w:rsidRDefault="00CA7619" w:rsidP="00603C25">
      <w:pPr>
        <w:pStyle w:val="ListBullet"/>
        <w:tabs>
          <w:tab w:val="clear" w:pos="360"/>
          <w:tab w:val="num" w:pos="1080"/>
        </w:tabs>
        <w:ind w:left="1080"/>
      </w:pPr>
      <w:r w:rsidRPr="00E63DF4">
        <w:lastRenderedPageBreak/>
        <w:t>Approximately 8 fewer patients would experience palmar-plantar erythrodysaesthesia syndrome (</w:t>
      </w:r>
      <w:r w:rsidR="002A1CCF" w:rsidRPr="00E63DF4">
        <w:t>hand-foot synd</w:t>
      </w:r>
      <w:r w:rsidR="00805F2F" w:rsidRPr="00E63DF4">
        <w:t xml:space="preserve">rome which causes redness, </w:t>
      </w:r>
      <w:r w:rsidRPr="00E63DF4">
        <w:t>swelling</w:t>
      </w:r>
      <w:r w:rsidR="00805F2F" w:rsidRPr="00E63DF4">
        <w:t xml:space="preserve"> and </w:t>
      </w:r>
      <w:r w:rsidRPr="00E63DF4">
        <w:t>pain</w:t>
      </w:r>
      <w:r w:rsidR="00805F2F" w:rsidRPr="00E63DF4">
        <w:t xml:space="preserve"> on the palms</w:t>
      </w:r>
      <w:r w:rsidRPr="00E63DF4">
        <w:t xml:space="preserve"> of the hands and</w:t>
      </w:r>
      <w:r w:rsidR="00805F2F" w:rsidRPr="00E63DF4">
        <w:t>/or the soles of the</w:t>
      </w:r>
      <w:r w:rsidRPr="00E63DF4">
        <w:t xml:space="preserve"> feet).</w:t>
      </w:r>
    </w:p>
    <w:p w:rsidR="00B60939" w:rsidRPr="00E63DF4" w:rsidRDefault="00B60939" w:rsidP="00E9094A">
      <w:pPr>
        <w:pStyle w:val="4-SubsectionHeading"/>
      </w:pPr>
      <w:bookmarkStart w:id="19" w:name="_Toc22897644"/>
      <w:bookmarkStart w:id="20" w:name="_Toc40710595"/>
      <w:r w:rsidRPr="00E63DF4">
        <w:t>Clinical claim</w:t>
      </w:r>
      <w:bookmarkEnd w:id="19"/>
      <w:bookmarkEnd w:id="20"/>
    </w:p>
    <w:p w:rsidR="00805F2F" w:rsidRPr="00E63DF4" w:rsidRDefault="00805F2F" w:rsidP="00805F2F">
      <w:pPr>
        <w:pStyle w:val="3-BodyText"/>
        <w:rPr>
          <w:rFonts w:eastAsia="Calibri"/>
        </w:rPr>
      </w:pPr>
      <w:r w:rsidRPr="00E63DF4">
        <w:rPr>
          <w:rFonts w:eastAsia="Calibri"/>
        </w:rPr>
        <w:t xml:space="preserve">The submission described </w:t>
      </w:r>
      <w:r w:rsidR="00037ADF" w:rsidRPr="00E63DF4">
        <w:rPr>
          <w:rFonts w:eastAsia="Calibri"/>
        </w:rPr>
        <w:t>Atezo+Bev a</w:t>
      </w:r>
      <w:r w:rsidRPr="00E63DF4">
        <w:rPr>
          <w:rFonts w:eastAsia="Calibri"/>
        </w:rPr>
        <w:t xml:space="preserve">s superior to sorafenib </w:t>
      </w:r>
      <w:r w:rsidR="00BF6E93" w:rsidRPr="00E63DF4">
        <w:rPr>
          <w:rFonts w:eastAsia="Calibri"/>
        </w:rPr>
        <w:t xml:space="preserve">in terms of </w:t>
      </w:r>
      <w:r w:rsidR="003033CF" w:rsidRPr="00E63DF4">
        <w:rPr>
          <w:rFonts w:eastAsia="Calibri"/>
        </w:rPr>
        <w:t>efficacy,</w:t>
      </w:r>
      <w:r w:rsidR="00BF6E93" w:rsidRPr="00E63DF4">
        <w:rPr>
          <w:rFonts w:eastAsia="Calibri"/>
        </w:rPr>
        <w:t xml:space="preserve"> </w:t>
      </w:r>
      <w:r w:rsidRPr="00E63DF4">
        <w:rPr>
          <w:rFonts w:eastAsia="Calibri"/>
        </w:rPr>
        <w:t xml:space="preserve">as demonstrated by a statistically significant and clinically meaningful improvement in OS and PFS compared to sorafenib. The therapeutic conclusion of superior efficacy of Atezo+Bev over sorafenib was supported by the data, noting that the OS data were immature and may not accurately reflect the longer-term risks of death associated with Atezo+Bev, resulting in an uncertain magnitude in OS gain. </w:t>
      </w:r>
      <w:r w:rsidR="00BF6E93" w:rsidRPr="00E63DF4">
        <w:rPr>
          <w:rFonts w:eastAsia="Calibri"/>
          <w:iCs/>
        </w:rPr>
        <w:t xml:space="preserve">The median duration of follow-up for the trial was short (8.6 months) and the median OS in the Atezo+Bev arm was not reached, with only 28.6% (Atezo+Bev) and 39.4% (sorafenib) of patients having experienced an event. In addition, there was a high degree of censoring for survival and the number of patients </w:t>
      </w:r>
      <w:r w:rsidR="001C69A8" w:rsidRPr="00E63DF4">
        <w:rPr>
          <w:rFonts w:eastAsia="Calibri"/>
          <w:iCs/>
        </w:rPr>
        <w:t xml:space="preserve">remaining </w:t>
      </w:r>
      <w:r w:rsidR="00BF6E93" w:rsidRPr="00E63DF4">
        <w:rPr>
          <w:rFonts w:eastAsia="Calibri"/>
          <w:iCs/>
        </w:rPr>
        <w:t xml:space="preserve">at risk </w:t>
      </w:r>
      <w:r w:rsidR="001C69A8" w:rsidRPr="00E63DF4">
        <w:rPr>
          <w:rFonts w:eastAsia="Calibri"/>
          <w:iCs/>
        </w:rPr>
        <w:t>after</w:t>
      </w:r>
      <w:r w:rsidR="00BF6E93" w:rsidRPr="00E63DF4">
        <w:rPr>
          <w:rFonts w:eastAsia="Calibri"/>
          <w:iCs/>
        </w:rPr>
        <w:t xml:space="preserve"> month 12 was low.</w:t>
      </w:r>
      <w:r w:rsidR="00D15E32" w:rsidRPr="00E63DF4">
        <w:rPr>
          <w:rFonts w:eastAsia="Calibri"/>
          <w:iCs/>
        </w:rPr>
        <w:t xml:space="preserve"> The ESC agreed with the Sponsor and the evaluation that despite the immaturity of the data, the early improvement in OS </w:t>
      </w:r>
      <w:r w:rsidR="00332361" w:rsidRPr="00E63DF4">
        <w:rPr>
          <w:rFonts w:eastAsia="Calibri"/>
          <w:iCs/>
        </w:rPr>
        <w:t>is statistically significant and clinically meaningful.</w:t>
      </w:r>
    </w:p>
    <w:p w:rsidR="00E316D7" w:rsidRPr="00E63DF4" w:rsidRDefault="00E316D7" w:rsidP="00E316D7">
      <w:pPr>
        <w:pStyle w:val="3-BodyText"/>
        <w:rPr>
          <w:rFonts w:eastAsia="Calibri"/>
        </w:rPr>
      </w:pPr>
      <w:r w:rsidRPr="00E63DF4">
        <w:rPr>
          <w:rFonts w:eastAsia="Calibri"/>
        </w:rPr>
        <w:t xml:space="preserve">There is some question over the applicability of the data from IMbrave150 to the Australian setting, most notably due to the availability </w:t>
      </w:r>
      <w:r w:rsidR="000F5ADE" w:rsidRPr="00E63DF4">
        <w:rPr>
          <w:rFonts w:eastAsia="Calibri"/>
          <w:iCs/>
        </w:rPr>
        <w:t xml:space="preserve">of follow-up HCC systemic therapies for use </w:t>
      </w:r>
      <w:r w:rsidRPr="00E63DF4">
        <w:rPr>
          <w:rFonts w:eastAsia="Calibri"/>
        </w:rPr>
        <w:t xml:space="preserve">within the trial. Use of such therapies occurred in a higher proportion of sorafenib patients than Atezo+Bev patients; the impact of that difference on the comparative efficacy is unclear. There is the potential that the effect for Atezo+Bev compared with sorafenib in Australian practice may differ from IMbrave150 given that there are no therapies </w:t>
      </w:r>
      <w:r w:rsidR="00D97C5D" w:rsidRPr="00E63DF4">
        <w:rPr>
          <w:rFonts w:eastAsia="Calibri"/>
        </w:rPr>
        <w:t xml:space="preserve">specifically </w:t>
      </w:r>
      <w:r w:rsidRPr="00E63DF4">
        <w:rPr>
          <w:rFonts w:eastAsia="Calibri"/>
        </w:rPr>
        <w:t>PBS listed for use in the second-line setting.</w:t>
      </w:r>
    </w:p>
    <w:p w:rsidR="00F211EE" w:rsidRPr="00E63DF4" w:rsidRDefault="00BF6E93" w:rsidP="00F211EE">
      <w:pPr>
        <w:pStyle w:val="3-BodyText"/>
        <w:rPr>
          <w:rFonts w:eastAsia="Calibri"/>
        </w:rPr>
      </w:pPr>
      <w:r w:rsidRPr="00E63DF4">
        <w:rPr>
          <w:rFonts w:eastAsia="Calibri"/>
        </w:rPr>
        <w:t xml:space="preserve">The submission described </w:t>
      </w:r>
      <w:r w:rsidR="00037ADF" w:rsidRPr="00E63DF4">
        <w:rPr>
          <w:rFonts w:eastAsia="Calibri"/>
        </w:rPr>
        <w:t>Atezo+Bev a</w:t>
      </w:r>
      <w:r w:rsidRPr="00E63DF4">
        <w:rPr>
          <w:rFonts w:eastAsia="Calibri"/>
        </w:rPr>
        <w:t xml:space="preserve">s non-inferior to sorafenib in terms of safety (with respect to event rates) with a different </w:t>
      </w:r>
      <w:r w:rsidR="0091799A" w:rsidRPr="00E63DF4">
        <w:rPr>
          <w:rFonts w:eastAsia="Calibri"/>
        </w:rPr>
        <w:t>AE</w:t>
      </w:r>
      <w:r w:rsidRPr="00E63DF4">
        <w:rPr>
          <w:rFonts w:eastAsia="Calibri"/>
        </w:rPr>
        <w:t xml:space="preserve"> profile. The therapeutic conclusion of non-inferiority in terms of safety was supported by the data, noting the different adverse event profile.</w:t>
      </w:r>
    </w:p>
    <w:p w:rsidR="00F211EE" w:rsidRPr="00E63DF4" w:rsidRDefault="00327E8F" w:rsidP="00BE5173">
      <w:pPr>
        <w:pStyle w:val="3-BodyText"/>
        <w:rPr>
          <w:rFonts w:eastAsia="Calibri"/>
        </w:rPr>
      </w:pPr>
      <w:r w:rsidRPr="00E63DF4">
        <w:rPr>
          <w:rFonts w:eastAsia="Calibri"/>
        </w:rPr>
        <w:t>The PBAC considered the claim</w:t>
      </w:r>
      <w:r w:rsidR="00BE5173" w:rsidRPr="00E63DF4">
        <w:rPr>
          <w:rFonts w:eastAsia="Calibri"/>
        </w:rPr>
        <w:t>s</w:t>
      </w:r>
      <w:r w:rsidRPr="00E63DF4">
        <w:rPr>
          <w:rFonts w:eastAsia="Calibri"/>
        </w:rPr>
        <w:t xml:space="preserve"> of superior </w:t>
      </w:r>
      <w:r w:rsidR="00BE5173" w:rsidRPr="00E63DF4">
        <w:rPr>
          <w:rFonts w:eastAsia="Calibri"/>
        </w:rPr>
        <w:t>comparative effectiveness and non-inferior safety were supported by the clinical evidence.</w:t>
      </w:r>
    </w:p>
    <w:p w:rsidR="00F14B46" w:rsidRPr="00E63DF4" w:rsidRDefault="00F14B46" w:rsidP="00F14B46">
      <w:pPr>
        <w:pStyle w:val="4-SubsectionHeading"/>
      </w:pPr>
      <w:bookmarkStart w:id="21" w:name="_Toc22897645"/>
      <w:bookmarkStart w:id="22" w:name="_Toc22898857"/>
      <w:bookmarkStart w:id="23" w:name="_Toc40710596"/>
      <w:r w:rsidRPr="00E63DF4">
        <w:t>Economic analysis</w:t>
      </w:r>
      <w:bookmarkEnd w:id="21"/>
      <w:bookmarkEnd w:id="22"/>
      <w:bookmarkEnd w:id="23"/>
      <w:r w:rsidRPr="00E63DF4">
        <w:t xml:space="preserve"> </w:t>
      </w:r>
    </w:p>
    <w:p w:rsidR="00F14B46" w:rsidRPr="00E63DF4" w:rsidRDefault="00F14B46" w:rsidP="00992176">
      <w:pPr>
        <w:pStyle w:val="3-BodyText"/>
        <w:rPr>
          <w:rFonts w:cstheme="minorHAnsi"/>
          <w:color w:val="0066FF"/>
        </w:rPr>
      </w:pPr>
      <w:r w:rsidRPr="00E63DF4">
        <w:rPr>
          <w:rFonts w:cstheme="minorHAnsi"/>
        </w:rPr>
        <w:t>The submission presented a stepped economic evaluation based on evidence from IMbrave150 and implemented a modelled cost-utility analysis for Atezo+Bev versus sorafenib. The model structure and rationale are summari</w:t>
      </w:r>
      <w:r w:rsidR="00EE3CA6" w:rsidRPr="00E63DF4">
        <w:rPr>
          <w:rFonts w:cstheme="minorHAnsi"/>
        </w:rPr>
        <w:t>s</w:t>
      </w:r>
      <w:r w:rsidRPr="00E63DF4">
        <w:rPr>
          <w:rFonts w:cstheme="minorHAnsi"/>
        </w:rPr>
        <w:t xml:space="preserve">ed in </w:t>
      </w:r>
      <w:r w:rsidR="0039105C" w:rsidRPr="00E63DF4">
        <w:rPr>
          <w:rFonts w:cstheme="minorHAnsi"/>
        </w:rPr>
        <w:t>T</w:t>
      </w:r>
      <w:r w:rsidRPr="00E63DF4">
        <w:rPr>
          <w:rFonts w:cstheme="minorHAnsi"/>
        </w:rPr>
        <w:t xml:space="preserve">able </w:t>
      </w:r>
      <w:r w:rsidR="0039105C" w:rsidRPr="00E63DF4">
        <w:rPr>
          <w:rFonts w:cstheme="minorHAnsi"/>
        </w:rPr>
        <w:t>12</w:t>
      </w:r>
      <w:r w:rsidRPr="00E63DF4">
        <w:rPr>
          <w:rFonts w:cstheme="minorHAnsi"/>
        </w:rPr>
        <w:t xml:space="preserve">. </w:t>
      </w:r>
    </w:p>
    <w:p w:rsidR="00F14B46" w:rsidRPr="00E63DF4" w:rsidRDefault="00F14B46" w:rsidP="00F14B46">
      <w:pPr>
        <w:pStyle w:val="TableFigureHeading"/>
        <w:rPr>
          <w:rStyle w:val="CommentReference"/>
          <w:b/>
          <w:szCs w:val="24"/>
        </w:rPr>
      </w:pPr>
      <w:r w:rsidRPr="00E63DF4">
        <w:rPr>
          <w:rStyle w:val="CommentReference"/>
          <w:b/>
          <w:szCs w:val="24"/>
        </w:rPr>
        <w:lastRenderedPageBreak/>
        <w:t xml:space="preserve">Table </w:t>
      </w:r>
      <w:r w:rsidR="0039105C" w:rsidRPr="00E63DF4">
        <w:rPr>
          <w:rStyle w:val="CommentReference"/>
          <w:b/>
          <w:szCs w:val="24"/>
        </w:rPr>
        <w:t>12</w:t>
      </w:r>
      <w:r w:rsidRPr="00E63DF4">
        <w:rPr>
          <w:rStyle w:val="CommentReference"/>
          <w:b/>
          <w:szCs w:val="24"/>
        </w:rPr>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24"/>
        <w:gridCol w:w="6516"/>
      </w:tblGrid>
      <w:tr w:rsidR="00F14B46" w:rsidRPr="00E63DF4" w:rsidTr="00477090">
        <w:trPr>
          <w:tblHeader/>
        </w:trPr>
        <w:tc>
          <w:tcPr>
            <w:tcW w:w="1396" w:type="pct"/>
            <w:shd w:val="clear" w:color="auto" w:fill="auto"/>
            <w:vAlign w:val="center"/>
          </w:tcPr>
          <w:p w:rsidR="00F14B46" w:rsidRPr="00E63DF4" w:rsidRDefault="00F14B46" w:rsidP="00DD707C">
            <w:pPr>
              <w:pStyle w:val="In-tableHeading"/>
              <w:rPr>
                <w:lang w:val="en-AU"/>
              </w:rPr>
            </w:pPr>
            <w:r w:rsidRPr="00E63DF4">
              <w:rPr>
                <w:lang w:val="en-AU"/>
              </w:rPr>
              <w:t>Component</w:t>
            </w:r>
          </w:p>
        </w:tc>
        <w:tc>
          <w:tcPr>
            <w:tcW w:w="3604" w:type="pct"/>
            <w:shd w:val="clear" w:color="auto" w:fill="auto"/>
            <w:vAlign w:val="center"/>
          </w:tcPr>
          <w:p w:rsidR="00F14B46" w:rsidRPr="00E63DF4" w:rsidRDefault="00F14B46" w:rsidP="00DD707C">
            <w:pPr>
              <w:pStyle w:val="In-tableHeading"/>
              <w:rPr>
                <w:lang w:val="en-AU"/>
              </w:rPr>
            </w:pPr>
            <w:r w:rsidRPr="00E63DF4">
              <w:rPr>
                <w:lang w:val="en-AU"/>
              </w:rPr>
              <w:t>Summary</w:t>
            </w:r>
          </w:p>
        </w:tc>
      </w:tr>
      <w:tr w:rsidR="00F14B46" w:rsidRPr="00E63DF4" w:rsidTr="00477090">
        <w:tc>
          <w:tcPr>
            <w:tcW w:w="1396" w:type="pct"/>
            <w:shd w:val="clear" w:color="auto" w:fill="auto"/>
            <w:vAlign w:val="center"/>
          </w:tcPr>
          <w:p w:rsidR="00F14B46" w:rsidRPr="00E63DF4" w:rsidRDefault="00F14B46" w:rsidP="00DD707C">
            <w:pPr>
              <w:pStyle w:val="TableText0"/>
            </w:pPr>
            <w:r w:rsidRPr="00E63DF4">
              <w:t>Treatments</w:t>
            </w:r>
          </w:p>
        </w:tc>
        <w:tc>
          <w:tcPr>
            <w:tcW w:w="3604" w:type="pct"/>
            <w:shd w:val="clear" w:color="auto" w:fill="auto"/>
            <w:vAlign w:val="center"/>
          </w:tcPr>
          <w:p w:rsidR="00F14B46" w:rsidRPr="00E63DF4" w:rsidRDefault="00F14B46" w:rsidP="00DD707C">
            <w:pPr>
              <w:pStyle w:val="TableText0"/>
            </w:pPr>
            <w:r w:rsidRPr="00E63DF4">
              <w:t>Atezo+Bev vs sorafenib</w:t>
            </w:r>
          </w:p>
        </w:tc>
      </w:tr>
      <w:tr w:rsidR="00F14B46" w:rsidRPr="00E63DF4" w:rsidTr="00477090">
        <w:tc>
          <w:tcPr>
            <w:tcW w:w="1396" w:type="pct"/>
            <w:shd w:val="clear" w:color="auto" w:fill="auto"/>
            <w:vAlign w:val="center"/>
          </w:tcPr>
          <w:p w:rsidR="00F14B46" w:rsidRPr="00E63DF4" w:rsidRDefault="00F14B46" w:rsidP="00DD707C">
            <w:pPr>
              <w:pStyle w:val="TableText0"/>
            </w:pPr>
            <w:r w:rsidRPr="00E63DF4">
              <w:t>Time horizon</w:t>
            </w:r>
          </w:p>
        </w:tc>
        <w:tc>
          <w:tcPr>
            <w:tcW w:w="3604" w:type="pct"/>
            <w:shd w:val="clear" w:color="auto" w:fill="auto"/>
            <w:vAlign w:val="center"/>
          </w:tcPr>
          <w:p w:rsidR="00F14B46" w:rsidRPr="00E63DF4" w:rsidRDefault="00F14B46" w:rsidP="00DD707C">
            <w:pPr>
              <w:pStyle w:val="TableText0"/>
            </w:pPr>
            <w:r w:rsidRPr="00E63DF4">
              <w:t>10 years in the model base case versus 8.6 months median follow-up in IMbrave150 trial</w:t>
            </w:r>
          </w:p>
        </w:tc>
      </w:tr>
      <w:tr w:rsidR="00F14B46" w:rsidRPr="00E63DF4" w:rsidTr="00477090">
        <w:tc>
          <w:tcPr>
            <w:tcW w:w="1396" w:type="pct"/>
            <w:shd w:val="clear" w:color="auto" w:fill="auto"/>
            <w:vAlign w:val="center"/>
          </w:tcPr>
          <w:p w:rsidR="00F14B46" w:rsidRPr="00E63DF4" w:rsidRDefault="00F14B46" w:rsidP="00DD707C">
            <w:pPr>
              <w:pStyle w:val="TableText0"/>
            </w:pPr>
            <w:r w:rsidRPr="00E63DF4">
              <w:t>Outcomes</w:t>
            </w:r>
          </w:p>
        </w:tc>
        <w:tc>
          <w:tcPr>
            <w:tcW w:w="3604" w:type="pct"/>
            <w:shd w:val="clear" w:color="auto" w:fill="auto"/>
            <w:vAlign w:val="center"/>
          </w:tcPr>
          <w:p w:rsidR="00F14B46" w:rsidRPr="00E63DF4" w:rsidRDefault="00F14B46" w:rsidP="00DD707C">
            <w:pPr>
              <w:pStyle w:val="TableText0"/>
            </w:pPr>
            <w:r w:rsidRPr="00E63DF4">
              <w:t xml:space="preserve">Life-years gained (LYG) and quality-adjusted life-years </w:t>
            </w:r>
            <w:r w:rsidR="00EE3CA6" w:rsidRPr="00E63DF4">
              <w:t xml:space="preserve">(QALY) </w:t>
            </w:r>
            <w:r w:rsidRPr="00E63DF4">
              <w:t xml:space="preserve">gained </w:t>
            </w:r>
          </w:p>
        </w:tc>
      </w:tr>
      <w:tr w:rsidR="00F14B46" w:rsidRPr="00E63DF4" w:rsidTr="00477090">
        <w:tc>
          <w:tcPr>
            <w:tcW w:w="1396" w:type="pct"/>
            <w:shd w:val="clear" w:color="auto" w:fill="auto"/>
            <w:vAlign w:val="center"/>
          </w:tcPr>
          <w:p w:rsidR="00F14B46" w:rsidRPr="00E63DF4" w:rsidRDefault="00F14B46" w:rsidP="00DD707C">
            <w:pPr>
              <w:pStyle w:val="TableText0"/>
            </w:pPr>
            <w:r w:rsidRPr="00E63DF4">
              <w:t>Methods used to generate results</w:t>
            </w:r>
          </w:p>
        </w:tc>
        <w:tc>
          <w:tcPr>
            <w:tcW w:w="3604" w:type="pct"/>
            <w:shd w:val="clear" w:color="auto" w:fill="auto"/>
            <w:vAlign w:val="center"/>
          </w:tcPr>
          <w:p w:rsidR="00F14B46" w:rsidRPr="00E63DF4" w:rsidRDefault="00B50D03" w:rsidP="00DD707C">
            <w:pPr>
              <w:pStyle w:val="TableText0"/>
            </w:pPr>
            <w:r w:rsidRPr="00E63DF4">
              <w:t>Partitioned-survival cohort analysis (area under the curve)</w:t>
            </w:r>
          </w:p>
        </w:tc>
      </w:tr>
      <w:tr w:rsidR="00F14B46" w:rsidRPr="00E63DF4" w:rsidTr="00477090">
        <w:tc>
          <w:tcPr>
            <w:tcW w:w="1396" w:type="pct"/>
            <w:shd w:val="clear" w:color="auto" w:fill="auto"/>
            <w:vAlign w:val="center"/>
          </w:tcPr>
          <w:p w:rsidR="00F14B46" w:rsidRPr="00E63DF4" w:rsidRDefault="00F14B46" w:rsidP="00DD707C">
            <w:pPr>
              <w:pStyle w:val="TableText0"/>
            </w:pPr>
            <w:r w:rsidRPr="00E63DF4">
              <w:t>Health states</w:t>
            </w:r>
          </w:p>
        </w:tc>
        <w:tc>
          <w:tcPr>
            <w:tcW w:w="3604" w:type="pct"/>
            <w:shd w:val="clear" w:color="auto" w:fill="auto"/>
            <w:vAlign w:val="center"/>
          </w:tcPr>
          <w:p w:rsidR="00F14B46" w:rsidRPr="00E63DF4" w:rsidRDefault="00B50D03" w:rsidP="00DD707C">
            <w:pPr>
              <w:pStyle w:val="TableText0"/>
            </w:pPr>
            <w:r w:rsidRPr="00E63DF4">
              <w:t>Three: progression-free disease, progressive disease and death.</w:t>
            </w:r>
          </w:p>
        </w:tc>
      </w:tr>
      <w:tr w:rsidR="00F14B46" w:rsidRPr="00E63DF4" w:rsidTr="00477090">
        <w:tc>
          <w:tcPr>
            <w:tcW w:w="1396" w:type="pct"/>
            <w:shd w:val="clear" w:color="auto" w:fill="auto"/>
            <w:vAlign w:val="center"/>
          </w:tcPr>
          <w:p w:rsidR="00F14B46" w:rsidRPr="00E63DF4" w:rsidRDefault="00F14B46" w:rsidP="00DD707C">
            <w:pPr>
              <w:pStyle w:val="TableText0"/>
            </w:pPr>
            <w:r w:rsidRPr="00E63DF4">
              <w:t>Cycle length</w:t>
            </w:r>
          </w:p>
        </w:tc>
        <w:tc>
          <w:tcPr>
            <w:tcW w:w="3604" w:type="pct"/>
            <w:shd w:val="clear" w:color="auto" w:fill="auto"/>
            <w:vAlign w:val="center"/>
          </w:tcPr>
          <w:p w:rsidR="00F14B46" w:rsidRPr="00E63DF4" w:rsidRDefault="00F14B46" w:rsidP="00DD707C">
            <w:pPr>
              <w:pStyle w:val="TableText0"/>
            </w:pPr>
            <w:r w:rsidRPr="00E63DF4">
              <w:t>1 week</w:t>
            </w:r>
          </w:p>
        </w:tc>
      </w:tr>
      <w:tr w:rsidR="00F14B46" w:rsidRPr="00E63DF4" w:rsidTr="00477090">
        <w:tc>
          <w:tcPr>
            <w:tcW w:w="1396" w:type="pct"/>
            <w:shd w:val="clear" w:color="auto" w:fill="auto"/>
            <w:vAlign w:val="center"/>
          </w:tcPr>
          <w:p w:rsidR="00F14B46" w:rsidRPr="00E63DF4" w:rsidRDefault="00F14B46" w:rsidP="00925B9A">
            <w:pPr>
              <w:pStyle w:val="TableText0"/>
            </w:pPr>
            <w:r w:rsidRPr="00E63DF4">
              <w:t xml:space="preserve">Allocation to health states </w:t>
            </w:r>
          </w:p>
        </w:tc>
        <w:tc>
          <w:tcPr>
            <w:tcW w:w="3604" w:type="pct"/>
            <w:shd w:val="clear" w:color="auto" w:fill="auto"/>
            <w:vAlign w:val="center"/>
          </w:tcPr>
          <w:p w:rsidR="00F14B46" w:rsidRPr="00E63DF4" w:rsidRDefault="00F14B46" w:rsidP="00DD707C">
            <w:pPr>
              <w:pStyle w:val="TableText0"/>
            </w:pPr>
            <w:r w:rsidRPr="00E63DF4">
              <w:t xml:space="preserve">Health state allocation over time determined by PFS and OS curves from IMbrave150 at the 29 </w:t>
            </w:r>
            <w:r w:rsidR="0091799A" w:rsidRPr="00E63DF4">
              <w:t xml:space="preserve">August </w:t>
            </w:r>
            <w:r w:rsidRPr="00E63DF4">
              <w:t>2019 clinical cut-off</w:t>
            </w:r>
            <w:r w:rsidR="00714DF4" w:rsidRPr="00E63DF4">
              <w:t xml:space="preserve">. </w:t>
            </w:r>
            <w:r w:rsidR="00714DF4" w:rsidRPr="00E63DF4">
              <w:rPr>
                <w:iCs/>
              </w:rPr>
              <w:t>The OS data were used to estimate the life-years in each treatment arm.</w:t>
            </w:r>
          </w:p>
        </w:tc>
      </w:tr>
      <w:tr w:rsidR="00F14B46" w:rsidRPr="00E63DF4" w:rsidTr="00477090">
        <w:tc>
          <w:tcPr>
            <w:tcW w:w="1396" w:type="pct"/>
            <w:shd w:val="clear" w:color="auto" w:fill="auto"/>
            <w:vAlign w:val="center"/>
          </w:tcPr>
          <w:p w:rsidR="00F14B46" w:rsidRPr="00E63DF4" w:rsidRDefault="00F14B46" w:rsidP="00DD707C">
            <w:pPr>
              <w:pStyle w:val="TableText0"/>
            </w:pPr>
            <w:r w:rsidRPr="00E63DF4">
              <w:t>Extrapolation method</w:t>
            </w:r>
          </w:p>
        </w:tc>
        <w:tc>
          <w:tcPr>
            <w:tcW w:w="3604" w:type="pct"/>
            <w:shd w:val="clear" w:color="auto" w:fill="auto"/>
            <w:vAlign w:val="center"/>
          </w:tcPr>
          <w:p w:rsidR="00F14B46" w:rsidRPr="00E63DF4" w:rsidRDefault="00F14B46" w:rsidP="00DD707C">
            <w:pPr>
              <w:pStyle w:val="TableText0"/>
            </w:pPr>
            <w:r w:rsidRPr="00E63DF4">
              <w:t>Data were extrapolated using all available</w:t>
            </w:r>
            <w:r w:rsidR="0079216C" w:rsidRPr="00E63DF4">
              <w:t xml:space="preserve"> KM</w:t>
            </w:r>
            <w:r w:rsidRPr="00E63DF4">
              <w:t xml:space="preserve"> data, applied fr</w:t>
            </w:r>
            <w:r w:rsidR="005B74D5" w:rsidRPr="00E63DF4">
              <w:t>o</w:t>
            </w:r>
            <w:r w:rsidRPr="00E63DF4">
              <w:t>m median follow-up (8.6 months).</w:t>
            </w:r>
            <w:r w:rsidR="00EE3CA6" w:rsidRPr="00E63DF4">
              <w:t xml:space="preserve"> </w:t>
            </w:r>
            <w:r w:rsidRPr="00E63DF4">
              <w:t xml:space="preserve">The model was fitted to each treatment arm with </w:t>
            </w:r>
            <w:r w:rsidR="0091799A" w:rsidRPr="00E63DF4">
              <w:t xml:space="preserve">an </w:t>
            </w:r>
            <w:r w:rsidRPr="00E63DF4">
              <w:t xml:space="preserve">exponential </w:t>
            </w:r>
            <w:r w:rsidR="0091799A" w:rsidRPr="00E63DF4">
              <w:t xml:space="preserve">distribution </w:t>
            </w:r>
            <w:r w:rsidRPr="00E63DF4">
              <w:t xml:space="preserve">selected as base case for OS, log-normal selected for PFS, and gamma distribution selected for TTD. The selection of extrapolation curves for PFS and TTD </w:t>
            </w:r>
            <w:r w:rsidR="0091799A" w:rsidRPr="00E63DF4">
              <w:t xml:space="preserve">was </w:t>
            </w:r>
            <w:r w:rsidRPr="00E63DF4">
              <w:t xml:space="preserve">based on the best-fit validation </w:t>
            </w:r>
            <w:r w:rsidR="0091799A" w:rsidRPr="00E63DF4">
              <w:t xml:space="preserve">for </w:t>
            </w:r>
            <w:r w:rsidRPr="00E63DF4">
              <w:t xml:space="preserve">Atezo+Bev, </w:t>
            </w:r>
            <w:r w:rsidR="0091799A" w:rsidRPr="00E63DF4">
              <w:t xml:space="preserve">with </w:t>
            </w:r>
            <w:r w:rsidRPr="00E63DF4">
              <w:t xml:space="preserve">the same distributions </w:t>
            </w:r>
            <w:r w:rsidR="0091799A" w:rsidRPr="00E63DF4">
              <w:t>applied to</w:t>
            </w:r>
            <w:r w:rsidRPr="00E63DF4">
              <w:t xml:space="preserve"> the sorafenib arm. The submission provided </w:t>
            </w:r>
            <w:r w:rsidR="0091799A" w:rsidRPr="00E63DF4">
              <w:t xml:space="preserve">a </w:t>
            </w:r>
            <w:r w:rsidRPr="00E63DF4">
              <w:t xml:space="preserve">test for convergence as part of the </w:t>
            </w:r>
            <w:r w:rsidR="00B50D03" w:rsidRPr="00E63DF4">
              <w:t>model but</w:t>
            </w:r>
            <w:r w:rsidR="00095B06" w:rsidRPr="00E63DF4">
              <w:t xml:space="preserve"> did not include convergence in the base case.</w:t>
            </w:r>
          </w:p>
        </w:tc>
      </w:tr>
      <w:tr w:rsidR="00F14B46" w:rsidRPr="00E63DF4" w:rsidTr="00477090">
        <w:tc>
          <w:tcPr>
            <w:tcW w:w="1396" w:type="pct"/>
            <w:shd w:val="clear" w:color="auto" w:fill="auto"/>
            <w:vAlign w:val="center"/>
          </w:tcPr>
          <w:p w:rsidR="00F14B46" w:rsidRPr="00E63DF4" w:rsidRDefault="00F14B46" w:rsidP="00DD707C">
            <w:pPr>
              <w:pStyle w:val="TableText0"/>
            </w:pPr>
            <w:r w:rsidRPr="00E63DF4">
              <w:t>Health related quality of life</w:t>
            </w:r>
          </w:p>
        </w:tc>
        <w:tc>
          <w:tcPr>
            <w:tcW w:w="3604" w:type="pct"/>
            <w:shd w:val="clear" w:color="auto" w:fill="auto"/>
            <w:vAlign w:val="center"/>
          </w:tcPr>
          <w:p w:rsidR="00F14B46" w:rsidRPr="00E63DF4" w:rsidRDefault="00F14B46" w:rsidP="00DD707C">
            <w:pPr>
              <w:pStyle w:val="TableText0"/>
            </w:pPr>
            <w:r w:rsidRPr="00E63DF4">
              <w:t xml:space="preserve">Calculated from EQ-5D data collected in the IMbrave150 trial. </w:t>
            </w:r>
            <w:r w:rsidRPr="00E63DF4">
              <w:rPr>
                <w:iCs/>
              </w:rPr>
              <w:t xml:space="preserve">The utility data were based on the </w:t>
            </w:r>
            <w:r w:rsidR="00E019E7" w:rsidRPr="00E63DF4">
              <w:rPr>
                <w:iCs/>
              </w:rPr>
              <w:t>TTD by</w:t>
            </w:r>
            <w:r w:rsidRPr="00E63DF4">
              <w:rPr>
                <w:iCs/>
              </w:rPr>
              <w:t xml:space="preserve"> treatment status. </w:t>
            </w:r>
          </w:p>
          <w:p w:rsidR="00F14B46" w:rsidRPr="00E63DF4" w:rsidRDefault="00F14B46" w:rsidP="00DD707C">
            <w:pPr>
              <w:pStyle w:val="TableText0"/>
            </w:pPr>
            <w:r w:rsidRPr="00E63DF4">
              <w:t xml:space="preserve">The </w:t>
            </w:r>
            <w:r w:rsidRPr="006B6F89">
              <w:t>utility values applied:</w:t>
            </w:r>
            <w:r w:rsidR="0091799A" w:rsidRPr="006B6F89">
              <w:t xml:space="preserve"> were</w:t>
            </w:r>
            <w:r w:rsidRPr="006B6F89">
              <w:t xml:space="preserve"> on treatment Atezo+Bev = 0.769; on treatment </w:t>
            </w:r>
            <w:r w:rsidR="0091799A" w:rsidRPr="006B6F89">
              <w:t xml:space="preserve">sorafenib </w:t>
            </w:r>
            <w:r w:rsidRPr="006B6F89">
              <w:t>=0.724; off treatment (pooled) =0.627.</w:t>
            </w:r>
          </w:p>
        </w:tc>
      </w:tr>
      <w:tr w:rsidR="00F14B46" w:rsidRPr="00E63DF4" w:rsidTr="00477090">
        <w:tc>
          <w:tcPr>
            <w:tcW w:w="1396" w:type="pct"/>
            <w:shd w:val="clear" w:color="auto" w:fill="auto"/>
            <w:vAlign w:val="center"/>
          </w:tcPr>
          <w:p w:rsidR="00F14B46" w:rsidRPr="00E63DF4" w:rsidRDefault="00F14B46" w:rsidP="00DD707C">
            <w:pPr>
              <w:pStyle w:val="TableText0"/>
            </w:pPr>
            <w:r w:rsidRPr="00E63DF4">
              <w:t>Post-progression cost included in a sensitivity analysis.</w:t>
            </w:r>
          </w:p>
        </w:tc>
        <w:tc>
          <w:tcPr>
            <w:tcW w:w="3604" w:type="pct"/>
            <w:shd w:val="clear" w:color="auto" w:fill="auto"/>
            <w:vAlign w:val="center"/>
          </w:tcPr>
          <w:p w:rsidR="00F14B46" w:rsidRPr="00E63DF4" w:rsidRDefault="00F14B46" w:rsidP="00DD707C">
            <w:pPr>
              <w:pStyle w:val="TableText0"/>
            </w:pPr>
            <w:r w:rsidRPr="00E63DF4">
              <w:t>Costs for chemotherapy</w:t>
            </w:r>
            <w:r w:rsidR="005C08D1" w:rsidRPr="00E63DF4">
              <w:t xml:space="preserve"> and TKI</w:t>
            </w:r>
            <w:r w:rsidRPr="00E63DF4">
              <w:t xml:space="preserve"> as subsequent therap</w:t>
            </w:r>
            <w:r w:rsidR="005C22F8" w:rsidRPr="00E63DF4">
              <w:t>ies</w:t>
            </w:r>
            <w:r w:rsidRPr="00E63DF4">
              <w:t xml:space="preserve"> were calculated separately </w:t>
            </w:r>
            <w:r w:rsidR="0036744F" w:rsidRPr="00E63DF4">
              <w:t xml:space="preserve">for each arm based on the reported utilisation </w:t>
            </w:r>
            <w:r w:rsidR="000F2166" w:rsidRPr="00E63DF4">
              <w:t>of these therapies</w:t>
            </w:r>
            <w:r w:rsidR="0036744F" w:rsidRPr="00E63DF4">
              <w:t xml:space="preserve"> in IMbrave150 </w:t>
            </w:r>
            <w:r w:rsidRPr="00E63DF4">
              <w:t>as they were considered to be lower</w:t>
            </w:r>
            <w:r w:rsidR="0036744F" w:rsidRPr="00E63DF4">
              <w:t xml:space="preserve"> in Atezo+Bev arm</w:t>
            </w:r>
            <w:r w:rsidRPr="00E63DF4">
              <w:t xml:space="preserve">. </w:t>
            </w:r>
            <w:r w:rsidRPr="00E63DF4">
              <w:rPr>
                <w:iCs/>
              </w:rPr>
              <w:t xml:space="preserve">However, there were 43.5% of patients on treatment in Atezo+Bev arm, while only 14.5% in sorafenib arm at </w:t>
            </w:r>
            <w:r w:rsidR="0091799A" w:rsidRPr="00E63DF4">
              <w:rPr>
                <w:iCs/>
              </w:rPr>
              <w:t>th</w:t>
            </w:r>
            <w:r w:rsidRPr="00E63DF4">
              <w:rPr>
                <w:iCs/>
              </w:rPr>
              <w:t xml:space="preserve">e data cut off. This indicates that the TTD data for Atezo+Bev arm </w:t>
            </w:r>
            <w:r w:rsidR="0091799A" w:rsidRPr="00E63DF4">
              <w:rPr>
                <w:iCs/>
              </w:rPr>
              <w:t xml:space="preserve">are </w:t>
            </w:r>
            <w:r w:rsidRPr="00E63DF4">
              <w:rPr>
                <w:iCs/>
              </w:rPr>
              <w:t>immature and the proportion of use of post-discontinuation therapy after Atezo+Bev is underestimated. This proportion is expected to increase as more patients come off treatment</w:t>
            </w:r>
            <w:r w:rsidRPr="00E63DF4">
              <w:t xml:space="preserve">. </w:t>
            </w:r>
          </w:p>
        </w:tc>
      </w:tr>
    </w:tbl>
    <w:p w:rsidR="00B62F69" w:rsidRPr="00E63DF4" w:rsidRDefault="00B62F69" w:rsidP="00B62F69">
      <w:pPr>
        <w:pStyle w:val="TableFigureFooter"/>
      </w:pPr>
      <w:r w:rsidRPr="00E63DF4">
        <w:t>Source: 3.1, p90 of the submission</w:t>
      </w:r>
      <w:r w:rsidR="0008041F" w:rsidRPr="00E63DF4">
        <w:t xml:space="preserve"> and data compiled during evaluation.</w:t>
      </w:r>
    </w:p>
    <w:p w:rsidR="00B62F69" w:rsidRPr="00E63DF4" w:rsidRDefault="00B62F69" w:rsidP="00B62F69">
      <w:pPr>
        <w:pStyle w:val="TableFigureFooter"/>
        <w:rPr>
          <w:sz w:val="20"/>
        </w:rPr>
      </w:pPr>
      <w:r w:rsidRPr="00E63DF4">
        <w:t xml:space="preserve">Abbreviations: </w:t>
      </w:r>
      <w:r w:rsidR="0008041F" w:rsidRPr="00E63DF4">
        <w:t xml:space="preserve">Atezo+Bev = atezolizumab + bevacizumab; </w:t>
      </w:r>
      <w:r w:rsidRPr="00E63DF4">
        <w:t xml:space="preserve">HCC = hepatocellular carcinoma; </w:t>
      </w:r>
      <w:r w:rsidR="0079216C" w:rsidRPr="00E63DF4">
        <w:t xml:space="preserve">KM = Kaplan-Meier; </w:t>
      </w:r>
      <w:r w:rsidRPr="00E63DF4">
        <w:t xml:space="preserve">LYG = Life-years gained; OS = overall survival; PFS = progression-free survival; QALY= quality-adjusted life-years; </w:t>
      </w:r>
      <w:r w:rsidR="00D13A89" w:rsidRPr="00E63DF4">
        <w:t xml:space="preserve">TKI = </w:t>
      </w:r>
      <w:r w:rsidR="005C22F8" w:rsidRPr="00E63DF4">
        <w:t>tyrosine kinase inhibitor;</w:t>
      </w:r>
      <w:r w:rsidR="00475A04" w:rsidRPr="00E63DF4">
        <w:t xml:space="preserve"> </w:t>
      </w:r>
      <w:r w:rsidRPr="00E63DF4">
        <w:t>TTD = time to treatment discontinuation.</w:t>
      </w:r>
    </w:p>
    <w:p w:rsidR="00F14B46" w:rsidRPr="00E63DF4" w:rsidRDefault="002B46AC" w:rsidP="00DD707C">
      <w:pPr>
        <w:pStyle w:val="3-BodyText"/>
      </w:pPr>
      <w:r w:rsidRPr="00E63DF4">
        <w:t>The submission presented a partitioned-survival analysis of Atezo+Bev compared to sorafenib</w:t>
      </w:r>
      <w:r w:rsidR="005763E3" w:rsidRPr="00E63DF4">
        <w:t xml:space="preserve">. </w:t>
      </w:r>
      <w:r w:rsidR="00C95FFD" w:rsidRPr="00E63DF4">
        <w:t xml:space="preserve">The </w:t>
      </w:r>
      <w:r w:rsidR="005B68BA" w:rsidRPr="00E63DF4">
        <w:t xml:space="preserve">OS </w:t>
      </w:r>
      <w:r w:rsidR="006169E4" w:rsidRPr="00E63DF4">
        <w:t xml:space="preserve">data were extrapolated using </w:t>
      </w:r>
      <w:r w:rsidR="00A12FDD" w:rsidRPr="00E63DF4">
        <w:t xml:space="preserve">an </w:t>
      </w:r>
      <w:r w:rsidR="006169E4" w:rsidRPr="00E63DF4">
        <w:t>exponential function</w:t>
      </w:r>
      <w:r w:rsidR="008C5D20" w:rsidRPr="00E63DF4">
        <w:t>.</w:t>
      </w:r>
      <w:r w:rsidR="0044249E" w:rsidRPr="00E63DF4">
        <w:t xml:space="preserve"> </w:t>
      </w:r>
      <w:r w:rsidR="0044249E" w:rsidRPr="00E63DF4">
        <w:rPr>
          <w:iCs/>
        </w:rPr>
        <w:t xml:space="preserve">The choice of parametric function was tested in sensitivity analyses; the results </w:t>
      </w:r>
      <w:r w:rsidR="00EE3CA6" w:rsidRPr="00E63DF4">
        <w:rPr>
          <w:iCs/>
        </w:rPr>
        <w:t xml:space="preserve">of the economic model </w:t>
      </w:r>
      <w:r w:rsidR="0044249E" w:rsidRPr="00E63DF4">
        <w:rPr>
          <w:iCs/>
        </w:rPr>
        <w:t xml:space="preserve">were somewhat sensitive to the choice of extrapolation function (Table </w:t>
      </w:r>
      <w:r w:rsidR="002937B7" w:rsidRPr="00E63DF4">
        <w:rPr>
          <w:iCs/>
        </w:rPr>
        <w:t>13 and Table 15).</w:t>
      </w:r>
    </w:p>
    <w:p w:rsidR="00714DF4" w:rsidRPr="00E63DF4" w:rsidRDefault="00714DF4" w:rsidP="00DD707C">
      <w:pPr>
        <w:pStyle w:val="3-BodyText"/>
        <w:rPr>
          <w:iCs/>
        </w:rPr>
      </w:pPr>
      <w:r w:rsidRPr="00E63DF4">
        <w:t xml:space="preserve">The model assumed that costs and utilities were driven by treatment status rather than by disease status. Thus, costs and QALY estimates were based on TTD rather than time in progressed/non-progressed health states. The submission stated that due to the difference between TTD and PFS for both treatment arms in IMbrave150, it was assumed </w:t>
      </w:r>
      <w:r w:rsidR="0091799A" w:rsidRPr="00E63DF4">
        <w:t xml:space="preserve">that </w:t>
      </w:r>
      <w:r w:rsidRPr="00E63DF4">
        <w:t>TTD better reflects patients’</w:t>
      </w:r>
      <w:r w:rsidR="00D66133" w:rsidRPr="00E63DF4">
        <w:t xml:space="preserve"> </w:t>
      </w:r>
      <w:r w:rsidR="00146C7F" w:rsidRPr="00E63DF4">
        <w:t xml:space="preserve">‘on </w:t>
      </w:r>
      <w:r w:rsidR="00D66133" w:rsidRPr="00E63DF4">
        <w:t>treatment</w:t>
      </w:r>
      <w:r w:rsidR="00146C7F" w:rsidRPr="00E63DF4">
        <w:t>’</w:t>
      </w:r>
      <w:r w:rsidR="00D66133" w:rsidRPr="00E63DF4">
        <w:t xml:space="preserve"> status</w:t>
      </w:r>
      <w:r w:rsidRPr="00E63DF4">
        <w:t xml:space="preserve"> than </w:t>
      </w:r>
      <w:r w:rsidR="00146C7F" w:rsidRPr="00E63DF4">
        <w:t xml:space="preserve">their </w:t>
      </w:r>
      <w:r w:rsidRPr="00E63DF4">
        <w:t xml:space="preserve">disease status (as captured by PFS). </w:t>
      </w:r>
      <w:r w:rsidRPr="00E63DF4">
        <w:rPr>
          <w:iCs/>
        </w:rPr>
        <w:t>The use of TTD will capture the costs of continuing treatment beyond progression.</w:t>
      </w:r>
      <w:r w:rsidR="00802EAC" w:rsidRPr="00E63DF4">
        <w:t xml:space="preserve"> </w:t>
      </w:r>
      <w:r w:rsidRPr="00E63DF4">
        <w:rPr>
          <w:iCs/>
        </w:rPr>
        <w:t>While this is consistent with treatment in IMbrave150, it does not reflect the proposed use of bevacizumab or the current use of sorafenib in HCC on the PBS which are both limited to patients who are not progressed.</w:t>
      </w:r>
      <w:r w:rsidR="00E924DB" w:rsidRPr="00E63DF4">
        <w:t xml:space="preserve"> </w:t>
      </w:r>
      <w:bookmarkStart w:id="24" w:name="_Hlk40519932"/>
      <w:r w:rsidR="00E924DB" w:rsidRPr="00E63DF4">
        <w:t xml:space="preserve">Additionally, a post-hoc analysis provided by the sponsor during the evaluation demonstrated that 34.8% of patients in the Atezo+Bev arm and 32.7% of patients in </w:t>
      </w:r>
      <w:r w:rsidR="00E924DB" w:rsidRPr="00E63DF4">
        <w:lastRenderedPageBreak/>
        <w:t>the sorafenib arm continued to receive treatment beyond disease progression, noting that ongoing treatment status beyond disease progression was unknown for 27.1% and 23% of patients in the Atezo+Bev and sorafenib arm, respectively.</w:t>
      </w:r>
      <w:r w:rsidR="00FA190B" w:rsidRPr="00E63DF4">
        <w:t xml:space="preserve"> The Sponsor responded in the PSCR that the impact for costs and QALYs in using disease status rather than treatment status is marginal.</w:t>
      </w:r>
    </w:p>
    <w:bookmarkEnd w:id="24"/>
    <w:p w:rsidR="002C7F29" w:rsidRPr="00E63DF4" w:rsidRDefault="003F68C9" w:rsidP="002C7F29">
      <w:pPr>
        <w:pStyle w:val="3-BodyText"/>
      </w:pPr>
      <w:r w:rsidRPr="00E63DF4">
        <w:t>The submission included post-discontinuation treatment costs as a sensitivity analysis based on the observed treatments in IMbrave150. In estimating the costs of subsequent therapy, the submission assumed that in the absence of any PBAC accepted superiority claims between immunotherapy monotherapy and TKI treatment in this setting, the later-line TKI treatments and immunotherapy could be pooled, with the costs considered equivalent.</w:t>
      </w:r>
      <w:r w:rsidR="002C7F29" w:rsidRPr="00E63DF4">
        <w:t xml:space="preserve"> The assumptions for the cost of post-discontinuation included use of cabozantinib as a </w:t>
      </w:r>
      <w:r w:rsidR="003D69A6" w:rsidRPr="00E63DF4">
        <w:t>proxy</w:t>
      </w:r>
      <w:r w:rsidR="002C7F29" w:rsidRPr="00E63DF4">
        <w:t xml:space="preserve"> cost for TKI therapies and oxaliplatin for chemotherapies, although these drugs are not PBS listed for HCC. The </w:t>
      </w:r>
      <w:r w:rsidR="00EE3CA6" w:rsidRPr="00E63DF4">
        <w:t xml:space="preserve">cost </w:t>
      </w:r>
      <w:r w:rsidR="002C7F29" w:rsidRPr="00E63DF4">
        <w:t>estimate</w:t>
      </w:r>
      <w:r w:rsidR="00EE3CA6" w:rsidRPr="00E63DF4">
        <w:t>s</w:t>
      </w:r>
      <w:r w:rsidR="002C7F29" w:rsidRPr="00E63DF4">
        <w:t xml:space="preserve"> w</w:t>
      </w:r>
      <w:r w:rsidR="00EE3CA6" w:rsidRPr="00E63DF4">
        <w:t xml:space="preserve">ere </w:t>
      </w:r>
      <w:r w:rsidR="002C7F29" w:rsidRPr="00E63DF4">
        <w:t xml:space="preserve">based on </w:t>
      </w:r>
      <w:r w:rsidR="00EE3CA6" w:rsidRPr="00E63DF4">
        <w:t xml:space="preserve">the </w:t>
      </w:r>
      <w:r w:rsidR="002C7F29" w:rsidRPr="00E63DF4">
        <w:t>cabozantinib published price.</w:t>
      </w:r>
    </w:p>
    <w:p w:rsidR="003F68C9" w:rsidRPr="00E63DF4" w:rsidRDefault="003D69A6" w:rsidP="009D4906">
      <w:pPr>
        <w:pStyle w:val="3-BodyText"/>
        <w:rPr>
          <w:iCs/>
        </w:rPr>
      </w:pPr>
      <w:r w:rsidRPr="00E63DF4">
        <w:rPr>
          <w:iCs/>
        </w:rPr>
        <w:t>However, i</w:t>
      </w:r>
      <w:r w:rsidR="003F68C9" w:rsidRPr="00E63DF4">
        <w:rPr>
          <w:iCs/>
        </w:rPr>
        <w:t>n estimating the proportion of patients treated</w:t>
      </w:r>
      <w:r w:rsidR="00EE3CA6" w:rsidRPr="00E63DF4">
        <w:rPr>
          <w:iCs/>
        </w:rPr>
        <w:t xml:space="preserve"> </w:t>
      </w:r>
      <w:r w:rsidR="002E7E65" w:rsidRPr="00E63DF4">
        <w:rPr>
          <w:iCs/>
        </w:rPr>
        <w:t>post-discontinuation</w:t>
      </w:r>
      <w:r w:rsidR="003F68C9" w:rsidRPr="00E63DF4">
        <w:rPr>
          <w:iCs/>
        </w:rPr>
        <w:t xml:space="preserve"> the submission applied the sum of the lines of therapy as </w:t>
      </w:r>
      <w:r w:rsidR="00EE3CA6" w:rsidRPr="00E63DF4">
        <w:rPr>
          <w:iCs/>
        </w:rPr>
        <w:t xml:space="preserve">the </w:t>
      </w:r>
      <w:r w:rsidR="003F68C9" w:rsidRPr="00E63DF4">
        <w:rPr>
          <w:iCs/>
        </w:rPr>
        <w:t xml:space="preserve">numerator over all randomised patients. The appropriate calculation would have been to estimate the proportion of those who received at least one </w:t>
      </w:r>
      <w:r w:rsidR="002E7E65" w:rsidRPr="00E63DF4">
        <w:rPr>
          <w:iCs/>
        </w:rPr>
        <w:t>post-discontinuation</w:t>
      </w:r>
      <w:r w:rsidR="003F68C9" w:rsidRPr="00E63DF4">
        <w:rPr>
          <w:iCs/>
        </w:rPr>
        <w:t xml:space="preserve"> therapy out of all those who had progressed. A sensitivity analysis was conducted during </w:t>
      </w:r>
      <w:r w:rsidR="00EE3CA6" w:rsidRPr="00E63DF4">
        <w:rPr>
          <w:iCs/>
        </w:rPr>
        <w:t xml:space="preserve">the </w:t>
      </w:r>
      <w:r w:rsidR="003F68C9" w:rsidRPr="00E63DF4">
        <w:rPr>
          <w:iCs/>
        </w:rPr>
        <w:t xml:space="preserve">evaluation, estimating the proportion of patients receiving post-discontinuation treatment based on number of patients that discontinued in both arms. </w:t>
      </w:r>
      <w:r w:rsidR="00080A44" w:rsidRPr="00E63DF4">
        <w:rPr>
          <w:iCs/>
        </w:rPr>
        <w:t xml:space="preserve">Correcting the calculation increased the ICER by </w:t>
      </w:r>
      <w:r w:rsidR="00DE71EC" w:rsidRPr="00E63DF4">
        <w:rPr>
          <w:iCs/>
        </w:rPr>
        <w:t>5</w:t>
      </w:r>
      <w:r w:rsidR="00080A44" w:rsidRPr="00E63DF4">
        <w:rPr>
          <w:iCs/>
        </w:rPr>
        <w:t>%</w:t>
      </w:r>
      <w:r w:rsidR="00E63DF4">
        <w:rPr>
          <w:iCs/>
        </w:rPr>
        <w:t xml:space="preserve">. </w:t>
      </w:r>
    </w:p>
    <w:p w:rsidR="000248AA" w:rsidRPr="00E63DF4" w:rsidRDefault="000248AA" w:rsidP="00DD707C">
      <w:pPr>
        <w:pStyle w:val="3-BodyText"/>
        <w:rPr>
          <w:iCs/>
        </w:rPr>
      </w:pPr>
      <w:r w:rsidRPr="00E63DF4">
        <w:rPr>
          <w:iCs/>
        </w:rPr>
        <w:t xml:space="preserve">The base case model did not incorporate convergence of </w:t>
      </w:r>
      <w:r w:rsidR="0091799A" w:rsidRPr="00E63DF4">
        <w:rPr>
          <w:iCs/>
        </w:rPr>
        <w:t xml:space="preserve">the </w:t>
      </w:r>
      <w:r w:rsidRPr="00E63DF4">
        <w:rPr>
          <w:iCs/>
        </w:rPr>
        <w:t xml:space="preserve">extrapolated curves and assumed that the treatment effect </w:t>
      </w:r>
      <w:r w:rsidR="0091799A" w:rsidRPr="00E63DF4">
        <w:rPr>
          <w:iCs/>
        </w:rPr>
        <w:t xml:space="preserve">for Atezo+Bev relative to sorafenib </w:t>
      </w:r>
      <w:r w:rsidRPr="00E63DF4">
        <w:rPr>
          <w:iCs/>
        </w:rPr>
        <w:t xml:space="preserve">was ongoing. A subsequent sensitivity analysis </w:t>
      </w:r>
      <w:r w:rsidR="00652B79" w:rsidRPr="00E63DF4">
        <w:rPr>
          <w:iCs/>
        </w:rPr>
        <w:t xml:space="preserve">conducted during the evaluation </w:t>
      </w:r>
      <w:r w:rsidRPr="00E63DF4">
        <w:rPr>
          <w:iCs/>
        </w:rPr>
        <w:t>applied convergence to OS from 8.6 months (median follow-up) to 10 years (120 months).</w:t>
      </w:r>
      <w:r w:rsidR="007A01B6" w:rsidRPr="00E63DF4">
        <w:rPr>
          <w:iCs/>
        </w:rPr>
        <w:t xml:space="preserve"> The ESC considered that convergence of the extrapolated curves was a key driver of the economic model (see </w:t>
      </w:r>
      <w:r w:rsidR="00B12EAB" w:rsidRPr="00EE28E1">
        <w:rPr>
          <w:iCs/>
        </w:rPr>
        <w:t>paragraph 6.3</w:t>
      </w:r>
      <w:r w:rsidR="002A5346" w:rsidRPr="00EE28E1">
        <w:rPr>
          <w:iCs/>
        </w:rPr>
        <w:t>5</w:t>
      </w:r>
      <w:r w:rsidR="007A01B6" w:rsidRPr="00EE28E1">
        <w:rPr>
          <w:iCs/>
        </w:rPr>
        <w:t>)</w:t>
      </w:r>
      <w:r w:rsidR="00603C25" w:rsidRPr="00EE28E1">
        <w:rPr>
          <w:iCs/>
        </w:rPr>
        <w:t>.</w:t>
      </w:r>
      <w:r w:rsidR="00603C25" w:rsidRPr="00E63DF4">
        <w:rPr>
          <w:iCs/>
        </w:rPr>
        <w:t xml:space="preserve"> The ESC </w:t>
      </w:r>
      <w:r w:rsidR="00652B79" w:rsidRPr="00E63DF4">
        <w:rPr>
          <w:iCs/>
        </w:rPr>
        <w:t xml:space="preserve">agreed with the PSCR that convergence from 8.6 months was </w:t>
      </w:r>
      <w:r w:rsidR="000F73AC" w:rsidRPr="00E63DF4">
        <w:rPr>
          <w:iCs/>
        </w:rPr>
        <w:t>likely to be too conservative</w:t>
      </w:r>
      <w:r w:rsidR="00FB383C" w:rsidRPr="00E63DF4">
        <w:rPr>
          <w:iCs/>
        </w:rPr>
        <w:t xml:space="preserve"> </w:t>
      </w:r>
      <w:r w:rsidR="0074751F" w:rsidRPr="00E63DF4">
        <w:rPr>
          <w:iCs/>
        </w:rPr>
        <w:t>but considered it represented a reasonable lower bound</w:t>
      </w:r>
      <w:r w:rsidR="007A01B6" w:rsidRPr="00E63DF4">
        <w:rPr>
          <w:iCs/>
        </w:rPr>
        <w:t>.</w:t>
      </w:r>
    </w:p>
    <w:p w:rsidR="003C63B0" w:rsidRPr="00E63DF4" w:rsidRDefault="00275CDA" w:rsidP="004D0619">
      <w:pPr>
        <w:pStyle w:val="3-BodyText"/>
        <w:rPr>
          <w:rFonts w:cstheme="minorHAnsi"/>
          <w:iCs/>
        </w:rPr>
      </w:pPr>
      <w:r w:rsidRPr="00E63DF4">
        <w:rPr>
          <w:rFonts w:cstheme="minorHAnsi"/>
        </w:rPr>
        <w:t xml:space="preserve">Traces for the model results are presented in Figure </w:t>
      </w:r>
      <w:r w:rsidR="00BF0331" w:rsidRPr="00E63DF4">
        <w:rPr>
          <w:rFonts w:cstheme="minorHAnsi"/>
        </w:rPr>
        <w:t>5</w:t>
      </w:r>
      <w:r w:rsidR="0032016C" w:rsidRPr="00E63DF4">
        <w:rPr>
          <w:rFonts w:cstheme="minorHAnsi"/>
        </w:rPr>
        <w:t xml:space="preserve">. </w:t>
      </w:r>
      <w:r w:rsidR="0032016C" w:rsidRPr="00E63DF4">
        <w:rPr>
          <w:rFonts w:cstheme="minorHAnsi"/>
          <w:iCs/>
        </w:rPr>
        <w:t xml:space="preserve">According to the traces, approximately half of the patients in </w:t>
      </w:r>
      <w:r w:rsidR="0091799A" w:rsidRPr="00E63DF4">
        <w:rPr>
          <w:rFonts w:cstheme="minorHAnsi"/>
          <w:iCs/>
        </w:rPr>
        <w:t xml:space="preserve">the </w:t>
      </w:r>
      <w:r w:rsidR="0032016C" w:rsidRPr="00E63DF4">
        <w:rPr>
          <w:rFonts w:cstheme="minorHAnsi"/>
          <w:iCs/>
        </w:rPr>
        <w:t>Atezo+Bev treatment arm will have progressed by the first 7 months</w:t>
      </w:r>
      <w:r w:rsidR="0091799A" w:rsidRPr="00E63DF4">
        <w:rPr>
          <w:rFonts w:cstheme="minorHAnsi"/>
          <w:iCs/>
        </w:rPr>
        <w:t xml:space="preserve"> compared with 4.5 months for the </w:t>
      </w:r>
      <w:r w:rsidR="0032016C" w:rsidRPr="00E63DF4">
        <w:rPr>
          <w:rFonts w:cstheme="minorHAnsi"/>
          <w:iCs/>
        </w:rPr>
        <w:t xml:space="preserve">sorafenib arm. This was similar to the difference in median PFS in IMbrave150. The proportion of OS that came from the KM data compared to the extrapolation period for Atezo+Bev was 25.8% and 37.6% in </w:t>
      </w:r>
      <w:r w:rsidR="0091799A" w:rsidRPr="00E63DF4">
        <w:rPr>
          <w:rFonts w:cstheme="minorHAnsi"/>
          <w:iCs/>
        </w:rPr>
        <w:t xml:space="preserve">the </w:t>
      </w:r>
      <w:r w:rsidR="0032016C" w:rsidRPr="00E63DF4">
        <w:rPr>
          <w:rFonts w:cstheme="minorHAnsi"/>
          <w:iCs/>
        </w:rPr>
        <w:t>sorafenib arm.</w:t>
      </w:r>
    </w:p>
    <w:p w:rsidR="008E4D2A" w:rsidRPr="00F45892" w:rsidRDefault="00001263" w:rsidP="00E35EA1">
      <w:pPr>
        <w:pStyle w:val="Tabletextbold"/>
        <w:rPr>
          <w:i/>
          <w:iCs/>
          <w:lang w:val="en-AU"/>
        </w:rPr>
      </w:pPr>
      <w:r w:rsidRPr="00E35EA1">
        <w:rPr>
          <w:rStyle w:val="CommentReference"/>
          <w:b/>
          <w:szCs w:val="24"/>
          <w:lang w:val="en-AU"/>
        </w:rPr>
        <w:lastRenderedPageBreak/>
        <w:t xml:space="preserve">Figure </w:t>
      </w:r>
      <w:r w:rsidR="00BF0331" w:rsidRPr="00E35EA1">
        <w:rPr>
          <w:rStyle w:val="CommentReference"/>
          <w:b/>
          <w:szCs w:val="24"/>
          <w:lang w:val="en-AU"/>
        </w:rPr>
        <w:t>5</w:t>
      </w:r>
      <w:r w:rsidRPr="00E35EA1">
        <w:rPr>
          <w:rStyle w:val="CommentReference"/>
          <w:b/>
          <w:szCs w:val="24"/>
          <w:lang w:val="en-AU"/>
        </w:rPr>
        <w:t>: Markov traces</w:t>
      </w:r>
      <w:r w:rsidR="00275CDA" w:rsidRPr="00E63DF4">
        <w:rPr>
          <w:noProof/>
          <w:lang w:val="en-AU"/>
        </w:rPr>
        <w:drawing>
          <wp:inline distT="0" distB="0" distL="0" distR="0" wp14:anchorId="245F9B7A" wp14:editId="02DC51EB">
            <wp:extent cx="5675243" cy="3785693"/>
            <wp:effectExtent l="0" t="0" r="1905" b="5715"/>
            <wp:docPr id="12" name="Picture 12" title="Figure 5: Markov tr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7757" cy="3807382"/>
                    </a:xfrm>
                    <a:prstGeom prst="rect">
                      <a:avLst/>
                    </a:prstGeom>
                    <a:noFill/>
                  </pic:spPr>
                </pic:pic>
              </a:graphicData>
            </a:graphic>
          </wp:inline>
        </w:drawing>
      </w:r>
    </w:p>
    <w:p w:rsidR="000247A6" w:rsidRPr="00E63DF4" w:rsidRDefault="000247A6" w:rsidP="000247A6">
      <w:pPr>
        <w:pStyle w:val="TableFigureFooter"/>
      </w:pPr>
      <w:r w:rsidRPr="00E63DF4">
        <w:t>Source: Figure 3.8 and Figure 2.9, p120 of the submission. Combined during evaluation using workbook ‘Economic evaluation’.</w:t>
      </w:r>
    </w:p>
    <w:p w:rsidR="000247A6" w:rsidRPr="00E63DF4" w:rsidRDefault="000247A6" w:rsidP="000247A6">
      <w:pPr>
        <w:pStyle w:val="TableFigureFooter"/>
        <w:rPr>
          <w:szCs w:val="18"/>
          <w:lang w:eastAsia="zh-CN"/>
        </w:rPr>
      </w:pPr>
      <w:r w:rsidRPr="00E63DF4">
        <w:rPr>
          <w:szCs w:val="18"/>
          <w:lang w:eastAsia="zh-CN"/>
        </w:rPr>
        <w:t>Abbreviations: KM = Kaplan-Meier; OS = overall survival; PFS = progression-free survival</w:t>
      </w:r>
    </w:p>
    <w:p w:rsidR="008E4D2A" w:rsidRPr="00E63DF4" w:rsidRDefault="00DF0687" w:rsidP="0091799A">
      <w:pPr>
        <w:pStyle w:val="3-BodyText"/>
      </w:pPr>
      <w:r w:rsidRPr="00E63DF4">
        <w:t>For e</w:t>
      </w:r>
      <w:r w:rsidR="008E4D2A" w:rsidRPr="00E63DF4">
        <w:t xml:space="preserve">ach treatment arm, OS, PFS and TTD were extrapolated out to 20 years, with the submission reporting all outcomes at 10 years (base case time horizon). </w:t>
      </w:r>
      <w:r w:rsidR="00CB5567" w:rsidRPr="00E63DF4">
        <w:t>T</w:t>
      </w:r>
      <w:r w:rsidR="008E4D2A" w:rsidRPr="00E63DF4">
        <w:t xml:space="preserve">he submission justified the 10-year time horizon </w:t>
      </w:r>
      <w:r w:rsidR="00CB5567" w:rsidRPr="00E63DF4">
        <w:t xml:space="preserve">for the base case </w:t>
      </w:r>
      <w:r w:rsidR="008E4D2A" w:rsidRPr="00E63DF4">
        <w:t xml:space="preserve">on the basis </w:t>
      </w:r>
      <w:r w:rsidR="00CB5567" w:rsidRPr="00E63DF4">
        <w:t xml:space="preserve">that </w:t>
      </w:r>
      <w:r w:rsidR="008E4D2A" w:rsidRPr="00E63DF4">
        <w:t>the OS curve</w:t>
      </w:r>
      <w:r w:rsidR="0091799A" w:rsidRPr="00E63DF4">
        <w:t>s</w:t>
      </w:r>
      <w:r w:rsidR="008E4D2A" w:rsidRPr="00E63DF4">
        <w:t xml:space="preserve"> </w:t>
      </w:r>
      <w:r w:rsidR="00CB5567" w:rsidRPr="00E63DF4">
        <w:t xml:space="preserve">separated </w:t>
      </w:r>
      <w:r w:rsidR="008E4D2A" w:rsidRPr="00E63DF4">
        <w:t xml:space="preserve">1 month after treatment initiation, </w:t>
      </w:r>
      <w:r w:rsidR="00A71216" w:rsidRPr="00E63DF4">
        <w:t xml:space="preserve">and </w:t>
      </w:r>
      <w:r w:rsidR="008E4D2A" w:rsidRPr="00E63DF4">
        <w:t>th</w:t>
      </w:r>
      <w:r w:rsidR="00CB5567" w:rsidRPr="00E63DF4">
        <w:t xml:space="preserve">at a </w:t>
      </w:r>
      <w:r w:rsidR="008E4D2A" w:rsidRPr="00E63DF4">
        <w:t>10</w:t>
      </w:r>
      <w:r w:rsidR="0063040B" w:rsidRPr="00E63DF4">
        <w:t>-</w:t>
      </w:r>
      <w:r w:rsidR="008E4D2A" w:rsidRPr="00E63DF4">
        <w:t xml:space="preserve">year time horizon </w:t>
      </w:r>
      <w:r w:rsidR="00CB5567" w:rsidRPr="00E63DF4">
        <w:t xml:space="preserve">was </w:t>
      </w:r>
      <w:r w:rsidR="008E4D2A" w:rsidRPr="00E63DF4">
        <w:t xml:space="preserve">previously accepted by the PBAC for sorafenib and </w:t>
      </w:r>
      <w:r w:rsidR="00CB5567" w:rsidRPr="00E63DF4">
        <w:t xml:space="preserve">has been used in </w:t>
      </w:r>
      <w:r w:rsidR="008E4D2A" w:rsidRPr="00E63DF4">
        <w:t>other HTA submissions overseas</w:t>
      </w:r>
      <w:r w:rsidR="00CB5567" w:rsidRPr="00E63DF4">
        <w:t xml:space="preserve">. </w:t>
      </w:r>
      <w:r w:rsidR="00CB5567" w:rsidRPr="00E63DF4">
        <w:rPr>
          <w:iCs/>
        </w:rPr>
        <w:t>Overall,</w:t>
      </w:r>
      <w:r w:rsidR="008E4D2A" w:rsidRPr="00E63DF4">
        <w:rPr>
          <w:iCs/>
        </w:rPr>
        <w:t xml:space="preserve"> th</w:t>
      </w:r>
      <w:r w:rsidR="00CB5567" w:rsidRPr="00E63DF4">
        <w:rPr>
          <w:iCs/>
        </w:rPr>
        <w:t xml:space="preserve">e extrapolation relied on </w:t>
      </w:r>
      <w:r w:rsidR="008E4D2A" w:rsidRPr="00E63DF4">
        <w:rPr>
          <w:iCs/>
        </w:rPr>
        <w:t xml:space="preserve">immature data for Atezo+Bev arm, </w:t>
      </w:r>
      <w:r w:rsidRPr="00E63DF4">
        <w:rPr>
          <w:iCs/>
        </w:rPr>
        <w:t xml:space="preserve">as the </w:t>
      </w:r>
      <w:r w:rsidR="008E4D2A" w:rsidRPr="00E63DF4">
        <w:rPr>
          <w:iCs/>
        </w:rPr>
        <w:t>median OS was not reached.</w:t>
      </w:r>
      <w:r w:rsidR="00DB5FC7" w:rsidRPr="00E63DF4">
        <w:t xml:space="preserve"> </w:t>
      </w:r>
    </w:p>
    <w:p w:rsidR="00AB3991" w:rsidRPr="00E63DF4" w:rsidRDefault="00982112" w:rsidP="00DD707C">
      <w:pPr>
        <w:pStyle w:val="3-BodyText"/>
      </w:pPr>
      <w:r w:rsidRPr="00E63DF4">
        <w:t>A s</w:t>
      </w:r>
      <w:r w:rsidR="00B168DC" w:rsidRPr="00E63DF4">
        <w:t xml:space="preserve">ummary of key drivers of the economic model is shown in Table 13. </w:t>
      </w:r>
      <w:r w:rsidR="00B168DC" w:rsidRPr="00E63DF4">
        <w:rPr>
          <w:iCs/>
        </w:rPr>
        <w:t>The key relevant driver</w:t>
      </w:r>
      <w:r w:rsidRPr="00E63DF4">
        <w:rPr>
          <w:iCs/>
        </w:rPr>
        <w:t>s</w:t>
      </w:r>
      <w:r w:rsidR="00B168DC" w:rsidRPr="00E63DF4">
        <w:rPr>
          <w:iCs/>
        </w:rPr>
        <w:t xml:space="preserve"> with an impact on the ICER of more than 10%</w:t>
      </w:r>
      <w:r w:rsidR="00447A36" w:rsidRPr="00E63DF4">
        <w:rPr>
          <w:iCs/>
        </w:rPr>
        <w:t xml:space="preserve"> included the </w:t>
      </w:r>
      <w:r w:rsidR="00650D52" w:rsidRPr="00E63DF4">
        <w:rPr>
          <w:iCs/>
        </w:rPr>
        <w:t xml:space="preserve">time horizon, the extrapolation method for </w:t>
      </w:r>
      <w:r w:rsidRPr="00E63DF4">
        <w:rPr>
          <w:iCs/>
        </w:rPr>
        <w:t xml:space="preserve">the </w:t>
      </w:r>
      <w:r w:rsidR="00650D52" w:rsidRPr="00E63DF4">
        <w:rPr>
          <w:iCs/>
        </w:rPr>
        <w:t xml:space="preserve">OS curve, </w:t>
      </w:r>
      <w:r w:rsidR="00956FC5" w:rsidRPr="00E63DF4">
        <w:rPr>
          <w:iCs/>
        </w:rPr>
        <w:t xml:space="preserve">the assumed cost of the </w:t>
      </w:r>
      <w:r w:rsidR="007F17B9" w:rsidRPr="00E63DF4">
        <w:rPr>
          <w:iCs/>
        </w:rPr>
        <w:t>comparator (sorafenib)</w:t>
      </w:r>
      <w:r w:rsidR="001805EC" w:rsidRPr="00E63DF4">
        <w:rPr>
          <w:iCs/>
        </w:rPr>
        <w:t>, convergence of OS curve</w:t>
      </w:r>
      <w:r w:rsidR="007F17B9" w:rsidRPr="00E63DF4">
        <w:rPr>
          <w:iCs/>
        </w:rPr>
        <w:t xml:space="preserve"> and discount rate.</w:t>
      </w:r>
      <w:r w:rsidR="00117122" w:rsidRPr="00E63DF4">
        <w:rPr>
          <w:iCs/>
        </w:rPr>
        <w:t xml:space="preserve"> T</w:t>
      </w:r>
      <w:r w:rsidRPr="00E63DF4">
        <w:rPr>
          <w:iCs/>
        </w:rPr>
        <w:t xml:space="preserve">hese results </w:t>
      </w:r>
      <w:r w:rsidRPr="00E63DF4">
        <w:rPr>
          <w:rFonts w:cstheme="minorHAnsi"/>
          <w:iCs/>
        </w:rPr>
        <w:t>are based on the effective price of Atezo+Bev.</w:t>
      </w:r>
    </w:p>
    <w:p w:rsidR="00F14B46" w:rsidRPr="00E63DF4" w:rsidRDefault="00F14B46" w:rsidP="00F14B46">
      <w:pPr>
        <w:pStyle w:val="TableFigureHeading"/>
        <w:rPr>
          <w:rStyle w:val="CommentReference"/>
          <w:b/>
          <w:szCs w:val="24"/>
        </w:rPr>
      </w:pPr>
      <w:r w:rsidRPr="00E63DF4">
        <w:rPr>
          <w:rStyle w:val="CommentReference"/>
          <w:b/>
          <w:szCs w:val="24"/>
        </w:rPr>
        <w:lastRenderedPageBreak/>
        <w:t xml:space="preserve">Table </w:t>
      </w:r>
      <w:r w:rsidR="0097126B" w:rsidRPr="00E63DF4">
        <w:rPr>
          <w:rStyle w:val="CommentReference"/>
          <w:b/>
          <w:szCs w:val="24"/>
        </w:rPr>
        <w:t>13</w:t>
      </w:r>
      <w:r w:rsidRPr="00E63DF4">
        <w:rPr>
          <w:rStyle w:val="CommentReference"/>
          <w:b/>
          <w:szCs w:val="24"/>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1"/>
        <w:gridCol w:w="5117"/>
        <w:gridCol w:w="2792"/>
      </w:tblGrid>
      <w:tr w:rsidR="00F14B46" w:rsidRPr="00E63DF4" w:rsidTr="003A41DB">
        <w:trPr>
          <w:tblHeader/>
        </w:trPr>
        <w:tc>
          <w:tcPr>
            <w:tcW w:w="626" w:type="pct"/>
            <w:shd w:val="clear" w:color="auto" w:fill="auto"/>
            <w:vAlign w:val="center"/>
          </w:tcPr>
          <w:p w:rsidR="00F14B46" w:rsidRPr="00E63DF4" w:rsidRDefault="00F14B46" w:rsidP="00DD707C">
            <w:pPr>
              <w:pStyle w:val="In-tableHeading"/>
              <w:jc w:val="center"/>
              <w:rPr>
                <w:lang w:val="en-AU"/>
              </w:rPr>
            </w:pPr>
            <w:r w:rsidRPr="00E63DF4">
              <w:rPr>
                <w:lang w:val="en-AU"/>
              </w:rPr>
              <w:t>Description</w:t>
            </w:r>
          </w:p>
        </w:tc>
        <w:tc>
          <w:tcPr>
            <w:tcW w:w="2830" w:type="pct"/>
            <w:shd w:val="clear" w:color="auto" w:fill="auto"/>
            <w:vAlign w:val="center"/>
          </w:tcPr>
          <w:p w:rsidR="00F14B46" w:rsidRPr="00E63DF4" w:rsidRDefault="00F14B46" w:rsidP="00DD707C">
            <w:pPr>
              <w:pStyle w:val="In-tableHeading"/>
              <w:jc w:val="center"/>
              <w:rPr>
                <w:lang w:val="en-AU"/>
              </w:rPr>
            </w:pPr>
            <w:r w:rsidRPr="00E63DF4">
              <w:rPr>
                <w:lang w:val="en-AU"/>
              </w:rPr>
              <w:t>Method/Value</w:t>
            </w:r>
          </w:p>
        </w:tc>
        <w:tc>
          <w:tcPr>
            <w:tcW w:w="1544" w:type="pct"/>
            <w:shd w:val="clear" w:color="auto" w:fill="auto"/>
            <w:vAlign w:val="center"/>
          </w:tcPr>
          <w:p w:rsidR="00F14B46" w:rsidRPr="00E63DF4" w:rsidRDefault="00F14B46" w:rsidP="00DD707C">
            <w:pPr>
              <w:pStyle w:val="In-tableHeading"/>
              <w:jc w:val="center"/>
              <w:rPr>
                <w:lang w:val="en-AU"/>
              </w:rPr>
            </w:pPr>
            <w:r w:rsidRPr="00E63DF4">
              <w:rPr>
                <w:lang w:val="en-AU"/>
              </w:rPr>
              <w:t>Impact</w:t>
            </w:r>
          </w:p>
          <w:p w:rsidR="00F14B46" w:rsidRPr="00E63DF4" w:rsidRDefault="00F14B46" w:rsidP="00DD707C">
            <w:pPr>
              <w:pStyle w:val="In-tableHeading"/>
              <w:jc w:val="center"/>
              <w:rPr>
                <w:lang w:val="en-AU"/>
              </w:rPr>
            </w:pPr>
            <w:r w:rsidRPr="00E63DF4">
              <w:rPr>
                <w:rFonts w:cs="Arial"/>
                <w:szCs w:val="20"/>
                <w:lang w:val="en-AU"/>
              </w:rPr>
              <w:t>Base case: $</w:t>
            </w:r>
            <w:r w:rsidR="00745A3E">
              <w:rPr>
                <w:rFonts w:cs="Arial"/>
                <w:szCs w:val="20"/>
                <w:lang w:val="en-AU"/>
              </w:rPr>
              <w:t>45,000 to &lt; $55,000</w:t>
            </w:r>
            <w:r w:rsidRPr="00E63DF4">
              <w:rPr>
                <w:rFonts w:cs="Arial"/>
                <w:szCs w:val="20"/>
                <w:lang w:val="en-AU"/>
              </w:rPr>
              <w:t>/QALY gained</w:t>
            </w:r>
          </w:p>
        </w:tc>
      </w:tr>
      <w:tr w:rsidR="00447A36" w:rsidRPr="00E63DF4" w:rsidTr="003A41DB">
        <w:trPr>
          <w:tblHeader/>
        </w:trPr>
        <w:tc>
          <w:tcPr>
            <w:tcW w:w="626" w:type="pct"/>
            <w:shd w:val="clear" w:color="auto" w:fill="auto"/>
            <w:vAlign w:val="center"/>
          </w:tcPr>
          <w:p w:rsidR="00447A36" w:rsidRPr="00E63DF4" w:rsidRDefault="00447A36" w:rsidP="00447A36">
            <w:pPr>
              <w:pStyle w:val="In-tableHeading"/>
              <w:jc w:val="center"/>
              <w:rPr>
                <w:b w:val="0"/>
                <w:bCs/>
                <w:lang w:val="en-AU"/>
              </w:rPr>
            </w:pPr>
            <w:r w:rsidRPr="00E63DF4">
              <w:rPr>
                <w:b w:val="0"/>
                <w:bCs/>
                <w:lang w:val="en-AU"/>
              </w:rPr>
              <w:t>Time horizon</w:t>
            </w:r>
          </w:p>
        </w:tc>
        <w:tc>
          <w:tcPr>
            <w:tcW w:w="2830" w:type="pct"/>
            <w:shd w:val="clear" w:color="auto" w:fill="auto"/>
            <w:vAlign w:val="center"/>
          </w:tcPr>
          <w:p w:rsidR="00447A36" w:rsidRPr="00E63DF4" w:rsidRDefault="00447A36" w:rsidP="00447A36">
            <w:pPr>
              <w:pStyle w:val="In-tableHeading"/>
              <w:jc w:val="center"/>
              <w:rPr>
                <w:b w:val="0"/>
                <w:bCs/>
                <w:lang w:val="en-AU"/>
              </w:rPr>
            </w:pPr>
            <w:r w:rsidRPr="00E63DF4">
              <w:rPr>
                <w:b w:val="0"/>
                <w:bCs/>
                <w:lang w:val="en-AU"/>
              </w:rPr>
              <w:t>IMbrave150 data extrapolated from 8.6 median follow-up to 10 years</w:t>
            </w:r>
          </w:p>
        </w:tc>
        <w:tc>
          <w:tcPr>
            <w:tcW w:w="1544" w:type="pct"/>
            <w:shd w:val="clear" w:color="auto" w:fill="auto"/>
            <w:vAlign w:val="center"/>
          </w:tcPr>
          <w:p w:rsidR="00447A36" w:rsidRPr="00E63DF4" w:rsidRDefault="00447A36" w:rsidP="00447A36">
            <w:pPr>
              <w:pStyle w:val="TableText0"/>
            </w:pPr>
            <w:r w:rsidRPr="00E63DF4">
              <w:t xml:space="preserve">Medium, favours Atezo+Bev </w:t>
            </w:r>
          </w:p>
          <w:p w:rsidR="00447A36" w:rsidRPr="00E63DF4" w:rsidRDefault="00447A36" w:rsidP="00447A36">
            <w:pPr>
              <w:pStyle w:val="In-tableHeading"/>
              <w:jc w:val="center"/>
              <w:rPr>
                <w:b w:val="0"/>
                <w:bCs/>
                <w:lang w:val="en-AU"/>
              </w:rPr>
            </w:pPr>
            <w:r w:rsidRPr="00E63DF4">
              <w:rPr>
                <w:b w:val="0"/>
                <w:bCs/>
                <w:lang w:val="en-AU"/>
              </w:rPr>
              <w:t>(ICER =$</w:t>
            </w:r>
            <w:r w:rsidR="00745A3E">
              <w:rPr>
                <w:b w:val="0"/>
                <w:bCs/>
                <w:lang w:val="en-AU"/>
              </w:rPr>
              <w:t>55,000 &lt; $75,000/QALY</w:t>
            </w:r>
            <w:r w:rsidRPr="00E63DF4">
              <w:rPr>
                <w:b w:val="0"/>
                <w:bCs/>
                <w:lang w:val="en-AU"/>
              </w:rPr>
              <w:t xml:space="preserve"> for 5 years)</w:t>
            </w:r>
          </w:p>
        </w:tc>
      </w:tr>
      <w:tr w:rsidR="00447A36" w:rsidRPr="00E63DF4" w:rsidTr="003A41DB">
        <w:tc>
          <w:tcPr>
            <w:tcW w:w="626" w:type="pct"/>
            <w:shd w:val="clear" w:color="auto" w:fill="auto"/>
            <w:vAlign w:val="center"/>
          </w:tcPr>
          <w:p w:rsidR="00447A36" w:rsidRPr="00E63DF4" w:rsidRDefault="00447A36" w:rsidP="00447A36">
            <w:pPr>
              <w:pStyle w:val="TableText0"/>
              <w:jc w:val="center"/>
            </w:pPr>
            <w:r w:rsidRPr="00E63DF4">
              <w:t>Extrapolation</w:t>
            </w:r>
          </w:p>
        </w:tc>
        <w:tc>
          <w:tcPr>
            <w:tcW w:w="2830" w:type="pct"/>
            <w:shd w:val="clear" w:color="auto" w:fill="auto"/>
            <w:vAlign w:val="center"/>
          </w:tcPr>
          <w:p w:rsidR="00447A36" w:rsidRPr="00E63DF4" w:rsidRDefault="00447A36" w:rsidP="00447A36">
            <w:pPr>
              <w:pStyle w:val="TableText0"/>
            </w:pPr>
            <w:r w:rsidRPr="00E63DF4">
              <w:t>Selection of exponential function for OS for both treatment arms.</w:t>
            </w:r>
            <w:r w:rsidR="00887C39" w:rsidRPr="00E63DF4">
              <w:t xml:space="preserve"> </w:t>
            </w:r>
            <w:r w:rsidR="00447014" w:rsidRPr="00E63DF4">
              <w:rPr>
                <w:iCs/>
              </w:rPr>
              <w:t xml:space="preserve">The chosen function was not best fit </w:t>
            </w:r>
            <w:r w:rsidR="001375D9" w:rsidRPr="00E63DF4">
              <w:rPr>
                <w:iCs/>
              </w:rPr>
              <w:t xml:space="preserve">(based on AIC/BIC) </w:t>
            </w:r>
            <w:r w:rsidR="004E2598" w:rsidRPr="00E63DF4">
              <w:rPr>
                <w:iCs/>
              </w:rPr>
              <w:t>for either of the arms</w:t>
            </w:r>
            <w:r w:rsidR="00D86B21" w:rsidRPr="00E63DF4">
              <w:rPr>
                <w:iCs/>
              </w:rPr>
              <w:t>.</w:t>
            </w:r>
            <w:r w:rsidR="00E424F5" w:rsidRPr="00E63DF4">
              <w:rPr>
                <w:iCs/>
              </w:rPr>
              <w:t xml:space="preserve"> </w:t>
            </w:r>
          </w:p>
        </w:tc>
        <w:tc>
          <w:tcPr>
            <w:tcW w:w="1544" w:type="pct"/>
            <w:shd w:val="clear" w:color="auto" w:fill="auto"/>
            <w:vAlign w:val="center"/>
          </w:tcPr>
          <w:p w:rsidR="00447A36" w:rsidRPr="00E63DF4" w:rsidRDefault="00447A36" w:rsidP="00982112">
            <w:pPr>
              <w:pStyle w:val="TableText0"/>
              <w:jc w:val="center"/>
            </w:pPr>
            <w:r w:rsidRPr="00E63DF4">
              <w:t>High, ICER varies from $</w:t>
            </w:r>
            <w:r w:rsidR="00022410">
              <w:t>25,000 to &lt; $35,000/QALY</w:t>
            </w:r>
            <w:r w:rsidR="008E6ECC" w:rsidRPr="00E63DF4">
              <w:t xml:space="preserve"> (Gompertz)</w:t>
            </w:r>
            <w:r w:rsidRPr="00E63DF4">
              <w:t xml:space="preserve"> to $</w:t>
            </w:r>
            <w:r w:rsidR="00022410">
              <w:t>75,000 to &lt; $95,000/QALY</w:t>
            </w:r>
            <w:r w:rsidR="00E424F5" w:rsidRPr="00E63DF4">
              <w:t xml:space="preserve"> (</w:t>
            </w:r>
            <w:r w:rsidR="00651442" w:rsidRPr="00E63DF4">
              <w:t>log normal for sorafenib</w:t>
            </w:r>
            <w:r w:rsidR="00E424F5" w:rsidRPr="00E63DF4">
              <w:t>)</w:t>
            </w:r>
          </w:p>
        </w:tc>
      </w:tr>
      <w:tr w:rsidR="00447A36" w:rsidRPr="00E63DF4" w:rsidTr="003A41DB">
        <w:tc>
          <w:tcPr>
            <w:tcW w:w="626" w:type="pct"/>
            <w:shd w:val="clear" w:color="auto" w:fill="auto"/>
            <w:vAlign w:val="center"/>
          </w:tcPr>
          <w:p w:rsidR="00447A36" w:rsidRPr="00E63DF4" w:rsidRDefault="000B757D" w:rsidP="00447A36">
            <w:pPr>
              <w:pStyle w:val="TableText0"/>
              <w:jc w:val="center"/>
            </w:pPr>
            <w:r w:rsidRPr="00E63DF4">
              <w:t>Convergence of OS curve</w:t>
            </w:r>
          </w:p>
        </w:tc>
        <w:tc>
          <w:tcPr>
            <w:tcW w:w="2830" w:type="pct"/>
            <w:shd w:val="clear" w:color="auto" w:fill="auto"/>
            <w:vAlign w:val="center"/>
          </w:tcPr>
          <w:p w:rsidR="00447A36" w:rsidRPr="00E63DF4" w:rsidRDefault="000B757D" w:rsidP="00447A36">
            <w:pPr>
              <w:pStyle w:val="TableText0"/>
            </w:pPr>
            <w:r w:rsidRPr="00E63DF4">
              <w:t xml:space="preserve">No </w:t>
            </w:r>
            <w:r w:rsidR="00A14E86" w:rsidRPr="00E63DF4">
              <w:t>convergence</w:t>
            </w:r>
            <w:r w:rsidRPr="00E63DF4">
              <w:t xml:space="preserve"> in the </w:t>
            </w:r>
            <w:r w:rsidR="00A14E86" w:rsidRPr="00E63DF4">
              <w:t>base case. Convergence applied fr</w:t>
            </w:r>
            <w:r w:rsidR="00EA7EAE" w:rsidRPr="00E63DF4">
              <w:t>o</w:t>
            </w:r>
            <w:r w:rsidR="00A14E86" w:rsidRPr="00E63DF4">
              <w:t>m 8.6 months (</w:t>
            </w:r>
            <w:r w:rsidR="00F03BE2">
              <w:t>median</w:t>
            </w:r>
            <w:r w:rsidR="00A14E86" w:rsidRPr="00E63DF4">
              <w:t xml:space="preserve"> follow-up)</w:t>
            </w:r>
            <w:r w:rsidR="00447A36" w:rsidRPr="00E63DF4">
              <w:t xml:space="preserve"> </w:t>
            </w:r>
          </w:p>
        </w:tc>
        <w:tc>
          <w:tcPr>
            <w:tcW w:w="1544" w:type="pct"/>
            <w:shd w:val="clear" w:color="auto" w:fill="auto"/>
            <w:vAlign w:val="center"/>
          </w:tcPr>
          <w:p w:rsidR="00447A36" w:rsidRPr="00E63DF4" w:rsidRDefault="00447A36" w:rsidP="00447A36">
            <w:pPr>
              <w:pStyle w:val="TableText0"/>
              <w:jc w:val="center"/>
            </w:pPr>
            <w:r w:rsidRPr="00E63DF4">
              <w:t xml:space="preserve">High, favours </w:t>
            </w:r>
            <w:r w:rsidR="00A14E86" w:rsidRPr="00E63DF4">
              <w:t>Atezo+Bev</w:t>
            </w:r>
            <w:r w:rsidRPr="00E63DF4">
              <w:t xml:space="preserve"> (ICER =$</w:t>
            </w:r>
            <w:r w:rsidR="00022410">
              <w:rPr>
                <w:iCs/>
              </w:rPr>
              <w:t>135,000 to &lt; $155,000/QALY</w:t>
            </w:r>
            <w:r w:rsidRPr="00E63DF4">
              <w:t xml:space="preserve">) </w:t>
            </w:r>
          </w:p>
        </w:tc>
      </w:tr>
    </w:tbl>
    <w:p w:rsidR="00F14B46" w:rsidRPr="00E63DF4" w:rsidRDefault="00F14B46" w:rsidP="00F14B46">
      <w:pPr>
        <w:pStyle w:val="TableFigureFooter"/>
      </w:pPr>
      <w:r w:rsidRPr="00E63DF4">
        <w:t>Source:</w:t>
      </w:r>
      <w:r w:rsidR="00E971DA" w:rsidRPr="00E63DF4">
        <w:t xml:space="preserve"> developed during the evaluation based on the excel model</w:t>
      </w:r>
      <w:r w:rsidR="004644C2" w:rsidRPr="00E63DF4">
        <w:t xml:space="preserve"> ‘Economic Evaluation’</w:t>
      </w:r>
    </w:p>
    <w:p w:rsidR="004644C2" w:rsidRPr="00E63DF4" w:rsidRDefault="004644C2" w:rsidP="00F14B46">
      <w:pPr>
        <w:pStyle w:val="TableFigureFooter"/>
      </w:pPr>
      <w:r w:rsidRPr="00E63DF4">
        <w:t xml:space="preserve">Abbreviations: </w:t>
      </w:r>
      <w:r w:rsidR="00C242BE" w:rsidRPr="00E63DF4">
        <w:t xml:space="preserve">AIC = Akaike Information Criterion; </w:t>
      </w:r>
      <w:r w:rsidRPr="00E63DF4">
        <w:t>Atezo = atezolizumab; Bev = bevacizumab;</w:t>
      </w:r>
      <w:r w:rsidR="00C242BE" w:rsidRPr="00E63DF4">
        <w:t xml:space="preserve"> BIC = Bayesian Information Criterion;</w:t>
      </w:r>
      <w:r w:rsidRPr="00E63DF4">
        <w:t xml:space="preserve"> ICER = incremental cost</w:t>
      </w:r>
      <w:r w:rsidR="005143B8" w:rsidRPr="00E63DF4">
        <w:t xml:space="preserve"> effectiveness ratio; OS = overall survival; PFS = progression-free survival; QALY = quality adjusted life years</w:t>
      </w:r>
      <w:r w:rsidR="001B1F9C" w:rsidRPr="00E63DF4">
        <w:t xml:space="preserve">; </w:t>
      </w:r>
      <w:r w:rsidR="005143B8" w:rsidRPr="00E63DF4">
        <w:t>TTD = time to treatment discontinuation</w:t>
      </w:r>
      <w:r w:rsidR="001B1F9C" w:rsidRPr="00E63DF4">
        <w:t>.</w:t>
      </w:r>
    </w:p>
    <w:p w:rsidR="007553CD" w:rsidRPr="00E63DF4" w:rsidRDefault="004C2B3F" w:rsidP="00982112">
      <w:pPr>
        <w:pStyle w:val="3-BodyText"/>
      </w:pPr>
      <w:r w:rsidRPr="00E63DF4">
        <w:t xml:space="preserve">The stepped economic evaluation </w:t>
      </w:r>
      <w:r w:rsidR="00BA0E0B" w:rsidRPr="00E63DF4">
        <w:t>is summarised in</w:t>
      </w:r>
      <w:r w:rsidRPr="00E63DF4">
        <w:t xml:space="preserve"> Table 14 and outlined as follows: Step 1 was based on </w:t>
      </w:r>
      <w:r w:rsidR="00982112" w:rsidRPr="00E63DF4">
        <w:t xml:space="preserve">the </w:t>
      </w:r>
      <w:r w:rsidRPr="00E63DF4">
        <w:t xml:space="preserve">IMbrave150 time horizon (limiting the trial data to the 8.6 months of median follow-up) </w:t>
      </w:r>
      <w:r w:rsidR="001375D9" w:rsidRPr="00E63DF4">
        <w:t xml:space="preserve">to estimate life-year gained (LYG) </w:t>
      </w:r>
      <w:r w:rsidRPr="00E63DF4">
        <w:t xml:space="preserve">and incorporating utility values </w:t>
      </w:r>
      <w:r w:rsidR="001375D9" w:rsidRPr="00E63DF4">
        <w:t xml:space="preserve">to estimate </w:t>
      </w:r>
      <w:r w:rsidRPr="00E63DF4">
        <w:t xml:space="preserve">QALYs; Step 2 applied a 10-year time horizon with the chosen extrapolation curves for OS, PFS; and Step 3 and beyond included subsequent various costs </w:t>
      </w:r>
      <w:r w:rsidR="00982112" w:rsidRPr="00E63DF4">
        <w:t xml:space="preserve">for </w:t>
      </w:r>
      <w:r w:rsidRPr="00E63DF4">
        <w:t xml:space="preserve">medical resource use, </w:t>
      </w:r>
      <w:r w:rsidR="00982112" w:rsidRPr="00E63DF4">
        <w:t xml:space="preserve">treatments for </w:t>
      </w:r>
      <w:r w:rsidRPr="00E63DF4">
        <w:t>adverse event</w:t>
      </w:r>
      <w:r w:rsidR="00982112" w:rsidRPr="00E63DF4">
        <w:t xml:space="preserve">s and </w:t>
      </w:r>
      <w:r w:rsidRPr="00E63DF4">
        <w:t>end of life (each in a separate step).</w:t>
      </w:r>
      <w:r w:rsidR="00982112" w:rsidRPr="00E63DF4">
        <w:t xml:space="preserve"> </w:t>
      </w:r>
      <w:r w:rsidR="007553CD" w:rsidRPr="00E63DF4">
        <w:t xml:space="preserve">The </w:t>
      </w:r>
      <w:r w:rsidR="00982112" w:rsidRPr="00E63DF4">
        <w:t xml:space="preserve">cost per </w:t>
      </w:r>
      <w:r w:rsidR="007553CD" w:rsidRPr="00E63DF4">
        <w:t xml:space="preserve">QALY using the effective price of the comparator is presented in </w:t>
      </w:r>
      <w:r w:rsidR="00FE21A2" w:rsidRPr="00EE28E1">
        <w:t xml:space="preserve">paragraph </w:t>
      </w:r>
      <w:r w:rsidR="00933980" w:rsidRPr="00EE28E1">
        <w:t>6.43</w:t>
      </w:r>
      <w:r w:rsidR="00FE21A2" w:rsidRPr="00EE28E1">
        <w:t xml:space="preserve"> (</w:t>
      </w:r>
      <w:r w:rsidR="007553CD" w:rsidRPr="00E63DF4">
        <w:t>Committee-in-Confidence</w:t>
      </w:r>
      <w:r w:rsidR="00FE21A2" w:rsidRPr="00E63DF4">
        <w:t>)</w:t>
      </w:r>
      <w:r w:rsidR="007553CD" w:rsidRPr="00E63DF4">
        <w:t>.</w:t>
      </w:r>
    </w:p>
    <w:p w:rsidR="00F14B46" w:rsidRPr="00E63DF4" w:rsidRDefault="00F14B46" w:rsidP="00F14B46">
      <w:pPr>
        <w:pStyle w:val="TableFigureHeading"/>
      </w:pPr>
      <w:r w:rsidRPr="00E63DF4">
        <w:rPr>
          <w:rStyle w:val="CommentReference"/>
          <w:b/>
          <w:szCs w:val="24"/>
        </w:rPr>
        <w:lastRenderedPageBreak/>
        <w:t xml:space="preserve">Table </w:t>
      </w:r>
      <w:r w:rsidR="0097126B" w:rsidRPr="00E63DF4">
        <w:rPr>
          <w:rStyle w:val="CommentReference"/>
          <w:b/>
          <w:szCs w:val="24"/>
        </w:rPr>
        <w:t>14</w:t>
      </w:r>
      <w:r w:rsidRPr="00E63DF4">
        <w:rPr>
          <w:rStyle w:val="CommentReference"/>
          <w:b/>
          <w:szCs w:val="24"/>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80"/>
        <w:gridCol w:w="1804"/>
        <w:gridCol w:w="2618"/>
        <w:gridCol w:w="2638"/>
      </w:tblGrid>
      <w:tr w:rsidR="00F14B46" w:rsidRPr="00E63DF4" w:rsidTr="003A41DB">
        <w:trPr>
          <w:cantSplit/>
          <w:tblHeader/>
        </w:trPr>
        <w:tc>
          <w:tcPr>
            <w:tcW w:w="1095" w:type="pct"/>
            <w:vAlign w:val="center"/>
          </w:tcPr>
          <w:p w:rsidR="00F14B46" w:rsidRPr="003A41DB" w:rsidRDefault="00F14B46" w:rsidP="00DD707C">
            <w:pPr>
              <w:pStyle w:val="In-tableHeading"/>
              <w:rPr>
                <w:szCs w:val="20"/>
                <w:lang w:val="en-AU"/>
              </w:rPr>
            </w:pPr>
            <w:r w:rsidRPr="003A41DB">
              <w:rPr>
                <w:szCs w:val="20"/>
                <w:lang w:val="en-AU"/>
              </w:rPr>
              <w:t>Step and component</w:t>
            </w:r>
          </w:p>
        </w:tc>
        <w:tc>
          <w:tcPr>
            <w:tcW w:w="998" w:type="pct"/>
            <w:vAlign w:val="center"/>
          </w:tcPr>
          <w:p w:rsidR="00F14B46" w:rsidRPr="003A41DB" w:rsidRDefault="00C80C21" w:rsidP="00DD707C">
            <w:pPr>
              <w:pStyle w:val="In-tableHeading"/>
              <w:jc w:val="center"/>
              <w:rPr>
                <w:szCs w:val="20"/>
                <w:lang w:val="en-AU"/>
              </w:rPr>
            </w:pPr>
            <w:r w:rsidRPr="003A41DB">
              <w:rPr>
                <w:szCs w:val="20"/>
                <w:lang w:val="en-AU"/>
              </w:rPr>
              <w:t>Atezo+Bev</w:t>
            </w:r>
          </w:p>
        </w:tc>
        <w:tc>
          <w:tcPr>
            <w:tcW w:w="1448" w:type="pct"/>
            <w:vAlign w:val="center"/>
          </w:tcPr>
          <w:p w:rsidR="00F14B46" w:rsidRPr="003A41DB" w:rsidRDefault="00C80C21" w:rsidP="00DD707C">
            <w:pPr>
              <w:pStyle w:val="In-tableHeading"/>
              <w:jc w:val="center"/>
              <w:rPr>
                <w:szCs w:val="20"/>
                <w:lang w:val="en-AU"/>
              </w:rPr>
            </w:pPr>
            <w:r w:rsidRPr="003A41DB">
              <w:rPr>
                <w:szCs w:val="20"/>
                <w:lang w:val="en-AU"/>
              </w:rPr>
              <w:t>Sorafenib</w:t>
            </w:r>
          </w:p>
        </w:tc>
        <w:tc>
          <w:tcPr>
            <w:tcW w:w="1459" w:type="pct"/>
            <w:vAlign w:val="center"/>
          </w:tcPr>
          <w:p w:rsidR="00F14B46" w:rsidRPr="003A41DB" w:rsidRDefault="00F14B46" w:rsidP="00DD707C">
            <w:pPr>
              <w:pStyle w:val="In-tableHeading"/>
              <w:jc w:val="center"/>
              <w:rPr>
                <w:szCs w:val="20"/>
                <w:lang w:val="en-AU"/>
              </w:rPr>
            </w:pPr>
            <w:r w:rsidRPr="003A41DB">
              <w:rPr>
                <w:szCs w:val="20"/>
                <w:lang w:val="en-AU"/>
              </w:rPr>
              <w:t>Increment</w:t>
            </w:r>
          </w:p>
        </w:tc>
      </w:tr>
      <w:tr w:rsidR="00F14B46" w:rsidRPr="00E63DF4" w:rsidTr="003A41DB">
        <w:trPr>
          <w:cantSplit/>
        </w:trPr>
        <w:tc>
          <w:tcPr>
            <w:tcW w:w="5000" w:type="pct"/>
            <w:gridSpan w:val="4"/>
            <w:vAlign w:val="center"/>
          </w:tcPr>
          <w:p w:rsidR="00F14B46" w:rsidRPr="003A41DB" w:rsidRDefault="00B4730B" w:rsidP="00DD707C">
            <w:pPr>
              <w:pStyle w:val="In-tableHeading"/>
              <w:rPr>
                <w:szCs w:val="20"/>
                <w:lang w:val="en-AU"/>
              </w:rPr>
            </w:pPr>
            <w:r w:rsidRPr="003A41DB">
              <w:rPr>
                <w:szCs w:val="20"/>
                <w:lang w:val="en-AU"/>
              </w:rPr>
              <w:t>Step 1: Trial setting IMbrave150, trial time horizon up to 8.6 months (median follow-up)</w:t>
            </w:r>
          </w:p>
        </w:tc>
      </w:tr>
      <w:tr w:rsidR="00651D84" w:rsidRPr="00E63DF4" w:rsidTr="003A41DB">
        <w:trPr>
          <w:cantSplit/>
        </w:trPr>
        <w:tc>
          <w:tcPr>
            <w:tcW w:w="1095" w:type="pct"/>
            <w:vAlign w:val="center"/>
          </w:tcPr>
          <w:p w:rsidR="00651D84" w:rsidRPr="003A41DB" w:rsidRDefault="00651D84" w:rsidP="00651D84">
            <w:pPr>
              <w:pStyle w:val="TableText0"/>
              <w:rPr>
                <w:szCs w:val="20"/>
              </w:rPr>
            </w:pPr>
            <w:r w:rsidRPr="003A41DB">
              <w:rPr>
                <w:szCs w:val="20"/>
              </w:rPr>
              <w:t>Costs</w:t>
            </w:r>
          </w:p>
        </w:tc>
        <w:tc>
          <w:tcPr>
            <w:tcW w:w="998" w:type="pct"/>
          </w:tcPr>
          <w:p w:rsidR="00651D84" w:rsidRPr="003A41DB" w:rsidRDefault="00651D84" w:rsidP="00651D84">
            <w:pPr>
              <w:pStyle w:val="TableText0"/>
              <w:jc w:val="center"/>
              <w:rPr>
                <w:szCs w:val="20"/>
              </w:rPr>
            </w:pPr>
            <w:r w:rsidRPr="003A41DB">
              <w:rPr>
                <w:szCs w:val="20"/>
              </w:rPr>
              <w:t>$</w:t>
            </w:r>
            <w:r w:rsidR="008A0CD0">
              <w:rPr>
                <w:noProof/>
                <w:color w:val="000000"/>
                <w:szCs w:val="20"/>
                <w:highlight w:val="black"/>
              </w:rPr>
              <w:t>'''''''''''''''''</w:t>
            </w:r>
          </w:p>
        </w:tc>
        <w:tc>
          <w:tcPr>
            <w:tcW w:w="1448" w:type="pct"/>
          </w:tcPr>
          <w:p w:rsidR="00651D84" w:rsidRPr="003A41DB" w:rsidRDefault="00651D84" w:rsidP="00651D84">
            <w:pPr>
              <w:pStyle w:val="TableText0"/>
              <w:jc w:val="center"/>
              <w:rPr>
                <w:szCs w:val="20"/>
              </w:rPr>
            </w:pPr>
            <w:r w:rsidRPr="003A41DB">
              <w:rPr>
                <w:szCs w:val="20"/>
              </w:rPr>
              <w:t>$</w:t>
            </w:r>
            <w:r w:rsidR="008A0CD0">
              <w:rPr>
                <w:noProof/>
                <w:color w:val="000000"/>
                <w:szCs w:val="20"/>
                <w:highlight w:val="black"/>
              </w:rPr>
              <w:t>'''''''''''''''''</w:t>
            </w:r>
          </w:p>
        </w:tc>
        <w:tc>
          <w:tcPr>
            <w:tcW w:w="1459" w:type="pct"/>
          </w:tcPr>
          <w:p w:rsidR="00651D84" w:rsidRPr="003A41DB" w:rsidRDefault="00651D84" w:rsidP="00651D84">
            <w:pPr>
              <w:pStyle w:val="TableText0"/>
              <w:jc w:val="center"/>
              <w:rPr>
                <w:szCs w:val="20"/>
              </w:rPr>
            </w:pPr>
            <w:r w:rsidRPr="003A41DB">
              <w:rPr>
                <w:szCs w:val="20"/>
              </w:rPr>
              <w:t>$</w:t>
            </w:r>
            <w:r w:rsidR="008A0CD0">
              <w:rPr>
                <w:noProof/>
                <w:color w:val="000000"/>
                <w:szCs w:val="20"/>
                <w:highlight w:val="black"/>
              </w:rPr>
              <w:t>'''''''''''''''''</w:t>
            </w:r>
          </w:p>
        </w:tc>
      </w:tr>
      <w:tr w:rsidR="002F6175" w:rsidRPr="00E63DF4" w:rsidTr="003A41DB">
        <w:trPr>
          <w:cantSplit/>
        </w:trPr>
        <w:tc>
          <w:tcPr>
            <w:tcW w:w="1095" w:type="pct"/>
            <w:vAlign w:val="center"/>
          </w:tcPr>
          <w:p w:rsidR="00092C3E" w:rsidRPr="003A41DB" w:rsidRDefault="00092C3E" w:rsidP="00092C3E">
            <w:pPr>
              <w:pStyle w:val="TableText0"/>
              <w:rPr>
                <w:szCs w:val="20"/>
              </w:rPr>
            </w:pPr>
            <w:r w:rsidRPr="003A41DB">
              <w:rPr>
                <w:szCs w:val="20"/>
              </w:rPr>
              <w:t>Life -years</w:t>
            </w:r>
          </w:p>
          <w:p w:rsidR="002F6175" w:rsidRPr="003A41DB" w:rsidRDefault="00092C3E" w:rsidP="00092C3E">
            <w:pPr>
              <w:pStyle w:val="TableText0"/>
              <w:rPr>
                <w:szCs w:val="20"/>
              </w:rPr>
            </w:pPr>
            <w:r w:rsidRPr="003A41DB">
              <w:rPr>
                <w:szCs w:val="20"/>
              </w:rPr>
              <w:t>QALYs</w:t>
            </w:r>
          </w:p>
        </w:tc>
        <w:tc>
          <w:tcPr>
            <w:tcW w:w="998" w:type="pct"/>
            <w:shd w:val="clear" w:color="auto" w:fill="FFFFFF" w:themeFill="background1"/>
            <w:vAlign w:val="center"/>
          </w:tcPr>
          <w:p w:rsidR="002F6175" w:rsidRPr="00ED1D28" w:rsidRDefault="002F6175" w:rsidP="002F6175">
            <w:pPr>
              <w:pStyle w:val="TableText0"/>
              <w:keepNext w:val="0"/>
              <w:widowControl w:val="0"/>
              <w:jc w:val="center"/>
              <w:rPr>
                <w:color w:val="000000"/>
                <w:szCs w:val="20"/>
              </w:rPr>
            </w:pPr>
            <w:r w:rsidRPr="00ED1D28">
              <w:rPr>
                <w:color w:val="000000"/>
                <w:szCs w:val="20"/>
              </w:rPr>
              <w:t>LY:</w:t>
            </w:r>
            <w:r w:rsidR="008A0CD0">
              <w:rPr>
                <w:noProof/>
                <w:color w:val="000000"/>
                <w:szCs w:val="20"/>
                <w:highlight w:val="black"/>
              </w:rPr>
              <w:t>'''''''''''''''</w:t>
            </w:r>
          </w:p>
          <w:p w:rsidR="002F6175" w:rsidRPr="00ED1D28" w:rsidRDefault="002F6175" w:rsidP="002F6175">
            <w:pPr>
              <w:pStyle w:val="TableText0"/>
              <w:jc w:val="center"/>
              <w:rPr>
                <w:szCs w:val="20"/>
              </w:rPr>
            </w:pPr>
            <w:r w:rsidRPr="00ED1D28">
              <w:rPr>
                <w:color w:val="000000"/>
                <w:szCs w:val="20"/>
              </w:rPr>
              <w:t>QALY:</w:t>
            </w:r>
            <w:r w:rsidR="008A0CD0">
              <w:rPr>
                <w:noProof/>
                <w:color w:val="000000"/>
                <w:szCs w:val="20"/>
                <w:highlight w:val="black"/>
              </w:rPr>
              <w:t>''''''''''</w:t>
            </w:r>
          </w:p>
        </w:tc>
        <w:tc>
          <w:tcPr>
            <w:tcW w:w="1448" w:type="pct"/>
            <w:shd w:val="clear" w:color="auto" w:fill="FFFFFF" w:themeFill="background1"/>
            <w:vAlign w:val="center"/>
          </w:tcPr>
          <w:p w:rsidR="002F6175" w:rsidRPr="00ED1D28" w:rsidRDefault="002F6175" w:rsidP="002F6175">
            <w:pPr>
              <w:pStyle w:val="TableText0"/>
              <w:keepNext w:val="0"/>
              <w:widowControl w:val="0"/>
              <w:jc w:val="center"/>
              <w:rPr>
                <w:color w:val="000000"/>
                <w:szCs w:val="20"/>
              </w:rPr>
            </w:pPr>
            <w:r w:rsidRPr="00ED1D28">
              <w:rPr>
                <w:color w:val="000000"/>
                <w:szCs w:val="20"/>
              </w:rPr>
              <w:t>LY:</w:t>
            </w:r>
            <w:r w:rsidR="008A0CD0">
              <w:rPr>
                <w:noProof/>
                <w:color w:val="000000"/>
                <w:szCs w:val="20"/>
                <w:highlight w:val="black"/>
              </w:rPr>
              <w:t>'''''''''''''</w:t>
            </w:r>
          </w:p>
          <w:p w:rsidR="002F6175" w:rsidRPr="00ED1D28" w:rsidRDefault="00F03BE2" w:rsidP="002F6175">
            <w:pPr>
              <w:pStyle w:val="TableText0"/>
              <w:jc w:val="center"/>
              <w:rPr>
                <w:szCs w:val="20"/>
              </w:rPr>
            </w:pPr>
            <w:r w:rsidRPr="00ED1D28">
              <w:rPr>
                <w:color w:val="000000"/>
                <w:szCs w:val="20"/>
              </w:rPr>
              <w:t>QALY:</w:t>
            </w:r>
            <w:r w:rsidR="008A0CD0">
              <w:rPr>
                <w:noProof/>
                <w:color w:val="000000"/>
                <w:szCs w:val="20"/>
                <w:highlight w:val="black"/>
              </w:rPr>
              <w:t>'''''''''''''</w:t>
            </w:r>
          </w:p>
        </w:tc>
        <w:tc>
          <w:tcPr>
            <w:tcW w:w="1459" w:type="pct"/>
            <w:shd w:val="clear" w:color="auto" w:fill="FFFFFF" w:themeFill="background1"/>
            <w:vAlign w:val="center"/>
          </w:tcPr>
          <w:p w:rsidR="002F6175" w:rsidRPr="00ED1D28" w:rsidRDefault="002F6175" w:rsidP="002F6175">
            <w:pPr>
              <w:pStyle w:val="TableText0"/>
              <w:keepNext w:val="0"/>
              <w:widowControl w:val="0"/>
              <w:jc w:val="center"/>
              <w:rPr>
                <w:szCs w:val="20"/>
              </w:rPr>
            </w:pPr>
            <w:r w:rsidRPr="00ED1D28">
              <w:rPr>
                <w:szCs w:val="20"/>
              </w:rPr>
              <w:t>LY:</w:t>
            </w:r>
            <w:r w:rsidR="008A0CD0">
              <w:rPr>
                <w:noProof/>
                <w:color w:val="000000"/>
                <w:szCs w:val="20"/>
                <w:highlight w:val="black"/>
              </w:rPr>
              <w:t>''''''''''''''</w:t>
            </w:r>
          </w:p>
          <w:p w:rsidR="002F6175" w:rsidRPr="00ED1D28" w:rsidRDefault="002F6175" w:rsidP="002F6175">
            <w:pPr>
              <w:pStyle w:val="TableText0"/>
              <w:jc w:val="center"/>
              <w:rPr>
                <w:szCs w:val="20"/>
              </w:rPr>
            </w:pPr>
            <w:r w:rsidRPr="00ED1D28">
              <w:rPr>
                <w:szCs w:val="20"/>
              </w:rPr>
              <w:t>QALY:</w:t>
            </w:r>
            <w:r w:rsidR="008A0CD0">
              <w:rPr>
                <w:noProof/>
                <w:color w:val="000000"/>
                <w:szCs w:val="20"/>
                <w:highlight w:val="black"/>
              </w:rPr>
              <w:t>''''''''''''</w:t>
            </w:r>
          </w:p>
        </w:tc>
      </w:tr>
      <w:tr w:rsidR="00F14B46" w:rsidRPr="00E63DF4" w:rsidTr="003A41DB">
        <w:trPr>
          <w:cantSplit/>
        </w:trPr>
        <w:tc>
          <w:tcPr>
            <w:tcW w:w="3541" w:type="pct"/>
            <w:gridSpan w:val="3"/>
            <w:vAlign w:val="center"/>
          </w:tcPr>
          <w:p w:rsidR="00F14B46" w:rsidRPr="003A41DB" w:rsidRDefault="00F14B46" w:rsidP="00DD707C">
            <w:pPr>
              <w:pStyle w:val="TableText0"/>
              <w:rPr>
                <w:szCs w:val="20"/>
              </w:rPr>
            </w:pPr>
            <w:r w:rsidRPr="003A41DB">
              <w:rPr>
                <w:szCs w:val="20"/>
              </w:rPr>
              <w:t>Incremental cost</w:t>
            </w:r>
            <w:r w:rsidR="00230CA5" w:rsidRPr="003A41DB">
              <w:rPr>
                <w:szCs w:val="20"/>
              </w:rPr>
              <w:t>/extra LY and QALYs</w:t>
            </w:r>
            <w:r w:rsidRPr="003A41DB">
              <w:rPr>
                <w:szCs w:val="20"/>
              </w:rPr>
              <w:t xml:space="preserve"> gained</w:t>
            </w:r>
          </w:p>
        </w:tc>
        <w:tc>
          <w:tcPr>
            <w:tcW w:w="1459" w:type="pct"/>
            <w:vAlign w:val="center"/>
          </w:tcPr>
          <w:p w:rsidR="002F6175" w:rsidRPr="003A41DB" w:rsidRDefault="002F6175" w:rsidP="002F6175">
            <w:pPr>
              <w:pStyle w:val="TableText0"/>
              <w:jc w:val="center"/>
              <w:rPr>
                <w:szCs w:val="20"/>
              </w:rPr>
            </w:pPr>
            <w:r w:rsidRPr="003A41DB">
              <w:rPr>
                <w:szCs w:val="20"/>
              </w:rPr>
              <w:t>$</w:t>
            </w:r>
            <w:r w:rsidR="008A0CD0">
              <w:rPr>
                <w:noProof/>
                <w:color w:val="000000"/>
                <w:szCs w:val="20"/>
                <w:highlight w:val="black"/>
              </w:rPr>
              <w:t>''''''''''''''''''''</w:t>
            </w:r>
            <w:r w:rsidRPr="003A41DB">
              <w:rPr>
                <w:szCs w:val="20"/>
              </w:rPr>
              <w:t>/LY gained;</w:t>
            </w:r>
          </w:p>
          <w:p w:rsidR="00F14B46" w:rsidRPr="003A41DB" w:rsidRDefault="002F6175" w:rsidP="002F6175">
            <w:pPr>
              <w:pStyle w:val="TableText0"/>
              <w:jc w:val="center"/>
              <w:rPr>
                <w:szCs w:val="20"/>
              </w:rPr>
            </w:pPr>
            <w:r w:rsidRPr="003A41DB">
              <w:rPr>
                <w:szCs w:val="20"/>
              </w:rPr>
              <w:t>$</w:t>
            </w:r>
            <w:r w:rsidR="008A0CD0">
              <w:rPr>
                <w:noProof/>
                <w:color w:val="000000"/>
                <w:szCs w:val="20"/>
                <w:highlight w:val="black"/>
              </w:rPr>
              <w:t>'''''''''''''''''''</w:t>
            </w:r>
            <w:r w:rsidRPr="003A41DB">
              <w:rPr>
                <w:szCs w:val="20"/>
              </w:rPr>
              <w:t>/QALY gained</w:t>
            </w:r>
          </w:p>
        </w:tc>
      </w:tr>
      <w:tr w:rsidR="00F14B46" w:rsidRPr="00E63DF4" w:rsidTr="003A41DB">
        <w:trPr>
          <w:cantSplit/>
        </w:trPr>
        <w:tc>
          <w:tcPr>
            <w:tcW w:w="5000" w:type="pct"/>
            <w:gridSpan w:val="4"/>
            <w:vAlign w:val="center"/>
          </w:tcPr>
          <w:p w:rsidR="00F14B46" w:rsidRPr="003A41DB" w:rsidRDefault="00B4730B" w:rsidP="00DD707C">
            <w:pPr>
              <w:pStyle w:val="In-tableHeading"/>
              <w:rPr>
                <w:szCs w:val="20"/>
                <w:lang w:val="en-AU"/>
              </w:rPr>
            </w:pPr>
            <w:r w:rsidRPr="003A41DB">
              <w:rPr>
                <w:szCs w:val="20"/>
                <w:lang w:val="en-AU"/>
              </w:rPr>
              <w:t>Step 2: Time horizon 10 years, extrapolation of OS, PFS, TTD</w:t>
            </w:r>
          </w:p>
        </w:tc>
      </w:tr>
      <w:tr w:rsidR="00415DAF" w:rsidRPr="00E63DF4" w:rsidTr="003A41DB">
        <w:trPr>
          <w:cantSplit/>
        </w:trPr>
        <w:tc>
          <w:tcPr>
            <w:tcW w:w="1095" w:type="pct"/>
            <w:vAlign w:val="center"/>
          </w:tcPr>
          <w:p w:rsidR="00415DAF" w:rsidRPr="003A41DB" w:rsidRDefault="00415DAF" w:rsidP="00415DAF">
            <w:pPr>
              <w:pStyle w:val="TableText0"/>
              <w:rPr>
                <w:szCs w:val="20"/>
              </w:rPr>
            </w:pPr>
            <w:r w:rsidRPr="003A41DB">
              <w:rPr>
                <w:szCs w:val="20"/>
              </w:rPr>
              <w:t>Costs</w:t>
            </w:r>
          </w:p>
        </w:tc>
        <w:tc>
          <w:tcPr>
            <w:tcW w:w="998" w:type="pct"/>
            <w:vAlign w:val="center"/>
          </w:tcPr>
          <w:p w:rsidR="00415DAF" w:rsidRPr="003A41DB" w:rsidRDefault="00415DAF" w:rsidP="00415DAF">
            <w:pPr>
              <w:pStyle w:val="TableText0"/>
              <w:jc w:val="center"/>
              <w:rPr>
                <w:szCs w:val="20"/>
              </w:rPr>
            </w:pPr>
            <w:r w:rsidRPr="003A41DB">
              <w:rPr>
                <w:color w:val="000000"/>
                <w:szCs w:val="20"/>
              </w:rPr>
              <w:t>$</w:t>
            </w:r>
            <w:r w:rsidR="008A0CD0">
              <w:rPr>
                <w:noProof/>
                <w:color w:val="000000"/>
                <w:szCs w:val="20"/>
                <w:highlight w:val="black"/>
              </w:rPr>
              <w:t>'''''''''''''''</w:t>
            </w:r>
          </w:p>
        </w:tc>
        <w:tc>
          <w:tcPr>
            <w:tcW w:w="1448" w:type="pct"/>
            <w:vAlign w:val="center"/>
          </w:tcPr>
          <w:p w:rsidR="00415DAF" w:rsidRPr="003A41DB" w:rsidRDefault="00415DAF" w:rsidP="00415DAF">
            <w:pPr>
              <w:pStyle w:val="TableText0"/>
              <w:jc w:val="center"/>
              <w:rPr>
                <w:szCs w:val="20"/>
              </w:rPr>
            </w:pPr>
            <w:r w:rsidRPr="00ED1D28">
              <w:rPr>
                <w:color w:val="000000"/>
                <w:szCs w:val="20"/>
              </w:rPr>
              <w:t>$</w:t>
            </w:r>
            <w:r w:rsidR="008A0CD0">
              <w:rPr>
                <w:noProof/>
                <w:color w:val="000000"/>
                <w:szCs w:val="20"/>
                <w:highlight w:val="black"/>
              </w:rPr>
              <w:t>''''''''''''''''''</w:t>
            </w:r>
          </w:p>
        </w:tc>
        <w:tc>
          <w:tcPr>
            <w:tcW w:w="1459" w:type="pct"/>
            <w:vAlign w:val="center"/>
          </w:tcPr>
          <w:p w:rsidR="00415DAF" w:rsidRPr="003A41DB" w:rsidRDefault="00415DAF" w:rsidP="00415DAF">
            <w:pPr>
              <w:pStyle w:val="TableText0"/>
              <w:jc w:val="center"/>
              <w:rPr>
                <w:szCs w:val="20"/>
              </w:rPr>
            </w:pPr>
            <w:r w:rsidRPr="003A41DB">
              <w:rPr>
                <w:color w:val="000000"/>
                <w:szCs w:val="20"/>
              </w:rPr>
              <w:t>$</w:t>
            </w:r>
            <w:r w:rsidR="008A0CD0">
              <w:rPr>
                <w:noProof/>
                <w:color w:val="000000"/>
                <w:szCs w:val="20"/>
                <w:highlight w:val="black"/>
              </w:rPr>
              <w:t>''''''''''''''''''</w:t>
            </w:r>
          </w:p>
        </w:tc>
      </w:tr>
      <w:tr w:rsidR="00286B73" w:rsidRPr="00E63DF4" w:rsidTr="003A41DB">
        <w:trPr>
          <w:cantSplit/>
        </w:trPr>
        <w:tc>
          <w:tcPr>
            <w:tcW w:w="1095" w:type="pct"/>
            <w:vAlign w:val="center"/>
          </w:tcPr>
          <w:p w:rsidR="00092C3E" w:rsidRPr="003A41DB" w:rsidRDefault="00092C3E" w:rsidP="00092C3E">
            <w:pPr>
              <w:pStyle w:val="TableText0"/>
              <w:rPr>
                <w:szCs w:val="20"/>
              </w:rPr>
            </w:pPr>
            <w:r w:rsidRPr="003A41DB">
              <w:rPr>
                <w:szCs w:val="20"/>
              </w:rPr>
              <w:t>Life -years</w:t>
            </w:r>
          </w:p>
          <w:p w:rsidR="00286B73" w:rsidRPr="003A41DB" w:rsidRDefault="00092C3E" w:rsidP="00092C3E">
            <w:pPr>
              <w:pStyle w:val="TableText0"/>
              <w:rPr>
                <w:szCs w:val="20"/>
              </w:rPr>
            </w:pPr>
            <w:r w:rsidRPr="003A41DB">
              <w:rPr>
                <w:szCs w:val="20"/>
              </w:rPr>
              <w:t>QALYs</w:t>
            </w:r>
          </w:p>
        </w:tc>
        <w:tc>
          <w:tcPr>
            <w:tcW w:w="998" w:type="pct"/>
            <w:shd w:val="clear" w:color="auto" w:fill="FFFFFF" w:themeFill="background1"/>
            <w:vAlign w:val="center"/>
          </w:tcPr>
          <w:p w:rsidR="00286B73" w:rsidRPr="00ED1D28" w:rsidRDefault="00286B73" w:rsidP="00286B73">
            <w:pPr>
              <w:pStyle w:val="TableText0"/>
              <w:keepNext w:val="0"/>
              <w:widowControl w:val="0"/>
              <w:jc w:val="center"/>
              <w:rPr>
                <w:color w:val="000000"/>
                <w:szCs w:val="20"/>
              </w:rPr>
            </w:pPr>
            <w:r w:rsidRPr="00ED1D28">
              <w:rPr>
                <w:color w:val="000000"/>
                <w:szCs w:val="20"/>
              </w:rPr>
              <w:t>LY:</w:t>
            </w:r>
            <w:r w:rsidR="008A0CD0">
              <w:rPr>
                <w:noProof/>
                <w:color w:val="000000"/>
                <w:szCs w:val="20"/>
                <w:highlight w:val="black"/>
              </w:rPr>
              <w:t>''''''''''''''</w:t>
            </w:r>
          </w:p>
          <w:p w:rsidR="00286B73" w:rsidRPr="00ED1D28" w:rsidRDefault="00286B73" w:rsidP="00286B73">
            <w:pPr>
              <w:pStyle w:val="TableText0"/>
              <w:jc w:val="center"/>
              <w:rPr>
                <w:szCs w:val="20"/>
              </w:rPr>
            </w:pPr>
            <w:r w:rsidRPr="00ED1D28">
              <w:rPr>
                <w:color w:val="000000"/>
                <w:szCs w:val="20"/>
              </w:rPr>
              <w:t>QALY:</w:t>
            </w:r>
            <w:r w:rsidR="008A0CD0">
              <w:rPr>
                <w:noProof/>
                <w:color w:val="000000"/>
                <w:szCs w:val="20"/>
                <w:highlight w:val="black"/>
              </w:rPr>
              <w:t>''''''''''''</w:t>
            </w:r>
          </w:p>
        </w:tc>
        <w:tc>
          <w:tcPr>
            <w:tcW w:w="1448" w:type="pct"/>
            <w:shd w:val="clear" w:color="auto" w:fill="FFFFFF" w:themeFill="background1"/>
            <w:vAlign w:val="center"/>
          </w:tcPr>
          <w:p w:rsidR="00286B73" w:rsidRPr="00ED1D28" w:rsidRDefault="00286B73" w:rsidP="00286B73">
            <w:pPr>
              <w:pStyle w:val="TableText0"/>
              <w:keepNext w:val="0"/>
              <w:widowControl w:val="0"/>
              <w:jc w:val="center"/>
              <w:rPr>
                <w:color w:val="000000"/>
                <w:szCs w:val="20"/>
              </w:rPr>
            </w:pPr>
            <w:r w:rsidRPr="00ED1D28">
              <w:rPr>
                <w:color w:val="000000"/>
                <w:szCs w:val="20"/>
              </w:rPr>
              <w:t>LY:</w:t>
            </w:r>
            <w:r w:rsidR="008A0CD0">
              <w:rPr>
                <w:noProof/>
                <w:color w:val="000000"/>
                <w:szCs w:val="20"/>
                <w:highlight w:val="black"/>
              </w:rPr>
              <w:t>''''''''''''''</w:t>
            </w:r>
          </w:p>
          <w:p w:rsidR="00286B73" w:rsidRPr="00ED1D28" w:rsidRDefault="00286B73" w:rsidP="00286B73">
            <w:pPr>
              <w:pStyle w:val="TableText0"/>
              <w:jc w:val="center"/>
              <w:rPr>
                <w:szCs w:val="20"/>
              </w:rPr>
            </w:pPr>
            <w:r w:rsidRPr="00ED1D28">
              <w:rPr>
                <w:color w:val="000000"/>
                <w:szCs w:val="20"/>
              </w:rPr>
              <w:t>QALY</w:t>
            </w:r>
            <w:r w:rsidR="00F03BE2" w:rsidRPr="00ED1D28">
              <w:rPr>
                <w:color w:val="000000"/>
                <w:szCs w:val="20"/>
              </w:rPr>
              <w:t>:</w:t>
            </w:r>
            <w:r w:rsidR="008A0CD0">
              <w:rPr>
                <w:noProof/>
                <w:color w:val="000000"/>
                <w:szCs w:val="20"/>
                <w:highlight w:val="black"/>
              </w:rPr>
              <w:t>'''''''''''''''</w:t>
            </w:r>
          </w:p>
        </w:tc>
        <w:tc>
          <w:tcPr>
            <w:tcW w:w="1459" w:type="pct"/>
            <w:shd w:val="clear" w:color="auto" w:fill="FFFFFF" w:themeFill="background1"/>
            <w:vAlign w:val="center"/>
          </w:tcPr>
          <w:p w:rsidR="00286B73" w:rsidRPr="00ED1D28" w:rsidRDefault="00286B73" w:rsidP="00286B73">
            <w:pPr>
              <w:pStyle w:val="TableText0"/>
              <w:keepNext w:val="0"/>
              <w:widowControl w:val="0"/>
              <w:jc w:val="center"/>
              <w:rPr>
                <w:szCs w:val="20"/>
              </w:rPr>
            </w:pPr>
            <w:r w:rsidRPr="00ED1D28">
              <w:rPr>
                <w:szCs w:val="20"/>
              </w:rPr>
              <w:t>LY:</w:t>
            </w:r>
            <w:r w:rsidR="008A0CD0">
              <w:rPr>
                <w:noProof/>
                <w:color w:val="000000"/>
                <w:szCs w:val="20"/>
                <w:highlight w:val="black"/>
              </w:rPr>
              <w:t>''''''''''''''</w:t>
            </w:r>
          </w:p>
          <w:p w:rsidR="00286B73" w:rsidRPr="00ED1D28" w:rsidRDefault="00286B73" w:rsidP="00286B73">
            <w:pPr>
              <w:pStyle w:val="TableText0"/>
              <w:jc w:val="center"/>
              <w:rPr>
                <w:szCs w:val="20"/>
              </w:rPr>
            </w:pPr>
            <w:r w:rsidRPr="00ED1D28">
              <w:rPr>
                <w:szCs w:val="20"/>
              </w:rPr>
              <w:t>QALY:</w:t>
            </w:r>
            <w:r w:rsidR="008A0CD0">
              <w:rPr>
                <w:noProof/>
                <w:color w:val="000000"/>
                <w:szCs w:val="20"/>
                <w:highlight w:val="black"/>
              </w:rPr>
              <w:t>'''''''''''''</w:t>
            </w:r>
          </w:p>
        </w:tc>
      </w:tr>
      <w:tr w:rsidR="00F14B46" w:rsidRPr="00E63DF4" w:rsidTr="003A41DB">
        <w:trPr>
          <w:cantSplit/>
        </w:trPr>
        <w:tc>
          <w:tcPr>
            <w:tcW w:w="3541" w:type="pct"/>
            <w:gridSpan w:val="3"/>
            <w:vAlign w:val="center"/>
          </w:tcPr>
          <w:p w:rsidR="00F14B46" w:rsidRPr="003A41DB" w:rsidRDefault="00230CA5" w:rsidP="00DD707C">
            <w:pPr>
              <w:pStyle w:val="TableText0"/>
              <w:rPr>
                <w:szCs w:val="20"/>
              </w:rPr>
            </w:pPr>
            <w:r w:rsidRPr="003A41DB">
              <w:rPr>
                <w:szCs w:val="20"/>
              </w:rPr>
              <w:t>Incremental cost/extra LY and QALYs gained</w:t>
            </w:r>
          </w:p>
        </w:tc>
        <w:tc>
          <w:tcPr>
            <w:tcW w:w="1459" w:type="pct"/>
            <w:vAlign w:val="center"/>
          </w:tcPr>
          <w:p w:rsidR="00286B73" w:rsidRPr="003A41DB" w:rsidRDefault="00286B73" w:rsidP="00286B73">
            <w:pPr>
              <w:pStyle w:val="TableText0"/>
              <w:keepNext w:val="0"/>
              <w:widowControl w:val="0"/>
              <w:jc w:val="center"/>
              <w:rPr>
                <w:szCs w:val="20"/>
              </w:rPr>
            </w:pPr>
            <w:r w:rsidRPr="003A41DB">
              <w:rPr>
                <w:szCs w:val="20"/>
              </w:rPr>
              <w:t>$</w:t>
            </w:r>
            <w:r w:rsidR="008A0CD0">
              <w:rPr>
                <w:noProof/>
                <w:color w:val="000000"/>
                <w:szCs w:val="20"/>
                <w:highlight w:val="black"/>
              </w:rPr>
              <w:t>'''''''''''''''</w:t>
            </w:r>
            <w:r w:rsidRPr="003A41DB">
              <w:rPr>
                <w:szCs w:val="20"/>
              </w:rPr>
              <w:t>/LY gained;</w:t>
            </w:r>
          </w:p>
          <w:p w:rsidR="00F14B46" w:rsidRPr="003A41DB" w:rsidRDefault="00286B73" w:rsidP="00286B73">
            <w:pPr>
              <w:pStyle w:val="TableText0"/>
              <w:jc w:val="center"/>
              <w:rPr>
                <w:szCs w:val="20"/>
              </w:rPr>
            </w:pPr>
            <w:r w:rsidRPr="003A41DB">
              <w:rPr>
                <w:szCs w:val="20"/>
              </w:rPr>
              <w:t>$</w:t>
            </w:r>
            <w:r w:rsidR="008A0CD0">
              <w:rPr>
                <w:noProof/>
                <w:color w:val="000000"/>
                <w:szCs w:val="20"/>
                <w:highlight w:val="black"/>
              </w:rPr>
              <w:t>''''''''''''''''''</w:t>
            </w:r>
            <w:r w:rsidRPr="003A41DB">
              <w:rPr>
                <w:szCs w:val="20"/>
              </w:rPr>
              <w:t>/QALY gained</w:t>
            </w:r>
          </w:p>
        </w:tc>
      </w:tr>
      <w:tr w:rsidR="00F14B46" w:rsidRPr="00E63DF4" w:rsidTr="003A41DB">
        <w:trPr>
          <w:cantSplit/>
        </w:trPr>
        <w:tc>
          <w:tcPr>
            <w:tcW w:w="5000" w:type="pct"/>
            <w:gridSpan w:val="4"/>
            <w:vAlign w:val="center"/>
          </w:tcPr>
          <w:p w:rsidR="00F14B46" w:rsidRPr="003A41DB" w:rsidRDefault="00B4730B" w:rsidP="00DD707C">
            <w:pPr>
              <w:pStyle w:val="In-tableHeading"/>
              <w:rPr>
                <w:szCs w:val="20"/>
                <w:lang w:val="en-AU"/>
              </w:rPr>
            </w:pPr>
            <w:r w:rsidRPr="003A41DB">
              <w:rPr>
                <w:szCs w:val="20"/>
                <w:lang w:val="en-AU"/>
              </w:rPr>
              <w:t>Step 3: Inclusion of medical resource use costs</w:t>
            </w:r>
          </w:p>
        </w:tc>
      </w:tr>
      <w:tr w:rsidR="00415DAF" w:rsidRPr="00E63DF4" w:rsidTr="003A41DB">
        <w:trPr>
          <w:cantSplit/>
        </w:trPr>
        <w:tc>
          <w:tcPr>
            <w:tcW w:w="1095" w:type="pct"/>
            <w:vAlign w:val="center"/>
          </w:tcPr>
          <w:p w:rsidR="00415DAF" w:rsidRPr="003A41DB" w:rsidRDefault="00415DAF" w:rsidP="00415DAF">
            <w:pPr>
              <w:pStyle w:val="TableText0"/>
              <w:rPr>
                <w:szCs w:val="20"/>
              </w:rPr>
            </w:pPr>
            <w:r w:rsidRPr="003A41DB">
              <w:rPr>
                <w:szCs w:val="20"/>
              </w:rPr>
              <w:t>Costs</w:t>
            </w:r>
          </w:p>
        </w:tc>
        <w:tc>
          <w:tcPr>
            <w:tcW w:w="998" w:type="pct"/>
            <w:vAlign w:val="center"/>
          </w:tcPr>
          <w:p w:rsidR="00415DAF" w:rsidRPr="003A41DB" w:rsidRDefault="00415DAF" w:rsidP="00415DAF">
            <w:pPr>
              <w:pStyle w:val="TableText0"/>
              <w:jc w:val="center"/>
              <w:rPr>
                <w:szCs w:val="20"/>
              </w:rPr>
            </w:pPr>
            <w:r w:rsidRPr="003A41DB">
              <w:rPr>
                <w:color w:val="000000"/>
                <w:szCs w:val="20"/>
              </w:rPr>
              <w:t>$</w:t>
            </w:r>
            <w:r w:rsidR="008A0CD0">
              <w:rPr>
                <w:noProof/>
                <w:color w:val="000000"/>
                <w:szCs w:val="20"/>
                <w:highlight w:val="black"/>
              </w:rPr>
              <w:t>'''''''''''''''''</w:t>
            </w:r>
          </w:p>
        </w:tc>
        <w:tc>
          <w:tcPr>
            <w:tcW w:w="1448" w:type="pct"/>
            <w:vAlign w:val="center"/>
          </w:tcPr>
          <w:p w:rsidR="00415DAF" w:rsidRPr="00ED1D28" w:rsidRDefault="00415DAF" w:rsidP="00415DAF">
            <w:pPr>
              <w:pStyle w:val="TableText0"/>
              <w:jc w:val="center"/>
              <w:rPr>
                <w:szCs w:val="20"/>
              </w:rPr>
            </w:pPr>
            <w:r w:rsidRPr="00ED1D28">
              <w:rPr>
                <w:color w:val="000000"/>
                <w:szCs w:val="20"/>
              </w:rPr>
              <w:t>$</w:t>
            </w:r>
            <w:r w:rsidR="008A0CD0">
              <w:rPr>
                <w:noProof/>
                <w:color w:val="000000"/>
                <w:szCs w:val="20"/>
                <w:highlight w:val="black"/>
              </w:rPr>
              <w:t>'''''''''''''''</w:t>
            </w:r>
          </w:p>
        </w:tc>
        <w:tc>
          <w:tcPr>
            <w:tcW w:w="1459" w:type="pct"/>
            <w:vAlign w:val="center"/>
          </w:tcPr>
          <w:p w:rsidR="00415DAF" w:rsidRPr="00ED1D28" w:rsidRDefault="00415DAF" w:rsidP="00415DAF">
            <w:pPr>
              <w:pStyle w:val="TableText0"/>
              <w:jc w:val="center"/>
              <w:rPr>
                <w:szCs w:val="20"/>
              </w:rPr>
            </w:pPr>
            <w:r w:rsidRPr="00ED1D28">
              <w:rPr>
                <w:color w:val="000000"/>
                <w:szCs w:val="20"/>
              </w:rPr>
              <w:t>$</w:t>
            </w:r>
            <w:r w:rsidR="008A0CD0">
              <w:rPr>
                <w:noProof/>
                <w:color w:val="000000"/>
                <w:szCs w:val="20"/>
                <w:highlight w:val="black"/>
              </w:rPr>
              <w:t>'''''''''''''''''</w:t>
            </w:r>
          </w:p>
        </w:tc>
      </w:tr>
      <w:tr w:rsidR="00286B73" w:rsidRPr="00E63DF4" w:rsidTr="003A41DB">
        <w:trPr>
          <w:cantSplit/>
        </w:trPr>
        <w:tc>
          <w:tcPr>
            <w:tcW w:w="1095" w:type="pct"/>
            <w:vAlign w:val="center"/>
          </w:tcPr>
          <w:p w:rsidR="00092C3E" w:rsidRPr="003A41DB" w:rsidRDefault="00092C3E" w:rsidP="00092C3E">
            <w:pPr>
              <w:pStyle w:val="TableText0"/>
              <w:rPr>
                <w:szCs w:val="20"/>
              </w:rPr>
            </w:pPr>
            <w:r w:rsidRPr="003A41DB">
              <w:rPr>
                <w:szCs w:val="20"/>
              </w:rPr>
              <w:t>Life -years</w:t>
            </w:r>
          </w:p>
          <w:p w:rsidR="00286B73" w:rsidRPr="003A41DB" w:rsidRDefault="00092C3E" w:rsidP="00092C3E">
            <w:pPr>
              <w:pStyle w:val="TableText0"/>
              <w:rPr>
                <w:szCs w:val="20"/>
              </w:rPr>
            </w:pPr>
            <w:r w:rsidRPr="003A41DB">
              <w:rPr>
                <w:szCs w:val="20"/>
              </w:rPr>
              <w:t>QALYs</w:t>
            </w:r>
          </w:p>
        </w:tc>
        <w:tc>
          <w:tcPr>
            <w:tcW w:w="998" w:type="pct"/>
            <w:shd w:val="clear" w:color="auto" w:fill="FFFFFF" w:themeFill="background1"/>
            <w:vAlign w:val="center"/>
          </w:tcPr>
          <w:p w:rsidR="00286B73" w:rsidRPr="00ED1D28" w:rsidRDefault="00286B73" w:rsidP="00286B73">
            <w:pPr>
              <w:pStyle w:val="TableText0"/>
              <w:keepNext w:val="0"/>
              <w:widowControl w:val="0"/>
              <w:jc w:val="center"/>
              <w:rPr>
                <w:color w:val="000000"/>
                <w:szCs w:val="20"/>
              </w:rPr>
            </w:pPr>
            <w:r w:rsidRPr="003A41DB">
              <w:rPr>
                <w:color w:val="000000"/>
                <w:szCs w:val="20"/>
              </w:rPr>
              <w:t>LY</w:t>
            </w:r>
            <w:r w:rsidRPr="00ED1D28">
              <w:rPr>
                <w:color w:val="000000"/>
                <w:szCs w:val="20"/>
              </w:rPr>
              <w:t>:</w:t>
            </w:r>
            <w:r w:rsidR="008A0CD0">
              <w:rPr>
                <w:noProof/>
                <w:color w:val="000000"/>
                <w:szCs w:val="20"/>
                <w:highlight w:val="black"/>
              </w:rPr>
              <w:t>''''''''''''''</w:t>
            </w:r>
          </w:p>
          <w:p w:rsidR="00286B73" w:rsidRPr="003A41DB" w:rsidRDefault="00286B73" w:rsidP="00286B73">
            <w:pPr>
              <w:pStyle w:val="TableText0"/>
              <w:jc w:val="center"/>
              <w:rPr>
                <w:szCs w:val="20"/>
              </w:rPr>
            </w:pPr>
            <w:r w:rsidRPr="00ED1D28">
              <w:rPr>
                <w:color w:val="000000"/>
                <w:szCs w:val="20"/>
              </w:rPr>
              <w:t>QALY:</w:t>
            </w:r>
            <w:r w:rsidR="008A0CD0">
              <w:rPr>
                <w:noProof/>
                <w:color w:val="000000"/>
                <w:szCs w:val="20"/>
                <w:highlight w:val="black"/>
              </w:rPr>
              <w:t>'''''''''''''</w:t>
            </w:r>
          </w:p>
        </w:tc>
        <w:tc>
          <w:tcPr>
            <w:tcW w:w="1448" w:type="pct"/>
            <w:shd w:val="clear" w:color="auto" w:fill="FFFFFF" w:themeFill="background1"/>
            <w:vAlign w:val="center"/>
          </w:tcPr>
          <w:p w:rsidR="00286B73" w:rsidRPr="008A0CD0" w:rsidRDefault="00286B73" w:rsidP="00286B73">
            <w:pPr>
              <w:pStyle w:val="TableText0"/>
              <w:keepNext w:val="0"/>
              <w:widowControl w:val="0"/>
              <w:jc w:val="center"/>
              <w:rPr>
                <w:color w:val="000000"/>
                <w:szCs w:val="20"/>
              </w:rPr>
            </w:pPr>
            <w:r w:rsidRPr="00ED1D28">
              <w:rPr>
                <w:color w:val="000000"/>
                <w:szCs w:val="20"/>
              </w:rPr>
              <w:t>LY:</w:t>
            </w:r>
            <w:r w:rsidR="008A0CD0">
              <w:rPr>
                <w:noProof/>
                <w:color w:val="000000"/>
                <w:szCs w:val="20"/>
                <w:highlight w:val="black"/>
              </w:rPr>
              <w:t>''''''''''''</w:t>
            </w:r>
          </w:p>
          <w:p w:rsidR="00286B73" w:rsidRPr="00ED1D28" w:rsidRDefault="00F03BE2" w:rsidP="00286B73">
            <w:pPr>
              <w:pStyle w:val="TableText0"/>
              <w:jc w:val="center"/>
              <w:rPr>
                <w:szCs w:val="20"/>
              </w:rPr>
            </w:pPr>
            <w:r w:rsidRPr="00ED1D28">
              <w:rPr>
                <w:color w:val="000000"/>
                <w:szCs w:val="20"/>
              </w:rPr>
              <w:t>QALY:</w:t>
            </w:r>
            <w:r w:rsidR="008A0CD0">
              <w:rPr>
                <w:noProof/>
                <w:color w:val="000000"/>
                <w:szCs w:val="20"/>
                <w:highlight w:val="black"/>
              </w:rPr>
              <w:t>'''''''''''''</w:t>
            </w:r>
          </w:p>
        </w:tc>
        <w:tc>
          <w:tcPr>
            <w:tcW w:w="1459" w:type="pct"/>
            <w:shd w:val="clear" w:color="auto" w:fill="FFFFFF" w:themeFill="background1"/>
            <w:vAlign w:val="center"/>
          </w:tcPr>
          <w:p w:rsidR="00286B73" w:rsidRPr="00ED1D28" w:rsidRDefault="00286B73" w:rsidP="00286B73">
            <w:pPr>
              <w:pStyle w:val="TableText0"/>
              <w:keepNext w:val="0"/>
              <w:widowControl w:val="0"/>
              <w:jc w:val="center"/>
              <w:rPr>
                <w:szCs w:val="20"/>
              </w:rPr>
            </w:pPr>
            <w:r w:rsidRPr="00ED1D28">
              <w:rPr>
                <w:szCs w:val="20"/>
              </w:rPr>
              <w:t>LY:</w:t>
            </w:r>
            <w:r w:rsidR="008A0CD0">
              <w:rPr>
                <w:noProof/>
                <w:color w:val="000000"/>
                <w:szCs w:val="20"/>
                <w:highlight w:val="black"/>
              </w:rPr>
              <w:t>''''''''''''''</w:t>
            </w:r>
          </w:p>
          <w:p w:rsidR="00286B73" w:rsidRPr="00ED1D28" w:rsidRDefault="00286B73" w:rsidP="00286B73">
            <w:pPr>
              <w:pStyle w:val="TableText0"/>
              <w:jc w:val="center"/>
              <w:rPr>
                <w:szCs w:val="20"/>
              </w:rPr>
            </w:pPr>
            <w:r w:rsidRPr="00ED1D28">
              <w:rPr>
                <w:szCs w:val="20"/>
              </w:rPr>
              <w:t>QALY:</w:t>
            </w:r>
            <w:r w:rsidR="008A0CD0">
              <w:rPr>
                <w:noProof/>
                <w:color w:val="000000"/>
                <w:szCs w:val="20"/>
                <w:highlight w:val="black"/>
              </w:rPr>
              <w:t>'''''''''''''</w:t>
            </w:r>
          </w:p>
        </w:tc>
      </w:tr>
      <w:tr w:rsidR="00F14B46" w:rsidRPr="00E63DF4" w:rsidTr="003A41DB">
        <w:trPr>
          <w:cantSplit/>
        </w:trPr>
        <w:tc>
          <w:tcPr>
            <w:tcW w:w="3541" w:type="pct"/>
            <w:gridSpan w:val="3"/>
            <w:vAlign w:val="center"/>
          </w:tcPr>
          <w:p w:rsidR="00F14B46" w:rsidRPr="003A41DB" w:rsidRDefault="00230CA5" w:rsidP="00DD707C">
            <w:pPr>
              <w:pStyle w:val="TableText0"/>
              <w:rPr>
                <w:szCs w:val="20"/>
              </w:rPr>
            </w:pPr>
            <w:r w:rsidRPr="003A41DB">
              <w:rPr>
                <w:szCs w:val="20"/>
              </w:rPr>
              <w:t>Incremental cost/extra LY and QALYs gained</w:t>
            </w:r>
          </w:p>
        </w:tc>
        <w:tc>
          <w:tcPr>
            <w:tcW w:w="1459" w:type="pct"/>
            <w:vAlign w:val="center"/>
          </w:tcPr>
          <w:p w:rsidR="00286B73" w:rsidRPr="003A41DB" w:rsidRDefault="00286B73" w:rsidP="00286B73">
            <w:pPr>
              <w:pStyle w:val="TableText0"/>
              <w:keepNext w:val="0"/>
              <w:widowControl w:val="0"/>
              <w:jc w:val="center"/>
              <w:rPr>
                <w:szCs w:val="20"/>
              </w:rPr>
            </w:pPr>
            <w:r w:rsidRPr="003A41DB">
              <w:rPr>
                <w:szCs w:val="20"/>
              </w:rPr>
              <w:t>$</w:t>
            </w:r>
            <w:r w:rsidR="008A0CD0">
              <w:rPr>
                <w:noProof/>
                <w:color w:val="000000"/>
                <w:szCs w:val="20"/>
                <w:highlight w:val="black"/>
              </w:rPr>
              <w:t>''''''''''''''''''</w:t>
            </w:r>
            <w:r w:rsidRPr="003A41DB">
              <w:rPr>
                <w:color w:val="000000"/>
                <w:szCs w:val="20"/>
              </w:rPr>
              <w:t>/</w:t>
            </w:r>
            <w:r w:rsidRPr="003A41DB">
              <w:rPr>
                <w:szCs w:val="20"/>
              </w:rPr>
              <w:t>LY gained;</w:t>
            </w:r>
          </w:p>
          <w:p w:rsidR="00F14B46" w:rsidRPr="003A41DB" w:rsidRDefault="00286B73" w:rsidP="00286B73">
            <w:pPr>
              <w:pStyle w:val="TableText0"/>
              <w:jc w:val="center"/>
              <w:rPr>
                <w:szCs w:val="20"/>
              </w:rPr>
            </w:pPr>
            <w:r w:rsidRPr="003A41DB">
              <w:rPr>
                <w:szCs w:val="20"/>
              </w:rPr>
              <w:t>$</w:t>
            </w:r>
            <w:r w:rsidR="008A0CD0">
              <w:rPr>
                <w:noProof/>
                <w:color w:val="000000"/>
                <w:szCs w:val="20"/>
                <w:highlight w:val="black"/>
              </w:rPr>
              <w:t>'''''''''''''''</w:t>
            </w:r>
            <w:r w:rsidRPr="003A41DB">
              <w:rPr>
                <w:szCs w:val="20"/>
              </w:rPr>
              <w:t>/QALY gained</w:t>
            </w:r>
          </w:p>
        </w:tc>
      </w:tr>
      <w:tr w:rsidR="00F14B46" w:rsidRPr="00E63DF4" w:rsidTr="003A41DB">
        <w:trPr>
          <w:cantSplit/>
        </w:trPr>
        <w:tc>
          <w:tcPr>
            <w:tcW w:w="5000" w:type="pct"/>
            <w:gridSpan w:val="4"/>
            <w:vAlign w:val="center"/>
          </w:tcPr>
          <w:p w:rsidR="00F14B46" w:rsidRPr="003A41DB" w:rsidRDefault="00651D84" w:rsidP="00DD707C">
            <w:pPr>
              <w:pStyle w:val="In-tableHeading"/>
              <w:rPr>
                <w:szCs w:val="20"/>
                <w:lang w:val="en-AU"/>
              </w:rPr>
            </w:pPr>
            <w:r w:rsidRPr="003A41DB">
              <w:rPr>
                <w:szCs w:val="20"/>
                <w:lang w:val="en-AU"/>
              </w:rPr>
              <w:t>Step 4: Inclusion of adverse events related cost</w:t>
            </w:r>
          </w:p>
        </w:tc>
      </w:tr>
      <w:tr w:rsidR="00415DAF" w:rsidRPr="00E63DF4" w:rsidTr="003A41DB">
        <w:trPr>
          <w:cantSplit/>
        </w:trPr>
        <w:tc>
          <w:tcPr>
            <w:tcW w:w="1095" w:type="pct"/>
            <w:vAlign w:val="center"/>
          </w:tcPr>
          <w:p w:rsidR="00415DAF" w:rsidRPr="003A41DB" w:rsidRDefault="00415DAF" w:rsidP="00415DAF">
            <w:pPr>
              <w:pStyle w:val="TableText0"/>
              <w:rPr>
                <w:szCs w:val="20"/>
              </w:rPr>
            </w:pPr>
            <w:r w:rsidRPr="003A41DB">
              <w:rPr>
                <w:szCs w:val="20"/>
              </w:rPr>
              <w:t>Costs</w:t>
            </w:r>
          </w:p>
        </w:tc>
        <w:tc>
          <w:tcPr>
            <w:tcW w:w="998" w:type="pct"/>
            <w:vAlign w:val="center"/>
          </w:tcPr>
          <w:p w:rsidR="00415DAF" w:rsidRPr="003A41DB" w:rsidRDefault="00415DAF" w:rsidP="00415DAF">
            <w:pPr>
              <w:pStyle w:val="TableText0"/>
              <w:jc w:val="center"/>
              <w:rPr>
                <w:szCs w:val="20"/>
              </w:rPr>
            </w:pPr>
            <w:r w:rsidRPr="003A41DB">
              <w:rPr>
                <w:color w:val="000000"/>
                <w:szCs w:val="20"/>
              </w:rPr>
              <w:t>$</w:t>
            </w:r>
            <w:r w:rsidR="008A0CD0">
              <w:rPr>
                <w:noProof/>
                <w:color w:val="000000"/>
                <w:szCs w:val="20"/>
                <w:highlight w:val="black"/>
              </w:rPr>
              <w:t>'''''''''''''''</w:t>
            </w:r>
          </w:p>
        </w:tc>
        <w:tc>
          <w:tcPr>
            <w:tcW w:w="1448" w:type="pct"/>
            <w:vAlign w:val="center"/>
          </w:tcPr>
          <w:p w:rsidR="00415DAF" w:rsidRPr="00ED1D28" w:rsidRDefault="00415DAF" w:rsidP="00415DAF">
            <w:pPr>
              <w:pStyle w:val="TableText0"/>
              <w:jc w:val="center"/>
              <w:rPr>
                <w:szCs w:val="20"/>
              </w:rPr>
            </w:pPr>
            <w:r w:rsidRPr="00ED1D28">
              <w:rPr>
                <w:color w:val="000000"/>
                <w:szCs w:val="20"/>
              </w:rPr>
              <w:t>$</w:t>
            </w:r>
            <w:r w:rsidR="008A0CD0">
              <w:rPr>
                <w:noProof/>
                <w:color w:val="000000"/>
                <w:szCs w:val="20"/>
                <w:highlight w:val="black"/>
              </w:rPr>
              <w:t>''''''''''''''''</w:t>
            </w:r>
          </w:p>
        </w:tc>
        <w:tc>
          <w:tcPr>
            <w:tcW w:w="1459" w:type="pct"/>
            <w:vAlign w:val="center"/>
          </w:tcPr>
          <w:p w:rsidR="00415DAF" w:rsidRPr="00ED1D28" w:rsidRDefault="00415DAF" w:rsidP="00415DAF">
            <w:pPr>
              <w:pStyle w:val="TableText0"/>
              <w:jc w:val="center"/>
              <w:rPr>
                <w:szCs w:val="20"/>
              </w:rPr>
            </w:pPr>
            <w:r w:rsidRPr="00ED1D28">
              <w:rPr>
                <w:color w:val="000000"/>
                <w:szCs w:val="20"/>
              </w:rPr>
              <w:t>$</w:t>
            </w:r>
            <w:r w:rsidR="008A0CD0">
              <w:rPr>
                <w:noProof/>
                <w:color w:val="000000"/>
                <w:szCs w:val="20"/>
                <w:highlight w:val="black"/>
              </w:rPr>
              <w:t>'''''''''''''''''</w:t>
            </w:r>
          </w:p>
        </w:tc>
      </w:tr>
      <w:tr w:rsidR="00415DAF" w:rsidRPr="00E63DF4" w:rsidTr="003A41DB">
        <w:trPr>
          <w:cantSplit/>
        </w:trPr>
        <w:tc>
          <w:tcPr>
            <w:tcW w:w="1095" w:type="pct"/>
            <w:vAlign w:val="center"/>
          </w:tcPr>
          <w:p w:rsidR="00092C3E" w:rsidRPr="003A41DB" w:rsidRDefault="00092C3E" w:rsidP="00092C3E">
            <w:pPr>
              <w:pStyle w:val="TableText0"/>
              <w:rPr>
                <w:szCs w:val="20"/>
              </w:rPr>
            </w:pPr>
            <w:r w:rsidRPr="003A41DB">
              <w:rPr>
                <w:szCs w:val="20"/>
              </w:rPr>
              <w:t>Life -years</w:t>
            </w:r>
          </w:p>
          <w:p w:rsidR="00415DAF" w:rsidRPr="003A41DB" w:rsidRDefault="00092C3E" w:rsidP="00092C3E">
            <w:pPr>
              <w:pStyle w:val="TableText0"/>
              <w:rPr>
                <w:szCs w:val="20"/>
              </w:rPr>
            </w:pPr>
            <w:r w:rsidRPr="003A41DB">
              <w:rPr>
                <w:szCs w:val="20"/>
              </w:rPr>
              <w:t>QALYs</w:t>
            </w:r>
          </w:p>
        </w:tc>
        <w:tc>
          <w:tcPr>
            <w:tcW w:w="998" w:type="pct"/>
            <w:shd w:val="clear" w:color="auto" w:fill="FFFFFF" w:themeFill="background1"/>
            <w:vAlign w:val="center"/>
          </w:tcPr>
          <w:p w:rsidR="00415DAF" w:rsidRPr="00ED1D28" w:rsidRDefault="00415DAF" w:rsidP="00415DAF">
            <w:pPr>
              <w:pStyle w:val="TableText0"/>
              <w:keepNext w:val="0"/>
              <w:widowControl w:val="0"/>
              <w:jc w:val="center"/>
              <w:rPr>
                <w:color w:val="000000"/>
                <w:szCs w:val="20"/>
              </w:rPr>
            </w:pPr>
            <w:r w:rsidRPr="00ED1D28">
              <w:rPr>
                <w:color w:val="000000"/>
                <w:szCs w:val="20"/>
              </w:rPr>
              <w:t>LY:</w:t>
            </w:r>
            <w:r w:rsidR="008A0CD0">
              <w:rPr>
                <w:noProof/>
                <w:color w:val="000000"/>
                <w:szCs w:val="20"/>
                <w:highlight w:val="black"/>
              </w:rPr>
              <w:t>''''''''''''''</w:t>
            </w:r>
          </w:p>
          <w:p w:rsidR="00415DAF" w:rsidRPr="003A41DB" w:rsidRDefault="00415DAF" w:rsidP="00415DAF">
            <w:pPr>
              <w:pStyle w:val="TableText0"/>
              <w:jc w:val="center"/>
              <w:rPr>
                <w:szCs w:val="20"/>
              </w:rPr>
            </w:pPr>
            <w:r w:rsidRPr="00ED1D28">
              <w:rPr>
                <w:color w:val="000000"/>
                <w:szCs w:val="20"/>
              </w:rPr>
              <w:t>QALY:</w:t>
            </w:r>
            <w:r w:rsidR="008A0CD0">
              <w:rPr>
                <w:noProof/>
                <w:color w:val="000000"/>
                <w:szCs w:val="20"/>
                <w:highlight w:val="black"/>
              </w:rPr>
              <w:t>''''''''''''</w:t>
            </w:r>
          </w:p>
        </w:tc>
        <w:tc>
          <w:tcPr>
            <w:tcW w:w="1448" w:type="pct"/>
            <w:shd w:val="clear" w:color="auto" w:fill="FFFFFF" w:themeFill="background1"/>
            <w:vAlign w:val="center"/>
          </w:tcPr>
          <w:p w:rsidR="00415DAF" w:rsidRPr="00ED1D28" w:rsidRDefault="00415DAF" w:rsidP="00415DAF">
            <w:pPr>
              <w:pStyle w:val="TableText0"/>
              <w:keepNext w:val="0"/>
              <w:widowControl w:val="0"/>
              <w:jc w:val="center"/>
              <w:rPr>
                <w:color w:val="000000"/>
                <w:szCs w:val="20"/>
              </w:rPr>
            </w:pPr>
            <w:r w:rsidRPr="00ED1D28">
              <w:rPr>
                <w:color w:val="000000"/>
                <w:szCs w:val="20"/>
              </w:rPr>
              <w:t>LY:</w:t>
            </w:r>
            <w:r w:rsidR="008A0CD0">
              <w:rPr>
                <w:noProof/>
                <w:color w:val="000000"/>
                <w:szCs w:val="20"/>
                <w:highlight w:val="black"/>
              </w:rPr>
              <w:t>'''''''''''''</w:t>
            </w:r>
          </w:p>
          <w:p w:rsidR="00415DAF" w:rsidRPr="00ED1D28" w:rsidRDefault="00D11414" w:rsidP="00415DAF">
            <w:pPr>
              <w:pStyle w:val="TableText0"/>
              <w:jc w:val="center"/>
              <w:rPr>
                <w:szCs w:val="20"/>
              </w:rPr>
            </w:pPr>
            <w:r w:rsidRPr="00ED1D28">
              <w:rPr>
                <w:color w:val="000000"/>
                <w:szCs w:val="20"/>
              </w:rPr>
              <w:t>QALY:</w:t>
            </w:r>
            <w:r w:rsidR="008A0CD0">
              <w:rPr>
                <w:noProof/>
                <w:color w:val="000000"/>
                <w:szCs w:val="20"/>
                <w:highlight w:val="black"/>
              </w:rPr>
              <w:t>'''''''''''''''</w:t>
            </w:r>
          </w:p>
        </w:tc>
        <w:tc>
          <w:tcPr>
            <w:tcW w:w="1459" w:type="pct"/>
            <w:shd w:val="clear" w:color="auto" w:fill="FFFFFF" w:themeFill="background1"/>
            <w:vAlign w:val="center"/>
          </w:tcPr>
          <w:p w:rsidR="00415DAF" w:rsidRPr="008A0CD0" w:rsidRDefault="00415DAF" w:rsidP="00415DAF">
            <w:pPr>
              <w:pStyle w:val="TableText0"/>
              <w:keepNext w:val="0"/>
              <w:widowControl w:val="0"/>
              <w:jc w:val="center"/>
              <w:rPr>
                <w:szCs w:val="20"/>
              </w:rPr>
            </w:pPr>
            <w:r w:rsidRPr="00ED1D28">
              <w:rPr>
                <w:szCs w:val="20"/>
              </w:rPr>
              <w:t>LY:</w:t>
            </w:r>
            <w:r w:rsidR="008A0CD0">
              <w:rPr>
                <w:noProof/>
                <w:color w:val="000000"/>
                <w:szCs w:val="20"/>
                <w:highlight w:val="black"/>
              </w:rPr>
              <w:t>''''''''''''''</w:t>
            </w:r>
          </w:p>
          <w:p w:rsidR="00415DAF" w:rsidRPr="00ED1D28" w:rsidRDefault="00415DAF" w:rsidP="00415DAF">
            <w:pPr>
              <w:pStyle w:val="TableText0"/>
              <w:jc w:val="center"/>
              <w:rPr>
                <w:szCs w:val="20"/>
              </w:rPr>
            </w:pPr>
            <w:r w:rsidRPr="00ED1D28">
              <w:rPr>
                <w:szCs w:val="20"/>
              </w:rPr>
              <w:t>QALY:</w:t>
            </w:r>
            <w:r w:rsidR="008A0CD0">
              <w:rPr>
                <w:noProof/>
                <w:color w:val="000000"/>
                <w:szCs w:val="20"/>
                <w:highlight w:val="black"/>
              </w:rPr>
              <w:t>''''''''''''''</w:t>
            </w:r>
          </w:p>
        </w:tc>
      </w:tr>
      <w:tr w:rsidR="00F14B46" w:rsidRPr="00E63DF4" w:rsidTr="003A41DB">
        <w:trPr>
          <w:cantSplit/>
        </w:trPr>
        <w:tc>
          <w:tcPr>
            <w:tcW w:w="3541" w:type="pct"/>
            <w:gridSpan w:val="3"/>
            <w:vAlign w:val="center"/>
          </w:tcPr>
          <w:p w:rsidR="00F14B46" w:rsidRPr="003A41DB" w:rsidRDefault="00230CA5" w:rsidP="00DD707C">
            <w:pPr>
              <w:pStyle w:val="TableText0"/>
              <w:rPr>
                <w:szCs w:val="20"/>
              </w:rPr>
            </w:pPr>
            <w:r w:rsidRPr="003A41DB">
              <w:rPr>
                <w:szCs w:val="20"/>
              </w:rPr>
              <w:t>Incremental cost/extra LY and QALYs gained</w:t>
            </w:r>
          </w:p>
        </w:tc>
        <w:tc>
          <w:tcPr>
            <w:tcW w:w="1459" w:type="pct"/>
            <w:vAlign w:val="center"/>
          </w:tcPr>
          <w:p w:rsidR="00286B73" w:rsidRPr="003A41DB" w:rsidRDefault="00286B73" w:rsidP="00286B73">
            <w:pPr>
              <w:pStyle w:val="TableText0"/>
              <w:keepNext w:val="0"/>
              <w:widowControl w:val="0"/>
              <w:jc w:val="center"/>
              <w:rPr>
                <w:szCs w:val="20"/>
              </w:rPr>
            </w:pPr>
            <w:r w:rsidRPr="003A41DB">
              <w:rPr>
                <w:szCs w:val="20"/>
              </w:rPr>
              <w:t>$</w:t>
            </w:r>
            <w:r w:rsidR="008A0CD0">
              <w:rPr>
                <w:noProof/>
                <w:color w:val="000000"/>
                <w:szCs w:val="20"/>
                <w:highlight w:val="black"/>
              </w:rPr>
              <w:t>''''''''''''''''</w:t>
            </w:r>
            <w:r w:rsidRPr="003A41DB">
              <w:rPr>
                <w:szCs w:val="20"/>
              </w:rPr>
              <w:t>/LY gained;</w:t>
            </w:r>
          </w:p>
          <w:p w:rsidR="00F14B46" w:rsidRPr="003A41DB" w:rsidRDefault="00286B73" w:rsidP="00286B73">
            <w:pPr>
              <w:pStyle w:val="TableText0"/>
              <w:jc w:val="center"/>
              <w:rPr>
                <w:szCs w:val="20"/>
              </w:rPr>
            </w:pPr>
            <w:r w:rsidRPr="003A41DB">
              <w:rPr>
                <w:szCs w:val="20"/>
              </w:rPr>
              <w:t>$</w:t>
            </w:r>
            <w:r w:rsidR="008A0CD0">
              <w:rPr>
                <w:noProof/>
                <w:color w:val="000000"/>
                <w:szCs w:val="20"/>
                <w:highlight w:val="black"/>
              </w:rPr>
              <w:t>''''''''''''''''</w:t>
            </w:r>
            <w:r w:rsidRPr="003A41DB">
              <w:rPr>
                <w:szCs w:val="20"/>
              </w:rPr>
              <w:t>/QALY gained</w:t>
            </w:r>
          </w:p>
        </w:tc>
      </w:tr>
      <w:tr w:rsidR="00F14B46" w:rsidRPr="00E63DF4" w:rsidTr="003A41DB">
        <w:trPr>
          <w:cantSplit/>
        </w:trPr>
        <w:tc>
          <w:tcPr>
            <w:tcW w:w="5000" w:type="pct"/>
            <w:gridSpan w:val="4"/>
            <w:vAlign w:val="center"/>
          </w:tcPr>
          <w:p w:rsidR="00F14B46" w:rsidRPr="003A41DB" w:rsidRDefault="00651D84" w:rsidP="00DD707C">
            <w:pPr>
              <w:pStyle w:val="In-tableHeading"/>
              <w:rPr>
                <w:szCs w:val="20"/>
                <w:lang w:val="en-AU"/>
              </w:rPr>
            </w:pPr>
            <w:r w:rsidRPr="003A41DB">
              <w:rPr>
                <w:szCs w:val="20"/>
                <w:lang w:val="en-AU"/>
              </w:rPr>
              <w:t>Step 5: utility values applied to life-years, estimation of QALY</w:t>
            </w:r>
          </w:p>
        </w:tc>
      </w:tr>
      <w:tr w:rsidR="00092C3E" w:rsidRPr="00E63DF4" w:rsidTr="003A41DB">
        <w:trPr>
          <w:cantSplit/>
          <w:trHeight w:val="296"/>
        </w:trPr>
        <w:tc>
          <w:tcPr>
            <w:tcW w:w="5000" w:type="pct"/>
            <w:gridSpan w:val="4"/>
            <w:vAlign w:val="center"/>
          </w:tcPr>
          <w:p w:rsidR="00092C3E" w:rsidRPr="003A41DB" w:rsidRDefault="00092C3E" w:rsidP="00CC1C72">
            <w:pPr>
              <w:pStyle w:val="TableText0"/>
              <w:rPr>
                <w:szCs w:val="20"/>
              </w:rPr>
            </w:pPr>
            <w:r w:rsidRPr="003A41DB">
              <w:rPr>
                <w:szCs w:val="20"/>
              </w:rPr>
              <w:t>The weighting of life-years to determine QALYs was introduced and applied from Step 1</w:t>
            </w:r>
          </w:p>
        </w:tc>
      </w:tr>
      <w:tr w:rsidR="00F14B46" w:rsidRPr="00E63DF4" w:rsidTr="003A41DB">
        <w:trPr>
          <w:cantSplit/>
        </w:trPr>
        <w:tc>
          <w:tcPr>
            <w:tcW w:w="5000" w:type="pct"/>
            <w:gridSpan w:val="4"/>
            <w:vAlign w:val="center"/>
          </w:tcPr>
          <w:p w:rsidR="00F14B46" w:rsidRPr="003A41DB" w:rsidRDefault="00651D84" w:rsidP="00DD707C">
            <w:pPr>
              <w:pStyle w:val="In-tableHeading"/>
              <w:rPr>
                <w:szCs w:val="20"/>
                <w:lang w:val="en-AU"/>
              </w:rPr>
            </w:pPr>
            <w:r w:rsidRPr="003A41DB">
              <w:rPr>
                <w:szCs w:val="20"/>
                <w:lang w:val="en-AU"/>
              </w:rPr>
              <w:t>Step 6: Inclusion of end of life cost</w:t>
            </w:r>
          </w:p>
        </w:tc>
      </w:tr>
      <w:tr w:rsidR="00415DAF" w:rsidRPr="00E63DF4" w:rsidTr="003A41DB">
        <w:trPr>
          <w:cantSplit/>
        </w:trPr>
        <w:tc>
          <w:tcPr>
            <w:tcW w:w="1095" w:type="pct"/>
            <w:vAlign w:val="center"/>
          </w:tcPr>
          <w:p w:rsidR="00415DAF" w:rsidRPr="003A41DB" w:rsidRDefault="00415DAF" w:rsidP="00415DAF">
            <w:pPr>
              <w:pStyle w:val="TableText0"/>
              <w:rPr>
                <w:szCs w:val="20"/>
              </w:rPr>
            </w:pPr>
            <w:r w:rsidRPr="003A41DB">
              <w:rPr>
                <w:szCs w:val="20"/>
              </w:rPr>
              <w:t>Costs</w:t>
            </w:r>
          </w:p>
        </w:tc>
        <w:tc>
          <w:tcPr>
            <w:tcW w:w="998" w:type="pct"/>
            <w:vAlign w:val="center"/>
          </w:tcPr>
          <w:p w:rsidR="00415DAF" w:rsidRPr="003A41DB" w:rsidRDefault="00415DAF" w:rsidP="00415DAF">
            <w:pPr>
              <w:pStyle w:val="TableText0"/>
              <w:jc w:val="center"/>
              <w:rPr>
                <w:szCs w:val="20"/>
              </w:rPr>
            </w:pPr>
            <w:r w:rsidRPr="003A41DB">
              <w:rPr>
                <w:color w:val="000000"/>
                <w:szCs w:val="20"/>
              </w:rPr>
              <w:t>$</w:t>
            </w:r>
            <w:r w:rsidR="008A0CD0">
              <w:rPr>
                <w:noProof/>
                <w:color w:val="000000"/>
                <w:szCs w:val="20"/>
                <w:highlight w:val="black"/>
              </w:rPr>
              <w:t>''''''''''''''''</w:t>
            </w:r>
          </w:p>
        </w:tc>
        <w:tc>
          <w:tcPr>
            <w:tcW w:w="1448" w:type="pct"/>
            <w:vAlign w:val="center"/>
          </w:tcPr>
          <w:p w:rsidR="00415DAF" w:rsidRPr="00ED1D28" w:rsidRDefault="00415DAF" w:rsidP="00415DAF">
            <w:pPr>
              <w:pStyle w:val="TableText0"/>
              <w:jc w:val="center"/>
              <w:rPr>
                <w:szCs w:val="20"/>
              </w:rPr>
            </w:pPr>
            <w:r w:rsidRPr="00ED1D28">
              <w:rPr>
                <w:color w:val="000000"/>
                <w:szCs w:val="20"/>
              </w:rPr>
              <w:t>$</w:t>
            </w:r>
            <w:r w:rsidR="008A0CD0">
              <w:rPr>
                <w:noProof/>
                <w:color w:val="000000"/>
                <w:szCs w:val="20"/>
                <w:highlight w:val="black"/>
              </w:rPr>
              <w:t>''''''''''''''''</w:t>
            </w:r>
          </w:p>
        </w:tc>
        <w:tc>
          <w:tcPr>
            <w:tcW w:w="1459" w:type="pct"/>
            <w:vAlign w:val="center"/>
          </w:tcPr>
          <w:p w:rsidR="00415DAF" w:rsidRPr="00ED1D28" w:rsidRDefault="00415DAF" w:rsidP="00415DAF">
            <w:pPr>
              <w:pStyle w:val="TableText0"/>
              <w:jc w:val="center"/>
              <w:rPr>
                <w:szCs w:val="20"/>
              </w:rPr>
            </w:pPr>
            <w:r w:rsidRPr="00ED1D28">
              <w:rPr>
                <w:color w:val="000000"/>
                <w:szCs w:val="20"/>
              </w:rPr>
              <w:t>$</w:t>
            </w:r>
            <w:r w:rsidR="008A0CD0">
              <w:rPr>
                <w:noProof/>
                <w:color w:val="000000"/>
                <w:szCs w:val="20"/>
                <w:highlight w:val="black"/>
              </w:rPr>
              <w:t>'''''''''''''''''</w:t>
            </w:r>
          </w:p>
        </w:tc>
      </w:tr>
      <w:tr w:rsidR="00415DAF" w:rsidRPr="00E63DF4" w:rsidTr="003A41DB">
        <w:trPr>
          <w:cantSplit/>
        </w:trPr>
        <w:tc>
          <w:tcPr>
            <w:tcW w:w="1095" w:type="pct"/>
            <w:vAlign w:val="center"/>
          </w:tcPr>
          <w:p w:rsidR="00415DAF" w:rsidRPr="003A41DB" w:rsidRDefault="00092C3E" w:rsidP="00415DAF">
            <w:pPr>
              <w:pStyle w:val="TableText0"/>
              <w:rPr>
                <w:szCs w:val="20"/>
              </w:rPr>
            </w:pPr>
            <w:r w:rsidRPr="003A41DB">
              <w:rPr>
                <w:szCs w:val="20"/>
              </w:rPr>
              <w:t>Life -years</w:t>
            </w:r>
          </w:p>
          <w:p w:rsidR="00092C3E" w:rsidRPr="003A41DB" w:rsidRDefault="00092C3E" w:rsidP="00415DAF">
            <w:pPr>
              <w:pStyle w:val="TableText0"/>
              <w:rPr>
                <w:szCs w:val="20"/>
              </w:rPr>
            </w:pPr>
            <w:r w:rsidRPr="003A41DB">
              <w:rPr>
                <w:szCs w:val="20"/>
              </w:rPr>
              <w:t>QALYs</w:t>
            </w:r>
          </w:p>
        </w:tc>
        <w:tc>
          <w:tcPr>
            <w:tcW w:w="998" w:type="pct"/>
            <w:shd w:val="clear" w:color="auto" w:fill="FFFFFF" w:themeFill="background1"/>
            <w:vAlign w:val="center"/>
          </w:tcPr>
          <w:p w:rsidR="00415DAF" w:rsidRPr="00ED1D28" w:rsidRDefault="00415DAF" w:rsidP="00415DAF">
            <w:pPr>
              <w:pStyle w:val="TableText0"/>
              <w:keepNext w:val="0"/>
              <w:widowControl w:val="0"/>
              <w:jc w:val="center"/>
              <w:rPr>
                <w:color w:val="000000"/>
                <w:szCs w:val="20"/>
              </w:rPr>
            </w:pPr>
            <w:r w:rsidRPr="00ED1D28">
              <w:rPr>
                <w:color w:val="000000"/>
                <w:szCs w:val="20"/>
              </w:rPr>
              <w:t>LY:</w:t>
            </w:r>
            <w:r w:rsidR="008A0CD0">
              <w:rPr>
                <w:noProof/>
                <w:color w:val="000000"/>
                <w:szCs w:val="20"/>
                <w:highlight w:val="black"/>
              </w:rPr>
              <w:t>''''''''''''</w:t>
            </w:r>
          </w:p>
          <w:p w:rsidR="00415DAF" w:rsidRPr="003A41DB" w:rsidRDefault="00415DAF" w:rsidP="00415DAF">
            <w:pPr>
              <w:pStyle w:val="TableText0"/>
              <w:jc w:val="center"/>
              <w:rPr>
                <w:szCs w:val="20"/>
              </w:rPr>
            </w:pPr>
            <w:r w:rsidRPr="00ED1D28">
              <w:rPr>
                <w:color w:val="000000"/>
                <w:szCs w:val="20"/>
              </w:rPr>
              <w:t>QALY:</w:t>
            </w:r>
            <w:r w:rsidR="008A0CD0">
              <w:rPr>
                <w:noProof/>
                <w:color w:val="000000"/>
                <w:szCs w:val="20"/>
                <w:highlight w:val="black"/>
              </w:rPr>
              <w:t>'''''''''''''</w:t>
            </w:r>
          </w:p>
        </w:tc>
        <w:tc>
          <w:tcPr>
            <w:tcW w:w="1448" w:type="pct"/>
            <w:shd w:val="clear" w:color="auto" w:fill="FFFFFF" w:themeFill="background1"/>
            <w:vAlign w:val="center"/>
          </w:tcPr>
          <w:p w:rsidR="00415DAF" w:rsidRPr="00ED1D28" w:rsidRDefault="00415DAF" w:rsidP="00415DAF">
            <w:pPr>
              <w:pStyle w:val="TableText0"/>
              <w:keepNext w:val="0"/>
              <w:widowControl w:val="0"/>
              <w:jc w:val="center"/>
              <w:rPr>
                <w:color w:val="000000"/>
                <w:szCs w:val="20"/>
              </w:rPr>
            </w:pPr>
            <w:r w:rsidRPr="00ED1D28">
              <w:rPr>
                <w:color w:val="000000"/>
                <w:szCs w:val="20"/>
              </w:rPr>
              <w:t>LY:</w:t>
            </w:r>
            <w:r w:rsidR="008A0CD0">
              <w:rPr>
                <w:noProof/>
                <w:color w:val="000000"/>
                <w:szCs w:val="20"/>
                <w:highlight w:val="black"/>
              </w:rPr>
              <w:t>''''''''''''''</w:t>
            </w:r>
          </w:p>
          <w:p w:rsidR="00415DAF" w:rsidRPr="00ED1D28" w:rsidRDefault="00D11414" w:rsidP="00415DAF">
            <w:pPr>
              <w:pStyle w:val="TableText0"/>
              <w:jc w:val="center"/>
              <w:rPr>
                <w:szCs w:val="20"/>
              </w:rPr>
            </w:pPr>
            <w:r w:rsidRPr="00ED1D28">
              <w:rPr>
                <w:color w:val="000000"/>
                <w:szCs w:val="20"/>
              </w:rPr>
              <w:t>QALY:</w:t>
            </w:r>
            <w:r w:rsidR="008A0CD0">
              <w:rPr>
                <w:noProof/>
                <w:color w:val="000000"/>
                <w:szCs w:val="20"/>
                <w:highlight w:val="black"/>
              </w:rPr>
              <w:t>''''''''''''</w:t>
            </w:r>
          </w:p>
        </w:tc>
        <w:tc>
          <w:tcPr>
            <w:tcW w:w="1459" w:type="pct"/>
            <w:shd w:val="clear" w:color="auto" w:fill="FFFFFF" w:themeFill="background1"/>
            <w:vAlign w:val="center"/>
          </w:tcPr>
          <w:p w:rsidR="00415DAF" w:rsidRPr="00ED1D28" w:rsidRDefault="00415DAF" w:rsidP="00415DAF">
            <w:pPr>
              <w:pStyle w:val="TableText0"/>
              <w:keepNext w:val="0"/>
              <w:widowControl w:val="0"/>
              <w:jc w:val="center"/>
              <w:rPr>
                <w:szCs w:val="20"/>
              </w:rPr>
            </w:pPr>
            <w:r w:rsidRPr="00ED1D28">
              <w:rPr>
                <w:szCs w:val="20"/>
              </w:rPr>
              <w:t>LY:</w:t>
            </w:r>
            <w:r w:rsidR="008A0CD0">
              <w:rPr>
                <w:noProof/>
                <w:color w:val="000000"/>
                <w:szCs w:val="20"/>
                <w:highlight w:val="black"/>
              </w:rPr>
              <w:t>''''''''''''''</w:t>
            </w:r>
          </w:p>
          <w:p w:rsidR="00415DAF" w:rsidRPr="00ED1D28" w:rsidRDefault="00415DAF" w:rsidP="00415DAF">
            <w:pPr>
              <w:pStyle w:val="TableText0"/>
              <w:jc w:val="center"/>
              <w:rPr>
                <w:szCs w:val="20"/>
              </w:rPr>
            </w:pPr>
            <w:r w:rsidRPr="00ED1D28">
              <w:rPr>
                <w:szCs w:val="20"/>
              </w:rPr>
              <w:t>QALY:</w:t>
            </w:r>
            <w:r w:rsidR="008A0CD0">
              <w:rPr>
                <w:noProof/>
                <w:color w:val="000000"/>
                <w:szCs w:val="20"/>
                <w:highlight w:val="black"/>
              </w:rPr>
              <w:t>''''''''''''''</w:t>
            </w:r>
          </w:p>
        </w:tc>
      </w:tr>
      <w:tr w:rsidR="00F14B46" w:rsidRPr="00E63DF4" w:rsidTr="003A41DB">
        <w:trPr>
          <w:cantSplit/>
        </w:trPr>
        <w:tc>
          <w:tcPr>
            <w:tcW w:w="3541" w:type="pct"/>
            <w:gridSpan w:val="3"/>
            <w:vAlign w:val="center"/>
          </w:tcPr>
          <w:p w:rsidR="00F14B46" w:rsidRPr="003A41DB" w:rsidRDefault="00230CA5" w:rsidP="00DD707C">
            <w:pPr>
              <w:pStyle w:val="TableText0"/>
              <w:rPr>
                <w:szCs w:val="20"/>
              </w:rPr>
            </w:pPr>
            <w:r w:rsidRPr="003A41DB">
              <w:rPr>
                <w:szCs w:val="20"/>
              </w:rPr>
              <w:t>Incremental cost/extra LY and QALYs gained</w:t>
            </w:r>
          </w:p>
        </w:tc>
        <w:tc>
          <w:tcPr>
            <w:tcW w:w="1459" w:type="pct"/>
            <w:vAlign w:val="center"/>
          </w:tcPr>
          <w:p w:rsidR="00286B73" w:rsidRPr="003A41DB" w:rsidRDefault="00286B73" w:rsidP="00286B73">
            <w:pPr>
              <w:pStyle w:val="TableText0"/>
              <w:keepNext w:val="0"/>
              <w:widowControl w:val="0"/>
              <w:jc w:val="center"/>
              <w:rPr>
                <w:szCs w:val="20"/>
              </w:rPr>
            </w:pPr>
            <w:r w:rsidRPr="003A41DB">
              <w:rPr>
                <w:szCs w:val="20"/>
              </w:rPr>
              <w:t>$</w:t>
            </w:r>
            <w:r w:rsidR="008A0CD0">
              <w:rPr>
                <w:noProof/>
                <w:color w:val="000000"/>
                <w:szCs w:val="20"/>
                <w:highlight w:val="black"/>
              </w:rPr>
              <w:t>'''''''''''''''</w:t>
            </w:r>
            <w:r w:rsidRPr="003A41DB">
              <w:rPr>
                <w:szCs w:val="20"/>
              </w:rPr>
              <w:t>/LY gained;</w:t>
            </w:r>
          </w:p>
          <w:p w:rsidR="00F14B46" w:rsidRPr="003A41DB" w:rsidRDefault="00286B73" w:rsidP="00286B73">
            <w:pPr>
              <w:pStyle w:val="TableText0"/>
              <w:jc w:val="center"/>
              <w:rPr>
                <w:szCs w:val="20"/>
              </w:rPr>
            </w:pPr>
            <w:r w:rsidRPr="003A41DB">
              <w:rPr>
                <w:szCs w:val="20"/>
              </w:rPr>
              <w:t>$</w:t>
            </w:r>
            <w:r w:rsidR="008A0CD0">
              <w:rPr>
                <w:noProof/>
                <w:color w:val="000000"/>
                <w:szCs w:val="20"/>
                <w:highlight w:val="black"/>
              </w:rPr>
              <w:t>''''''''''''''''''</w:t>
            </w:r>
            <w:r w:rsidRPr="003A41DB">
              <w:rPr>
                <w:szCs w:val="20"/>
              </w:rPr>
              <w:t>/QALY gained</w:t>
            </w:r>
          </w:p>
        </w:tc>
      </w:tr>
      <w:tr w:rsidR="00F14B46" w:rsidRPr="00E63DF4" w:rsidTr="003A41DB">
        <w:trPr>
          <w:cantSplit/>
        </w:trPr>
        <w:tc>
          <w:tcPr>
            <w:tcW w:w="5000" w:type="pct"/>
            <w:gridSpan w:val="4"/>
            <w:shd w:val="clear" w:color="auto" w:fill="auto"/>
            <w:vAlign w:val="center"/>
          </w:tcPr>
          <w:p w:rsidR="00F14B46" w:rsidRPr="003A41DB" w:rsidRDefault="00651D84" w:rsidP="00DD707C">
            <w:pPr>
              <w:pStyle w:val="In-tableHeading"/>
              <w:rPr>
                <w:szCs w:val="20"/>
                <w:lang w:val="en-AU"/>
              </w:rPr>
            </w:pPr>
            <w:r w:rsidRPr="003A41DB">
              <w:rPr>
                <w:szCs w:val="20"/>
                <w:lang w:val="en-AU"/>
              </w:rPr>
              <w:t>Step 7: base case (summary)</w:t>
            </w:r>
          </w:p>
        </w:tc>
      </w:tr>
      <w:tr w:rsidR="00286B73" w:rsidRPr="00E63DF4" w:rsidTr="003A41DB">
        <w:trPr>
          <w:cantSplit/>
        </w:trPr>
        <w:tc>
          <w:tcPr>
            <w:tcW w:w="1095" w:type="pct"/>
            <w:shd w:val="clear" w:color="auto" w:fill="auto"/>
            <w:vAlign w:val="center"/>
          </w:tcPr>
          <w:p w:rsidR="00286B73" w:rsidRPr="003A41DB" w:rsidRDefault="00286B73" w:rsidP="00286B73">
            <w:pPr>
              <w:pStyle w:val="TableText0"/>
              <w:rPr>
                <w:szCs w:val="20"/>
              </w:rPr>
            </w:pPr>
            <w:r w:rsidRPr="003A41DB">
              <w:rPr>
                <w:szCs w:val="20"/>
              </w:rPr>
              <w:t>Costs</w:t>
            </w:r>
          </w:p>
        </w:tc>
        <w:tc>
          <w:tcPr>
            <w:tcW w:w="998" w:type="pct"/>
            <w:shd w:val="clear" w:color="auto" w:fill="auto"/>
            <w:vAlign w:val="center"/>
          </w:tcPr>
          <w:p w:rsidR="00286B73" w:rsidRPr="003A41DB" w:rsidRDefault="00286B73" w:rsidP="00286B73">
            <w:pPr>
              <w:pStyle w:val="TableText0"/>
              <w:jc w:val="center"/>
              <w:rPr>
                <w:szCs w:val="20"/>
              </w:rPr>
            </w:pPr>
            <w:r w:rsidRPr="003A41DB">
              <w:rPr>
                <w:color w:val="000000"/>
                <w:szCs w:val="20"/>
              </w:rPr>
              <w:t>$</w:t>
            </w:r>
            <w:r w:rsidR="008A0CD0">
              <w:rPr>
                <w:noProof/>
                <w:color w:val="000000"/>
                <w:szCs w:val="20"/>
                <w:highlight w:val="black"/>
              </w:rPr>
              <w:t>''''''''''''''''</w:t>
            </w:r>
          </w:p>
        </w:tc>
        <w:tc>
          <w:tcPr>
            <w:tcW w:w="1448" w:type="pct"/>
            <w:shd w:val="clear" w:color="auto" w:fill="auto"/>
            <w:vAlign w:val="center"/>
          </w:tcPr>
          <w:p w:rsidR="00286B73" w:rsidRPr="00ED1D28" w:rsidRDefault="00286B73" w:rsidP="00286B73">
            <w:pPr>
              <w:pStyle w:val="TableText0"/>
              <w:jc w:val="center"/>
              <w:rPr>
                <w:szCs w:val="20"/>
              </w:rPr>
            </w:pPr>
            <w:r w:rsidRPr="00ED1D28">
              <w:rPr>
                <w:color w:val="000000"/>
                <w:szCs w:val="20"/>
              </w:rPr>
              <w:t>$</w:t>
            </w:r>
            <w:r w:rsidR="008A0CD0">
              <w:rPr>
                <w:noProof/>
                <w:color w:val="000000"/>
                <w:szCs w:val="20"/>
                <w:highlight w:val="black"/>
              </w:rPr>
              <w:t>''''''''''''''''</w:t>
            </w:r>
          </w:p>
        </w:tc>
        <w:tc>
          <w:tcPr>
            <w:tcW w:w="1459" w:type="pct"/>
            <w:shd w:val="clear" w:color="auto" w:fill="auto"/>
            <w:vAlign w:val="center"/>
          </w:tcPr>
          <w:p w:rsidR="00286B73" w:rsidRPr="003A41DB" w:rsidRDefault="00286B73" w:rsidP="00286B73">
            <w:pPr>
              <w:pStyle w:val="TableText0"/>
              <w:jc w:val="center"/>
              <w:rPr>
                <w:szCs w:val="20"/>
              </w:rPr>
            </w:pPr>
            <w:r w:rsidRPr="003A41DB">
              <w:rPr>
                <w:color w:val="000000"/>
                <w:szCs w:val="20"/>
              </w:rPr>
              <w:t>$</w:t>
            </w:r>
            <w:r w:rsidR="008A0CD0">
              <w:rPr>
                <w:noProof/>
                <w:color w:val="000000"/>
                <w:szCs w:val="20"/>
                <w:highlight w:val="black"/>
              </w:rPr>
              <w:t>'''''''''''''''''</w:t>
            </w:r>
          </w:p>
        </w:tc>
      </w:tr>
      <w:tr w:rsidR="00F14B46" w:rsidRPr="00E63DF4" w:rsidTr="003A41DB">
        <w:trPr>
          <w:cantSplit/>
        </w:trPr>
        <w:tc>
          <w:tcPr>
            <w:tcW w:w="1095" w:type="pct"/>
            <w:tcBorders>
              <w:bottom w:val="single" w:sz="4" w:space="0" w:color="auto"/>
            </w:tcBorders>
            <w:shd w:val="clear" w:color="auto" w:fill="auto"/>
            <w:vAlign w:val="center"/>
          </w:tcPr>
          <w:p w:rsidR="00F14B46" w:rsidRPr="003A41DB" w:rsidRDefault="00CC1C72" w:rsidP="00DD707C">
            <w:pPr>
              <w:pStyle w:val="TableText0"/>
              <w:rPr>
                <w:szCs w:val="20"/>
              </w:rPr>
            </w:pPr>
            <w:r w:rsidRPr="003A41DB">
              <w:rPr>
                <w:szCs w:val="20"/>
              </w:rPr>
              <w:t>QALYs</w:t>
            </w:r>
          </w:p>
        </w:tc>
        <w:tc>
          <w:tcPr>
            <w:tcW w:w="998" w:type="pct"/>
            <w:tcBorders>
              <w:bottom w:val="single" w:sz="4" w:space="0" w:color="auto"/>
            </w:tcBorders>
            <w:shd w:val="clear" w:color="auto" w:fill="auto"/>
            <w:vAlign w:val="center"/>
          </w:tcPr>
          <w:p w:rsidR="00F14B46" w:rsidRPr="008A0CD0" w:rsidRDefault="008A0CD0" w:rsidP="00DD707C">
            <w:pPr>
              <w:pStyle w:val="TableText0"/>
              <w:jc w:val="center"/>
              <w:rPr>
                <w:szCs w:val="20"/>
                <w:highlight w:val="black"/>
              </w:rPr>
            </w:pPr>
            <w:r>
              <w:rPr>
                <w:noProof/>
                <w:color w:val="000000"/>
                <w:szCs w:val="20"/>
                <w:highlight w:val="black"/>
              </w:rPr>
              <w:t>'''''''''''''</w:t>
            </w:r>
          </w:p>
        </w:tc>
        <w:tc>
          <w:tcPr>
            <w:tcW w:w="1448" w:type="pct"/>
            <w:tcBorders>
              <w:bottom w:val="single" w:sz="4" w:space="0" w:color="auto"/>
            </w:tcBorders>
            <w:shd w:val="clear" w:color="auto" w:fill="auto"/>
            <w:vAlign w:val="center"/>
          </w:tcPr>
          <w:p w:rsidR="00F14B46" w:rsidRPr="008A0CD0" w:rsidRDefault="008A0CD0" w:rsidP="00DD707C">
            <w:pPr>
              <w:pStyle w:val="TableText0"/>
              <w:jc w:val="center"/>
              <w:rPr>
                <w:szCs w:val="20"/>
                <w:highlight w:val="black"/>
              </w:rPr>
            </w:pPr>
            <w:r>
              <w:rPr>
                <w:noProof/>
                <w:color w:val="000000"/>
                <w:szCs w:val="20"/>
                <w:highlight w:val="black"/>
              </w:rPr>
              <w:t>'''''''''''''</w:t>
            </w:r>
          </w:p>
        </w:tc>
        <w:tc>
          <w:tcPr>
            <w:tcW w:w="1459" w:type="pct"/>
            <w:tcBorders>
              <w:bottom w:val="single" w:sz="4" w:space="0" w:color="auto"/>
            </w:tcBorders>
            <w:shd w:val="clear" w:color="auto" w:fill="auto"/>
            <w:vAlign w:val="center"/>
          </w:tcPr>
          <w:p w:rsidR="00F14B46" w:rsidRPr="008A0CD0" w:rsidRDefault="008A0CD0" w:rsidP="00DD707C">
            <w:pPr>
              <w:pStyle w:val="TableText0"/>
              <w:jc w:val="center"/>
              <w:rPr>
                <w:szCs w:val="20"/>
                <w:highlight w:val="black"/>
              </w:rPr>
            </w:pPr>
            <w:r>
              <w:rPr>
                <w:noProof/>
                <w:color w:val="000000"/>
                <w:szCs w:val="20"/>
                <w:highlight w:val="black"/>
              </w:rPr>
              <w:t>'''''''''''''</w:t>
            </w:r>
          </w:p>
        </w:tc>
      </w:tr>
      <w:tr w:rsidR="00C61BA4" w:rsidRPr="00E63DF4" w:rsidTr="003A41DB">
        <w:trPr>
          <w:cantSplit/>
        </w:trPr>
        <w:tc>
          <w:tcPr>
            <w:tcW w:w="354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61BA4" w:rsidRPr="003A41DB" w:rsidRDefault="00CC1C72" w:rsidP="00C61BA4">
            <w:pPr>
              <w:pStyle w:val="TableText0"/>
              <w:rPr>
                <w:szCs w:val="20"/>
              </w:rPr>
            </w:pPr>
            <w:r w:rsidRPr="003A41DB">
              <w:rPr>
                <w:szCs w:val="20"/>
              </w:rPr>
              <w:t>ICER</w:t>
            </w:r>
          </w:p>
        </w:tc>
        <w:tc>
          <w:tcPr>
            <w:tcW w:w="1459" w:type="pct"/>
            <w:tcBorders>
              <w:top w:val="single" w:sz="4" w:space="0" w:color="auto"/>
              <w:left w:val="single" w:sz="4" w:space="0" w:color="auto"/>
              <w:bottom w:val="single" w:sz="4" w:space="0" w:color="auto"/>
              <w:right w:val="single" w:sz="4" w:space="0" w:color="auto"/>
            </w:tcBorders>
            <w:shd w:val="clear" w:color="auto" w:fill="auto"/>
            <w:vAlign w:val="center"/>
          </w:tcPr>
          <w:p w:rsidR="00C61BA4" w:rsidRPr="003A41DB" w:rsidRDefault="00C61BA4" w:rsidP="00C61BA4">
            <w:pPr>
              <w:pStyle w:val="TableText0"/>
              <w:jc w:val="center"/>
              <w:rPr>
                <w:szCs w:val="20"/>
              </w:rPr>
            </w:pPr>
            <w:r w:rsidRPr="003A41DB">
              <w:rPr>
                <w:szCs w:val="20"/>
              </w:rPr>
              <w:t>$</w:t>
            </w:r>
            <w:r w:rsidR="008A0CD0">
              <w:rPr>
                <w:noProof/>
                <w:color w:val="000000"/>
                <w:szCs w:val="20"/>
                <w:highlight w:val="black"/>
              </w:rPr>
              <w:t>''''''''''''''''</w:t>
            </w:r>
            <w:r w:rsidRPr="003A41DB">
              <w:rPr>
                <w:szCs w:val="20"/>
              </w:rPr>
              <w:t>/QALY gained</w:t>
            </w:r>
          </w:p>
        </w:tc>
      </w:tr>
    </w:tbl>
    <w:p w:rsidR="006F6292" w:rsidRPr="00E63DF4" w:rsidRDefault="006F6292" w:rsidP="006F6292">
      <w:pPr>
        <w:pStyle w:val="TableFigureFooter"/>
      </w:pPr>
      <w:r w:rsidRPr="00E63DF4">
        <w:t>Source: Table 3.22 to Table 3.26, pp1221-123 of the submission.</w:t>
      </w:r>
    </w:p>
    <w:p w:rsidR="006F6292" w:rsidRDefault="006F6292" w:rsidP="006F6292">
      <w:pPr>
        <w:pStyle w:val="TableFigureFooter"/>
      </w:pPr>
      <w:r w:rsidRPr="00E63DF4">
        <w:t>Abbreviations:</w:t>
      </w:r>
      <w:r w:rsidR="00970FCA" w:rsidRPr="00E63DF4">
        <w:t xml:space="preserve"> ICER = incremental cost-</w:t>
      </w:r>
      <w:r w:rsidR="00874342" w:rsidRPr="00E63DF4">
        <w:t>effectiveness</w:t>
      </w:r>
      <w:r w:rsidR="00970FCA" w:rsidRPr="00E63DF4">
        <w:t xml:space="preserve"> ratio;</w:t>
      </w:r>
      <w:r w:rsidRPr="00E63DF4">
        <w:t xml:space="preserve"> LY = life-years; OS = overall survival; PFS = progression-free survival; QALY = quality-adjusted life-years;</w:t>
      </w:r>
      <w:r w:rsidR="006466DE" w:rsidRPr="00E63DF4">
        <w:t xml:space="preserve"> </w:t>
      </w:r>
      <w:r w:rsidRPr="00E63DF4">
        <w:t>TTD = time to treatment discontinuation.</w:t>
      </w:r>
    </w:p>
    <w:p w:rsidR="00022410" w:rsidRDefault="00022410" w:rsidP="006F6292">
      <w:pPr>
        <w:pStyle w:val="TableFigureFooter"/>
      </w:pPr>
    </w:p>
    <w:p w:rsidR="00022410" w:rsidRPr="00022410" w:rsidRDefault="00022410" w:rsidP="006F6292">
      <w:pPr>
        <w:pStyle w:val="TableFigureFooter"/>
        <w:rPr>
          <w:rFonts w:asciiTheme="minorHAnsi" w:hAnsiTheme="minorHAnsi" w:cstheme="minorHAnsi"/>
          <w:i/>
          <w:sz w:val="24"/>
          <w:szCs w:val="24"/>
        </w:rPr>
      </w:pPr>
      <w:r>
        <w:rPr>
          <w:rFonts w:asciiTheme="minorHAnsi" w:hAnsiTheme="minorHAnsi" w:cstheme="minorHAnsi"/>
          <w:i/>
          <w:sz w:val="24"/>
          <w:szCs w:val="24"/>
        </w:rPr>
        <w:t xml:space="preserve">The redacted table shows the base case ICER in the range of $45,000 to &lt; $55,000 per QALY. </w:t>
      </w:r>
    </w:p>
    <w:p w:rsidR="00CA0620" w:rsidRPr="00E63DF4" w:rsidRDefault="00F14B46" w:rsidP="00E17753">
      <w:pPr>
        <w:pStyle w:val="3-BodyText"/>
      </w:pPr>
      <w:r w:rsidRPr="00E63DF4">
        <w:t>The results of key</w:t>
      </w:r>
      <w:r w:rsidR="00CA0620" w:rsidRPr="00E63DF4">
        <w:t xml:space="preserve"> </w:t>
      </w:r>
      <w:r w:rsidRPr="00E63DF4">
        <w:t>univariate sensitivity analyses are summarised</w:t>
      </w:r>
      <w:r w:rsidR="00CA0620" w:rsidRPr="00E63DF4">
        <w:t xml:space="preserve"> in Table 15. </w:t>
      </w:r>
      <w:r w:rsidR="00D016EC" w:rsidRPr="00E63DF4">
        <w:rPr>
          <w:iCs/>
        </w:rPr>
        <w:t>The results from these analyses show that the ICER was most sensitive to variations in the time horizon</w:t>
      </w:r>
      <w:r w:rsidR="00907475" w:rsidRPr="00E63DF4">
        <w:rPr>
          <w:iCs/>
        </w:rPr>
        <w:t xml:space="preserve"> (</w:t>
      </w:r>
      <w:r w:rsidR="00B12EAB" w:rsidRPr="00EE28E1">
        <w:rPr>
          <w:iCs/>
        </w:rPr>
        <w:t>paragraph 6.3</w:t>
      </w:r>
      <w:r w:rsidR="009D4017" w:rsidRPr="00EE28E1">
        <w:rPr>
          <w:iCs/>
        </w:rPr>
        <w:t>8</w:t>
      </w:r>
      <w:r w:rsidR="00907475" w:rsidRPr="00EE28E1">
        <w:rPr>
          <w:iCs/>
        </w:rPr>
        <w:t>)</w:t>
      </w:r>
      <w:r w:rsidR="00D016EC" w:rsidRPr="00EE28E1">
        <w:rPr>
          <w:iCs/>
        </w:rPr>
        <w:t>,</w:t>
      </w:r>
      <w:r w:rsidR="00D016EC" w:rsidRPr="00E63DF4">
        <w:rPr>
          <w:iCs/>
        </w:rPr>
        <w:t xml:space="preserve"> the inclusion of post-discontinuation therapy costs</w:t>
      </w:r>
      <w:r w:rsidR="00172D9B" w:rsidRPr="00E63DF4">
        <w:rPr>
          <w:iCs/>
        </w:rPr>
        <w:t xml:space="preserve"> (</w:t>
      </w:r>
      <w:r w:rsidR="00B12EAB" w:rsidRPr="00EE28E1">
        <w:rPr>
          <w:iCs/>
        </w:rPr>
        <w:t>paragraph 6.</w:t>
      </w:r>
      <w:r w:rsidR="009D4017" w:rsidRPr="00EE28E1">
        <w:rPr>
          <w:iCs/>
        </w:rPr>
        <w:t>41</w:t>
      </w:r>
      <w:r w:rsidR="00172D9B" w:rsidRPr="00EE28E1">
        <w:rPr>
          <w:iCs/>
        </w:rPr>
        <w:t>)</w:t>
      </w:r>
      <w:r w:rsidR="00D016EC" w:rsidRPr="00EE28E1">
        <w:rPr>
          <w:iCs/>
        </w:rPr>
        <w:t>,</w:t>
      </w:r>
      <w:r w:rsidR="00D016EC" w:rsidRPr="00E63DF4">
        <w:rPr>
          <w:iCs/>
        </w:rPr>
        <w:t xml:space="preserve"> the assumption of the effective price of sorafenib</w:t>
      </w:r>
      <w:r w:rsidR="00B12EAB" w:rsidRPr="00E63DF4">
        <w:rPr>
          <w:iCs/>
        </w:rPr>
        <w:t>,</w:t>
      </w:r>
      <w:r w:rsidR="00D016EC" w:rsidRPr="00E63DF4">
        <w:rPr>
          <w:iCs/>
        </w:rPr>
        <w:t xml:space="preserve"> and the </w:t>
      </w:r>
      <w:r w:rsidR="00A8747D" w:rsidRPr="00E63DF4">
        <w:rPr>
          <w:iCs/>
        </w:rPr>
        <w:t xml:space="preserve">assumed </w:t>
      </w:r>
      <w:r w:rsidR="00D016EC" w:rsidRPr="00E63DF4">
        <w:rPr>
          <w:iCs/>
        </w:rPr>
        <w:t xml:space="preserve">extrapolation function </w:t>
      </w:r>
      <w:r w:rsidR="00A8747D" w:rsidRPr="00E63DF4">
        <w:rPr>
          <w:iCs/>
        </w:rPr>
        <w:t xml:space="preserve">applied to OS for </w:t>
      </w:r>
      <w:r w:rsidR="00D016EC" w:rsidRPr="00E63DF4">
        <w:rPr>
          <w:iCs/>
        </w:rPr>
        <w:t>sorafenib</w:t>
      </w:r>
      <w:r w:rsidR="00B63128" w:rsidRPr="00E63DF4">
        <w:rPr>
          <w:iCs/>
        </w:rPr>
        <w:t xml:space="preserve"> (</w:t>
      </w:r>
      <w:r w:rsidR="00B12EAB" w:rsidRPr="00EE28E1">
        <w:rPr>
          <w:iCs/>
        </w:rPr>
        <w:t>paragraph 6.</w:t>
      </w:r>
      <w:r w:rsidR="009D4017" w:rsidRPr="00EE28E1">
        <w:rPr>
          <w:iCs/>
        </w:rPr>
        <w:t>40</w:t>
      </w:r>
      <w:r w:rsidR="00B63128" w:rsidRPr="00EE28E1">
        <w:rPr>
          <w:iCs/>
        </w:rPr>
        <w:t>)</w:t>
      </w:r>
      <w:r w:rsidR="00D016EC" w:rsidRPr="00EE28E1">
        <w:rPr>
          <w:iCs/>
        </w:rPr>
        <w:t>.</w:t>
      </w:r>
      <w:r w:rsidR="00D016EC" w:rsidRPr="00E63DF4">
        <w:rPr>
          <w:iCs/>
        </w:rPr>
        <w:t xml:space="preserve"> Additional sensitivity analys</w:t>
      </w:r>
      <w:r w:rsidR="00BC1F2C" w:rsidRPr="00E63DF4">
        <w:rPr>
          <w:iCs/>
        </w:rPr>
        <w:t xml:space="preserve">es </w:t>
      </w:r>
      <w:r w:rsidR="00D016EC" w:rsidRPr="00E63DF4">
        <w:rPr>
          <w:iCs/>
        </w:rPr>
        <w:t>w</w:t>
      </w:r>
      <w:r w:rsidR="00BC1F2C" w:rsidRPr="00E63DF4">
        <w:rPr>
          <w:iCs/>
        </w:rPr>
        <w:t>ere</w:t>
      </w:r>
      <w:r w:rsidR="00D016EC" w:rsidRPr="00E63DF4">
        <w:rPr>
          <w:iCs/>
        </w:rPr>
        <w:t xml:space="preserve"> conducted during the evaluation including the convergence of </w:t>
      </w:r>
      <w:r w:rsidR="00982112" w:rsidRPr="00E63DF4">
        <w:rPr>
          <w:iCs/>
        </w:rPr>
        <w:t xml:space="preserve">OS for </w:t>
      </w:r>
      <w:r w:rsidR="00D016EC" w:rsidRPr="00E63DF4">
        <w:rPr>
          <w:iCs/>
        </w:rPr>
        <w:t>Atezo+Bev</w:t>
      </w:r>
      <w:r w:rsidR="00CB574F" w:rsidRPr="00E63DF4">
        <w:rPr>
          <w:iCs/>
        </w:rPr>
        <w:t xml:space="preserve"> (</w:t>
      </w:r>
      <w:r w:rsidR="00CB574F" w:rsidRPr="00EE28E1">
        <w:rPr>
          <w:iCs/>
        </w:rPr>
        <w:t>paragraph 6.</w:t>
      </w:r>
      <w:r w:rsidR="009D4017" w:rsidRPr="00EE28E1">
        <w:rPr>
          <w:iCs/>
        </w:rPr>
        <w:t>39</w:t>
      </w:r>
      <w:r w:rsidR="00CB574F" w:rsidRPr="00EE28E1">
        <w:rPr>
          <w:iCs/>
        </w:rPr>
        <w:t>)</w:t>
      </w:r>
      <w:r w:rsidR="00475A04" w:rsidRPr="00EE28E1">
        <w:rPr>
          <w:iCs/>
        </w:rPr>
        <w:t>,</w:t>
      </w:r>
      <w:r w:rsidR="00D016EC" w:rsidRPr="00E63DF4">
        <w:rPr>
          <w:iCs/>
        </w:rPr>
        <w:t xml:space="preserve"> using different functional forms for the extrapolation of OS</w:t>
      </w:r>
      <w:r w:rsidR="00475A04" w:rsidRPr="00E63DF4">
        <w:rPr>
          <w:iCs/>
        </w:rPr>
        <w:t xml:space="preserve">, and applying PFS (disease status) to costs and QALYs to both arms </w:t>
      </w:r>
      <w:r w:rsidR="00475A04" w:rsidRPr="00E63DF4">
        <w:rPr>
          <w:iCs/>
        </w:rPr>
        <w:lastRenderedPageBreak/>
        <w:t>in the model</w:t>
      </w:r>
      <w:r w:rsidR="00D016EC" w:rsidRPr="00E63DF4">
        <w:rPr>
          <w:iCs/>
        </w:rPr>
        <w:t>. The ICER was highly sensitive to the convergence of OS, and sensitive to the choice of extrapolation function.</w:t>
      </w:r>
    </w:p>
    <w:p w:rsidR="007537EB" w:rsidRPr="003A41DB" w:rsidRDefault="00F14B46" w:rsidP="003A41DB">
      <w:pPr>
        <w:pStyle w:val="TableFigureHeading"/>
        <w:rPr>
          <w:rStyle w:val="CommentReference"/>
          <w:szCs w:val="24"/>
        </w:rPr>
      </w:pPr>
      <w:r w:rsidRPr="003A41DB">
        <w:rPr>
          <w:rStyle w:val="CommentReference"/>
          <w:b/>
          <w:szCs w:val="24"/>
        </w:rPr>
        <w:t xml:space="preserve">Table </w:t>
      </w:r>
      <w:r w:rsidR="0097126B" w:rsidRPr="003A41DB">
        <w:rPr>
          <w:rStyle w:val="CommentReference"/>
          <w:b/>
          <w:szCs w:val="24"/>
        </w:rPr>
        <w:t>15</w:t>
      </w:r>
      <w:r w:rsidRPr="003A41DB">
        <w:rPr>
          <w:rStyle w:val="CommentReference"/>
          <w:b/>
          <w:szCs w:val="24"/>
        </w:rPr>
        <w:t>:</w:t>
      </w:r>
      <w:r w:rsidR="007537EB" w:rsidRPr="003A41DB">
        <w:rPr>
          <w:rStyle w:val="CommentReference"/>
          <w:b/>
          <w:szCs w:val="24"/>
        </w:rPr>
        <w:t xml:space="preserve"> Key results of sensitivity analyses (effective price Atezo+Bev)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15" w:type="dxa"/>
          <w:right w:w="115" w:type="dxa"/>
        </w:tblCellMar>
        <w:tblLook w:val="01E0" w:firstRow="1" w:lastRow="1" w:firstColumn="1" w:lastColumn="1" w:noHBand="0" w:noVBand="0"/>
      </w:tblPr>
      <w:tblGrid>
        <w:gridCol w:w="2662"/>
        <w:gridCol w:w="2528"/>
        <w:gridCol w:w="1284"/>
        <w:gridCol w:w="1284"/>
        <w:gridCol w:w="1282"/>
      </w:tblGrid>
      <w:tr w:rsidR="00003705" w:rsidRPr="00E63DF4" w:rsidTr="003A41DB">
        <w:trPr>
          <w:cantSplit/>
          <w:tblHeader/>
        </w:trPr>
        <w:tc>
          <w:tcPr>
            <w:tcW w:w="1473" w:type="pct"/>
            <w:vMerge w:val="restart"/>
            <w:shd w:val="clear" w:color="auto" w:fill="FFFFFF" w:themeFill="background1"/>
            <w:vAlign w:val="center"/>
          </w:tcPr>
          <w:p w:rsidR="00003705" w:rsidRPr="003A41DB" w:rsidRDefault="00003705" w:rsidP="00001CAE">
            <w:pPr>
              <w:pStyle w:val="TableText1"/>
              <w:widowControl w:val="0"/>
              <w:spacing w:before="0" w:after="0"/>
              <w:rPr>
                <w:rFonts w:ascii="Arial Narrow" w:hAnsi="Arial Narrow"/>
                <w:b/>
              </w:rPr>
            </w:pPr>
            <w:r w:rsidRPr="003A41DB">
              <w:rPr>
                <w:rFonts w:ascii="Arial Narrow" w:hAnsi="Arial Narrow"/>
                <w:b/>
              </w:rPr>
              <w:t>Variable or assumption</w:t>
            </w:r>
          </w:p>
        </w:tc>
        <w:tc>
          <w:tcPr>
            <w:tcW w:w="1398" w:type="pct"/>
            <w:vMerge w:val="restart"/>
            <w:shd w:val="clear" w:color="auto" w:fill="FFFFFF" w:themeFill="background1"/>
            <w:vAlign w:val="center"/>
          </w:tcPr>
          <w:p w:rsidR="00003705" w:rsidRPr="003A41DB" w:rsidRDefault="00003705" w:rsidP="00001CAE">
            <w:pPr>
              <w:pStyle w:val="TableText1"/>
              <w:widowControl w:val="0"/>
              <w:spacing w:before="0" w:after="0"/>
              <w:rPr>
                <w:rFonts w:ascii="Arial Narrow" w:hAnsi="Arial Narrow"/>
                <w:b/>
              </w:rPr>
            </w:pPr>
            <w:r w:rsidRPr="003A41DB">
              <w:rPr>
                <w:rFonts w:ascii="Arial Narrow" w:hAnsi="Arial Narrow"/>
                <w:b/>
              </w:rPr>
              <w:t>Base case value</w:t>
            </w:r>
          </w:p>
        </w:tc>
        <w:tc>
          <w:tcPr>
            <w:tcW w:w="2129" w:type="pct"/>
            <w:gridSpan w:val="3"/>
            <w:tcBorders>
              <w:bottom w:val="single" w:sz="4" w:space="0" w:color="auto"/>
            </w:tcBorders>
            <w:shd w:val="clear" w:color="auto" w:fill="FFFFFF" w:themeFill="background1"/>
            <w:vAlign w:val="center"/>
          </w:tcPr>
          <w:p w:rsidR="00003705" w:rsidRPr="003A41DB" w:rsidRDefault="00003705" w:rsidP="00001CAE">
            <w:pPr>
              <w:pStyle w:val="TableText1"/>
              <w:widowControl w:val="0"/>
              <w:spacing w:before="0" w:after="0"/>
              <w:jc w:val="center"/>
              <w:rPr>
                <w:rFonts w:ascii="Arial Narrow" w:hAnsi="Arial Narrow"/>
                <w:b/>
              </w:rPr>
            </w:pPr>
            <w:r w:rsidRPr="003A41DB">
              <w:rPr>
                <w:rFonts w:ascii="Arial Narrow" w:hAnsi="Arial Narrow"/>
                <w:b/>
              </w:rPr>
              <w:t>Atezolizumab + bevacizumab versus sorafenib</w:t>
            </w:r>
          </w:p>
        </w:tc>
      </w:tr>
      <w:tr w:rsidR="00003705" w:rsidRPr="00E63DF4" w:rsidTr="003A41DB">
        <w:trPr>
          <w:cantSplit/>
          <w:tblHeader/>
        </w:trPr>
        <w:tc>
          <w:tcPr>
            <w:tcW w:w="1473" w:type="pct"/>
            <w:vMerge/>
            <w:tcBorders>
              <w:bottom w:val="single" w:sz="4" w:space="0" w:color="auto"/>
            </w:tcBorders>
            <w:shd w:val="clear" w:color="auto" w:fill="FFFFFF" w:themeFill="background1"/>
            <w:vAlign w:val="center"/>
          </w:tcPr>
          <w:p w:rsidR="00003705" w:rsidRPr="003A41DB" w:rsidRDefault="00003705" w:rsidP="00001CAE">
            <w:pPr>
              <w:pStyle w:val="TableText1"/>
              <w:widowControl w:val="0"/>
              <w:spacing w:before="0" w:after="0"/>
              <w:rPr>
                <w:rFonts w:ascii="Arial Narrow" w:hAnsi="Arial Narrow"/>
                <w:b/>
              </w:rPr>
            </w:pPr>
          </w:p>
        </w:tc>
        <w:tc>
          <w:tcPr>
            <w:tcW w:w="1398" w:type="pct"/>
            <w:vMerge/>
            <w:tcBorders>
              <w:bottom w:val="single" w:sz="4" w:space="0" w:color="auto"/>
            </w:tcBorders>
            <w:shd w:val="clear" w:color="auto" w:fill="FFFFFF" w:themeFill="background1"/>
            <w:vAlign w:val="center"/>
          </w:tcPr>
          <w:p w:rsidR="00003705" w:rsidRPr="003A41DB" w:rsidRDefault="00003705" w:rsidP="00001CAE">
            <w:pPr>
              <w:pStyle w:val="TableText1"/>
              <w:widowControl w:val="0"/>
              <w:spacing w:before="0" w:after="0"/>
              <w:rPr>
                <w:rFonts w:ascii="Arial Narrow" w:hAnsi="Arial Narrow"/>
                <w:b/>
              </w:rPr>
            </w:pPr>
          </w:p>
        </w:tc>
        <w:tc>
          <w:tcPr>
            <w:tcW w:w="710" w:type="pct"/>
            <w:tcBorders>
              <w:bottom w:val="single" w:sz="4" w:space="0" w:color="auto"/>
            </w:tcBorders>
            <w:shd w:val="clear" w:color="auto" w:fill="FFFFFF" w:themeFill="background1"/>
            <w:vAlign w:val="center"/>
          </w:tcPr>
          <w:p w:rsidR="00003705" w:rsidRPr="003A41DB" w:rsidRDefault="00003705" w:rsidP="00001CAE">
            <w:pPr>
              <w:pStyle w:val="TableText1"/>
              <w:widowControl w:val="0"/>
              <w:spacing w:before="0" w:after="0"/>
              <w:jc w:val="center"/>
              <w:rPr>
                <w:rFonts w:ascii="Arial Narrow" w:hAnsi="Arial Narrow"/>
                <w:b/>
              </w:rPr>
            </w:pPr>
            <w:r w:rsidRPr="003A41DB">
              <w:rPr>
                <w:rFonts w:ascii="Arial Narrow" w:hAnsi="Arial Narrow"/>
                <w:b/>
              </w:rPr>
              <w:t>Incremental cost</w:t>
            </w:r>
          </w:p>
        </w:tc>
        <w:tc>
          <w:tcPr>
            <w:tcW w:w="710" w:type="pct"/>
            <w:tcBorders>
              <w:bottom w:val="single" w:sz="4" w:space="0" w:color="auto"/>
            </w:tcBorders>
            <w:shd w:val="clear" w:color="auto" w:fill="FFFFFF" w:themeFill="background1"/>
            <w:vAlign w:val="center"/>
          </w:tcPr>
          <w:p w:rsidR="00003705" w:rsidRPr="003A41DB" w:rsidRDefault="00003705" w:rsidP="00117122">
            <w:pPr>
              <w:pStyle w:val="TableHeadingRow"/>
              <w:keepNext w:val="0"/>
              <w:widowControl w:val="0"/>
              <w:spacing w:before="0" w:after="0"/>
              <w:rPr>
                <w:rFonts w:ascii="Arial Narrow" w:hAnsi="Arial Narrow"/>
              </w:rPr>
            </w:pPr>
            <w:r w:rsidRPr="003A41DB">
              <w:rPr>
                <w:rFonts w:ascii="Arial Narrow" w:hAnsi="Arial Narrow"/>
              </w:rPr>
              <w:t>Incremental effectiveness</w:t>
            </w:r>
            <w:r w:rsidRPr="003A41DB">
              <w:rPr>
                <w:rFonts w:ascii="Arial Narrow" w:hAnsi="Arial Narrow"/>
              </w:rPr>
              <w:br/>
              <w:t>(QALY)</w:t>
            </w:r>
          </w:p>
        </w:tc>
        <w:tc>
          <w:tcPr>
            <w:tcW w:w="709" w:type="pct"/>
            <w:tcBorders>
              <w:bottom w:val="single" w:sz="4" w:space="0" w:color="auto"/>
            </w:tcBorders>
            <w:shd w:val="clear" w:color="auto" w:fill="FFFFFF" w:themeFill="background1"/>
            <w:vAlign w:val="center"/>
          </w:tcPr>
          <w:p w:rsidR="00003705" w:rsidRPr="003A41DB" w:rsidRDefault="00003705" w:rsidP="00117122">
            <w:pPr>
              <w:pStyle w:val="TableHeadingRow"/>
              <w:keepNext w:val="0"/>
              <w:widowControl w:val="0"/>
              <w:spacing w:before="0" w:after="0"/>
              <w:rPr>
                <w:rFonts w:ascii="Arial Narrow" w:hAnsi="Arial Narrow"/>
              </w:rPr>
            </w:pPr>
            <w:r w:rsidRPr="003A41DB">
              <w:rPr>
                <w:rFonts w:ascii="Arial Narrow" w:hAnsi="Arial Narrow"/>
              </w:rPr>
              <w:t>ICER</w:t>
            </w:r>
            <w:r w:rsidRPr="003A41DB">
              <w:rPr>
                <w:rFonts w:ascii="Arial Narrow" w:hAnsi="Arial Narrow"/>
              </w:rPr>
              <w:br/>
              <w:t>(per QALY)</w:t>
            </w:r>
          </w:p>
        </w:tc>
      </w:tr>
      <w:tr w:rsidR="00003705" w:rsidRPr="00E63DF4" w:rsidTr="003A41DB">
        <w:trPr>
          <w:cantSplit/>
        </w:trPr>
        <w:tc>
          <w:tcPr>
            <w:tcW w:w="1473" w:type="pct"/>
            <w:tcBorders>
              <w:top w:val="single" w:sz="4" w:space="0" w:color="auto"/>
              <w:bottom w:val="single" w:sz="4" w:space="0" w:color="auto"/>
            </w:tcBorders>
            <w:shd w:val="clear" w:color="auto" w:fill="FFFFFF" w:themeFill="background1"/>
          </w:tcPr>
          <w:p w:rsidR="00003705" w:rsidRPr="00821B49" w:rsidRDefault="00003705" w:rsidP="00001CAE">
            <w:pPr>
              <w:pStyle w:val="TableText1"/>
              <w:widowControl w:val="0"/>
              <w:spacing w:before="0" w:after="0"/>
              <w:rPr>
                <w:rFonts w:ascii="Arial Narrow" w:hAnsi="Arial Narrow"/>
              </w:rPr>
            </w:pPr>
            <w:r w:rsidRPr="00821B49">
              <w:rPr>
                <w:rFonts w:ascii="Arial Narrow" w:hAnsi="Arial Narrow"/>
              </w:rPr>
              <w:t xml:space="preserve">Base case – </w:t>
            </w:r>
            <w:r w:rsidRPr="00821B49">
              <w:rPr>
                <w:rFonts w:ascii="Arial Narrow" w:hAnsi="Arial Narrow"/>
                <w:iCs/>
              </w:rPr>
              <w:t xml:space="preserve">assumed discount on list price sorafenib: </w:t>
            </w:r>
            <w:r w:rsidR="008A0CD0">
              <w:rPr>
                <w:rFonts w:ascii="Arial Narrow" w:hAnsi="Arial Narrow"/>
                <w:iCs/>
                <w:noProof/>
                <w:color w:val="000000"/>
                <w:highlight w:val="black"/>
              </w:rPr>
              <w:t>'''''</w:t>
            </w:r>
            <w:r w:rsidRPr="00821B49">
              <w:rPr>
                <w:rFonts w:ascii="Arial Narrow" w:hAnsi="Arial Narrow"/>
                <w:iCs/>
              </w:rPr>
              <w:t>%</w:t>
            </w:r>
          </w:p>
        </w:tc>
        <w:tc>
          <w:tcPr>
            <w:tcW w:w="1398" w:type="pct"/>
            <w:tcBorders>
              <w:top w:val="single" w:sz="4" w:space="0" w:color="auto"/>
              <w:bottom w:val="single" w:sz="4" w:space="0" w:color="auto"/>
            </w:tcBorders>
            <w:shd w:val="clear" w:color="auto" w:fill="FFFFFF" w:themeFill="background1"/>
          </w:tcPr>
          <w:p w:rsidR="00003705" w:rsidRPr="00821B49" w:rsidRDefault="00003705" w:rsidP="00001CAE">
            <w:pPr>
              <w:pStyle w:val="TableText1"/>
              <w:widowControl w:val="0"/>
              <w:spacing w:before="0" w:after="0"/>
              <w:rPr>
                <w:rFonts w:ascii="Arial Narrow" w:hAnsi="Arial Narrow"/>
              </w:rPr>
            </w:pPr>
          </w:p>
        </w:tc>
        <w:tc>
          <w:tcPr>
            <w:tcW w:w="710" w:type="pct"/>
            <w:tcBorders>
              <w:top w:val="single" w:sz="4" w:space="0" w:color="auto"/>
              <w:bottom w:val="single" w:sz="4" w:space="0" w:color="auto"/>
            </w:tcBorders>
            <w:shd w:val="clear" w:color="auto" w:fill="FFFFFF" w:themeFill="background1"/>
          </w:tcPr>
          <w:p w:rsidR="00003705" w:rsidRPr="003A41DB" w:rsidRDefault="00003705" w:rsidP="00001CAE">
            <w:pPr>
              <w:pStyle w:val="TableText1"/>
              <w:widowControl w:val="0"/>
              <w:spacing w:before="0" w:after="0"/>
              <w:jc w:val="center"/>
              <w:rPr>
                <w:rFonts w:ascii="Arial Narrow" w:hAnsi="Arial Narrow"/>
                <w:highlight w:val="green"/>
              </w:rPr>
            </w:pPr>
            <w:r w:rsidRPr="003A41DB">
              <w:rPr>
                <w:rFonts w:ascii="Arial Narrow" w:hAnsi="Arial Narrow"/>
              </w:rPr>
              <w:t>$</w:t>
            </w:r>
            <w:r w:rsidR="008A0CD0">
              <w:rPr>
                <w:rFonts w:ascii="Arial Narrow" w:hAnsi="Arial Narrow"/>
                <w:noProof/>
                <w:color w:val="000000"/>
                <w:highlight w:val="black"/>
              </w:rPr>
              <w:t>''''''''''''''''''</w:t>
            </w:r>
          </w:p>
        </w:tc>
        <w:tc>
          <w:tcPr>
            <w:tcW w:w="710" w:type="pct"/>
            <w:tcBorders>
              <w:top w:val="single" w:sz="4" w:space="0" w:color="auto"/>
              <w:bottom w:val="single" w:sz="4" w:space="0" w:color="auto"/>
            </w:tcBorders>
            <w:shd w:val="clear" w:color="auto" w:fill="FFFFFF" w:themeFill="background1"/>
          </w:tcPr>
          <w:p w:rsidR="00003705" w:rsidRPr="008A0CD0" w:rsidRDefault="008A0CD0" w:rsidP="00001CAE">
            <w:pPr>
              <w:pStyle w:val="TableText1"/>
              <w:widowControl w:val="0"/>
              <w:spacing w:before="0" w:after="0"/>
              <w:jc w:val="center"/>
              <w:rPr>
                <w:rFonts w:ascii="Arial Narrow" w:hAnsi="Arial Narrow"/>
                <w:highlight w:val="black"/>
              </w:rPr>
            </w:pPr>
            <w:r>
              <w:rPr>
                <w:rFonts w:ascii="Arial Narrow" w:hAnsi="Arial Narrow"/>
                <w:noProof/>
                <w:color w:val="000000"/>
                <w:highlight w:val="black"/>
              </w:rPr>
              <w:t>'''''''''''''''</w:t>
            </w:r>
          </w:p>
        </w:tc>
        <w:tc>
          <w:tcPr>
            <w:tcW w:w="709" w:type="pct"/>
            <w:tcBorders>
              <w:top w:val="single" w:sz="4" w:space="0" w:color="auto"/>
              <w:bottom w:val="single" w:sz="4" w:space="0" w:color="auto"/>
            </w:tcBorders>
            <w:shd w:val="clear" w:color="auto" w:fill="FFFFFF" w:themeFill="background1"/>
          </w:tcPr>
          <w:p w:rsidR="00003705" w:rsidRPr="003A41DB" w:rsidRDefault="00003705" w:rsidP="00001CAE">
            <w:pPr>
              <w:pStyle w:val="TableText1"/>
              <w:widowControl w:val="0"/>
              <w:spacing w:before="0" w:after="0"/>
              <w:jc w:val="center"/>
              <w:rPr>
                <w:rFonts w:ascii="Arial Narrow" w:hAnsi="Arial Narrow"/>
                <w:highlight w:val="green"/>
              </w:rPr>
            </w:pPr>
            <w:r w:rsidRPr="003A41DB">
              <w:rPr>
                <w:rFonts w:ascii="Arial Narrow" w:hAnsi="Arial Narrow"/>
              </w:rPr>
              <w:t>$</w:t>
            </w:r>
            <w:r w:rsidR="008A0CD0">
              <w:rPr>
                <w:rFonts w:ascii="Arial Narrow" w:hAnsi="Arial Narrow"/>
                <w:noProof/>
                <w:color w:val="000000"/>
                <w:highlight w:val="black"/>
              </w:rPr>
              <w:t>'''''''''''''''</w:t>
            </w:r>
          </w:p>
        </w:tc>
      </w:tr>
      <w:tr w:rsidR="00003705" w:rsidRPr="00E63DF4" w:rsidTr="003A41DB">
        <w:trPr>
          <w:cantSplit/>
        </w:trPr>
        <w:tc>
          <w:tcPr>
            <w:tcW w:w="5000" w:type="pct"/>
            <w:gridSpan w:val="5"/>
            <w:shd w:val="clear" w:color="auto" w:fill="FFFFFF" w:themeFill="background1"/>
          </w:tcPr>
          <w:p w:rsidR="00003705" w:rsidRPr="00821B49" w:rsidRDefault="00003705" w:rsidP="00001CAE">
            <w:pPr>
              <w:pStyle w:val="TableText1"/>
              <w:widowControl w:val="0"/>
              <w:spacing w:before="0" w:after="0"/>
              <w:rPr>
                <w:rFonts w:ascii="Arial Narrow" w:hAnsi="Arial Narrow"/>
                <w:b/>
              </w:rPr>
            </w:pPr>
            <w:r w:rsidRPr="00821B49">
              <w:rPr>
                <w:rFonts w:ascii="Arial Narrow" w:hAnsi="Arial Narrow"/>
                <w:b/>
              </w:rPr>
              <w:t>Costs</w:t>
            </w:r>
          </w:p>
        </w:tc>
      </w:tr>
      <w:tr w:rsidR="00003705" w:rsidRPr="00E63DF4" w:rsidTr="003A41DB">
        <w:trPr>
          <w:cantSplit/>
          <w:trHeight w:val="469"/>
        </w:trPr>
        <w:tc>
          <w:tcPr>
            <w:tcW w:w="1473" w:type="pct"/>
            <w:shd w:val="clear" w:color="auto" w:fill="FFFFFF" w:themeFill="background1"/>
          </w:tcPr>
          <w:p w:rsidR="00003705" w:rsidRPr="00821B49" w:rsidRDefault="00003705" w:rsidP="00001CAE">
            <w:pPr>
              <w:pStyle w:val="TableText1"/>
              <w:widowControl w:val="0"/>
              <w:spacing w:before="0" w:after="0"/>
              <w:rPr>
                <w:rFonts w:ascii="Arial Narrow" w:hAnsi="Arial Narrow"/>
              </w:rPr>
            </w:pPr>
            <w:r w:rsidRPr="00821B49">
              <w:rPr>
                <w:rFonts w:ascii="Arial Narrow" w:hAnsi="Arial Narrow"/>
              </w:rPr>
              <w:t>Inclusion of post-discontinuation therapy costs</w:t>
            </w:r>
            <w:r w:rsidR="00517EBE" w:rsidRPr="00821B49">
              <w:rPr>
                <w:rFonts w:ascii="Arial Narrow" w:hAnsi="Arial Narrow"/>
              </w:rPr>
              <w:t xml:space="preserve"> (cabozantinib cost applied)</w:t>
            </w:r>
          </w:p>
        </w:tc>
        <w:tc>
          <w:tcPr>
            <w:tcW w:w="1398" w:type="pct"/>
            <w:shd w:val="clear" w:color="auto" w:fill="FFFFFF" w:themeFill="background1"/>
          </w:tcPr>
          <w:p w:rsidR="00003705" w:rsidRPr="00821B49" w:rsidRDefault="00003705" w:rsidP="00001CAE">
            <w:pPr>
              <w:pStyle w:val="TableText1"/>
              <w:widowControl w:val="0"/>
              <w:spacing w:before="0" w:after="0"/>
              <w:rPr>
                <w:rFonts w:ascii="Arial Narrow" w:hAnsi="Arial Narrow"/>
              </w:rPr>
            </w:pPr>
            <w:r w:rsidRPr="00821B49">
              <w:rPr>
                <w:rFonts w:ascii="Arial Narrow" w:hAnsi="Arial Narrow"/>
              </w:rPr>
              <w:t>Post-discontinuation therapy costs are excluded</w:t>
            </w:r>
          </w:p>
        </w:tc>
        <w:tc>
          <w:tcPr>
            <w:tcW w:w="710" w:type="pct"/>
            <w:shd w:val="clear" w:color="auto" w:fill="FFFFFF" w:themeFill="background1"/>
          </w:tcPr>
          <w:p w:rsidR="00003705" w:rsidRPr="003A41DB" w:rsidRDefault="00003705" w:rsidP="00001CAE">
            <w:pPr>
              <w:pStyle w:val="TableText1"/>
              <w:widowControl w:val="0"/>
              <w:spacing w:before="0" w:after="0"/>
              <w:jc w:val="center"/>
              <w:rPr>
                <w:rFonts w:ascii="Arial Narrow" w:hAnsi="Arial Narrow"/>
                <w:highlight w:val="green"/>
              </w:rPr>
            </w:pPr>
            <w:r w:rsidRPr="003A41DB">
              <w:rPr>
                <w:rFonts w:ascii="Arial Narrow" w:hAnsi="Arial Narrow"/>
              </w:rPr>
              <w:t>$</w:t>
            </w:r>
            <w:r w:rsidR="008A0CD0">
              <w:rPr>
                <w:rFonts w:ascii="Arial Narrow" w:hAnsi="Arial Narrow"/>
                <w:noProof/>
                <w:color w:val="000000"/>
                <w:highlight w:val="black"/>
              </w:rPr>
              <w:t>'''''''''''''''''</w:t>
            </w:r>
          </w:p>
        </w:tc>
        <w:tc>
          <w:tcPr>
            <w:tcW w:w="710" w:type="pct"/>
            <w:shd w:val="clear" w:color="auto" w:fill="FFFFFF" w:themeFill="background1"/>
          </w:tcPr>
          <w:p w:rsidR="00003705" w:rsidRPr="008A0CD0" w:rsidRDefault="008A0CD0" w:rsidP="00001CAE">
            <w:pPr>
              <w:pStyle w:val="TableText1"/>
              <w:widowControl w:val="0"/>
              <w:spacing w:before="0" w:after="0"/>
              <w:jc w:val="center"/>
              <w:rPr>
                <w:rFonts w:ascii="Arial Narrow" w:hAnsi="Arial Narrow"/>
                <w:highlight w:val="black"/>
              </w:rPr>
            </w:pPr>
            <w:r>
              <w:rPr>
                <w:rFonts w:ascii="Arial Narrow" w:hAnsi="Arial Narrow"/>
                <w:noProof/>
                <w:color w:val="000000"/>
                <w:highlight w:val="black"/>
              </w:rPr>
              <w:t>''''''''''''''</w:t>
            </w:r>
          </w:p>
        </w:tc>
        <w:tc>
          <w:tcPr>
            <w:tcW w:w="709" w:type="pct"/>
            <w:shd w:val="clear" w:color="auto" w:fill="FFFFFF" w:themeFill="background1"/>
          </w:tcPr>
          <w:p w:rsidR="00003705" w:rsidRPr="003A41DB" w:rsidRDefault="00003705" w:rsidP="00001CAE">
            <w:pPr>
              <w:pStyle w:val="TableText1"/>
              <w:widowControl w:val="0"/>
              <w:spacing w:before="0" w:after="0"/>
              <w:jc w:val="center"/>
              <w:rPr>
                <w:rFonts w:ascii="Arial Narrow" w:hAnsi="Arial Narrow"/>
                <w:highlight w:val="green"/>
              </w:rPr>
            </w:pPr>
            <w:r w:rsidRPr="003A41DB">
              <w:rPr>
                <w:rFonts w:ascii="Arial Narrow" w:hAnsi="Arial Narrow"/>
              </w:rPr>
              <w:t>$</w:t>
            </w:r>
            <w:r w:rsidR="008A0CD0">
              <w:rPr>
                <w:rFonts w:ascii="Arial Narrow" w:hAnsi="Arial Narrow"/>
                <w:noProof/>
                <w:color w:val="000000"/>
                <w:highlight w:val="black"/>
              </w:rPr>
              <w:t>'''''''''''''''</w:t>
            </w:r>
          </w:p>
        </w:tc>
      </w:tr>
      <w:tr w:rsidR="00003705" w:rsidRPr="00E63DF4" w:rsidTr="003A41DB">
        <w:trPr>
          <w:cantSplit/>
        </w:trPr>
        <w:tc>
          <w:tcPr>
            <w:tcW w:w="1473" w:type="pct"/>
            <w:shd w:val="clear" w:color="auto" w:fill="FFFFFF" w:themeFill="background1"/>
          </w:tcPr>
          <w:p w:rsidR="00003705" w:rsidRPr="00821B49" w:rsidDel="00A1720E" w:rsidRDefault="00517EBE" w:rsidP="00001CAE">
            <w:pPr>
              <w:pStyle w:val="TableText1"/>
              <w:widowControl w:val="0"/>
              <w:spacing w:before="0" w:after="0"/>
              <w:rPr>
                <w:rFonts w:ascii="Arial Narrow" w:hAnsi="Arial Narrow"/>
              </w:rPr>
            </w:pPr>
            <w:r w:rsidRPr="00821B49">
              <w:rPr>
                <w:rFonts w:ascii="Arial Narrow" w:hAnsi="Arial Narrow"/>
              </w:rPr>
              <w:t>Inclusion of post-discontinuation therapy costs (sorafenib cost applied)</w:t>
            </w:r>
          </w:p>
        </w:tc>
        <w:tc>
          <w:tcPr>
            <w:tcW w:w="1398" w:type="pct"/>
            <w:shd w:val="clear" w:color="auto" w:fill="FFFFFF" w:themeFill="background1"/>
          </w:tcPr>
          <w:p w:rsidR="00003705" w:rsidRPr="00821B49" w:rsidDel="00A1720E" w:rsidRDefault="00517EBE" w:rsidP="00001CAE">
            <w:pPr>
              <w:pStyle w:val="TableText1"/>
              <w:widowControl w:val="0"/>
              <w:spacing w:before="0" w:after="0"/>
              <w:rPr>
                <w:rFonts w:ascii="Arial Narrow" w:hAnsi="Arial Narrow"/>
              </w:rPr>
            </w:pPr>
            <w:r w:rsidRPr="00821B49">
              <w:rPr>
                <w:rFonts w:ascii="Arial Narrow" w:hAnsi="Arial Narrow"/>
              </w:rPr>
              <w:t>Post-discontinuation therapy costs are excluded</w:t>
            </w:r>
          </w:p>
        </w:tc>
        <w:tc>
          <w:tcPr>
            <w:tcW w:w="710" w:type="pct"/>
            <w:shd w:val="clear" w:color="auto" w:fill="FFFFFF" w:themeFill="background1"/>
          </w:tcPr>
          <w:p w:rsidR="00376BBB" w:rsidRPr="003A41DB" w:rsidDel="00A1720E" w:rsidRDefault="002341E4" w:rsidP="002341E4">
            <w:pPr>
              <w:pStyle w:val="TableText0"/>
              <w:jc w:val="center"/>
              <w:rPr>
                <w:szCs w:val="20"/>
              </w:rPr>
            </w:pPr>
            <w:r w:rsidRPr="003A41DB">
              <w:rPr>
                <w:szCs w:val="20"/>
              </w:rPr>
              <w:t>$</w:t>
            </w:r>
            <w:r w:rsidR="008A0CD0">
              <w:rPr>
                <w:noProof/>
                <w:color w:val="000000"/>
                <w:szCs w:val="20"/>
                <w:highlight w:val="black"/>
              </w:rPr>
              <w:t>''''''''''''''''</w:t>
            </w:r>
          </w:p>
        </w:tc>
        <w:tc>
          <w:tcPr>
            <w:tcW w:w="710" w:type="pct"/>
            <w:shd w:val="clear" w:color="auto" w:fill="FFFFFF" w:themeFill="background1"/>
          </w:tcPr>
          <w:p w:rsidR="00376BBB" w:rsidRPr="008A0CD0" w:rsidDel="00A1720E" w:rsidRDefault="008A0CD0" w:rsidP="002341E4">
            <w:pPr>
              <w:pStyle w:val="TableText0"/>
              <w:jc w:val="center"/>
              <w:rPr>
                <w:szCs w:val="20"/>
                <w:highlight w:val="black"/>
              </w:rPr>
            </w:pPr>
            <w:r>
              <w:rPr>
                <w:noProof/>
                <w:color w:val="000000"/>
                <w:szCs w:val="20"/>
                <w:highlight w:val="black"/>
              </w:rPr>
              <w:t>''''''''''''''</w:t>
            </w:r>
          </w:p>
        </w:tc>
        <w:tc>
          <w:tcPr>
            <w:tcW w:w="709" w:type="pct"/>
            <w:shd w:val="clear" w:color="auto" w:fill="FFFFFF" w:themeFill="background1"/>
          </w:tcPr>
          <w:p w:rsidR="00376BBB" w:rsidRPr="003A41DB" w:rsidDel="00A1720E" w:rsidRDefault="00003705" w:rsidP="002341E4">
            <w:pPr>
              <w:pStyle w:val="TableText0"/>
              <w:jc w:val="center"/>
              <w:rPr>
                <w:szCs w:val="20"/>
              </w:rPr>
            </w:pPr>
            <w:r w:rsidRPr="003A41DB">
              <w:rPr>
                <w:szCs w:val="20"/>
              </w:rPr>
              <w:t>$</w:t>
            </w:r>
            <w:r w:rsidR="008A0CD0">
              <w:rPr>
                <w:noProof/>
                <w:color w:val="000000"/>
                <w:szCs w:val="20"/>
                <w:highlight w:val="black"/>
              </w:rPr>
              <w:t>'''''''''''''''</w:t>
            </w:r>
          </w:p>
        </w:tc>
      </w:tr>
      <w:tr w:rsidR="00003705" w:rsidRPr="00E63DF4" w:rsidTr="003A41DB">
        <w:trPr>
          <w:cantSplit/>
        </w:trPr>
        <w:tc>
          <w:tcPr>
            <w:tcW w:w="1473" w:type="pct"/>
            <w:shd w:val="clear" w:color="auto" w:fill="FFFFFF" w:themeFill="background1"/>
          </w:tcPr>
          <w:p w:rsidR="00003705" w:rsidRPr="00821B49" w:rsidRDefault="00003705" w:rsidP="00001CAE">
            <w:pPr>
              <w:pStyle w:val="TableText1"/>
              <w:widowControl w:val="0"/>
              <w:spacing w:before="0" w:after="0"/>
              <w:rPr>
                <w:rFonts w:ascii="Arial Narrow" w:hAnsi="Arial Narrow"/>
              </w:rPr>
            </w:pPr>
            <w:r w:rsidRPr="00821B49">
              <w:rPr>
                <w:rFonts w:ascii="Arial Narrow" w:hAnsi="Arial Narrow"/>
              </w:rPr>
              <w:t xml:space="preserve">Cost of sorafenib with </w:t>
            </w:r>
            <w:r w:rsidR="008A0CD0">
              <w:rPr>
                <w:rFonts w:ascii="Arial Narrow" w:hAnsi="Arial Narrow"/>
                <w:noProof/>
                <w:color w:val="000000"/>
                <w:highlight w:val="black"/>
              </w:rPr>
              <w:t>'''''</w:t>
            </w:r>
            <w:r w:rsidRPr="00821B49">
              <w:rPr>
                <w:rFonts w:ascii="Arial Narrow" w:hAnsi="Arial Narrow"/>
              </w:rPr>
              <w:t>% discount on published price</w:t>
            </w:r>
          </w:p>
        </w:tc>
        <w:tc>
          <w:tcPr>
            <w:tcW w:w="1398" w:type="pct"/>
            <w:shd w:val="clear" w:color="auto" w:fill="FFFFFF" w:themeFill="background1"/>
          </w:tcPr>
          <w:p w:rsidR="00003705" w:rsidRPr="00821B49" w:rsidRDefault="00003705" w:rsidP="00001CAE">
            <w:pPr>
              <w:pStyle w:val="TableText1"/>
              <w:widowControl w:val="0"/>
              <w:spacing w:before="0" w:after="0"/>
              <w:rPr>
                <w:rFonts w:ascii="Arial Narrow" w:hAnsi="Arial Narrow"/>
              </w:rPr>
            </w:pPr>
            <w:r w:rsidRPr="00821B49">
              <w:rPr>
                <w:rFonts w:ascii="Arial Narrow" w:hAnsi="Arial Narrow"/>
              </w:rPr>
              <w:t xml:space="preserve">Assumed </w:t>
            </w:r>
            <w:r w:rsidR="008A0CD0">
              <w:rPr>
                <w:rFonts w:ascii="Arial Narrow" w:hAnsi="Arial Narrow"/>
                <w:noProof/>
                <w:color w:val="000000"/>
                <w:highlight w:val="black"/>
              </w:rPr>
              <w:t>'''''''</w:t>
            </w:r>
            <w:r w:rsidRPr="00821B49">
              <w:rPr>
                <w:rFonts w:ascii="Arial Narrow" w:hAnsi="Arial Narrow"/>
              </w:rPr>
              <w:t>% discount on published price of sorafenib</w:t>
            </w:r>
          </w:p>
        </w:tc>
        <w:tc>
          <w:tcPr>
            <w:tcW w:w="710" w:type="pct"/>
            <w:shd w:val="clear" w:color="auto" w:fill="FFFFFF" w:themeFill="background1"/>
          </w:tcPr>
          <w:p w:rsidR="00003705" w:rsidRPr="003A41DB" w:rsidRDefault="00003705" w:rsidP="00001CAE">
            <w:pPr>
              <w:pStyle w:val="TableText0"/>
              <w:jc w:val="center"/>
              <w:rPr>
                <w:szCs w:val="20"/>
              </w:rPr>
            </w:pPr>
            <w:r w:rsidRPr="003A41DB">
              <w:rPr>
                <w:szCs w:val="20"/>
              </w:rPr>
              <w:t>$</w:t>
            </w:r>
            <w:r w:rsidR="008A0CD0">
              <w:rPr>
                <w:noProof/>
                <w:color w:val="000000"/>
                <w:szCs w:val="20"/>
                <w:highlight w:val="black"/>
              </w:rPr>
              <w:t>'''''''''''''''''</w:t>
            </w:r>
          </w:p>
        </w:tc>
        <w:tc>
          <w:tcPr>
            <w:tcW w:w="710" w:type="pct"/>
            <w:shd w:val="clear" w:color="auto" w:fill="FFFFFF" w:themeFill="background1"/>
          </w:tcPr>
          <w:p w:rsidR="00003705" w:rsidRPr="008A0CD0" w:rsidRDefault="008A0CD0" w:rsidP="00001CAE">
            <w:pPr>
              <w:pStyle w:val="TableText0"/>
              <w:jc w:val="center"/>
              <w:rPr>
                <w:szCs w:val="20"/>
                <w:highlight w:val="black"/>
              </w:rPr>
            </w:pPr>
            <w:r>
              <w:rPr>
                <w:noProof/>
                <w:color w:val="000000"/>
                <w:szCs w:val="20"/>
                <w:highlight w:val="black"/>
              </w:rPr>
              <w:t>'''''''''''''''</w:t>
            </w:r>
          </w:p>
        </w:tc>
        <w:tc>
          <w:tcPr>
            <w:tcW w:w="709" w:type="pct"/>
            <w:shd w:val="clear" w:color="auto" w:fill="FFFFFF" w:themeFill="background1"/>
          </w:tcPr>
          <w:p w:rsidR="00003705" w:rsidRPr="003A41DB" w:rsidRDefault="00003705" w:rsidP="00001CAE">
            <w:pPr>
              <w:pStyle w:val="TableText0"/>
              <w:jc w:val="center"/>
              <w:rPr>
                <w:szCs w:val="20"/>
              </w:rPr>
            </w:pPr>
            <w:r w:rsidRPr="003A41DB">
              <w:rPr>
                <w:szCs w:val="20"/>
              </w:rPr>
              <w:t>$</w:t>
            </w:r>
            <w:r w:rsidR="008A0CD0">
              <w:rPr>
                <w:noProof/>
                <w:color w:val="000000"/>
                <w:szCs w:val="20"/>
                <w:highlight w:val="black"/>
              </w:rPr>
              <w:t>''''''''''''''''</w:t>
            </w:r>
          </w:p>
        </w:tc>
      </w:tr>
      <w:tr w:rsidR="00003705" w:rsidRPr="00E63DF4" w:rsidTr="003A41DB">
        <w:trPr>
          <w:cantSplit/>
        </w:trPr>
        <w:tc>
          <w:tcPr>
            <w:tcW w:w="1473" w:type="pct"/>
            <w:shd w:val="clear" w:color="auto" w:fill="FFFFFF" w:themeFill="background1"/>
          </w:tcPr>
          <w:p w:rsidR="00003705" w:rsidRPr="00821B49" w:rsidRDefault="00003705" w:rsidP="00001CAE">
            <w:pPr>
              <w:pStyle w:val="TableText1"/>
              <w:widowControl w:val="0"/>
              <w:spacing w:before="0" w:after="0"/>
              <w:rPr>
                <w:rFonts w:ascii="Arial Narrow" w:hAnsi="Arial Narrow"/>
              </w:rPr>
            </w:pPr>
            <w:r w:rsidRPr="00821B49">
              <w:rPr>
                <w:rFonts w:ascii="Arial Narrow" w:hAnsi="Arial Narrow"/>
              </w:rPr>
              <w:t>Cost of sorafenib at published price</w:t>
            </w:r>
          </w:p>
        </w:tc>
        <w:tc>
          <w:tcPr>
            <w:tcW w:w="1398" w:type="pct"/>
            <w:shd w:val="clear" w:color="auto" w:fill="FFFFFF" w:themeFill="background1"/>
          </w:tcPr>
          <w:p w:rsidR="00003705" w:rsidRPr="00821B49" w:rsidRDefault="009808F3" w:rsidP="00001CAE">
            <w:pPr>
              <w:pStyle w:val="TableText1"/>
              <w:widowControl w:val="0"/>
              <w:spacing w:before="0" w:after="0"/>
              <w:rPr>
                <w:rFonts w:ascii="Arial Narrow" w:hAnsi="Arial Narrow"/>
              </w:rPr>
            </w:pPr>
            <w:r w:rsidRPr="00821B49">
              <w:rPr>
                <w:rFonts w:ascii="Arial Narrow" w:hAnsi="Arial Narrow"/>
              </w:rPr>
              <w:t xml:space="preserve">Assumed </w:t>
            </w:r>
            <w:r w:rsidR="008A0CD0">
              <w:rPr>
                <w:rFonts w:ascii="Arial Narrow" w:hAnsi="Arial Narrow"/>
                <w:noProof/>
                <w:color w:val="000000"/>
                <w:highlight w:val="black"/>
              </w:rPr>
              <w:t>'''''</w:t>
            </w:r>
            <w:r w:rsidRPr="00821B49">
              <w:rPr>
                <w:rFonts w:ascii="Arial Narrow" w:hAnsi="Arial Narrow"/>
              </w:rPr>
              <w:t>% discount on published price of sorafenib</w:t>
            </w:r>
          </w:p>
        </w:tc>
        <w:tc>
          <w:tcPr>
            <w:tcW w:w="710" w:type="pct"/>
            <w:shd w:val="clear" w:color="auto" w:fill="FFFFFF" w:themeFill="background1"/>
          </w:tcPr>
          <w:p w:rsidR="00003705" w:rsidRPr="003A41DB" w:rsidRDefault="00003705" w:rsidP="00001CAE">
            <w:pPr>
              <w:pStyle w:val="TableText0"/>
              <w:jc w:val="center"/>
              <w:rPr>
                <w:szCs w:val="20"/>
              </w:rPr>
            </w:pPr>
            <w:r w:rsidRPr="003A41DB">
              <w:rPr>
                <w:szCs w:val="20"/>
              </w:rPr>
              <w:t>$</w:t>
            </w:r>
            <w:r w:rsidR="008A0CD0">
              <w:rPr>
                <w:noProof/>
                <w:color w:val="000000"/>
                <w:szCs w:val="20"/>
                <w:highlight w:val="black"/>
              </w:rPr>
              <w:t>'''''''''''''''''</w:t>
            </w:r>
          </w:p>
        </w:tc>
        <w:tc>
          <w:tcPr>
            <w:tcW w:w="710" w:type="pct"/>
            <w:shd w:val="clear" w:color="auto" w:fill="FFFFFF" w:themeFill="background1"/>
          </w:tcPr>
          <w:p w:rsidR="00003705" w:rsidRPr="008A0CD0" w:rsidRDefault="008A0CD0" w:rsidP="00001CAE">
            <w:pPr>
              <w:pStyle w:val="TableText0"/>
              <w:jc w:val="center"/>
              <w:rPr>
                <w:szCs w:val="20"/>
                <w:highlight w:val="black"/>
              </w:rPr>
            </w:pPr>
            <w:r>
              <w:rPr>
                <w:noProof/>
                <w:color w:val="000000"/>
                <w:szCs w:val="20"/>
                <w:highlight w:val="black"/>
              </w:rPr>
              <w:t>''''''''''''</w:t>
            </w:r>
          </w:p>
        </w:tc>
        <w:tc>
          <w:tcPr>
            <w:tcW w:w="709" w:type="pct"/>
            <w:shd w:val="clear" w:color="auto" w:fill="FFFFFF" w:themeFill="background1"/>
          </w:tcPr>
          <w:p w:rsidR="00003705" w:rsidRPr="003A41DB" w:rsidRDefault="00003705" w:rsidP="00001CAE">
            <w:pPr>
              <w:pStyle w:val="TableText0"/>
              <w:jc w:val="center"/>
              <w:rPr>
                <w:szCs w:val="20"/>
              </w:rPr>
            </w:pPr>
            <w:r w:rsidRPr="003A41DB">
              <w:rPr>
                <w:szCs w:val="20"/>
              </w:rPr>
              <w:t>$</w:t>
            </w:r>
            <w:r w:rsidR="008A0CD0">
              <w:rPr>
                <w:noProof/>
                <w:color w:val="000000"/>
                <w:szCs w:val="20"/>
                <w:highlight w:val="black"/>
              </w:rPr>
              <w:t>'''''''''''''''''</w:t>
            </w:r>
          </w:p>
        </w:tc>
      </w:tr>
      <w:tr w:rsidR="00003705" w:rsidRPr="00E63DF4" w:rsidTr="003A41DB">
        <w:trPr>
          <w:cantSplit/>
        </w:trPr>
        <w:tc>
          <w:tcPr>
            <w:tcW w:w="5000" w:type="pct"/>
            <w:gridSpan w:val="5"/>
            <w:shd w:val="clear" w:color="auto" w:fill="FFFFFF" w:themeFill="background1"/>
          </w:tcPr>
          <w:p w:rsidR="00003705" w:rsidRPr="00ED1D28" w:rsidRDefault="00003705" w:rsidP="00001CAE">
            <w:pPr>
              <w:pStyle w:val="TableText1"/>
              <w:widowControl w:val="0"/>
              <w:spacing w:before="0" w:after="0"/>
              <w:rPr>
                <w:rFonts w:ascii="Arial Narrow" w:hAnsi="Arial Narrow"/>
                <w:b/>
              </w:rPr>
            </w:pPr>
            <w:r w:rsidRPr="00ED1D28">
              <w:rPr>
                <w:rFonts w:ascii="Arial Narrow" w:hAnsi="Arial Narrow"/>
                <w:b/>
              </w:rPr>
              <w:t>Outcomes</w:t>
            </w:r>
          </w:p>
        </w:tc>
      </w:tr>
      <w:tr w:rsidR="00003705" w:rsidRPr="00E63DF4" w:rsidTr="003A41DB">
        <w:trPr>
          <w:cantSplit/>
        </w:trPr>
        <w:tc>
          <w:tcPr>
            <w:tcW w:w="1473" w:type="pct"/>
            <w:shd w:val="clear" w:color="auto" w:fill="FFFFFF" w:themeFill="background1"/>
          </w:tcPr>
          <w:p w:rsidR="00003705" w:rsidRPr="003A41DB" w:rsidRDefault="00003705" w:rsidP="00001CAE">
            <w:pPr>
              <w:pStyle w:val="TableText1"/>
              <w:widowControl w:val="0"/>
              <w:spacing w:before="0" w:after="0"/>
              <w:rPr>
                <w:rFonts w:ascii="Arial Narrow" w:hAnsi="Arial Narrow"/>
                <w:iCs/>
              </w:rPr>
            </w:pPr>
            <w:r w:rsidRPr="003A41DB">
              <w:rPr>
                <w:rFonts w:ascii="Arial Narrow" w:hAnsi="Arial Narrow"/>
                <w:iCs/>
              </w:rPr>
              <w:t xml:space="preserve">Convergence </w:t>
            </w:r>
          </w:p>
        </w:tc>
        <w:tc>
          <w:tcPr>
            <w:tcW w:w="1398" w:type="pct"/>
            <w:shd w:val="clear" w:color="auto" w:fill="FFFFFF" w:themeFill="background1"/>
          </w:tcPr>
          <w:p w:rsidR="00003705" w:rsidRPr="003A41DB" w:rsidRDefault="00003705" w:rsidP="00001CAE">
            <w:pPr>
              <w:pStyle w:val="TableText1"/>
              <w:widowControl w:val="0"/>
              <w:spacing w:before="0" w:after="0"/>
              <w:rPr>
                <w:rFonts w:ascii="Arial Narrow" w:hAnsi="Arial Narrow"/>
                <w:iCs/>
              </w:rPr>
            </w:pPr>
          </w:p>
        </w:tc>
        <w:tc>
          <w:tcPr>
            <w:tcW w:w="710" w:type="pct"/>
            <w:shd w:val="clear" w:color="auto" w:fill="FFFFFF" w:themeFill="background1"/>
            <w:vAlign w:val="center"/>
          </w:tcPr>
          <w:p w:rsidR="00003705" w:rsidRPr="003A41DB" w:rsidRDefault="00003705" w:rsidP="00001CAE">
            <w:pPr>
              <w:pStyle w:val="TableText1"/>
              <w:widowControl w:val="0"/>
              <w:spacing w:before="0" w:after="0"/>
              <w:jc w:val="center"/>
              <w:rPr>
                <w:rFonts w:ascii="Arial Narrow" w:hAnsi="Arial Narrow"/>
                <w:iCs/>
              </w:rPr>
            </w:pPr>
          </w:p>
        </w:tc>
        <w:tc>
          <w:tcPr>
            <w:tcW w:w="710" w:type="pct"/>
            <w:shd w:val="clear" w:color="auto" w:fill="FFFFFF" w:themeFill="background1"/>
            <w:vAlign w:val="center"/>
          </w:tcPr>
          <w:p w:rsidR="00003705" w:rsidRPr="00ED1D28" w:rsidRDefault="00003705" w:rsidP="00001CAE">
            <w:pPr>
              <w:pStyle w:val="TableText1"/>
              <w:widowControl w:val="0"/>
              <w:spacing w:before="0" w:after="0"/>
              <w:jc w:val="center"/>
              <w:rPr>
                <w:rFonts w:ascii="Arial Narrow" w:hAnsi="Arial Narrow"/>
                <w:iCs/>
              </w:rPr>
            </w:pPr>
          </w:p>
        </w:tc>
        <w:tc>
          <w:tcPr>
            <w:tcW w:w="709" w:type="pct"/>
            <w:shd w:val="clear" w:color="auto" w:fill="FFFFFF" w:themeFill="background1"/>
            <w:vAlign w:val="center"/>
          </w:tcPr>
          <w:p w:rsidR="00003705" w:rsidRPr="003A41DB" w:rsidRDefault="00003705" w:rsidP="00001CAE">
            <w:pPr>
              <w:pStyle w:val="TableText1"/>
              <w:widowControl w:val="0"/>
              <w:spacing w:before="0" w:after="0"/>
              <w:jc w:val="center"/>
              <w:rPr>
                <w:rFonts w:ascii="Arial Narrow" w:hAnsi="Arial Narrow"/>
                <w:iCs/>
              </w:rPr>
            </w:pPr>
          </w:p>
        </w:tc>
      </w:tr>
      <w:tr w:rsidR="00003705" w:rsidRPr="00E63DF4" w:rsidTr="003A41DB">
        <w:trPr>
          <w:cantSplit/>
        </w:trPr>
        <w:tc>
          <w:tcPr>
            <w:tcW w:w="1473" w:type="pct"/>
            <w:shd w:val="clear" w:color="auto" w:fill="FFFFFF" w:themeFill="background1"/>
          </w:tcPr>
          <w:p w:rsidR="00003705" w:rsidRPr="003A41DB" w:rsidRDefault="00003705" w:rsidP="00001CAE">
            <w:pPr>
              <w:pStyle w:val="TableText1"/>
              <w:widowControl w:val="0"/>
              <w:spacing w:before="0" w:after="0"/>
              <w:rPr>
                <w:rFonts w:ascii="Arial Narrow" w:hAnsi="Arial Narrow"/>
              </w:rPr>
            </w:pPr>
            <w:r w:rsidRPr="003A41DB">
              <w:rPr>
                <w:rFonts w:ascii="Arial Narrow" w:hAnsi="Arial Narrow"/>
                <w:iCs/>
              </w:rPr>
              <w:t>Convergence of OS of Atezo+Bev treatment arm from 8.6 months (median follow-up)</w:t>
            </w:r>
            <w:r w:rsidR="00C2003B" w:rsidRPr="003A41DB">
              <w:rPr>
                <w:rFonts w:ascii="Arial Narrow" w:hAnsi="Arial Narrow"/>
                <w:iCs/>
              </w:rPr>
              <w:t xml:space="preserve"> </w:t>
            </w:r>
          </w:p>
        </w:tc>
        <w:tc>
          <w:tcPr>
            <w:tcW w:w="1398" w:type="pct"/>
            <w:shd w:val="clear" w:color="auto" w:fill="FFFFFF" w:themeFill="background1"/>
          </w:tcPr>
          <w:p w:rsidR="00003705" w:rsidRPr="003A41DB" w:rsidRDefault="00003705" w:rsidP="00001CAE">
            <w:pPr>
              <w:pStyle w:val="TableText1"/>
              <w:widowControl w:val="0"/>
              <w:spacing w:before="0" w:after="0"/>
              <w:rPr>
                <w:rFonts w:ascii="Arial Narrow" w:hAnsi="Arial Narrow"/>
                <w:iCs/>
              </w:rPr>
            </w:pPr>
            <w:r w:rsidRPr="003A41DB">
              <w:rPr>
                <w:rFonts w:ascii="Arial Narrow" w:hAnsi="Arial Narrow"/>
                <w:iCs/>
              </w:rPr>
              <w:t>No convergence applied</w:t>
            </w:r>
          </w:p>
          <w:p w:rsidR="00003705" w:rsidRPr="003A41DB" w:rsidRDefault="00003705" w:rsidP="00001CAE">
            <w:pPr>
              <w:pStyle w:val="TableText1"/>
              <w:widowControl w:val="0"/>
              <w:spacing w:before="0" w:after="0"/>
              <w:rPr>
                <w:rFonts w:ascii="Arial Narrow" w:hAnsi="Arial Narrow"/>
              </w:rPr>
            </w:pPr>
          </w:p>
        </w:tc>
        <w:tc>
          <w:tcPr>
            <w:tcW w:w="710" w:type="pct"/>
            <w:shd w:val="clear" w:color="auto" w:fill="FFFFFF" w:themeFill="background1"/>
            <w:vAlign w:val="center"/>
          </w:tcPr>
          <w:p w:rsidR="00003705" w:rsidRPr="003A41DB" w:rsidRDefault="00003705" w:rsidP="00001CAE">
            <w:pPr>
              <w:pStyle w:val="TableText1"/>
              <w:widowControl w:val="0"/>
              <w:spacing w:before="0" w:after="0"/>
              <w:jc w:val="center"/>
              <w:rPr>
                <w:rFonts w:ascii="Arial Narrow" w:hAnsi="Arial Narrow"/>
              </w:rPr>
            </w:pPr>
            <w:r w:rsidRPr="003A41DB">
              <w:rPr>
                <w:rFonts w:ascii="Arial Narrow" w:hAnsi="Arial Narrow"/>
                <w:iCs/>
              </w:rPr>
              <w:t>$</w:t>
            </w:r>
            <w:r w:rsidR="008A0CD0">
              <w:rPr>
                <w:rFonts w:ascii="Arial Narrow" w:hAnsi="Arial Narrow"/>
                <w:iCs/>
                <w:noProof/>
                <w:color w:val="000000"/>
                <w:highlight w:val="black"/>
              </w:rPr>
              <w:t>''''''''''''''''''</w:t>
            </w:r>
          </w:p>
        </w:tc>
        <w:tc>
          <w:tcPr>
            <w:tcW w:w="710" w:type="pct"/>
            <w:shd w:val="clear" w:color="auto" w:fill="FFFFFF" w:themeFill="background1"/>
            <w:vAlign w:val="center"/>
          </w:tcPr>
          <w:p w:rsidR="00003705" w:rsidRPr="008A0CD0" w:rsidRDefault="008A0CD0" w:rsidP="00001CAE">
            <w:pPr>
              <w:pStyle w:val="TableText1"/>
              <w:widowControl w:val="0"/>
              <w:spacing w:before="0" w:after="0"/>
              <w:jc w:val="center"/>
              <w:rPr>
                <w:rFonts w:ascii="Arial Narrow" w:hAnsi="Arial Narrow"/>
                <w:highlight w:val="black"/>
              </w:rPr>
            </w:pPr>
            <w:r>
              <w:rPr>
                <w:rFonts w:ascii="Arial Narrow" w:hAnsi="Arial Narrow"/>
                <w:iCs/>
                <w:noProof/>
                <w:color w:val="000000"/>
                <w:highlight w:val="black"/>
              </w:rPr>
              <w:t>''''''''''''''</w:t>
            </w:r>
          </w:p>
        </w:tc>
        <w:tc>
          <w:tcPr>
            <w:tcW w:w="709" w:type="pct"/>
            <w:shd w:val="clear" w:color="auto" w:fill="FFFFFF" w:themeFill="background1"/>
            <w:vAlign w:val="center"/>
          </w:tcPr>
          <w:p w:rsidR="00003705" w:rsidRPr="003A41DB" w:rsidRDefault="00003705" w:rsidP="00001CAE">
            <w:pPr>
              <w:pStyle w:val="TableText1"/>
              <w:widowControl w:val="0"/>
              <w:spacing w:before="0" w:after="0"/>
              <w:jc w:val="center"/>
              <w:rPr>
                <w:rFonts w:ascii="Arial Narrow" w:hAnsi="Arial Narrow"/>
              </w:rPr>
            </w:pPr>
            <w:r w:rsidRPr="003A41DB">
              <w:rPr>
                <w:rFonts w:ascii="Arial Narrow" w:hAnsi="Arial Narrow"/>
                <w:iCs/>
              </w:rPr>
              <w:t>$</w:t>
            </w:r>
            <w:r w:rsidR="008A0CD0">
              <w:rPr>
                <w:rFonts w:ascii="Arial Narrow" w:hAnsi="Arial Narrow"/>
                <w:iCs/>
                <w:noProof/>
                <w:color w:val="000000"/>
                <w:highlight w:val="black"/>
              </w:rPr>
              <w:t>''''''''''''''''''</w:t>
            </w:r>
          </w:p>
        </w:tc>
      </w:tr>
      <w:tr w:rsidR="00003705" w:rsidRPr="00E63DF4" w:rsidTr="003A41DB">
        <w:trPr>
          <w:cantSplit/>
        </w:trPr>
        <w:tc>
          <w:tcPr>
            <w:tcW w:w="1473" w:type="pct"/>
            <w:shd w:val="clear" w:color="auto" w:fill="FFFFFF" w:themeFill="background1"/>
          </w:tcPr>
          <w:p w:rsidR="00003705" w:rsidRPr="003A41DB" w:rsidRDefault="00142D51" w:rsidP="00001CAE">
            <w:pPr>
              <w:pStyle w:val="TableText1"/>
              <w:widowControl w:val="0"/>
              <w:spacing w:before="0" w:after="0"/>
              <w:rPr>
                <w:rFonts w:ascii="Arial Narrow" w:hAnsi="Arial Narrow"/>
              </w:rPr>
            </w:pPr>
            <w:r w:rsidRPr="003A41DB">
              <w:rPr>
                <w:rFonts w:ascii="Arial Narrow" w:hAnsi="Arial Narrow"/>
              </w:rPr>
              <w:t>Convergence of OS from</w:t>
            </w:r>
            <w:r w:rsidR="00003705" w:rsidRPr="003A41DB">
              <w:rPr>
                <w:rFonts w:ascii="Arial Narrow" w:hAnsi="Arial Narrow"/>
              </w:rPr>
              <w:t xml:space="preserve"> </w:t>
            </w:r>
            <w:r w:rsidR="00003705" w:rsidRPr="003A41DB">
              <w:rPr>
                <w:rFonts w:ascii="Arial Narrow" w:hAnsi="Arial Narrow"/>
                <w:iCs/>
              </w:rPr>
              <w:t xml:space="preserve">36 months </w:t>
            </w:r>
            <w:r w:rsidR="00C2003B" w:rsidRPr="003A41DB">
              <w:rPr>
                <w:rFonts w:ascii="Arial Narrow" w:hAnsi="Arial Narrow"/>
                <w:b/>
                <w:iCs/>
              </w:rPr>
              <w:t>(</w:t>
            </w:r>
            <w:r w:rsidR="00A34386" w:rsidRPr="003A41DB">
              <w:rPr>
                <w:rFonts w:ascii="Arial Narrow" w:hAnsi="Arial Narrow"/>
                <w:b/>
                <w:iCs/>
              </w:rPr>
              <w:t>#1</w:t>
            </w:r>
            <w:r w:rsidR="00003705" w:rsidRPr="003A41DB">
              <w:rPr>
                <w:rFonts w:ascii="Arial Narrow" w:hAnsi="Arial Narrow"/>
                <w:b/>
                <w:iCs/>
              </w:rPr>
              <w:t>)</w:t>
            </w:r>
          </w:p>
        </w:tc>
        <w:tc>
          <w:tcPr>
            <w:tcW w:w="1398" w:type="pct"/>
            <w:shd w:val="clear" w:color="auto" w:fill="FFFFFF" w:themeFill="background1"/>
          </w:tcPr>
          <w:p w:rsidR="00003705" w:rsidRPr="003A41DB" w:rsidRDefault="00003705" w:rsidP="00001CAE">
            <w:pPr>
              <w:pStyle w:val="TableText1"/>
              <w:widowControl w:val="0"/>
              <w:spacing w:before="0" w:after="0"/>
              <w:rPr>
                <w:rFonts w:ascii="Arial Narrow" w:hAnsi="Arial Narrow"/>
                <w:iCs/>
              </w:rPr>
            </w:pPr>
            <w:r w:rsidRPr="003A41DB">
              <w:rPr>
                <w:rFonts w:ascii="Arial Narrow" w:hAnsi="Arial Narrow"/>
                <w:iCs/>
              </w:rPr>
              <w:t>No convergence applied</w:t>
            </w:r>
          </w:p>
          <w:p w:rsidR="00003705" w:rsidRPr="003A41DB" w:rsidRDefault="00003705" w:rsidP="00001CAE">
            <w:pPr>
              <w:pStyle w:val="TableText1"/>
              <w:widowControl w:val="0"/>
              <w:spacing w:before="0" w:after="0"/>
              <w:rPr>
                <w:rFonts w:ascii="Arial Narrow" w:hAnsi="Arial Narrow"/>
              </w:rPr>
            </w:pPr>
          </w:p>
        </w:tc>
        <w:tc>
          <w:tcPr>
            <w:tcW w:w="710" w:type="pct"/>
            <w:shd w:val="clear" w:color="auto" w:fill="FFFFFF" w:themeFill="background1"/>
          </w:tcPr>
          <w:p w:rsidR="00003705" w:rsidRPr="003A41DB" w:rsidRDefault="00003705" w:rsidP="00001CAE">
            <w:pPr>
              <w:pStyle w:val="TableText1"/>
              <w:widowControl w:val="0"/>
              <w:spacing w:before="0" w:after="0"/>
              <w:jc w:val="center"/>
              <w:rPr>
                <w:rFonts w:ascii="Arial Narrow" w:hAnsi="Arial Narrow"/>
              </w:rPr>
            </w:pPr>
            <w:r w:rsidRPr="003A41DB">
              <w:rPr>
                <w:rFonts w:ascii="Arial Narrow" w:hAnsi="Arial Narrow"/>
              </w:rPr>
              <w:t>$</w:t>
            </w:r>
            <w:r w:rsidR="008A0CD0">
              <w:rPr>
                <w:rFonts w:ascii="Arial Narrow" w:hAnsi="Arial Narrow"/>
                <w:noProof/>
                <w:color w:val="000000"/>
                <w:highlight w:val="black"/>
              </w:rPr>
              <w:t>'''''''''''''''''</w:t>
            </w:r>
          </w:p>
        </w:tc>
        <w:tc>
          <w:tcPr>
            <w:tcW w:w="710" w:type="pct"/>
            <w:shd w:val="clear" w:color="auto" w:fill="FFFFFF" w:themeFill="background1"/>
          </w:tcPr>
          <w:p w:rsidR="00003705" w:rsidRPr="008A0CD0" w:rsidRDefault="008A0CD0" w:rsidP="00001CAE">
            <w:pPr>
              <w:pStyle w:val="TableText1"/>
              <w:widowControl w:val="0"/>
              <w:spacing w:before="0" w:after="0"/>
              <w:jc w:val="center"/>
              <w:rPr>
                <w:rFonts w:ascii="Arial Narrow" w:hAnsi="Arial Narrow"/>
                <w:highlight w:val="black"/>
              </w:rPr>
            </w:pPr>
            <w:r>
              <w:rPr>
                <w:rFonts w:ascii="Arial Narrow" w:hAnsi="Arial Narrow"/>
                <w:noProof/>
                <w:color w:val="000000"/>
                <w:highlight w:val="black"/>
              </w:rPr>
              <w:t>'''''''''''''</w:t>
            </w:r>
          </w:p>
        </w:tc>
        <w:tc>
          <w:tcPr>
            <w:tcW w:w="709" w:type="pct"/>
            <w:shd w:val="clear" w:color="auto" w:fill="FFFFFF" w:themeFill="background1"/>
          </w:tcPr>
          <w:p w:rsidR="00003705" w:rsidRPr="003A41DB" w:rsidRDefault="00003705" w:rsidP="00001CAE">
            <w:pPr>
              <w:pStyle w:val="TableText1"/>
              <w:widowControl w:val="0"/>
              <w:spacing w:before="0" w:after="0"/>
              <w:jc w:val="center"/>
              <w:rPr>
                <w:rFonts w:ascii="Arial Narrow" w:hAnsi="Arial Narrow"/>
              </w:rPr>
            </w:pPr>
            <w:r w:rsidRPr="003A41DB">
              <w:rPr>
                <w:rFonts w:ascii="Arial Narrow" w:hAnsi="Arial Narrow"/>
              </w:rPr>
              <w:t>$</w:t>
            </w:r>
            <w:r w:rsidR="008A0CD0">
              <w:rPr>
                <w:rFonts w:ascii="Arial Narrow" w:hAnsi="Arial Narrow"/>
                <w:noProof/>
                <w:color w:val="000000"/>
                <w:highlight w:val="black"/>
              </w:rPr>
              <w:t>'''''''''''''''</w:t>
            </w:r>
          </w:p>
        </w:tc>
      </w:tr>
      <w:tr w:rsidR="00003705" w:rsidRPr="00E63DF4" w:rsidTr="003A41DB">
        <w:trPr>
          <w:cantSplit/>
        </w:trPr>
        <w:tc>
          <w:tcPr>
            <w:tcW w:w="1473" w:type="pct"/>
            <w:shd w:val="clear" w:color="auto" w:fill="FFFFFF" w:themeFill="background1"/>
          </w:tcPr>
          <w:p w:rsidR="00003705" w:rsidRPr="003A41DB" w:rsidRDefault="00003705" w:rsidP="00001CAE">
            <w:pPr>
              <w:pStyle w:val="TableText1"/>
              <w:widowControl w:val="0"/>
              <w:spacing w:before="0" w:after="0"/>
              <w:rPr>
                <w:rFonts w:ascii="Arial Narrow" w:hAnsi="Arial Narrow"/>
              </w:rPr>
            </w:pPr>
            <w:r w:rsidRPr="003A41DB">
              <w:rPr>
                <w:rFonts w:ascii="Arial Narrow" w:hAnsi="Arial Narrow"/>
              </w:rPr>
              <w:t xml:space="preserve">Extrapolation </w:t>
            </w:r>
          </w:p>
        </w:tc>
        <w:tc>
          <w:tcPr>
            <w:tcW w:w="1398" w:type="pct"/>
            <w:shd w:val="clear" w:color="auto" w:fill="FFFFFF" w:themeFill="background1"/>
          </w:tcPr>
          <w:p w:rsidR="00003705" w:rsidRPr="003A41DB" w:rsidRDefault="00003705" w:rsidP="00001CAE">
            <w:pPr>
              <w:pStyle w:val="TableText1"/>
              <w:widowControl w:val="0"/>
              <w:spacing w:before="0" w:after="0"/>
              <w:rPr>
                <w:rFonts w:ascii="Arial Narrow" w:hAnsi="Arial Narrow"/>
              </w:rPr>
            </w:pPr>
          </w:p>
        </w:tc>
        <w:tc>
          <w:tcPr>
            <w:tcW w:w="710" w:type="pct"/>
            <w:shd w:val="clear" w:color="auto" w:fill="FFFFFF" w:themeFill="background1"/>
          </w:tcPr>
          <w:p w:rsidR="00003705" w:rsidRPr="003A41DB" w:rsidRDefault="00003705" w:rsidP="00001CAE">
            <w:pPr>
              <w:pStyle w:val="TableText1"/>
              <w:widowControl w:val="0"/>
              <w:spacing w:before="0" w:after="0"/>
              <w:jc w:val="center"/>
              <w:rPr>
                <w:rFonts w:ascii="Arial Narrow" w:hAnsi="Arial Narrow"/>
              </w:rPr>
            </w:pPr>
          </w:p>
        </w:tc>
        <w:tc>
          <w:tcPr>
            <w:tcW w:w="710" w:type="pct"/>
            <w:shd w:val="clear" w:color="auto" w:fill="FFFFFF" w:themeFill="background1"/>
          </w:tcPr>
          <w:p w:rsidR="00003705" w:rsidRPr="00ED1D28" w:rsidRDefault="00003705" w:rsidP="00001CAE">
            <w:pPr>
              <w:pStyle w:val="TableText1"/>
              <w:widowControl w:val="0"/>
              <w:spacing w:before="0" w:after="0"/>
              <w:jc w:val="center"/>
              <w:rPr>
                <w:rFonts w:ascii="Arial Narrow" w:hAnsi="Arial Narrow"/>
              </w:rPr>
            </w:pPr>
          </w:p>
        </w:tc>
        <w:tc>
          <w:tcPr>
            <w:tcW w:w="709" w:type="pct"/>
            <w:shd w:val="clear" w:color="auto" w:fill="FFFFFF" w:themeFill="background1"/>
          </w:tcPr>
          <w:p w:rsidR="00003705" w:rsidRPr="003A41DB" w:rsidRDefault="00003705" w:rsidP="00001CAE">
            <w:pPr>
              <w:pStyle w:val="TableText1"/>
              <w:widowControl w:val="0"/>
              <w:spacing w:before="0" w:after="0"/>
              <w:jc w:val="center"/>
              <w:rPr>
                <w:rFonts w:ascii="Arial Narrow" w:hAnsi="Arial Narrow"/>
              </w:rPr>
            </w:pPr>
          </w:p>
        </w:tc>
      </w:tr>
      <w:tr w:rsidR="00003705" w:rsidRPr="00E63DF4" w:rsidTr="003A41DB">
        <w:trPr>
          <w:cantSplit/>
        </w:trPr>
        <w:tc>
          <w:tcPr>
            <w:tcW w:w="1473" w:type="pct"/>
            <w:shd w:val="clear" w:color="auto" w:fill="FFFFFF" w:themeFill="background1"/>
          </w:tcPr>
          <w:p w:rsidR="00003705" w:rsidRPr="003A41DB" w:rsidRDefault="00003705" w:rsidP="00001CAE">
            <w:pPr>
              <w:pStyle w:val="TableText1"/>
              <w:widowControl w:val="0"/>
              <w:spacing w:before="0" w:after="0"/>
              <w:rPr>
                <w:rFonts w:ascii="Arial Narrow" w:hAnsi="Arial Narrow"/>
              </w:rPr>
            </w:pPr>
            <w:r w:rsidRPr="003A41DB">
              <w:rPr>
                <w:rFonts w:ascii="Arial Narrow" w:hAnsi="Arial Narrow"/>
              </w:rPr>
              <w:t xml:space="preserve">OS extrapolation follows Gamma distribution in Atezo+Bev arm and log-normal in sorafenib arm. Based on best statistical fit as per AIC and BIC </w:t>
            </w:r>
            <w:r w:rsidR="00A34386" w:rsidRPr="003A41DB">
              <w:rPr>
                <w:rFonts w:ascii="Arial Narrow" w:hAnsi="Arial Narrow"/>
                <w:b/>
              </w:rPr>
              <w:t>(#2</w:t>
            </w:r>
            <w:r w:rsidRPr="003A41DB">
              <w:rPr>
                <w:rFonts w:ascii="Arial Narrow" w:hAnsi="Arial Narrow"/>
                <w:b/>
              </w:rPr>
              <w:t>)</w:t>
            </w:r>
          </w:p>
        </w:tc>
        <w:tc>
          <w:tcPr>
            <w:tcW w:w="1398" w:type="pct"/>
            <w:shd w:val="clear" w:color="auto" w:fill="FFFFFF" w:themeFill="background1"/>
          </w:tcPr>
          <w:p w:rsidR="00003705" w:rsidRPr="003A41DB" w:rsidRDefault="00003705" w:rsidP="00001CAE">
            <w:pPr>
              <w:pStyle w:val="TableText1"/>
              <w:widowControl w:val="0"/>
              <w:spacing w:before="0" w:after="0"/>
              <w:rPr>
                <w:rFonts w:ascii="Arial Narrow" w:hAnsi="Arial Narrow"/>
              </w:rPr>
            </w:pPr>
            <w:r w:rsidRPr="003A41DB">
              <w:rPr>
                <w:rFonts w:ascii="Arial Narrow" w:hAnsi="Arial Narrow"/>
              </w:rPr>
              <w:t>OS extrapolation follows exponential distribution in both arms</w:t>
            </w:r>
          </w:p>
        </w:tc>
        <w:tc>
          <w:tcPr>
            <w:tcW w:w="710" w:type="pct"/>
            <w:shd w:val="clear" w:color="auto" w:fill="FFFFFF" w:themeFill="background1"/>
            <w:vAlign w:val="center"/>
          </w:tcPr>
          <w:p w:rsidR="00003705" w:rsidRPr="003A41DB" w:rsidRDefault="00003705" w:rsidP="00001CAE">
            <w:pPr>
              <w:pStyle w:val="TableText1"/>
              <w:widowControl w:val="0"/>
              <w:spacing w:before="0" w:after="0"/>
              <w:jc w:val="center"/>
              <w:rPr>
                <w:rFonts w:ascii="Arial Narrow" w:hAnsi="Arial Narrow"/>
              </w:rPr>
            </w:pPr>
            <w:r w:rsidRPr="003A41DB">
              <w:rPr>
                <w:rFonts w:ascii="Arial Narrow" w:hAnsi="Arial Narrow"/>
              </w:rPr>
              <w:t>$</w:t>
            </w:r>
            <w:r w:rsidR="008A0CD0">
              <w:rPr>
                <w:rFonts w:ascii="Arial Narrow" w:hAnsi="Arial Narrow"/>
                <w:noProof/>
                <w:color w:val="000000"/>
                <w:highlight w:val="black"/>
              </w:rPr>
              <w:t>'''''''''''''''''</w:t>
            </w:r>
          </w:p>
        </w:tc>
        <w:tc>
          <w:tcPr>
            <w:tcW w:w="710" w:type="pct"/>
            <w:shd w:val="clear" w:color="auto" w:fill="FFFFFF" w:themeFill="background1"/>
            <w:vAlign w:val="center"/>
          </w:tcPr>
          <w:p w:rsidR="00003705" w:rsidRPr="008A0CD0" w:rsidRDefault="008A0CD0" w:rsidP="00001CAE">
            <w:pPr>
              <w:pStyle w:val="TableText1"/>
              <w:widowControl w:val="0"/>
              <w:spacing w:before="0" w:after="0"/>
              <w:jc w:val="center"/>
              <w:rPr>
                <w:rFonts w:ascii="Arial Narrow" w:hAnsi="Arial Narrow"/>
                <w:highlight w:val="black"/>
              </w:rPr>
            </w:pPr>
            <w:r>
              <w:rPr>
                <w:rFonts w:ascii="Arial Narrow" w:hAnsi="Arial Narrow"/>
                <w:noProof/>
                <w:color w:val="000000"/>
                <w:highlight w:val="black"/>
              </w:rPr>
              <w:t>'''''''''''''</w:t>
            </w:r>
          </w:p>
        </w:tc>
        <w:tc>
          <w:tcPr>
            <w:tcW w:w="709" w:type="pct"/>
            <w:shd w:val="clear" w:color="auto" w:fill="FFFFFF" w:themeFill="background1"/>
            <w:vAlign w:val="center"/>
          </w:tcPr>
          <w:p w:rsidR="00003705" w:rsidRPr="003A41DB" w:rsidRDefault="00003705" w:rsidP="00001CAE">
            <w:pPr>
              <w:pStyle w:val="TableText1"/>
              <w:widowControl w:val="0"/>
              <w:spacing w:before="0" w:after="0"/>
              <w:jc w:val="center"/>
              <w:rPr>
                <w:rFonts w:ascii="Arial Narrow" w:hAnsi="Arial Narrow"/>
              </w:rPr>
            </w:pPr>
            <w:r w:rsidRPr="003A41DB">
              <w:rPr>
                <w:rFonts w:ascii="Arial Narrow" w:hAnsi="Arial Narrow"/>
              </w:rPr>
              <w:t>$</w:t>
            </w:r>
            <w:r w:rsidR="008A0CD0">
              <w:rPr>
                <w:rFonts w:ascii="Arial Narrow" w:hAnsi="Arial Narrow"/>
                <w:noProof/>
                <w:color w:val="000000"/>
                <w:highlight w:val="black"/>
              </w:rPr>
              <w:t>'''''''''''''''</w:t>
            </w:r>
          </w:p>
        </w:tc>
      </w:tr>
      <w:tr w:rsidR="00003705" w:rsidRPr="00E63DF4" w:rsidTr="003A41DB">
        <w:trPr>
          <w:cantSplit/>
        </w:trPr>
        <w:tc>
          <w:tcPr>
            <w:tcW w:w="1473" w:type="pct"/>
            <w:shd w:val="clear" w:color="auto" w:fill="FFFFFF" w:themeFill="background1"/>
          </w:tcPr>
          <w:p w:rsidR="00003705" w:rsidRPr="003A41DB" w:rsidRDefault="00003705" w:rsidP="00001CAE">
            <w:pPr>
              <w:pStyle w:val="TableText1"/>
              <w:widowControl w:val="0"/>
              <w:spacing w:before="0" w:after="0"/>
              <w:rPr>
                <w:rFonts w:ascii="Arial Narrow" w:hAnsi="Arial Narrow"/>
              </w:rPr>
            </w:pPr>
            <w:r w:rsidRPr="003A41DB">
              <w:rPr>
                <w:rFonts w:ascii="Arial Narrow" w:hAnsi="Arial Narrow"/>
              </w:rPr>
              <w:t>Extrapolation for OS, PFS, TTD based on best fit for both treatment arms. Atezo+Bev: gamma distributions; sorafenib: log-normal</w:t>
            </w:r>
          </w:p>
        </w:tc>
        <w:tc>
          <w:tcPr>
            <w:tcW w:w="1398" w:type="pct"/>
            <w:shd w:val="clear" w:color="auto" w:fill="FFFFFF" w:themeFill="background1"/>
          </w:tcPr>
          <w:p w:rsidR="00003705" w:rsidRPr="003A41DB" w:rsidRDefault="00003705" w:rsidP="00001CAE">
            <w:pPr>
              <w:pStyle w:val="TableText1"/>
              <w:widowControl w:val="0"/>
              <w:spacing w:before="0" w:after="0"/>
              <w:rPr>
                <w:rFonts w:ascii="Arial Narrow" w:hAnsi="Arial Narrow"/>
              </w:rPr>
            </w:pPr>
            <w:r w:rsidRPr="003A41DB">
              <w:rPr>
                <w:rFonts w:ascii="Arial Narrow" w:hAnsi="Arial Narrow"/>
              </w:rPr>
              <w:t>Same distributions functions were applied to both treatment arms.</w:t>
            </w:r>
          </w:p>
          <w:p w:rsidR="00003705" w:rsidRPr="003A41DB" w:rsidRDefault="00003705" w:rsidP="00001CAE">
            <w:pPr>
              <w:pStyle w:val="TableText1"/>
              <w:widowControl w:val="0"/>
              <w:spacing w:before="0" w:after="0"/>
              <w:rPr>
                <w:rFonts w:ascii="Arial Narrow" w:hAnsi="Arial Narrow"/>
              </w:rPr>
            </w:pPr>
            <w:r w:rsidRPr="003A41DB">
              <w:rPr>
                <w:rFonts w:ascii="Arial Narrow" w:hAnsi="Arial Narrow"/>
              </w:rPr>
              <w:t>OS: exponential; PFS: log-normal; TTD: gamma</w:t>
            </w:r>
          </w:p>
        </w:tc>
        <w:tc>
          <w:tcPr>
            <w:tcW w:w="710" w:type="pct"/>
            <w:shd w:val="clear" w:color="auto" w:fill="FFFFFF" w:themeFill="background1"/>
            <w:vAlign w:val="center"/>
          </w:tcPr>
          <w:p w:rsidR="00003705" w:rsidRPr="003A41DB" w:rsidRDefault="00003705" w:rsidP="00001CAE">
            <w:pPr>
              <w:pStyle w:val="TableText1"/>
              <w:widowControl w:val="0"/>
              <w:spacing w:before="0" w:after="0"/>
              <w:jc w:val="center"/>
              <w:rPr>
                <w:rFonts w:ascii="Arial Narrow" w:hAnsi="Arial Narrow"/>
              </w:rPr>
            </w:pPr>
            <w:r w:rsidRPr="003A41DB">
              <w:rPr>
                <w:rFonts w:ascii="Arial Narrow" w:hAnsi="Arial Narrow"/>
              </w:rPr>
              <w:t>$</w:t>
            </w:r>
            <w:r w:rsidR="008A0CD0">
              <w:rPr>
                <w:rFonts w:ascii="Arial Narrow" w:hAnsi="Arial Narrow"/>
                <w:noProof/>
                <w:color w:val="000000"/>
                <w:highlight w:val="black"/>
              </w:rPr>
              <w:t>'''''''''''''''''</w:t>
            </w:r>
          </w:p>
        </w:tc>
        <w:tc>
          <w:tcPr>
            <w:tcW w:w="710" w:type="pct"/>
            <w:shd w:val="clear" w:color="auto" w:fill="FFFFFF" w:themeFill="background1"/>
            <w:vAlign w:val="center"/>
          </w:tcPr>
          <w:p w:rsidR="00003705" w:rsidRPr="008A0CD0" w:rsidRDefault="008A0CD0" w:rsidP="00001CAE">
            <w:pPr>
              <w:pStyle w:val="TableText1"/>
              <w:widowControl w:val="0"/>
              <w:spacing w:before="0" w:after="0"/>
              <w:jc w:val="center"/>
              <w:rPr>
                <w:rFonts w:ascii="Arial Narrow" w:hAnsi="Arial Narrow"/>
                <w:highlight w:val="black"/>
              </w:rPr>
            </w:pPr>
            <w:r>
              <w:rPr>
                <w:rFonts w:ascii="Arial Narrow" w:hAnsi="Arial Narrow"/>
                <w:noProof/>
                <w:color w:val="000000"/>
                <w:highlight w:val="black"/>
              </w:rPr>
              <w:t>''''''''''''''</w:t>
            </w:r>
          </w:p>
        </w:tc>
        <w:tc>
          <w:tcPr>
            <w:tcW w:w="709" w:type="pct"/>
            <w:shd w:val="clear" w:color="auto" w:fill="FFFFFF" w:themeFill="background1"/>
            <w:vAlign w:val="center"/>
          </w:tcPr>
          <w:p w:rsidR="00003705" w:rsidRPr="003A41DB" w:rsidRDefault="00003705" w:rsidP="00001CAE">
            <w:pPr>
              <w:pStyle w:val="TableText1"/>
              <w:widowControl w:val="0"/>
              <w:spacing w:before="0" w:after="0"/>
              <w:jc w:val="center"/>
              <w:rPr>
                <w:rFonts w:ascii="Arial Narrow" w:hAnsi="Arial Narrow"/>
              </w:rPr>
            </w:pPr>
            <w:r w:rsidRPr="003A41DB">
              <w:rPr>
                <w:rFonts w:ascii="Arial Narrow" w:hAnsi="Arial Narrow"/>
              </w:rPr>
              <w:t>$</w:t>
            </w:r>
            <w:r w:rsidR="008A0CD0">
              <w:rPr>
                <w:rFonts w:ascii="Arial Narrow" w:hAnsi="Arial Narrow"/>
                <w:noProof/>
                <w:color w:val="000000"/>
                <w:highlight w:val="black"/>
              </w:rPr>
              <w:t>''''''''''''''''</w:t>
            </w:r>
          </w:p>
        </w:tc>
      </w:tr>
      <w:tr w:rsidR="00003705" w:rsidRPr="00E63DF4" w:rsidTr="003A41DB">
        <w:trPr>
          <w:cantSplit/>
        </w:trPr>
        <w:tc>
          <w:tcPr>
            <w:tcW w:w="1473" w:type="pct"/>
            <w:shd w:val="clear" w:color="auto" w:fill="FFFFFF" w:themeFill="background1"/>
          </w:tcPr>
          <w:p w:rsidR="00003705" w:rsidRPr="003A41DB" w:rsidRDefault="00003705" w:rsidP="00001CAE">
            <w:pPr>
              <w:pStyle w:val="TableText1"/>
              <w:widowControl w:val="0"/>
              <w:spacing w:before="0" w:after="0"/>
              <w:rPr>
                <w:rFonts w:ascii="Arial Narrow" w:hAnsi="Arial Narrow"/>
              </w:rPr>
            </w:pPr>
            <w:r w:rsidRPr="003A41DB">
              <w:rPr>
                <w:rFonts w:ascii="Arial Narrow" w:hAnsi="Arial Narrow"/>
              </w:rPr>
              <w:t>Time horizon</w:t>
            </w:r>
          </w:p>
        </w:tc>
        <w:tc>
          <w:tcPr>
            <w:tcW w:w="1398" w:type="pct"/>
            <w:shd w:val="clear" w:color="auto" w:fill="FFFFFF" w:themeFill="background1"/>
          </w:tcPr>
          <w:p w:rsidR="00003705" w:rsidRPr="003A41DB" w:rsidRDefault="00003705" w:rsidP="00001CAE">
            <w:pPr>
              <w:pStyle w:val="TableText1"/>
              <w:widowControl w:val="0"/>
              <w:spacing w:before="0" w:after="0"/>
              <w:rPr>
                <w:rFonts w:ascii="Arial Narrow" w:hAnsi="Arial Narrow"/>
              </w:rPr>
            </w:pPr>
          </w:p>
        </w:tc>
        <w:tc>
          <w:tcPr>
            <w:tcW w:w="710" w:type="pct"/>
            <w:shd w:val="clear" w:color="auto" w:fill="FFFFFF" w:themeFill="background1"/>
            <w:vAlign w:val="center"/>
          </w:tcPr>
          <w:p w:rsidR="00003705" w:rsidRPr="003A41DB" w:rsidRDefault="00003705" w:rsidP="00001CAE">
            <w:pPr>
              <w:pStyle w:val="TableText1"/>
              <w:widowControl w:val="0"/>
              <w:spacing w:before="0" w:after="0"/>
              <w:jc w:val="center"/>
              <w:rPr>
                <w:rFonts w:ascii="Arial Narrow" w:hAnsi="Arial Narrow"/>
              </w:rPr>
            </w:pPr>
          </w:p>
        </w:tc>
        <w:tc>
          <w:tcPr>
            <w:tcW w:w="710" w:type="pct"/>
            <w:shd w:val="clear" w:color="auto" w:fill="FFFFFF" w:themeFill="background1"/>
            <w:vAlign w:val="center"/>
          </w:tcPr>
          <w:p w:rsidR="00003705" w:rsidRPr="00ED1D28" w:rsidRDefault="00003705" w:rsidP="00001CAE">
            <w:pPr>
              <w:pStyle w:val="TableText1"/>
              <w:widowControl w:val="0"/>
              <w:spacing w:before="0" w:after="0"/>
              <w:jc w:val="center"/>
              <w:rPr>
                <w:rFonts w:ascii="Arial Narrow" w:hAnsi="Arial Narrow"/>
              </w:rPr>
            </w:pPr>
          </w:p>
        </w:tc>
        <w:tc>
          <w:tcPr>
            <w:tcW w:w="709" w:type="pct"/>
            <w:shd w:val="clear" w:color="auto" w:fill="FFFFFF" w:themeFill="background1"/>
            <w:vAlign w:val="center"/>
          </w:tcPr>
          <w:p w:rsidR="00003705" w:rsidRPr="003A41DB" w:rsidRDefault="00003705" w:rsidP="00001CAE">
            <w:pPr>
              <w:pStyle w:val="TableText1"/>
              <w:widowControl w:val="0"/>
              <w:spacing w:before="0" w:after="0"/>
              <w:jc w:val="center"/>
              <w:rPr>
                <w:rFonts w:ascii="Arial Narrow" w:hAnsi="Arial Narrow"/>
              </w:rPr>
            </w:pPr>
          </w:p>
        </w:tc>
      </w:tr>
      <w:tr w:rsidR="00003705" w:rsidRPr="00E63DF4" w:rsidTr="003A41DB">
        <w:trPr>
          <w:cantSplit/>
        </w:trPr>
        <w:tc>
          <w:tcPr>
            <w:tcW w:w="1473" w:type="pct"/>
            <w:shd w:val="clear" w:color="auto" w:fill="FFFFFF" w:themeFill="background1"/>
          </w:tcPr>
          <w:p w:rsidR="00003705" w:rsidRPr="003A41DB" w:rsidRDefault="00003705" w:rsidP="00001CAE">
            <w:pPr>
              <w:pStyle w:val="TableText1"/>
              <w:widowControl w:val="0"/>
              <w:spacing w:before="0" w:after="0"/>
              <w:rPr>
                <w:rFonts w:ascii="Arial Narrow" w:hAnsi="Arial Narrow"/>
              </w:rPr>
            </w:pPr>
            <w:r w:rsidRPr="003A41DB">
              <w:rPr>
                <w:rFonts w:ascii="Arial Narrow" w:hAnsi="Arial Narrow"/>
              </w:rPr>
              <w:t>5 years</w:t>
            </w:r>
          </w:p>
        </w:tc>
        <w:tc>
          <w:tcPr>
            <w:tcW w:w="1398" w:type="pct"/>
            <w:shd w:val="clear" w:color="auto" w:fill="FFFFFF" w:themeFill="background1"/>
          </w:tcPr>
          <w:p w:rsidR="00003705" w:rsidRPr="003A41DB" w:rsidRDefault="00003705" w:rsidP="00001CAE">
            <w:pPr>
              <w:pStyle w:val="TableText1"/>
              <w:widowControl w:val="0"/>
              <w:spacing w:before="0" w:after="0"/>
              <w:rPr>
                <w:rFonts w:ascii="Arial Narrow" w:hAnsi="Arial Narrow"/>
              </w:rPr>
            </w:pPr>
            <w:r w:rsidRPr="003A41DB">
              <w:rPr>
                <w:rFonts w:ascii="Arial Narrow" w:hAnsi="Arial Narrow"/>
              </w:rPr>
              <w:t>10 years</w:t>
            </w:r>
          </w:p>
        </w:tc>
        <w:tc>
          <w:tcPr>
            <w:tcW w:w="710" w:type="pct"/>
            <w:shd w:val="clear" w:color="auto" w:fill="FFFFFF" w:themeFill="background1"/>
          </w:tcPr>
          <w:p w:rsidR="00003705" w:rsidRPr="003A41DB" w:rsidRDefault="00003705" w:rsidP="00001CAE">
            <w:pPr>
              <w:pStyle w:val="TableText1"/>
              <w:widowControl w:val="0"/>
              <w:spacing w:before="0" w:after="0"/>
              <w:jc w:val="center"/>
              <w:rPr>
                <w:rFonts w:ascii="Arial Narrow" w:hAnsi="Arial Narrow"/>
              </w:rPr>
            </w:pPr>
            <w:r w:rsidRPr="003A41DB">
              <w:rPr>
                <w:rFonts w:ascii="Arial Narrow" w:hAnsi="Arial Narrow"/>
                <w:iCs/>
              </w:rPr>
              <w:t>$</w:t>
            </w:r>
            <w:r w:rsidR="008A0CD0">
              <w:rPr>
                <w:rFonts w:ascii="Arial Narrow" w:hAnsi="Arial Narrow"/>
                <w:iCs/>
                <w:noProof/>
                <w:color w:val="000000"/>
                <w:highlight w:val="black"/>
              </w:rPr>
              <w:t>''''''''''''''''</w:t>
            </w:r>
          </w:p>
        </w:tc>
        <w:tc>
          <w:tcPr>
            <w:tcW w:w="710" w:type="pct"/>
            <w:shd w:val="clear" w:color="auto" w:fill="FFFFFF" w:themeFill="background1"/>
          </w:tcPr>
          <w:p w:rsidR="00003705" w:rsidRPr="008A0CD0" w:rsidRDefault="008A0CD0" w:rsidP="00001CAE">
            <w:pPr>
              <w:pStyle w:val="TableText1"/>
              <w:widowControl w:val="0"/>
              <w:spacing w:before="0" w:after="0"/>
              <w:jc w:val="center"/>
              <w:rPr>
                <w:rFonts w:ascii="Arial Narrow" w:hAnsi="Arial Narrow"/>
                <w:highlight w:val="black"/>
              </w:rPr>
            </w:pPr>
            <w:r>
              <w:rPr>
                <w:rFonts w:ascii="Arial Narrow" w:hAnsi="Arial Narrow"/>
                <w:noProof/>
                <w:color w:val="000000"/>
                <w:highlight w:val="black"/>
              </w:rPr>
              <w:t>''''''''''''</w:t>
            </w:r>
          </w:p>
        </w:tc>
        <w:tc>
          <w:tcPr>
            <w:tcW w:w="709" w:type="pct"/>
            <w:shd w:val="clear" w:color="auto" w:fill="FFFFFF" w:themeFill="background1"/>
            <w:vAlign w:val="center"/>
          </w:tcPr>
          <w:p w:rsidR="00003705" w:rsidRPr="003A41DB" w:rsidRDefault="00003705" w:rsidP="00001CAE">
            <w:pPr>
              <w:pStyle w:val="TableText1"/>
              <w:widowControl w:val="0"/>
              <w:spacing w:before="0" w:after="0"/>
              <w:jc w:val="center"/>
              <w:rPr>
                <w:rFonts w:ascii="Arial Narrow" w:hAnsi="Arial Narrow"/>
              </w:rPr>
            </w:pPr>
            <w:r w:rsidRPr="003A41DB">
              <w:rPr>
                <w:rFonts w:ascii="Arial Narrow" w:hAnsi="Arial Narrow"/>
              </w:rPr>
              <w:t>$</w:t>
            </w:r>
            <w:r w:rsidR="008A0CD0">
              <w:rPr>
                <w:rFonts w:ascii="Arial Narrow" w:hAnsi="Arial Narrow"/>
                <w:noProof/>
                <w:color w:val="000000"/>
                <w:highlight w:val="black"/>
              </w:rPr>
              <w:t>'''''''''''''''</w:t>
            </w:r>
          </w:p>
        </w:tc>
      </w:tr>
      <w:tr w:rsidR="00003705" w:rsidRPr="00E63DF4" w:rsidTr="003A41DB">
        <w:trPr>
          <w:cantSplit/>
        </w:trPr>
        <w:tc>
          <w:tcPr>
            <w:tcW w:w="1473" w:type="pct"/>
            <w:shd w:val="clear" w:color="auto" w:fill="FFFFFF" w:themeFill="background1"/>
          </w:tcPr>
          <w:p w:rsidR="00003705" w:rsidRPr="003A41DB" w:rsidRDefault="00003705" w:rsidP="00001CAE">
            <w:pPr>
              <w:pStyle w:val="TableText1"/>
              <w:widowControl w:val="0"/>
              <w:spacing w:before="0" w:after="0"/>
              <w:rPr>
                <w:rFonts w:ascii="Arial Narrow" w:hAnsi="Arial Narrow"/>
              </w:rPr>
            </w:pPr>
            <w:r w:rsidRPr="003A41DB">
              <w:rPr>
                <w:rFonts w:ascii="Arial Narrow" w:hAnsi="Arial Narrow"/>
              </w:rPr>
              <w:t xml:space="preserve">7.5 years </w:t>
            </w:r>
            <w:r w:rsidR="00A34386" w:rsidRPr="003A41DB">
              <w:rPr>
                <w:rFonts w:ascii="Arial Narrow" w:hAnsi="Arial Narrow"/>
                <w:b/>
              </w:rPr>
              <w:t>(#3</w:t>
            </w:r>
            <w:r w:rsidRPr="003A41DB">
              <w:rPr>
                <w:rFonts w:ascii="Arial Narrow" w:hAnsi="Arial Narrow"/>
                <w:b/>
              </w:rPr>
              <w:t>)</w:t>
            </w:r>
          </w:p>
        </w:tc>
        <w:tc>
          <w:tcPr>
            <w:tcW w:w="1398" w:type="pct"/>
            <w:shd w:val="clear" w:color="auto" w:fill="FFFFFF" w:themeFill="background1"/>
          </w:tcPr>
          <w:p w:rsidR="00003705" w:rsidRPr="003A41DB" w:rsidRDefault="00003705" w:rsidP="00001CAE">
            <w:pPr>
              <w:pStyle w:val="TableText1"/>
              <w:widowControl w:val="0"/>
              <w:spacing w:before="0" w:after="0"/>
              <w:rPr>
                <w:rFonts w:ascii="Arial Narrow" w:hAnsi="Arial Narrow"/>
              </w:rPr>
            </w:pPr>
            <w:r w:rsidRPr="003A41DB">
              <w:rPr>
                <w:rFonts w:ascii="Arial Narrow" w:hAnsi="Arial Narrow"/>
              </w:rPr>
              <w:t>10 years</w:t>
            </w:r>
          </w:p>
        </w:tc>
        <w:tc>
          <w:tcPr>
            <w:tcW w:w="710" w:type="pct"/>
            <w:shd w:val="clear" w:color="auto" w:fill="FFFFFF" w:themeFill="background1"/>
          </w:tcPr>
          <w:p w:rsidR="00003705" w:rsidRPr="003A41DB" w:rsidRDefault="00003705" w:rsidP="00001CAE">
            <w:pPr>
              <w:pStyle w:val="TableText1"/>
              <w:widowControl w:val="0"/>
              <w:spacing w:before="0" w:after="0"/>
              <w:jc w:val="center"/>
              <w:rPr>
                <w:rFonts w:ascii="Arial Narrow" w:hAnsi="Arial Narrow"/>
              </w:rPr>
            </w:pPr>
            <w:r w:rsidRPr="003A41DB">
              <w:rPr>
                <w:rFonts w:ascii="Arial Narrow" w:hAnsi="Arial Narrow"/>
                <w:iCs/>
              </w:rPr>
              <w:t>$</w:t>
            </w:r>
            <w:r w:rsidR="008A0CD0">
              <w:rPr>
                <w:rFonts w:ascii="Arial Narrow" w:hAnsi="Arial Narrow"/>
                <w:iCs/>
                <w:noProof/>
                <w:color w:val="000000"/>
                <w:highlight w:val="black"/>
              </w:rPr>
              <w:t>''''''''''''''''</w:t>
            </w:r>
          </w:p>
        </w:tc>
        <w:tc>
          <w:tcPr>
            <w:tcW w:w="710" w:type="pct"/>
            <w:shd w:val="clear" w:color="auto" w:fill="FFFFFF" w:themeFill="background1"/>
          </w:tcPr>
          <w:p w:rsidR="00003705" w:rsidRPr="008A0CD0" w:rsidRDefault="008A0CD0" w:rsidP="00001CAE">
            <w:pPr>
              <w:pStyle w:val="TableText1"/>
              <w:widowControl w:val="0"/>
              <w:spacing w:before="0" w:after="0"/>
              <w:jc w:val="center"/>
              <w:rPr>
                <w:rFonts w:ascii="Arial Narrow" w:hAnsi="Arial Narrow"/>
                <w:highlight w:val="black"/>
              </w:rPr>
            </w:pPr>
            <w:r>
              <w:rPr>
                <w:rFonts w:ascii="Arial Narrow" w:hAnsi="Arial Narrow"/>
                <w:noProof/>
                <w:color w:val="000000"/>
                <w:highlight w:val="black"/>
              </w:rPr>
              <w:t>''''''''''''''</w:t>
            </w:r>
          </w:p>
        </w:tc>
        <w:tc>
          <w:tcPr>
            <w:tcW w:w="709" w:type="pct"/>
            <w:shd w:val="clear" w:color="auto" w:fill="FFFFFF" w:themeFill="background1"/>
            <w:vAlign w:val="center"/>
          </w:tcPr>
          <w:p w:rsidR="00003705" w:rsidRPr="003A41DB" w:rsidRDefault="00003705" w:rsidP="00001CAE">
            <w:pPr>
              <w:pStyle w:val="TableText1"/>
              <w:widowControl w:val="0"/>
              <w:spacing w:before="0" w:after="0"/>
              <w:jc w:val="center"/>
              <w:rPr>
                <w:rFonts w:ascii="Arial Narrow" w:hAnsi="Arial Narrow"/>
              </w:rPr>
            </w:pPr>
            <w:r w:rsidRPr="003A41DB">
              <w:rPr>
                <w:rFonts w:ascii="Arial Narrow" w:hAnsi="Arial Narrow"/>
              </w:rPr>
              <w:t>$</w:t>
            </w:r>
            <w:r w:rsidR="008A0CD0">
              <w:rPr>
                <w:rFonts w:ascii="Arial Narrow" w:hAnsi="Arial Narrow"/>
                <w:noProof/>
                <w:color w:val="000000"/>
                <w:highlight w:val="black"/>
              </w:rPr>
              <w:t>'''''''''''''''</w:t>
            </w:r>
          </w:p>
        </w:tc>
      </w:tr>
      <w:tr w:rsidR="00003705" w:rsidRPr="00E63DF4" w:rsidTr="003A41DB">
        <w:trPr>
          <w:cantSplit/>
        </w:trPr>
        <w:tc>
          <w:tcPr>
            <w:tcW w:w="5000" w:type="pct"/>
            <w:gridSpan w:val="5"/>
            <w:shd w:val="clear" w:color="auto" w:fill="FFFFFF" w:themeFill="background1"/>
            <w:vAlign w:val="center"/>
          </w:tcPr>
          <w:p w:rsidR="00003705" w:rsidRPr="003A41DB" w:rsidRDefault="00003705" w:rsidP="00001CAE">
            <w:pPr>
              <w:pStyle w:val="TableText1"/>
              <w:widowControl w:val="0"/>
              <w:spacing w:before="0" w:after="0"/>
              <w:rPr>
                <w:rFonts w:ascii="Arial Narrow" w:hAnsi="Arial Narrow"/>
                <w:b/>
              </w:rPr>
            </w:pPr>
            <w:r w:rsidRPr="003A41DB">
              <w:rPr>
                <w:rFonts w:ascii="Arial Narrow" w:hAnsi="Arial Narrow"/>
                <w:b/>
              </w:rPr>
              <w:t>Multivariate analysis</w:t>
            </w:r>
          </w:p>
        </w:tc>
      </w:tr>
      <w:tr w:rsidR="00003705" w:rsidRPr="00E63DF4" w:rsidTr="003A41DB">
        <w:trPr>
          <w:cantSplit/>
        </w:trPr>
        <w:tc>
          <w:tcPr>
            <w:tcW w:w="1473" w:type="pct"/>
            <w:shd w:val="clear" w:color="auto" w:fill="FFFFFF" w:themeFill="background1"/>
          </w:tcPr>
          <w:p w:rsidR="00003705" w:rsidRPr="006B6F89" w:rsidRDefault="00003705" w:rsidP="00001CAE">
            <w:pPr>
              <w:pStyle w:val="TableText1"/>
              <w:widowControl w:val="0"/>
              <w:spacing w:before="0" w:after="0"/>
              <w:rPr>
                <w:rFonts w:ascii="Arial Narrow" w:hAnsi="Arial Narrow"/>
              </w:rPr>
            </w:pPr>
            <w:r w:rsidRPr="006B6F89">
              <w:rPr>
                <w:rFonts w:ascii="Arial Narrow" w:hAnsi="Arial Narrow"/>
                <w:iCs/>
              </w:rPr>
              <w:t>Using disease status (PFS) for costs and QALYs in both treatment arms. And using ‘progression free’ utility values for Atezo+Bev (0.749) and sorafenib (0.744), and ‘progresses’ utility value for both arms (0.698)</w:t>
            </w:r>
            <w:r w:rsidR="00B70B70" w:rsidRPr="006B6F89">
              <w:rPr>
                <w:rFonts w:ascii="Arial Narrow" w:hAnsi="Arial Narrow"/>
                <w:iCs/>
                <w:vertAlign w:val="superscript"/>
              </w:rPr>
              <w:t>a</w:t>
            </w:r>
          </w:p>
        </w:tc>
        <w:tc>
          <w:tcPr>
            <w:tcW w:w="1398" w:type="pct"/>
            <w:shd w:val="clear" w:color="auto" w:fill="FFFFFF" w:themeFill="background1"/>
          </w:tcPr>
          <w:p w:rsidR="00003705" w:rsidRPr="006B6F89" w:rsidRDefault="00003705" w:rsidP="00001CAE">
            <w:pPr>
              <w:pStyle w:val="TableText1"/>
              <w:widowControl w:val="0"/>
              <w:spacing w:before="0" w:after="0"/>
              <w:rPr>
                <w:rFonts w:ascii="Arial Narrow" w:hAnsi="Arial Narrow"/>
              </w:rPr>
            </w:pPr>
            <w:r w:rsidRPr="006B6F89">
              <w:rPr>
                <w:rFonts w:ascii="Arial Narrow" w:hAnsi="Arial Narrow"/>
                <w:iCs/>
              </w:rPr>
              <w:t>Used treatment status (TTD) for cost and QALYs in both treatment arms. With utility values based on ‘on treatment’ Atezo+Bev (0.769) and sorafenib (0.724); and ‘off treatment’ for both arms (0.627).</w:t>
            </w:r>
          </w:p>
        </w:tc>
        <w:tc>
          <w:tcPr>
            <w:tcW w:w="710" w:type="pct"/>
            <w:shd w:val="clear" w:color="auto" w:fill="FFFFFF" w:themeFill="background1"/>
            <w:vAlign w:val="center"/>
          </w:tcPr>
          <w:p w:rsidR="00003705" w:rsidRPr="003A41DB" w:rsidRDefault="00003705" w:rsidP="00001CAE">
            <w:pPr>
              <w:pStyle w:val="TableText1"/>
              <w:widowControl w:val="0"/>
              <w:spacing w:before="0" w:after="0"/>
              <w:jc w:val="center"/>
              <w:rPr>
                <w:rFonts w:ascii="Arial Narrow" w:hAnsi="Arial Narrow"/>
              </w:rPr>
            </w:pPr>
            <w:r w:rsidRPr="003A41DB">
              <w:rPr>
                <w:rFonts w:ascii="Arial Narrow" w:hAnsi="Arial Narrow"/>
                <w:iCs/>
              </w:rPr>
              <w:t>$</w:t>
            </w:r>
            <w:r w:rsidR="008A0CD0">
              <w:rPr>
                <w:rFonts w:ascii="Arial Narrow" w:hAnsi="Arial Narrow"/>
                <w:iCs/>
                <w:noProof/>
                <w:color w:val="000000"/>
                <w:highlight w:val="black"/>
              </w:rPr>
              <w:t>'''''''''''''''</w:t>
            </w:r>
          </w:p>
        </w:tc>
        <w:tc>
          <w:tcPr>
            <w:tcW w:w="710" w:type="pct"/>
            <w:shd w:val="clear" w:color="auto" w:fill="FFFFFF" w:themeFill="background1"/>
            <w:vAlign w:val="center"/>
          </w:tcPr>
          <w:p w:rsidR="00003705" w:rsidRPr="008A0CD0" w:rsidRDefault="008A0CD0" w:rsidP="00001CAE">
            <w:pPr>
              <w:pStyle w:val="TableText1"/>
              <w:widowControl w:val="0"/>
              <w:spacing w:before="0" w:after="0"/>
              <w:jc w:val="center"/>
              <w:rPr>
                <w:rFonts w:ascii="Arial Narrow" w:hAnsi="Arial Narrow"/>
                <w:highlight w:val="black"/>
              </w:rPr>
            </w:pPr>
            <w:r>
              <w:rPr>
                <w:rFonts w:ascii="Arial Narrow" w:hAnsi="Arial Narrow"/>
                <w:iCs/>
                <w:noProof/>
                <w:color w:val="000000"/>
                <w:highlight w:val="black"/>
              </w:rPr>
              <w:t>''''''''''''</w:t>
            </w:r>
          </w:p>
        </w:tc>
        <w:tc>
          <w:tcPr>
            <w:tcW w:w="709" w:type="pct"/>
            <w:shd w:val="clear" w:color="auto" w:fill="FFFFFF" w:themeFill="background1"/>
            <w:vAlign w:val="center"/>
          </w:tcPr>
          <w:p w:rsidR="00003705" w:rsidRPr="003A41DB" w:rsidRDefault="00003705" w:rsidP="00001CAE">
            <w:pPr>
              <w:pStyle w:val="TableText1"/>
              <w:widowControl w:val="0"/>
              <w:spacing w:before="0" w:after="0"/>
              <w:jc w:val="center"/>
              <w:rPr>
                <w:rFonts w:ascii="Arial Narrow" w:hAnsi="Arial Narrow"/>
              </w:rPr>
            </w:pPr>
            <w:r w:rsidRPr="003A41DB">
              <w:rPr>
                <w:rFonts w:ascii="Arial Narrow" w:hAnsi="Arial Narrow"/>
                <w:iCs/>
              </w:rPr>
              <w:t>$</w:t>
            </w:r>
            <w:r w:rsidR="008A0CD0">
              <w:rPr>
                <w:rFonts w:ascii="Arial Narrow" w:hAnsi="Arial Narrow"/>
                <w:iCs/>
                <w:noProof/>
                <w:color w:val="000000"/>
                <w:highlight w:val="black"/>
              </w:rPr>
              <w:t>''''''''''''''''''</w:t>
            </w:r>
          </w:p>
        </w:tc>
      </w:tr>
      <w:tr w:rsidR="00003705" w:rsidRPr="00E63DF4" w:rsidTr="003A41DB">
        <w:trPr>
          <w:cantSplit/>
        </w:trPr>
        <w:tc>
          <w:tcPr>
            <w:tcW w:w="1473" w:type="pct"/>
            <w:shd w:val="clear" w:color="auto" w:fill="FFFFFF" w:themeFill="background1"/>
          </w:tcPr>
          <w:p w:rsidR="00003705" w:rsidRPr="003A41DB" w:rsidRDefault="00003705" w:rsidP="00C2003B">
            <w:pPr>
              <w:pStyle w:val="TableText1"/>
              <w:widowControl w:val="0"/>
              <w:spacing w:before="0" w:after="0"/>
              <w:rPr>
                <w:rFonts w:ascii="Arial Narrow" w:hAnsi="Arial Narrow"/>
                <w:iCs/>
              </w:rPr>
            </w:pPr>
            <w:r w:rsidRPr="003A41DB">
              <w:rPr>
                <w:rFonts w:ascii="Arial Narrow" w:hAnsi="Arial Narrow"/>
                <w:iCs/>
              </w:rPr>
              <w:t>#</w:t>
            </w:r>
            <w:r w:rsidR="00A34386" w:rsidRPr="003A41DB">
              <w:rPr>
                <w:rFonts w:ascii="Arial Narrow" w:hAnsi="Arial Narrow"/>
                <w:iCs/>
              </w:rPr>
              <w:t>1 + #2 + #3</w:t>
            </w:r>
            <w:r w:rsidR="00B70B70" w:rsidRPr="003A41DB">
              <w:rPr>
                <w:rFonts w:ascii="Arial Narrow" w:hAnsi="Arial Narrow"/>
                <w:iCs/>
                <w:vertAlign w:val="superscript"/>
              </w:rPr>
              <w:t>b</w:t>
            </w:r>
          </w:p>
        </w:tc>
        <w:tc>
          <w:tcPr>
            <w:tcW w:w="1398" w:type="pct"/>
            <w:shd w:val="clear" w:color="auto" w:fill="FFFFFF" w:themeFill="background1"/>
          </w:tcPr>
          <w:p w:rsidR="00003705" w:rsidRPr="003A41DB" w:rsidRDefault="00003705" w:rsidP="00001CAE">
            <w:pPr>
              <w:pStyle w:val="TableText1"/>
              <w:widowControl w:val="0"/>
              <w:spacing w:before="0" w:after="0"/>
              <w:rPr>
                <w:rFonts w:ascii="Arial Narrow" w:hAnsi="Arial Narrow"/>
                <w:iCs/>
              </w:rPr>
            </w:pPr>
          </w:p>
        </w:tc>
        <w:tc>
          <w:tcPr>
            <w:tcW w:w="710" w:type="pct"/>
            <w:shd w:val="clear" w:color="auto" w:fill="FFFFFF" w:themeFill="background1"/>
          </w:tcPr>
          <w:p w:rsidR="00003705" w:rsidRPr="003A41DB" w:rsidRDefault="00003705" w:rsidP="00001CAE">
            <w:pPr>
              <w:pStyle w:val="TableText1"/>
              <w:widowControl w:val="0"/>
              <w:spacing w:before="0" w:after="0"/>
              <w:jc w:val="center"/>
              <w:rPr>
                <w:rFonts w:ascii="Arial Narrow" w:hAnsi="Arial Narrow"/>
                <w:iCs/>
              </w:rPr>
            </w:pPr>
            <w:r w:rsidRPr="003A41DB">
              <w:rPr>
                <w:rFonts w:ascii="Arial Narrow" w:hAnsi="Arial Narrow"/>
              </w:rPr>
              <w:t>$</w:t>
            </w:r>
            <w:r w:rsidR="008A0CD0">
              <w:rPr>
                <w:rFonts w:ascii="Arial Narrow" w:hAnsi="Arial Narrow"/>
                <w:noProof/>
                <w:color w:val="000000"/>
                <w:highlight w:val="black"/>
              </w:rPr>
              <w:t>''''''''''''''''</w:t>
            </w:r>
          </w:p>
        </w:tc>
        <w:tc>
          <w:tcPr>
            <w:tcW w:w="710" w:type="pct"/>
            <w:shd w:val="clear" w:color="auto" w:fill="FFFFFF" w:themeFill="background1"/>
          </w:tcPr>
          <w:p w:rsidR="00003705" w:rsidRPr="008A0CD0" w:rsidRDefault="008A0CD0" w:rsidP="00001CAE">
            <w:pPr>
              <w:pStyle w:val="TableText1"/>
              <w:widowControl w:val="0"/>
              <w:spacing w:before="0" w:after="0"/>
              <w:jc w:val="center"/>
              <w:rPr>
                <w:rFonts w:ascii="Arial Narrow" w:hAnsi="Arial Narrow"/>
                <w:iCs/>
                <w:highlight w:val="black"/>
              </w:rPr>
            </w:pPr>
            <w:r>
              <w:rPr>
                <w:rFonts w:ascii="Arial Narrow" w:hAnsi="Arial Narrow"/>
                <w:noProof/>
                <w:color w:val="000000"/>
                <w:highlight w:val="black"/>
              </w:rPr>
              <w:t>'''''''''''''</w:t>
            </w:r>
          </w:p>
        </w:tc>
        <w:tc>
          <w:tcPr>
            <w:tcW w:w="709" w:type="pct"/>
            <w:shd w:val="clear" w:color="auto" w:fill="FFFFFF" w:themeFill="background1"/>
            <w:vAlign w:val="center"/>
          </w:tcPr>
          <w:p w:rsidR="00003705" w:rsidRPr="003A41DB" w:rsidRDefault="00003705" w:rsidP="00001CAE">
            <w:pPr>
              <w:pStyle w:val="TableText1"/>
              <w:widowControl w:val="0"/>
              <w:spacing w:before="0" w:after="0"/>
              <w:jc w:val="center"/>
              <w:rPr>
                <w:rFonts w:ascii="Arial Narrow" w:hAnsi="Arial Narrow"/>
                <w:iCs/>
              </w:rPr>
            </w:pPr>
            <w:r w:rsidRPr="003A41DB">
              <w:rPr>
                <w:rFonts w:ascii="Arial Narrow" w:hAnsi="Arial Narrow"/>
                <w:iCs/>
              </w:rPr>
              <w:t>$</w:t>
            </w:r>
            <w:r w:rsidR="008A0CD0">
              <w:rPr>
                <w:rFonts w:ascii="Arial Narrow" w:hAnsi="Arial Narrow"/>
                <w:iCs/>
                <w:noProof/>
                <w:color w:val="000000"/>
                <w:highlight w:val="black"/>
              </w:rPr>
              <w:t>'''''''''''''''''</w:t>
            </w:r>
          </w:p>
        </w:tc>
      </w:tr>
    </w:tbl>
    <w:p w:rsidR="00003705" w:rsidRPr="00E63DF4" w:rsidRDefault="00003705" w:rsidP="00003705">
      <w:pPr>
        <w:pStyle w:val="TableFigureFooter"/>
      </w:pPr>
      <w:r w:rsidRPr="00E63DF4">
        <w:t>Source: Table 3.28, p127, Table 3.29, p129, Tabl</w:t>
      </w:r>
      <w:r w:rsidR="002B55B9" w:rsidRPr="00E63DF4">
        <w:t>e 3.30, p131 of the submission.</w:t>
      </w:r>
    </w:p>
    <w:p w:rsidR="00003705" w:rsidRPr="00E63DF4" w:rsidRDefault="00003705" w:rsidP="00003705">
      <w:pPr>
        <w:pStyle w:val="TableFigureFooter"/>
      </w:pPr>
      <w:r w:rsidRPr="00E63DF4">
        <w:lastRenderedPageBreak/>
        <w:t>Abbreviations: AIC = Akaike Information Criteria; BIC = Bayesian Information Criteria; OS = overall survival; PD = progressed disease; PFS = progression-free survival; TTD = time to treatment discontinuation.</w:t>
      </w:r>
    </w:p>
    <w:p w:rsidR="00003705" w:rsidRPr="00E63DF4" w:rsidRDefault="00003705" w:rsidP="00003705">
      <w:pPr>
        <w:pStyle w:val="TableFigureFooter"/>
      </w:pPr>
      <w:r w:rsidRPr="00E63DF4">
        <w:t xml:space="preserve">Note: </w:t>
      </w:r>
    </w:p>
    <w:p w:rsidR="00003705" w:rsidRPr="00E63DF4" w:rsidRDefault="00B70B70" w:rsidP="00003705">
      <w:pPr>
        <w:pStyle w:val="TableFigureFooter"/>
      </w:pPr>
      <w:r w:rsidRPr="00E63DF4">
        <w:t>a</w:t>
      </w:r>
      <w:r w:rsidR="00003705" w:rsidRPr="00E63DF4">
        <w:t xml:space="preserve"> </w:t>
      </w:r>
      <w:bookmarkStart w:id="25" w:name="_Hlk40537881"/>
      <w:r w:rsidR="00003705" w:rsidRPr="00E63DF4">
        <w:t>The value was estimated by changing the formula in the excel workbook ‘Economic Evaluation’, sheet ‘Atezo+Bev’ cells [AR7:AR1051] and [BC7:BC1051] to corresponding rows in column [M] (PFS values); in sheet ‘Sorafenib’ cells [AP7:AP1051] to corresponding rows in column [M] (PFS values).</w:t>
      </w:r>
      <w:bookmarkEnd w:id="25"/>
    </w:p>
    <w:p w:rsidR="00003705" w:rsidRDefault="00B70B70" w:rsidP="00003705">
      <w:pPr>
        <w:pStyle w:val="TableFigureFooter"/>
      </w:pPr>
      <w:r w:rsidRPr="00E63DF4">
        <w:t>b</w:t>
      </w:r>
      <w:r w:rsidR="00003705" w:rsidRPr="00E63DF4">
        <w:t xml:space="preserve"> Multivariate sensitivity analysis</w:t>
      </w:r>
      <w:r w:rsidR="00AB23D7" w:rsidRPr="00E63DF4">
        <w:t xml:space="preserve"> added for ESC ADV</w:t>
      </w:r>
      <w:r w:rsidR="00003705" w:rsidRPr="00E63DF4">
        <w:t xml:space="preserve"> with convergence from 36 months, best fit extrapolation and 7.5 year time horizon.</w:t>
      </w:r>
    </w:p>
    <w:p w:rsidR="008F1B83" w:rsidRDefault="008F1B83" w:rsidP="00003705">
      <w:pPr>
        <w:pStyle w:val="TableFigureFooter"/>
      </w:pPr>
    </w:p>
    <w:p w:rsidR="008F1B83" w:rsidRPr="008F1B83" w:rsidRDefault="008F1B83" w:rsidP="00003705">
      <w:pPr>
        <w:pStyle w:val="TableFigureFooter"/>
        <w:rPr>
          <w:rFonts w:asciiTheme="minorHAnsi" w:hAnsiTheme="minorHAnsi" w:cstheme="minorHAnsi"/>
          <w:i/>
          <w:sz w:val="24"/>
          <w:szCs w:val="24"/>
        </w:rPr>
      </w:pPr>
      <w:r>
        <w:rPr>
          <w:rFonts w:asciiTheme="minorHAnsi" w:hAnsiTheme="minorHAnsi" w:cstheme="minorHAnsi"/>
          <w:i/>
          <w:sz w:val="24"/>
          <w:szCs w:val="24"/>
        </w:rPr>
        <w:t xml:space="preserve">The redacted table shows ICERs in the range of $15,000 to &lt; $25,000 per QALY, to $135,000 to &lt; $155,000 per QALY. </w:t>
      </w:r>
    </w:p>
    <w:p w:rsidR="00F40964" w:rsidRPr="00E63DF4" w:rsidRDefault="00F40964" w:rsidP="00F40964">
      <w:pPr>
        <w:pStyle w:val="3-BodyText"/>
      </w:pPr>
      <w:r w:rsidRPr="00E63DF4">
        <w:t xml:space="preserve">The ESC considered that extrapolation of the 8.6 months follow-up to a time horizon of 10 years was not supported. The ESC noted that advanced HCC patients in a lenvatinib vs. sorafenib study (Kudo et al) had 3 year survival of 15%, and sorafenib patients in the SEER database had 2 year survival of &lt;10%, making a 10-year time horizon unrealistic. The ESC considered that a time horizon of 5 or 7.5 years would </w:t>
      </w:r>
      <w:r w:rsidR="00235DAE" w:rsidRPr="00E63DF4">
        <w:t>be reasonable</w:t>
      </w:r>
      <w:r w:rsidRPr="00E63DF4">
        <w:t>, despite the possibility of a small percentage of patients having a durable response.</w:t>
      </w:r>
      <w:r w:rsidR="008E1DA0" w:rsidRPr="00E63DF4">
        <w:t xml:space="preserve"> If the time horizon is decreased to 7.5 years, the ICER increase</w:t>
      </w:r>
      <w:r w:rsidR="00F05877" w:rsidRPr="00E63DF4">
        <w:t>d</w:t>
      </w:r>
      <w:r w:rsidR="008E1DA0" w:rsidRPr="00E63DF4">
        <w:t xml:space="preserve"> to $</w:t>
      </w:r>
      <w:r w:rsidR="00D30754">
        <w:t>45,000 to &lt; $55,000 per QALY</w:t>
      </w:r>
      <w:r w:rsidR="008E1DA0" w:rsidRPr="00E63DF4">
        <w:t>; if it is decreased to 5 years, the ICER i</w:t>
      </w:r>
      <w:r w:rsidR="005D0DB5" w:rsidRPr="00E63DF4">
        <w:t>ncrease</w:t>
      </w:r>
      <w:r w:rsidR="00F05877" w:rsidRPr="00E63DF4">
        <w:t>d</w:t>
      </w:r>
      <w:r w:rsidR="005D0DB5" w:rsidRPr="00E63DF4">
        <w:t xml:space="preserve"> to $</w:t>
      </w:r>
      <w:r w:rsidR="00D30754">
        <w:t>55,000 to &lt; $75,000 per QALY</w:t>
      </w:r>
      <w:r w:rsidR="005D0DB5" w:rsidRPr="00E63DF4">
        <w:t xml:space="preserve"> (Table 15).</w:t>
      </w:r>
      <w:r w:rsidRPr="00E63DF4">
        <w:t xml:space="preserve"> </w:t>
      </w:r>
      <w:r w:rsidR="00B271C1" w:rsidRPr="00E63DF4">
        <w:t>The ESC noted that while sorafenib was recommended in 2008 using a 10 year time horizon, it considered a 5 or 7.5 year time horizon w</w:t>
      </w:r>
      <w:r w:rsidR="009808F3" w:rsidRPr="00E63DF4">
        <w:t xml:space="preserve">ould be </w:t>
      </w:r>
      <w:r w:rsidR="00B271C1" w:rsidRPr="00E63DF4">
        <w:t xml:space="preserve"> more appropriate for </w:t>
      </w:r>
      <w:r w:rsidR="005D0DB5" w:rsidRPr="00E63DF4">
        <w:t>Atezo+Bev</w:t>
      </w:r>
      <w:r w:rsidR="00B271C1" w:rsidRPr="00E63DF4">
        <w:t xml:space="preserve"> given the immature clinical data and the extent of extrapolation.</w:t>
      </w:r>
      <w:r w:rsidR="00B271C1" w:rsidRPr="00E63DF4" w:rsidDel="00B271C1">
        <w:t xml:space="preserve"> </w:t>
      </w:r>
      <w:r w:rsidR="005D0DB5" w:rsidRPr="00E63DF4">
        <w:t xml:space="preserve">The pre-PBAC response stated that </w:t>
      </w:r>
      <w:r w:rsidR="005D0DB5" w:rsidRPr="00E63DF4">
        <w:rPr>
          <w:rFonts w:ascii="Calibri" w:hAnsi="Calibri" w:cs="Calibri"/>
          <w:bCs/>
          <w:szCs w:val="22"/>
        </w:rPr>
        <w:t>a 5-year time horizon is overly conservative, especially in the context that the median survival improvement with Atezo+Bev over sorafenib is expected to exceed the survival improvement observed with sorafenib over best supportive care.</w:t>
      </w:r>
      <w:r w:rsidR="009808F3" w:rsidRPr="00E63DF4">
        <w:rPr>
          <w:rFonts w:ascii="Calibri" w:hAnsi="Calibri" w:cs="Calibri"/>
          <w:bCs/>
          <w:szCs w:val="22"/>
        </w:rPr>
        <w:t xml:space="preserve"> </w:t>
      </w:r>
    </w:p>
    <w:p w:rsidR="00F40964" w:rsidRPr="00E63DF4" w:rsidRDefault="00F40964" w:rsidP="00F40964">
      <w:pPr>
        <w:pStyle w:val="3-BodyText"/>
      </w:pPr>
      <w:r w:rsidRPr="00E63DF4">
        <w:t>Regarding OS curve convergence, the Sponsor stated in the PSCR that the convergence commencing from 8.6 months (median follow-up) to 10 years (time horizon), generating an ICER of $</w:t>
      </w:r>
      <w:r w:rsidR="00D30754">
        <w:t>135,000 to &lt; $155,000 per QALY</w:t>
      </w:r>
      <w:r w:rsidRPr="00E63DF4">
        <w:t xml:space="preserve">, was improbable, since the life-years gained </w:t>
      </w:r>
      <w:r w:rsidR="00785628" w:rsidRPr="00E63DF4">
        <w:t>wa</w:t>
      </w:r>
      <w:r w:rsidRPr="00E63DF4">
        <w:t xml:space="preserve">s </w:t>
      </w:r>
      <w:r w:rsidR="008A0CD0">
        <w:rPr>
          <w:noProof/>
          <w:color w:val="000000"/>
          <w:highlight w:val="black"/>
        </w:rPr>
        <w:t>''''''''''</w:t>
      </w:r>
      <w:r w:rsidRPr="00E63DF4">
        <w:t xml:space="preserve"> (i.e. an average survival improvement of </w:t>
      </w:r>
      <w:r w:rsidR="008A0CD0">
        <w:rPr>
          <w:noProof/>
          <w:color w:val="000000"/>
          <w:highlight w:val="black"/>
        </w:rPr>
        <w:t>''''''</w:t>
      </w:r>
      <w:r w:rsidRPr="00E63DF4">
        <w:t xml:space="preserve"> months). The Sponsor </w:t>
      </w:r>
      <w:r w:rsidR="00336837" w:rsidRPr="00E63DF4">
        <w:t>noted</w:t>
      </w:r>
      <w:r w:rsidRPr="00E63DF4">
        <w:t xml:space="preserve"> the 25</w:t>
      </w:r>
      <w:r w:rsidRPr="00E63DF4">
        <w:rPr>
          <w:vertAlign w:val="superscript"/>
        </w:rPr>
        <w:t>th</w:t>
      </w:r>
      <w:r w:rsidRPr="00E63DF4">
        <w:t xml:space="preserve"> percentile OS improvement </w:t>
      </w:r>
      <w:r w:rsidR="00785628" w:rsidRPr="00E63DF4">
        <w:t>was</w:t>
      </w:r>
      <w:r w:rsidRPr="00E63DF4">
        <w:t xml:space="preserve"> 3 months, with survival curves continuing to diverge with longer follow-up. The ESC considered that the Sponsor’s base case with no curve convergence was not appropriate; however, the ESC agreed with the PSCR that convergence from 8.6 months may </w:t>
      </w:r>
      <w:r w:rsidR="00BD7522" w:rsidRPr="00E63DF4">
        <w:t>be overly conservative, although noted it provided a reasonable lower bound</w:t>
      </w:r>
      <w:r w:rsidRPr="00E63DF4">
        <w:t xml:space="preserve">. </w:t>
      </w:r>
      <w:r w:rsidR="00235DAE" w:rsidRPr="00E63DF4">
        <w:t>If convergence is applied from 36 months, the ICER increase</w:t>
      </w:r>
      <w:r w:rsidR="00785628" w:rsidRPr="00E63DF4">
        <w:t>d</w:t>
      </w:r>
      <w:r w:rsidR="00235DAE" w:rsidRPr="00E63DF4">
        <w:t xml:space="preserve"> to $</w:t>
      </w:r>
      <w:r w:rsidR="000A60F8">
        <w:t>55,000 to &lt; $75,000</w:t>
      </w:r>
      <w:r w:rsidR="00235DAE" w:rsidRPr="00E63DF4">
        <w:t xml:space="preserve"> per QALY gained</w:t>
      </w:r>
      <w:r w:rsidR="00C54EE1" w:rsidRPr="00E63DF4">
        <w:t xml:space="preserve"> (Table 15)</w:t>
      </w:r>
      <w:r w:rsidR="00235DAE" w:rsidRPr="00E63DF4">
        <w:t>, compared to $</w:t>
      </w:r>
      <w:r w:rsidR="000A60F8">
        <w:t>45,000 to &lt; $55,000</w:t>
      </w:r>
      <w:r w:rsidR="00235DAE" w:rsidRPr="00E63DF4">
        <w:t xml:space="preserve"> per QALY gained in the base case (which assumed no convergence of the OS curves).</w:t>
      </w:r>
    </w:p>
    <w:p w:rsidR="00F40964" w:rsidRPr="00E63DF4" w:rsidRDefault="00F40964" w:rsidP="00F40964">
      <w:pPr>
        <w:pStyle w:val="3-BodyText"/>
      </w:pPr>
      <w:r w:rsidRPr="00E63DF4">
        <w:t xml:space="preserve">The submission applied an exponential distribution to the extrapolation of OS curves which may have favoured Atezo+Bev. The choice of extrapolation function was based on the OS data for Atezo+Bev, that were immature at the data cut-off, and the chosen function was not the best fit based on AIC and BIC. The AIC and BIC results indicate that the log-normal function has the best fit for sorafenib. The Sponsor responded in the PSCR that best statistical fit does not always result in clinically plausible estimates, and further noted that the best statistical fit for both intervention and comparator </w:t>
      </w:r>
      <w:r w:rsidRPr="00E63DF4">
        <w:lastRenderedPageBreak/>
        <w:t xml:space="preserve">arms (not just the sorafenib arm) was a log-normal function that generated an ICER of </w:t>
      </w:r>
      <w:r w:rsidR="00F6385C" w:rsidRPr="00E63DF4">
        <w:t>$</w:t>
      </w:r>
      <w:r w:rsidR="00F6385C">
        <w:t xml:space="preserve">55,000 to &lt; $75,000 per </w:t>
      </w:r>
      <w:r w:rsidRPr="00E63DF4">
        <w:t>QALY gained, which was similar to the base case. The ESC noted that the extrapolation function was a key driver of the model.</w:t>
      </w:r>
      <w:r w:rsidR="003A12BC" w:rsidRPr="00E63DF4">
        <w:t xml:space="preserve"> The AIC and BIC results indicate that the gamma function has the best fit for Atezo+Bev and the log-normal function has the best fit for sorafenib. If these functions are applied, the ICER is $</w:t>
      </w:r>
      <w:r w:rsidR="000A60F8">
        <w:t>55,000 to &lt; $75,000</w:t>
      </w:r>
      <w:r w:rsidR="003A12BC" w:rsidRPr="00E63DF4">
        <w:t xml:space="preserve"> per QALY gained</w:t>
      </w:r>
      <w:r w:rsidR="00C54EE1" w:rsidRPr="00E63DF4">
        <w:t xml:space="preserve"> (Table 15)</w:t>
      </w:r>
      <w:r w:rsidR="003A12BC" w:rsidRPr="00E63DF4">
        <w:t>.</w:t>
      </w:r>
    </w:p>
    <w:p w:rsidR="00FE21A2" w:rsidRPr="00E63DF4" w:rsidRDefault="00F40964" w:rsidP="009B0486">
      <w:pPr>
        <w:pStyle w:val="3-BodyText"/>
      </w:pPr>
      <w:r w:rsidRPr="00E63DF4">
        <w:t>The base case analysis did not include the costs of post-discontinuation therapy even though the clinical impact of those therapies as experienced in IMbrave150 on OS is included. The impact of including post-discontinuation costs was tested in a sensitivity analysis and decreased the ICER to $</w:t>
      </w:r>
      <w:r w:rsidR="000A60F8">
        <w:t>15,000 to &lt; $25,000</w:t>
      </w:r>
      <w:r w:rsidRPr="00E63DF4">
        <w:t xml:space="preserve"> per QALY using cabozantinib as the post-discontinuation therapy. However, the proportions of patients assumed to be using post-discontinuation therapies for the Atezo+Bev arm are likely to be underestimated (since 43.5% of patients were on treatment in Atezo+Bev arm and 14.5% in sorafenib arm, at the data cut-off) and are expected to increase as m</w:t>
      </w:r>
      <w:r w:rsidR="003A12BC" w:rsidRPr="00E63DF4">
        <w:t xml:space="preserve">ore patients come off treatment. </w:t>
      </w:r>
      <w:r w:rsidR="00003705" w:rsidRPr="00E63DF4">
        <w:t>An additional sensitivity analysis using sorafenib as the post-discontinuation therapy increased the ICER from $</w:t>
      </w:r>
      <w:r w:rsidR="000A60F8">
        <w:t>15,000 to &lt; $25,000 per QALY</w:t>
      </w:r>
      <w:r w:rsidR="00A1267D" w:rsidRPr="00E63DF4">
        <w:t xml:space="preserve"> (using cabozanti</w:t>
      </w:r>
      <w:r w:rsidR="00390A6F">
        <w:t>ni</w:t>
      </w:r>
      <w:r w:rsidR="00A1267D" w:rsidRPr="00E63DF4">
        <w:t>b costs)</w:t>
      </w:r>
      <w:r w:rsidR="00003705" w:rsidRPr="00E63DF4">
        <w:t xml:space="preserve"> to $</w:t>
      </w:r>
      <w:r w:rsidR="000A60F8">
        <w:t>45,000 to &lt; $55,000</w:t>
      </w:r>
      <w:r w:rsidR="00003705" w:rsidRPr="00E63DF4">
        <w:t xml:space="preserve"> per QALY gained</w:t>
      </w:r>
      <w:r w:rsidR="00C54EE1" w:rsidRPr="00E63DF4">
        <w:t xml:space="preserve"> (Table 15)</w:t>
      </w:r>
      <w:r w:rsidR="00003705" w:rsidRPr="00E63DF4">
        <w:t>.</w:t>
      </w:r>
      <w:r w:rsidR="00424DAA" w:rsidRPr="00E63DF4">
        <w:t xml:space="preserve"> </w:t>
      </w:r>
    </w:p>
    <w:p w:rsidR="009B0486" w:rsidRPr="00E63DF4" w:rsidRDefault="009B0486" w:rsidP="00F40964">
      <w:pPr>
        <w:pStyle w:val="3-BodyText"/>
      </w:pPr>
      <w:r w:rsidRPr="00E63DF4">
        <w:t xml:space="preserve">The PBAC considered a multivariate analysis incorporating a best fit extrapolation (gamma function for Atezo+Bev and log-normal function for sorafenib), convergence </w:t>
      </w:r>
      <w:r w:rsidR="008F580E" w:rsidRPr="00E63DF4">
        <w:t xml:space="preserve">of survival </w:t>
      </w:r>
      <w:r w:rsidRPr="00E63DF4">
        <w:t>from 36 months and a 7.5 year time horizon generating an ICER of $</w:t>
      </w:r>
      <w:r w:rsidR="000A60F8">
        <w:t>75,000 to &lt; $95,000 per QALY</w:t>
      </w:r>
      <w:r w:rsidRPr="00E63DF4">
        <w:t xml:space="preserve"> (Table 15) provided a reasonable upper bound </w:t>
      </w:r>
      <w:r w:rsidR="00424DAA" w:rsidRPr="00E63DF4">
        <w:t xml:space="preserve">estimate </w:t>
      </w:r>
      <w:r w:rsidRPr="00E63DF4">
        <w:t xml:space="preserve">of </w:t>
      </w:r>
      <w:r w:rsidR="00424DAA" w:rsidRPr="00E63DF4">
        <w:t xml:space="preserve">the </w:t>
      </w:r>
      <w:r w:rsidRPr="00E63DF4">
        <w:t>cost effectiveness</w:t>
      </w:r>
      <w:r w:rsidR="00424DAA" w:rsidRPr="00E63DF4">
        <w:t xml:space="preserve"> of Atezo+Bev</w:t>
      </w:r>
      <w:r w:rsidRPr="00E63DF4">
        <w:t>.</w:t>
      </w:r>
      <w:r w:rsidR="00424DAA" w:rsidRPr="00E63DF4">
        <w:t xml:space="preserve"> </w:t>
      </w:r>
      <w:r w:rsidRPr="00EE28E1">
        <w:t xml:space="preserve">The cost per QALY using the effective price of the comparator is presented in </w:t>
      </w:r>
      <w:r w:rsidR="00DB1F79" w:rsidRPr="00EE28E1">
        <w:t>paragraph 6.43</w:t>
      </w:r>
      <w:r w:rsidRPr="00E63DF4">
        <w:t xml:space="preserve"> (Committee-in-Confidence).</w:t>
      </w:r>
    </w:p>
    <w:p w:rsidR="00FE21A2" w:rsidRPr="0096067B" w:rsidRDefault="00FE21A2" w:rsidP="0096067B">
      <w:pPr>
        <w:jc w:val="center"/>
        <w:rPr>
          <w:b/>
          <w:u w:val="single"/>
        </w:rPr>
      </w:pPr>
      <w:r w:rsidRPr="0096067B">
        <w:rPr>
          <w:b/>
          <w:u w:val="single"/>
        </w:rPr>
        <w:t>Committee-In-Confidence information</w:t>
      </w:r>
    </w:p>
    <w:p w:rsidR="00FF48F8" w:rsidRPr="00E63DF4" w:rsidRDefault="00FE21A2" w:rsidP="00F40964">
      <w:pPr>
        <w:pStyle w:val="3-BodyText"/>
      </w:pPr>
      <w:r w:rsidRPr="00E63DF4">
        <w:rPr>
          <w:iCs/>
        </w:rPr>
        <w:t xml:space="preserve">The ICER using the effective price for </w:t>
      </w:r>
      <w:r w:rsidRPr="004C57A4">
        <w:rPr>
          <w:iCs/>
        </w:rPr>
        <w:t xml:space="preserve">sorafenib </w:t>
      </w:r>
      <w:r w:rsidRPr="00E7086C">
        <w:rPr>
          <w:iCs/>
        </w:rPr>
        <w:t>(</w:t>
      </w:r>
      <w:r w:rsidR="00C35145">
        <w:rPr>
          <w:iCs/>
          <w:noProof/>
          <w:color w:val="000000"/>
          <w:highlight w:val="black"/>
        </w:rPr>
        <w:t>'''''''''''''''''''''</w:t>
      </w:r>
      <w:r w:rsidRPr="004C57A4">
        <w:rPr>
          <w:iCs/>
        </w:rPr>
        <w:t xml:space="preserve"> for 60 x 200 mg tablets) was </w:t>
      </w:r>
      <w:r w:rsidR="00C35145">
        <w:rPr>
          <w:iCs/>
          <w:noProof/>
          <w:color w:val="000000"/>
          <w:highlight w:val="black"/>
        </w:rPr>
        <w:t>'''''''''''''''</w:t>
      </w:r>
      <w:r w:rsidRPr="004C57A4">
        <w:rPr>
          <w:iCs/>
        </w:rPr>
        <w:t xml:space="preserve"> for the base case analysis and </w:t>
      </w:r>
      <w:r w:rsidR="00C35145">
        <w:rPr>
          <w:iCs/>
          <w:noProof/>
          <w:color w:val="000000"/>
          <w:highlight w:val="black"/>
        </w:rPr>
        <w:t>''''''''''''''</w:t>
      </w:r>
      <w:r w:rsidRPr="004C57A4">
        <w:rPr>
          <w:iCs/>
        </w:rPr>
        <w:t xml:space="preserve"> for the multivariate analysis (</w:t>
      </w:r>
      <w:r w:rsidR="00FF104C" w:rsidRPr="004C57A4">
        <w:rPr>
          <w:iCs/>
        </w:rPr>
        <w:t>discussed in paragraph 6.42</w:t>
      </w:r>
      <w:r w:rsidRPr="004C57A4">
        <w:rPr>
          <w:iCs/>
        </w:rPr>
        <w:t>).</w:t>
      </w:r>
      <w:r w:rsidR="00C35145">
        <w:rPr>
          <w:iCs/>
          <w:noProof/>
          <w:color w:val="000000"/>
          <w:highlight w:val="black"/>
        </w:rPr>
        <w:t xml:space="preserve"> </w:t>
      </w:r>
    </w:p>
    <w:p w:rsidR="00FE21A2" w:rsidRPr="0096067B" w:rsidRDefault="00FE21A2" w:rsidP="0096067B">
      <w:pPr>
        <w:jc w:val="center"/>
        <w:rPr>
          <w:b/>
          <w:highlight w:val="yellow"/>
          <w:u w:val="single"/>
        </w:rPr>
      </w:pPr>
      <w:r w:rsidRPr="0096067B">
        <w:rPr>
          <w:b/>
          <w:u w:val="single"/>
        </w:rPr>
        <w:t>End Committee-In-Confidence information</w:t>
      </w:r>
    </w:p>
    <w:p w:rsidR="00F14B46" w:rsidRPr="00E63DF4" w:rsidRDefault="00F14B46" w:rsidP="00F14B46">
      <w:pPr>
        <w:pStyle w:val="4-SubsectionHeading"/>
      </w:pPr>
      <w:bookmarkStart w:id="26" w:name="_Toc22897646"/>
      <w:bookmarkStart w:id="27" w:name="_Toc22898858"/>
      <w:bookmarkStart w:id="28" w:name="_Toc40710597"/>
      <w:r w:rsidRPr="00E63DF4">
        <w:t>Drug</w:t>
      </w:r>
      <w:r w:rsidR="003C47C7" w:rsidRPr="00E63DF4">
        <w:t xml:space="preserve"> </w:t>
      </w:r>
      <w:r w:rsidRPr="00E63DF4">
        <w:t>cost/patient</w:t>
      </w:r>
      <w:bookmarkEnd w:id="26"/>
      <w:bookmarkEnd w:id="27"/>
      <w:bookmarkEnd w:id="28"/>
    </w:p>
    <w:p w:rsidR="00F14B46" w:rsidRPr="00E63DF4" w:rsidRDefault="00970A78" w:rsidP="00121322">
      <w:pPr>
        <w:pStyle w:val="3-BodyText"/>
      </w:pPr>
      <w:r w:rsidRPr="00E63DF4">
        <w:t xml:space="preserve">The cost per patient </w:t>
      </w:r>
      <w:r w:rsidR="00121322" w:rsidRPr="00E63DF4">
        <w:t>is presented in Table 16.</w:t>
      </w:r>
      <w:r w:rsidR="00D568AC" w:rsidRPr="00E63DF4">
        <w:t xml:space="preserve"> </w:t>
      </w:r>
      <w:r w:rsidR="00A079E7" w:rsidRPr="00E63DF4">
        <w:rPr>
          <w:iCs/>
        </w:rPr>
        <w:t>Based on</w:t>
      </w:r>
      <w:r w:rsidR="00470C42" w:rsidRPr="00E63DF4">
        <w:rPr>
          <w:iCs/>
        </w:rPr>
        <w:t xml:space="preserve"> the mean duration of treatment as reported in IMbrave150</w:t>
      </w:r>
      <w:r w:rsidR="00DC50D9" w:rsidRPr="00E63DF4">
        <w:rPr>
          <w:iCs/>
        </w:rPr>
        <w:t xml:space="preserve"> (</w:t>
      </w:r>
      <w:r w:rsidR="008A0CD0">
        <w:rPr>
          <w:iCs/>
          <w:noProof/>
          <w:color w:val="000000"/>
          <w:highlight w:val="black"/>
        </w:rPr>
        <w:t>''''''</w:t>
      </w:r>
      <w:r w:rsidR="00DC50D9" w:rsidRPr="00E63DF4">
        <w:rPr>
          <w:iCs/>
        </w:rPr>
        <w:t xml:space="preserve"> months for atezolizumab, </w:t>
      </w:r>
      <w:r w:rsidR="00DC50D9" w:rsidRPr="00821B49">
        <w:rPr>
          <w:iCs/>
        </w:rPr>
        <w:t xml:space="preserve">and </w:t>
      </w:r>
      <w:r w:rsidR="008A0CD0">
        <w:rPr>
          <w:iCs/>
          <w:noProof/>
          <w:color w:val="000000"/>
          <w:highlight w:val="black"/>
        </w:rPr>
        <w:t>''''''</w:t>
      </w:r>
      <w:r w:rsidR="00DC50D9" w:rsidRPr="00E63DF4">
        <w:rPr>
          <w:iCs/>
        </w:rPr>
        <w:t xml:space="preserve"> months for bevacizumab) the cost of</w:t>
      </w:r>
      <w:r w:rsidR="00785628" w:rsidRPr="00E63DF4">
        <w:rPr>
          <w:iCs/>
        </w:rPr>
        <w:t xml:space="preserve"> the</w:t>
      </w:r>
      <w:r w:rsidR="00DC50D9" w:rsidRPr="00E63DF4">
        <w:rPr>
          <w:iCs/>
        </w:rPr>
        <w:t xml:space="preserve"> </w:t>
      </w:r>
      <w:r w:rsidR="00E235CC" w:rsidRPr="00E63DF4">
        <w:rPr>
          <w:iCs/>
        </w:rPr>
        <w:t>Atezo+Bev</w:t>
      </w:r>
      <w:r w:rsidR="00DC50D9" w:rsidRPr="00E63DF4">
        <w:rPr>
          <w:iCs/>
        </w:rPr>
        <w:t xml:space="preserve"> regimen per pa</w:t>
      </w:r>
      <w:r w:rsidR="00366D40" w:rsidRPr="00E63DF4">
        <w:rPr>
          <w:iCs/>
        </w:rPr>
        <w:t xml:space="preserve">tient per course </w:t>
      </w:r>
      <w:r w:rsidR="00282035" w:rsidRPr="00E63DF4">
        <w:rPr>
          <w:iCs/>
        </w:rPr>
        <w:t>o</w:t>
      </w:r>
      <w:r w:rsidR="00366D40" w:rsidRPr="00E63DF4">
        <w:rPr>
          <w:iCs/>
        </w:rPr>
        <w:t>f treatment was $</w:t>
      </w:r>
      <w:r w:rsidR="008A0CD0">
        <w:rPr>
          <w:iCs/>
          <w:noProof/>
          <w:color w:val="000000"/>
          <w:highlight w:val="black"/>
        </w:rPr>
        <w:t>''''''''''''</w:t>
      </w:r>
      <w:r w:rsidR="00366D40" w:rsidRPr="00E63DF4">
        <w:rPr>
          <w:iCs/>
        </w:rPr>
        <w:t>. This was based on the effective price</w:t>
      </w:r>
      <w:r w:rsidR="00B10510" w:rsidRPr="00E63DF4">
        <w:rPr>
          <w:iCs/>
        </w:rPr>
        <w:t xml:space="preserve"> of $</w:t>
      </w:r>
      <w:r w:rsidR="008A0CD0">
        <w:rPr>
          <w:iCs/>
          <w:noProof/>
          <w:color w:val="000000"/>
          <w:highlight w:val="black"/>
        </w:rPr>
        <w:t>''''''''''''''''</w:t>
      </w:r>
      <w:r w:rsidR="00B10510" w:rsidRPr="00E63DF4">
        <w:rPr>
          <w:iCs/>
        </w:rPr>
        <w:t xml:space="preserve"> for atezolizumab and $</w:t>
      </w:r>
      <w:r w:rsidR="008A0CD0">
        <w:rPr>
          <w:iCs/>
          <w:noProof/>
          <w:color w:val="000000"/>
          <w:highlight w:val="black"/>
        </w:rPr>
        <w:t>''''''</w:t>
      </w:r>
      <w:r w:rsidR="00B10510" w:rsidRPr="00E63DF4">
        <w:rPr>
          <w:iCs/>
        </w:rPr>
        <w:t xml:space="preserve"> for bevacizumab, for a</w:t>
      </w:r>
      <w:r w:rsidR="00173EE5" w:rsidRPr="00E63DF4">
        <w:rPr>
          <w:iCs/>
        </w:rPr>
        <w:t xml:space="preserve"> total of </w:t>
      </w:r>
      <w:r w:rsidR="008A0CD0">
        <w:rPr>
          <w:iCs/>
          <w:noProof/>
          <w:color w:val="000000"/>
          <w:highlight w:val="black"/>
        </w:rPr>
        <w:t>''''''''</w:t>
      </w:r>
      <w:r w:rsidR="00173EE5" w:rsidRPr="00821B49">
        <w:rPr>
          <w:iCs/>
        </w:rPr>
        <w:t xml:space="preserve"> cycles and </w:t>
      </w:r>
      <w:r w:rsidR="008A0CD0">
        <w:rPr>
          <w:iCs/>
          <w:noProof/>
          <w:color w:val="000000"/>
          <w:highlight w:val="black"/>
        </w:rPr>
        <w:t>'''''''''</w:t>
      </w:r>
      <w:r w:rsidR="00E235CC" w:rsidRPr="00821B49">
        <w:rPr>
          <w:iCs/>
        </w:rPr>
        <w:t xml:space="preserve"> cycles</w:t>
      </w:r>
      <w:r w:rsidR="00E235CC" w:rsidRPr="00E63DF4">
        <w:rPr>
          <w:iCs/>
        </w:rPr>
        <w:t>, respectively. Applying the</w:t>
      </w:r>
      <w:r w:rsidR="00B30C88" w:rsidRPr="00E63DF4">
        <w:rPr>
          <w:iCs/>
        </w:rPr>
        <w:t xml:space="preserve"> proportion of use in public (</w:t>
      </w:r>
      <w:r w:rsidR="00C11B7B" w:rsidRPr="00E63DF4">
        <w:rPr>
          <w:iCs/>
        </w:rPr>
        <w:t>34.55%) and private (65.45%) hospitals and</w:t>
      </w:r>
      <w:r w:rsidR="00E235CC" w:rsidRPr="00E63DF4">
        <w:rPr>
          <w:iCs/>
        </w:rPr>
        <w:t xml:space="preserve"> </w:t>
      </w:r>
      <w:r w:rsidR="00A13557" w:rsidRPr="00E63DF4">
        <w:rPr>
          <w:iCs/>
        </w:rPr>
        <w:t>mean duration</w:t>
      </w:r>
      <w:r w:rsidR="00E235CC" w:rsidRPr="00E63DF4">
        <w:rPr>
          <w:iCs/>
        </w:rPr>
        <w:t xml:space="preserve"> of treatment from the </w:t>
      </w:r>
      <w:r w:rsidR="00A13557" w:rsidRPr="00E63DF4">
        <w:rPr>
          <w:iCs/>
        </w:rPr>
        <w:t>economic model</w:t>
      </w:r>
      <w:r w:rsidR="00E235CC" w:rsidRPr="00E63DF4">
        <w:rPr>
          <w:iCs/>
        </w:rPr>
        <w:t xml:space="preserve"> resulted in a higher cost per patient for Atezo+Bev of $</w:t>
      </w:r>
      <w:r w:rsidR="008A0CD0">
        <w:rPr>
          <w:iCs/>
          <w:noProof/>
          <w:color w:val="000000"/>
          <w:highlight w:val="black"/>
        </w:rPr>
        <w:t>'''''''''''''</w:t>
      </w:r>
      <w:r w:rsidR="00A13557" w:rsidRPr="00E63DF4">
        <w:rPr>
          <w:iCs/>
        </w:rPr>
        <w:t>.</w:t>
      </w:r>
    </w:p>
    <w:p w:rsidR="00161FA9" w:rsidRPr="00E63DF4" w:rsidRDefault="00A079E7" w:rsidP="00121322">
      <w:pPr>
        <w:pStyle w:val="3-BodyText"/>
        <w:rPr>
          <w:iCs/>
        </w:rPr>
      </w:pPr>
      <w:r w:rsidRPr="00E63DF4">
        <w:rPr>
          <w:iCs/>
        </w:rPr>
        <w:t>T</w:t>
      </w:r>
      <w:r w:rsidR="002368E5" w:rsidRPr="00E63DF4">
        <w:rPr>
          <w:iCs/>
        </w:rPr>
        <w:t xml:space="preserve">he financial </w:t>
      </w:r>
      <w:r w:rsidRPr="00E63DF4">
        <w:rPr>
          <w:iCs/>
        </w:rPr>
        <w:t>estimates used a</w:t>
      </w:r>
      <w:r w:rsidR="002368E5" w:rsidRPr="00E63DF4">
        <w:rPr>
          <w:iCs/>
        </w:rPr>
        <w:t xml:space="preserve"> </w:t>
      </w:r>
      <w:r w:rsidR="003E77CB" w:rsidRPr="00E63DF4">
        <w:rPr>
          <w:iCs/>
        </w:rPr>
        <w:t xml:space="preserve">treatment </w:t>
      </w:r>
      <w:r w:rsidR="002368E5" w:rsidRPr="00E63DF4">
        <w:rPr>
          <w:iCs/>
        </w:rPr>
        <w:t xml:space="preserve">cost per patient </w:t>
      </w:r>
      <w:r w:rsidRPr="00F87CB9">
        <w:rPr>
          <w:iCs/>
        </w:rPr>
        <w:t xml:space="preserve">of </w:t>
      </w:r>
      <w:r w:rsidR="002368E5" w:rsidRPr="00F87CB9">
        <w:rPr>
          <w:iCs/>
        </w:rPr>
        <w:t>$</w:t>
      </w:r>
      <w:r w:rsidR="008A0CD0">
        <w:rPr>
          <w:iCs/>
          <w:noProof/>
          <w:color w:val="000000"/>
          <w:highlight w:val="black"/>
        </w:rPr>
        <w:t>''''''''''''</w:t>
      </w:r>
      <w:r w:rsidR="002368E5" w:rsidRPr="00F87CB9">
        <w:rPr>
          <w:iCs/>
        </w:rPr>
        <w:t>.</w:t>
      </w:r>
    </w:p>
    <w:p w:rsidR="00A13557" w:rsidRPr="00E63DF4" w:rsidRDefault="00161FA9" w:rsidP="00121322">
      <w:pPr>
        <w:pStyle w:val="3-BodyText"/>
        <w:rPr>
          <w:iCs/>
        </w:rPr>
      </w:pPr>
      <w:r w:rsidRPr="00E63DF4">
        <w:rPr>
          <w:iCs/>
        </w:rPr>
        <w:t xml:space="preserve">The estimated cost of the </w:t>
      </w:r>
      <w:r w:rsidR="00053C6C" w:rsidRPr="00E63DF4">
        <w:rPr>
          <w:iCs/>
        </w:rPr>
        <w:t>comparator</w:t>
      </w:r>
      <w:r w:rsidRPr="00E63DF4">
        <w:rPr>
          <w:iCs/>
        </w:rPr>
        <w:t xml:space="preserve">, sorafenib </w:t>
      </w:r>
      <w:r w:rsidR="001936F7" w:rsidRPr="00E63DF4">
        <w:rPr>
          <w:iCs/>
        </w:rPr>
        <w:t xml:space="preserve">based on the mean duration in the </w:t>
      </w:r>
      <w:r w:rsidR="001936F7" w:rsidRPr="00821B49">
        <w:rPr>
          <w:iCs/>
        </w:rPr>
        <w:t xml:space="preserve">IMbrave150 </w:t>
      </w:r>
      <w:r w:rsidR="00A079E7" w:rsidRPr="00821B49">
        <w:rPr>
          <w:iCs/>
        </w:rPr>
        <w:t xml:space="preserve">was </w:t>
      </w:r>
      <w:r w:rsidR="001936F7" w:rsidRPr="00821B49">
        <w:rPr>
          <w:iCs/>
        </w:rPr>
        <w:t>$</w:t>
      </w:r>
      <w:r w:rsidR="008A0CD0">
        <w:rPr>
          <w:iCs/>
          <w:noProof/>
          <w:color w:val="000000"/>
          <w:highlight w:val="black"/>
        </w:rPr>
        <w:t>'''''''''''''</w:t>
      </w:r>
      <w:r w:rsidR="001936F7" w:rsidRPr="00821B49">
        <w:rPr>
          <w:iCs/>
        </w:rPr>
        <w:t xml:space="preserve"> and based on the estimations in the economic model </w:t>
      </w:r>
      <w:r w:rsidR="001936F7" w:rsidRPr="00821B49">
        <w:rPr>
          <w:iCs/>
        </w:rPr>
        <w:lastRenderedPageBreak/>
        <w:t>$</w:t>
      </w:r>
      <w:r w:rsidR="008A0CD0">
        <w:rPr>
          <w:iCs/>
          <w:noProof/>
          <w:color w:val="000000"/>
          <w:highlight w:val="black"/>
        </w:rPr>
        <w:t>'''''''''''''</w:t>
      </w:r>
      <w:r w:rsidR="001936F7" w:rsidRPr="00821B49">
        <w:rPr>
          <w:iCs/>
        </w:rPr>
        <w:t xml:space="preserve">. </w:t>
      </w:r>
      <w:r w:rsidR="0031762B" w:rsidRPr="00821B49">
        <w:rPr>
          <w:iCs/>
        </w:rPr>
        <w:t>Due to the</w:t>
      </w:r>
      <w:r w:rsidR="0031762B" w:rsidRPr="00E63DF4">
        <w:rPr>
          <w:iCs/>
        </w:rPr>
        <w:t xml:space="preserve"> use of </w:t>
      </w:r>
      <w:r w:rsidR="00A079E7" w:rsidRPr="00E63DF4">
        <w:rPr>
          <w:iCs/>
        </w:rPr>
        <w:t xml:space="preserve">a </w:t>
      </w:r>
      <w:r w:rsidR="0031762B" w:rsidRPr="00E63DF4">
        <w:rPr>
          <w:iCs/>
        </w:rPr>
        <w:t>market share approach</w:t>
      </w:r>
      <w:r w:rsidR="00B93E71" w:rsidRPr="00E63DF4">
        <w:rPr>
          <w:iCs/>
        </w:rPr>
        <w:t xml:space="preserve"> in the financial implications</w:t>
      </w:r>
      <w:r w:rsidR="00B5760D" w:rsidRPr="00E63DF4">
        <w:rPr>
          <w:iCs/>
        </w:rPr>
        <w:t xml:space="preserve">, </w:t>
      </w:r>
      <w:r w:rsidR="00D74FC1" w:rsidRPr="00E63DF4">
        <w:rPr>
          <w:iCs/>
        </w:rPr>
        <w:t>it was not possible to extract</w:t>
      </w:r>
      <w:r w:rsidR="001F2DBC" w:rsidRPr="00E63DF4">
        <w:rPr>
          <w:iCs/>
        </w:rPr>
        <w:t xml:space="preserve"> a</w:t>
      </w:r>
      <w:r w:rsidR="00D74FC1" w:rsidRPr="00E63DF4">
        <w:rPr>
          <w:iCs/>
        </w:rPr>
        <w:t xml:space="preserve"> </w:t>
      </w:r>
      <w:r w:rsidR="003E77CB" w:rsidRPr="00E63DF4">
        <w:rPr>
          <w:iCs/>
        </w:rPr>
        <w:t xml:space="preserve">treatment </w:t>
      </w:r>
      <w:r w:rsidR="00D74FC1" w:rsidRPr="00E63DF4">
        <w:rPr>
          <w:iCs/>
        </w:rPr>
        <w:t xml:space="preserve">cost per </w:t>
      </w:r>
      <w:r w:rsidR="003E77CB" w:rsidRPr="00E63DF4">
        <w:rPr>
          <w:iCs/>
        </w:rPr>
        <w:t xml:space="preserve">patient for </w:t>
      </w:r>
      <w:r w:rsidR="00D74FC1" w:rsidRPr="00E63DF4">
        <w:rPr>
          <w:iCs/>
        </w:rPr>
        <w:t>sorafenib</w:t>
      </w:r>
      <w:r w:rsidR="009C4B6F" w:rsidRPr="00E63DF4">
        <w:rPr>
          <w:iCs/>
        </w:rPr>
        <w:t>.</w:t>
      </w:r>
    </w:p>
    <w:p w:rsidR="00F14B46" w:rsidRPr="00E63DF4" w:rsidRDefault="00F14B46" w:rsidP="00F14B46">
      <w:pPr>
        <w:pStyle w:val="TableFigureHeading"/>
        <w:rPr>
          <w:rStyle w:val="CommentReference"/>
          <w:b/>
          <w:szCs w:val="24"/>
        </w:rPr>
      </w:pPr>
      <w:r w:rsidRPr="00E63DF4">
        <w:rPr>
          <w:rStyle w:val="CommentReference"/>
          <w:b/>
          <w:szCs w:val="24"/>
        </w:rPr>
        <w:t xml:space="preserve">Table </w:t>
      </w:r>
      <w:r w:rsidR="0097126B" w:rsidRPr="00E63DF4">
        <w:rPr>
          <w:rStyle w:val="CommentReference"/>
          <w:b/>
          <w:szCs w:val="24"/>
        </w:rPr>
        <w:t>16</w:t>
      </w:r>
      <w:r w:rsidRPr="00E63DF4">
        <w:rPr>
          <w:rStyle w:val="CommentReference"/>
          <w:b/>
          <w:szCs w:val="24"/>
        </w:rPr>
        <w:t>: Drug cost per patient for proposed drug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74"/>
        <w:gridCol w:w="1217"/>
        <w:gridCol w:w="1712"/>
        <w:gridCol w:w="1210"/>
        <w:gridCol w:w="1143"/>
        <w:gridCol w:w="1143"/>
        <w:gridCol w:w="1141"/>
      </w:tblGrid>
      <w:tr w:rsidR="00E64524" w:rsidRPr="00E63DF4" w:rsidTr="004C57A4">
        <w:trPr>
          <w:cantSplit/>
          <w:tblHeader/>
          <w:jc w:val="center"/>
        </w:trPr>
        <w:tc>
          <w:tcPr>
            <w:tcW w:w="816" w:type="pct"/>
            <w:shd w:val="clear" w:color="auto" w:fill="auto"/>
            <w:vAlign w:val="center"/>
          </w:tcPr>
          <w:p w:rsidR="00ED4F78" w:rsidRPr="004C57A4" w:rsidRDefault="00ED4F78" w:rsidP="00DD707C">
            <w:pPr>
              <w:pStyle w:val="In-tableHeading"/>
              <w:jc w:val="center"/>
              <w:rPr>
                <w:szCs w:val="20"/>
                <w:lang w:val="en-AU"/>
              </w:rPr>
            </w:pPr>
          </w:p>
        </w:tc>
        <w:tc>
          <w:tcPr>
            <w:tcW w:w="673" w:type="pct"/>
            <w:shd w:val="clear" w:color="auto" w:fill="auto"/>
            <w:vAlign w:val="center"/>
          </w:tcPr>
          <w:p w:rsidR="00ED4F78" w:rsidRPr="004C57A4" w:rsidRDefault="00ED4F78" w:rsidP="00DD707C">
            <w:pPr>
              <w:pStyle w:val="In-tableHeading"/>
              <w:jc w:val="center"/>
              <w:rPr>
                <w:szCs w:val="20"/>
                <w:lang w:val="en-AU"/>
              </w:rPr>
            </w:pPr>
            <w:r w:rsidRPr="004C57A4">
              <w:rPr>
                <w:szCs w:val="20"/>
                <w:lang w:val="en-AU"/>
              </w:rPr>
              <w:t>Trial dose and duration</w:t>
            </w:r>
          </w:p>
          <w:p w:rsidR="00ED4F78" w:rsidRPr="004C57A4" w:rsidRDefault="00ED4F78" w:rsidP="00DD707C">
            <w:pPr>
              <w:pStyle w:val="In-tableHeading"/>
              <w:jc w:val="center"/>
              <w:rPr>
                <w:szCs w:val="20"/>
                <w:lang w:val="en-AU"/>
              </w:rPr>
            </w:pPr>
            <w:r w:rsidRPr="004C57A4">
              <w:rPr>
                <w:szCs w:val="20"/>
                <w:lang w:val="en-AU"/>
              </w:rPr>
              <w:t>Atezo+Bev</w:t>
            </w:r>
          </w:p>
        </w:tc>
        <w:tc>
          <w:tcPr>
            <w:tcW w:w="947" w:type="pct"/>
            <w:shd w:val="clear" w:color="auto" w:fill="auto"/>
            <w:vAlign w:val="center"/>
          </w:tcPr>
          <w:p w:rsidR="00ED4F78" w:rsidRPr="004C57A4" w:rsidRDefault="00ED4F78" w:rsidP="00DD707C">
            <w:pPr>
              <w:pStyle w:val="In-tableHeading"/>
              <w:jc w:val="center"/>
              <w:rPr>
                <w:szCs w:val="20"/>
                <w:lang w:val="en-AU"/>
              </w:rPr>
            </w:pPr>
            <w:r w:rsidRPr="004C57A4">
              <w:rPr>
                <w:szCs w:val="20"/>
                <w:lang w:val="en-AU"/>
              </w:rPr>
              <w:t>Model</w:t>
            </w:r>
          </w:p>
        </w:tc>
        <w:tc>
          <w:tcPr>
            <w:tcW w:w="669" w:type="pct"/>
            <w:shd w:val="clear" w:color="auto" w:fill="auto"/>
            <w:vAlign w:val="center"/>
          </w:tcPr>
          <w:p w:rsidR="00ED4F78" w:rsidRPr="004C57A4" w:rsidRDefault="00ED4F78" w:rsidP="00DD707C">
            <w:pPr>
              <w:pStyle w:val="In-tableHeading"/>
              <w:jc w:val="center"/>
              <w:rPr>
                <w:szCs w:val="20"/>
                <w:lang w:val="en-AU"/>
              </w:rPr>
            </w:pPr>
            <w:r w:rsidRPr="004C57A4">
              <w:rPr>
                <w:szCs w:val="20"/>
                <w:lang w:val="en-AU"/>
              </w:rPr>
              <w:t>Financial estimates</w:t>
            </w:r>
          </w:p>
        </w:tc>
        <w:tc>
          <w:tcPr>
            <w:tcW w:w="632" w:type="pct"/>
            <w:shd w:val="clear" w:color="auto" w:fill="FFFFFF" w:themeFill="background1"/>
            <w:vAlign w:val="center"/>
          </w:tcPr>
          <w:p w:rsidR="00ED4F78" w:rsidRPr="004C57A4" w:rsidRDefault="009073F5" w:rsidP="00DD707C">
            <w:pPr>
              <w:pStyle w:val="In-tableHeading"/>
              <w:jc w:val="center"/>
              <w:rPr>
                <w:szCs w:val="20"/>
                <w:lang w:val="en-AU"/>
              </w:rPr>
            </w:pPr>
            <w:r w:rsidRPr="004C57A4">
              <w:rPr>
                <w:szCs w:val="20"/>
                <w:lang w:val="en-AU"/>
              </w:rPr>
              <w:t>Sorafenib</w:t>
            </w:r>
          </w:p>
          <w:p w:rsidR="00ED4F78" w:rsidRPr="004C57A4" w:rsidRDefault="00ED4F78" w:rsidP="00DD707C">
            <w:pPr>
              <w:pStyle w:val="In-tableHeading"/>
              <w:jc w:val="center"/>
              <w:rPr>
                <w:szCs w:val="20"/>
                <w:lang w:val="en-AU"/>
              </w:rPr>
            </w:pPr>
            <w:r w:rsidRPr="004C57A4">
              <w:rPr>
                <w:szCs w:val="20"/>
                <w:lang w:val="en-AU"/>
              </w:rPr>
              <w:t>Trial dose and duration</w:t>
            </w:r>
          </w:p>
        </w:tc>
        <w:tc>
          <w:tcPr>
            <w:tcW w:w="632" w:type="pct"/>
            <w:shd w:val="clear" w:color="auto" w:fill="FFFFFF" w:themeFill="background1"/>
            <w:vAlign w:val="center"/>
          </w:tcPr>
          <w:p w:rsidR="00ED4F78" w:rsidRPr="004C57A4" w:rsidRDefault="009073F5" w:rsidP="00DD707C">
            <w:pPr>
              <w:pStyle w:val="In-tableHeading"/>
              <w:jc w:val="center"/>
              <w:rPr>
                <w:szCs w:val="20"/>
                <w:lang w:val="en-AU"/>
              </w:rPr>
            </w:pPr>
            <w:r w:rsidRPr="004C57A4">
              <w:rPr>
                <w:szCs w:val="20"/>
                <w:lang w:val="en-AU"/>
              </w:rPr>
              <w:t>Sorafenib</w:t>
            </w:r>
          </w:p>
          <w:p w:rsidR="00ED4F78" w:rsidRPr="004C57A4" w:rsidRDefault="00ED4F78" w:rsidP="00DD707C">
            <w:pPr>
              <w:pStyle w:val="In-tableHeading"/>
              <w:jc w:val="center"/>
              <w:rPr>
                <w:szCs w:val="20"/>
                <w:lang w:val="en-AU"/>
              </w:rPr>
            </w:pPr>
            <w:r w:rsidRPr="004C57A4">
              <w:rPr>
                <w:szCs w:val="20"/>
                <w:lang w:val="en-AU"/>
              </w:rPr>
              <w:t>Model</w:t>
            </w:r>
          </w:p>
        </w:tc>
        <w:tc>
          <w:tcPr>
            <w:tcW w:w="631" w:type="pct"/>
            <w:shd w:val="clear" w:color="auto" w:fill="FFFFFF" w:themeFill="background1"/>
          </w:tcPr>
          <w:p w:rsidR="00ED4F78" w:rsidRPr="004C57A4" w:rsidRDefault="009073F5" w:rsidP="00DD707C">
            <w:pPr>
              <w:pStyle w:val="In-tableHeading"/>
              <w:jc w:val="center"/>
              <w:rPr>
                <w:szCs w:val="20"/>
                <w:lang w:val="en-AU"/>
              </w:rPr>
            </w:pPr>
            <w:r w:rsidRPr="004C57A4">
              <w:rPr>
                <w:szCs w:val="20"/>
                <w:lang w:val="en-AU"/>
              </w:rPr>
              <w:t>Sorafen</w:t>
            </w:r>
            <w:r w:rsidR="00A80741" w:rsidRPr="004C57A4">
              <w:rPr>
                <w:szCs w:val="20"/>
                <w:lang w:val="en-AU"/>
              </w:rPr>
              <w:t>i</w:t>
            </w:r>
            <w:r w:rsidRPr="004C57A4">
              <w:rPr>
                <w:szCs w:val="20"/>
                <w:lang w:val="en-AU"/>
              </w:rPr>
              <w:t>b</w:t>
            </w:r>
          </w:p>
          <w:p w:rsidR="00ED4F78" w:rsidRPr="004C57A4" w:rsidRDefault="00ED4F78" w:rsidP="00DD707C">
            <w:pPr>
              <w:pStyle w:val="In-tableHeading"/>
              <w:jc w:val="center"/>
              <w:rPr>
                <w:szCs w:val="20"/>
                <w:lang w:val="en-AU"/>
              </w:rPr>
            </w:pPr>
            <w:r w:rsidRPr="004C57A4">
              <w:rPr>
                <w:szCs w:val="20"/>
                <w:lang w:val="en-AU"/>
              </w:rPr>
              <w:t>Financial estimates</w:t>
            </w:r>
          </w:p>
        </w:tc>
      </w:tr>
      <w:tr w:rsidR="00E64524" w:rsidRPr="00E63DF4" w:rsidTr="004C57A4">
        <w:trPr>
          <w:cantSplit/>
          <w:jc w:val="center"/>
        </w:trPr>
        <w:tc>
          <w:tcPr>
            <w:tcW w:w="816" w:type="pct"/>
            <w:shd w:val="clear" w:color="auto" w:fill="auto"/>
            <w:vAlign w:val="center"/>
          </w:tcPr>
          <w:p w:rsidR="00ED4F78" w:rsidRPr="004C57A4" w:rsidRDefault="00ED4F78" w:rsidP="00DD707C">
            <w:pPr>
              <w:pStyle w:val="TableText0"/>
              <w:rPr>
                <w:szCs w:val="20"/>
              </w:rPr>
            </w:pPr>
            <w:r w:rsidRPr="004C57A4">
              <w:rPr>
                <w:szCs w:val="20"/>
              </w:rPr>
              <w:t>Mean dose</w:t>
            </w:r>
          </w:p>
        </w:tc>
        <w:tc>
          <w:tcPr>
            <w:tcW w:w="673" w:type="pct"/>
            <w:shd w:val="clear" w:color="auto" w:fill="auto"/>
            <w:vAlign w:val="center"/>
          </w:tcPr>
          <w:p w:rsidR="00272A69" w:rsidRPr="00F45892" w:rsidRDefault="00F72AC4" w:rsidP="00DD707C">
            <w:pPr>
              <w:pStyle w:val="TableText0"/>
              <w:jc w:val="center"/>
              <w:rPr>
                <w:szCs w:val="20"/>
                <w:lang w:val="it-IT"/>
              </w:rPr>
            </w:pPr>
            <w:r w:rsidRPr="00F45892">
              <w:rPr>
                <w:szCs w:val="20"/>
                <w:lang w:val="it-IT"/>
              </w:rPr>
              <w:t xml:space="preserve">Atezo: </w:t>
            </w:r>
          </w:p>
          <w:p w:rsidR="00F72AC4" w:rsidRPr="00F45892" w:rsidRDefault="008A0CD0" w:rsidP="00DD707C">
            <w:pPr>
              <w:pStyle w:val="TableText0"/>
              <w:jc w:val="center"/>
              <w:rPr>
                <w:szCs w:val="20"/>
                <w:lang w:val="it-IT"/>
              </w:rPr>
            </w:pPr>
            <w:r>
              <w:rPr>
                <w:noProof/>
                <w:color w:val="000000"/>
                <w:szCs w:val="20"/>
                <w:highlight w:val="black"/>
                <w:lang w:val="it-IT"/>
              </w:rPr>
              <w:t>''''''''''''''''''''</w:t>
            </w:r>
            <w:r w:rsidR="009243EC" w:rsidRPr="00821B49">
              <w:rPr>
                <w:szCs w:val="20"/>
                <w:vertAlign w:val="superscript"/>
                <w:lang w:val="it-IT"/>
              </w:rPr>
              <w:t>a</w:t>
            </w:r>
            <w:r w:rsidR="00F72AC4" w:rsidRPr="00F45892">
              <w:rPr>
                <w:szCs w:val="20"/>
                <w:lang w:val="it-IT"/>
              </w:rPr>
              <w:t xml:space="preserve"> mg</w:t>
            </w:r>
            <w:r w:rsidR="000850A1" w:rsidRPr="00F45892">
              <w:rPr>
                <w:szCs w:val="20"/>
                <w:lang w:val="it-IT"/>
              </w:rPr>
              <w:t xml:space="preserve"> per </w:t>
            </w:r>
            <w:r w:rsidR="007A1BC8" w:rsidRPr="00F45892">
              <w:rPr>
                <w:szCs w:val="20"/>
                <w:lang w:val="it-IT"/>
              </w:rPr>
              <w:t>dose</w:t>
            </w:r>
          </w:p>
          <w:p w:rsidR="00272A69" w:rsidRPr="00F45892" w:rsidRDefault="00F72AC4" w:rsidP="00DD707C">
            <w:pPr>
              <w:pStyle w:val="TableText0"/>
              <w:jc w:val="center"/>
              <w:rPr>
                <w:szCs w:val="20"/>
                <w:lang w:val="it-IT"/>
              </w:rPr>
            </w:pPr>
            <w:r w:rsidRPr="00F45892">
              <w:rPr>
                <w:szCs w:val="20"/>
                <w:lang w:val="it-IT"/>
              </w:rPr>
              <w:t>Bev</w:t>
            </w:r>
            <w:r w:rsidR="00272A69" w:rsidRPr="00F45892">
              <w:rPr>
                <w:szCs w:val="20"/>
                <w:lang w:val="it-IT"/>
              </w:rPr>
              <w:t>:</w:t>
            </w:r>
            <w:r w:rsidRPr="00F45892">
              <w:rPr>
                <w:szCs w:val="20"/>
                <w:lang w:val="it-IT"/>
              </w:rPr>
              <w:t xml:space="preserve"> </w:t>
            </w:r>
          </w:p>
          <w:p w:rsidR="00ED4F78" w:rsidRPr="004C57A4" w:rsidRDefault="008A0CD0" w:rsidP="00DD707C">
            <w:pPr>
              <w:pStyle w:val="TableText0"/>
              <w:jc w:val="center"/>
              <w:rPr>
                <w:szCs w:val="20"/>
              </w:rPr>
            </w:pPr>
            <w:r>
              <w:rPr>
                <w:noProof/>
                <w:color w:val="000000"/>
                <w:szCs w:val="20"/>
                <w:highlight w:val="black"/>
              </w:rPr>
              <w:t>''''''''''''''''''''''</w:t>
            </w:r>
            <w:r w:rsidR="00994C1D" w:rsidRPr="00821B49">
              <w:rPr>
                <w:szCs w:val="20"/>
                <w:vertAlign w:val="superscript"/>
              </w:rPr>
              <w:t>a</w:t>
            </w:r>
            <w:r w:rsidR="000850A1" w:rsidRPr="004C57A4">
              <w:rPr>
                <w:szCs w:val="20"/>
              </w:rPr>
              <w:t xml:space="preserve"> mg per </w:t>
            </w:r>
            <w:r w:rsidR="007A1BC8" w:rsidRPr="004C57A4">
              <w:rPr>
                <w:szCs w:val="20"/>
              </w:rPr>
              <w:t>dose</w:t>
            </w:r>
          </w:p>
        </w:tc>
        <w:tc>
          <w:tcPr>
            <w:tcW w:w="947" w:type="pct"/>
            <w:shd w:val="clear" w:color="auto" w:fill="auto"/>
            <w:vAlign w:val="center"/>
          </w:tcPr>
          <w:p w:rsidR="003D4B96" w:rsidRPr="00F45892" w:rsidRDefault="003D4B96" w:rsidP="003D4B96">
            <w:pPr>
              <w:pStyle w:val="TableText0"/>
              <w:jc w:val="center"/>
              <w:rPr>
                <w:szCs w:val="20"/>
                <w:lang w:val="it-IT"/>
              </w:rPr>
            </w:pPr>
            <w:r w:rsidRPr="00F45892">
              <w:rPr>
                <w:szCs w:val="20"/>
                <w:lang w:val="it-IT"/>
              </w:rPr>
              <w:t xml:space="preserve">Atezo: 1,200 mg per </w:t>
            </w:r>
            <w:r w:rsidR="007A1BC8" w:rsidRPr="00F45892">
              <w:rPr>
                <w:szCs w:val="20"/>
                <w:lang w:val="it-IT"/>
              </w:rPr>
              <w:t>dose</w:t>
            </w:r>
          </w:p>
          <w:p w:rsidR="00ED4F78" w:rsidRPr="00F45892" w:rsidRDefault="003D4B96" w:rsidP="003D4B96">
            <w:pPr>
              <w:pStyle w:val="TableText0"/>
              <w:jc w:val="center"/>
              <w:rPr>
                <w:szCs w:val="20"/>
                <w:lang w:val="it-IT"/>
              </w:rPr>
            </w:pPr>
            <w:r w:rsidRPr="00F45892">
              <w:rPr>
                <w:szCs w:val="20"/>
                <w:lang w:val="it-IT"/>
              </w:rPr>
              <w:t>Bev; 1,</w:t>
            </w:r>
            <w:r w:rsidR="00CE56DF" w:rsidRPr="00F45892">
              <w:rPr>
                <w:szCs w:val="20"/>
                <w:lang w:val="it-IT"/>
              </w:rPr>
              <w:t>076</w:t>
            </w:r>
            <w:r w:rsidRPr="00F45892">
              <w:rPr>
                <w:szCs w:val="20"/>
                <w:lang w:val="it-IT"/>
              </w:rPr>
              <w:t xml:space="preserve"> mg per </w:t>
            </w:r>
            <w:r w:rsidR="007A1BC8" w:rsidRPr="00F45892">
              <w:rPr>
                <w:szCs w:val="20"/>
                <w:lang w:val="it-IT"/>
              </w:rPr>
              <w:t>dose</w:t>
            </w:r>
          </w:p>
        </w:tc>
        <w:tc>
          <w:tcPr>
            <w:tcW w:w="669" w:type="pct"/>
            <w:shd w:val="clear" w:color="auto" w:fill="auto"/>
            <w:vAlign w:val="center"/>
          </w:tcPr>
          <w:p w:rsidR="00D54600" w:rsidRPr="00F45892" w:rsidRDefault="00D54600" w:rsidP="00D54600">
            <w:pPr>
              <w:pStyle w:val="TableText0"/>
              <w:jc w:val="center"/>
              <w:rPr>
                <w:szCs w:val="20"/>
                <w:lang w:val="it-IT"/>
              </w:rPr>
            </w:pPr>
            <w:r w:rsidRPr="00F45892">
              <w:rPr>
                <w:szCs w:val="20"/>
                <w:lang w:val="it-IT"/>
              </w:rPr>
              <w:t xml:space="preserve">Atezo: 1,200 mg per </w:t>
            </w:r>
            <w:r w:rsidR="007A1BC8" w:rsidRPr="00F45892">
              <w:rPr>
                <w:szCs w:val="20"/>
                <w:lang w:val="it-IT"/>
              </w:rPr>
              <w:t>dose</w:t>
            </w:r>
          </w:p>
          <w:p w:rsidR="00ED4F78" w:rsidRPr="00F45892" w:rsidRDefault="00D54600" w:rsidP="00D54600">
            <w:pPr>
              <w:pStyle w:val="TableText0"/>
              <w:jc w:val="center"/>
              <w:rPr>
                <w:szCs w:val="20"/>
                <w:lang w:val="it-IT"/>
              </w:rPr>
            </w:pPr>
            <w:r w:rsidRPr="00F45892">
              <w:rPr>
                <w:szCs w:val="20"/>
                <w:lang w:val="it-IT"/>
              </w:rPr>
              <w:t xml:space="preserve">Bev; 1,100 mg per </w:t>
            </w:r>
            <w:r w:rsidR="007A1BC8" w:rsidRPr="00F45892">
              <w:rPr>
                <w:szCs w:val="20"/>
                <w:lang w:val="it-IT"/>
              </w:rPr>
              <w:t>dose</w:t>
            </w:r>
          </w:p>
        </w:tc>
        <w:tc>
          <w:tcPr>
            <w:tcW w:w="632" w:type="pct"/>
            <w:shd w:val="clear" w:color="auto" w:fill="FFFFFF" w:themeFill="background1"/>
            <w:vAlign w:val="center"/>
          </w:tcPr>
          <w:p w:rsidR="00F530DC" w:rsidRPr="004C57A4" w:rsidRDefault="008A0CD0" w:rsidP="00F530DC">
            <w:pPr>
              <w:pStyle w:val="TableText0"/>
              <w:jc w:val="center"/>
              <w:rPr>
                <w:bCs w:val="0"/>
                <w:szCs w:val="20"/>
              </w:rPr>
            </w:pPr>
            <w:r>
              <w:rPr>
                <w:bCs w:val="0"/>
                <w:noProof/>
                <w:color w:val="000000"/>
                <w:szCs w:val="20"/>
                <w:highlight w:val="black"/>
              </w:rPr>
              <w:t>''''''''''''''''''</w:t>
            </w:r>
            <w:r w:rsidR="00356FBC" w:rsidRPr="00821B49">
              <w:rPr>
                <w:bCs w:val="0"/>
                <w:szCs w:val="20"/>
                <w:vertAlign w:val="superscript"/>
              </w:rPr>
              <w:t>a</w:t>
            </w:r>
            <w:r w:rsidR="007B7511" w:rsidRPr="004C57A4">
              <w:rPr>
                <w:bCs w:val="0"/>
                <w:szCs w:val="20"/>
              </w:rPr>
              <w:t xml:space="preserve"> mg</w:t>
            </w:r>
            <w:r w:rsidR="00D63504" w:rsidRPr="004C57A4">
              <w:rPr>
                <w:bCs w:val="0"/>
                <w:szCs w:val="20"/>
              </w:rPr>
              <w:t xml:space="preserve"> </w:t>
            </w:r>
            <w:r w:rsidR="009D4980" w:rsidRPr="004C57A4">
              <w:rPr>
                <w:bCs w:val="0"/>
                <w:szCs w:val="20"/>
              </w:rPr>
              <w:t xml:space="preserve">per </w:t>
            </w:r>
            <w:r w:rsidR="006E23BB" w:rsidRPr="004C57A4">
              <w:rPr>
                <w:bCs w:val="0"/>
                <w:szCs w:val="20"/>
              </w:rPr>
              <w:t>dose</w:t>
            </w:r>
          </w:p>
        </w:tc>
        <w:tc>
          <w:tcPr>
            <w:tcW w:w="632" w:type="pct"/>
            <w:shd w:val="clear" w:color="auto" w:fill="FFFFFF" w:themeFill="background1"/>
            <w:vAlign w:val="center"/>
          </w:tcPr>
          <w:p w:rsidR="00ED4F78" w:rsidRPr="004C57A4" w:rsidRDefault="00D63504" w:rsidP="00DD707C">
            <w:pPr>
              <w:pStyle w:val="TableText0"/>
              <w:jc w:val="center"/>
              <w:rPr>
                <w:bCs w:val="0"/>
                <w:szCs w:val="20"/>
              </w:rPr>
            </w:pPr>
            <w:r w:rsidRPr="004C57A4">
              <w:rPr>
                <w:bCs w:val="0"/>
                <w:szCs w:val="20"/>
              </w:rPr>
              <w:t xml:space="preserve">400 mg </w:t>
            </w:r>
            <w:r w:rsidR="00D568BA" w:rsidRPr="004C57A4">
              <w:rPr>
                <w:bCs w:val="0"/>
                <w:szCs w:val="20"/>
              </w:rPr>
              <w:t xml:space="preserve"> per </w:t>
            </w:r>
            <w:r w:rsidR="007A1BC8" w:rsidRPr="004C57A4">
              <w:rPr>
                <w:bCs w:val="0"/>
                <w:szCs w:val="20"/>
              </w:rPr>
              <w:t>dose</w:t>
            </w:r>
          </w:p>
        </w:tc>
        <w:tc>
          <w:tcPr>
            <w:tcW w:w="631" w:type="pct"/>
            <w:shd w:val="clear" w:color="auto" w:fill="FFFFFF" w:themeFill="background1"/>
            <w:vAlign w:val="center"/>
          </w:tcPr>
          <w:p w:rsidR="00D568BA" w:rsidRPr="004C57A4" w:rsidRDefault="00D63504" w:rsidP="00D63504">
            <w:pPr>
              <w:pStyle w:val="TableText0"/>
              <w:jc w:val="center"/>
              <w:rPr>
                <w:bCs w:val="0"/>
                <w:szCs w:val="20"/>
              </w:rPr>
            </w:pPr>
            <w:r w:rsidRPr="004C57A4">
              <w:rPr>
                <w:bCs w:val="0"/>
                <w:szCs w:val="20"/>
              </w:rPr>
              <w:t xml:space="preserve">400 mg </w:t>
            </w:r>
          </w:p>
          <w:p w:rsidR="00ED4F78" w:rsidRPr="004C57A4" w:rsidRDefault="00D568BA" w:rsidP="00D63504">
            <w:pPr>
              <w:pStyle w:val="TableText0"/>
              <w:jc w:val="center"/>
              <w:rPr>
                <w:bCs w:val="0"/>
                <w:szCs w:val="20"/>
              </w:rPr>
            </w:pPr>
            <w:r w:rsidRPr="004C57A4">
              <w:rPr>
                <w:bCs w:val="0"/>
                <w:szCs w:val="20"/>
              </w:rPr>
              <w:t xml:space="preserve">per </w:t>
            </w:r>
            <w:r w:rsidR="007A1BC8" w:rsidRPr="004C57A4">
              <w:rPr>
                <w:bCs w:val="0"/>
                <w:szCs w:val="20"/>
              </w:rPr>
              <w:t>dose</w:t>
            </w:r>
          </w:p>
        </w:tc>
      </w:tr>
      <w:tr w:rsidR="00E64524" w:rsidRPr="00E63DF4" w:rsidTr="004C57A4">
        <w:trPr>
          <w:cantSplit/>
          <w:jc w:val="center"/>
        </w:trPr>
        <w:tc>
          <w:tcPr>
            <w:tcW w:w="816" w:type="pct"/>
            <w:shd w:val="clear" w:color="auto" w:fill="auto"/>
            <w:vAlign w:val="center"/>
          </w:tcPr>
          <w:p w:rsidR="00ED4F78" w:rsidRPr="004C57A4" w:rsidRDefault="00ED4F78" w:rsidP="00DD707C">
            <w:pPr>
              <w:pStyle w:val="TableText0"/>
              <w:rPr>
                <w:szCs w:val="20"/>
              </w:rPr>
            </w:pPr>
            <w:r w:rsidRPr="004C57A4">
              <w:rPr>
                <w:szCs w:val="20"/>
              </w:rPr>
              <w:t>Mean duration</w:t>
            </w:r>
            <w:r w:rsidR="00D96D71" w:rsidRPr="004C57A4">
              <w:rPr>
                <w:szCs w:val="20"/>
              </w:rPr>
              <w:t xml:space="preserve">/Mean </w:t>
            </w:r>
            <w:r w:rsidR="00DB2288" w:rsidRPr="004C57A4">
              <w:rPr>
                <w:szCs w:val="20"/>
              </w:rPr>
              <w:t xml:space="preserve">number of </w:t>
            </w:r>
            <w:r w:rsidR="00D96D71" w:rsidRPr="004C57A4">
              <w:rPr>
                <w:szCs w:val="20"/>
              </w:rPr>
              <w:t>doses</w:t>
            </w:r>
            <w:r w:rsidR="00074261" w:rsidRPr="004C57A4">
              <w:rPr>
                <w:szCs w:val="20"/>
              </w:rPr>
              <w:t xml:space="preserve"> received</w:t>
            </w:r>
          </w:p>
        </w:tc>
        <w:tc>
          <w:tcPr>
            <w:tcW w:w="673" w:type="pct"/>
            <w:shd w:val="clear" w:color="auto" w:fill="auto"/>
            <w:vAlign w:val="center"/>
          </w:tcPr>
          <w:p w:rsidR="00272A69" w:rsidRPr="004C57A4" w:rsidRDefault="00D96D71" w:rsidP="00DD707C">
            <w:pPr>
              <w:pStyle w:val="TableText0"/>
              <w:jc w:val="center"/>
              <w:rPr>
                <w:szCs w:val="20"/>
              </w:rPr>
            </w:pPr>
            <w:r w:rsidRPr="004C57A4">
              <w:rPr>
                <w:szCs w:val="20"/>
              </w:rPr>
              <w:t>Duration:</w:t>
            </w:r>
            <w:r w:rsidR="00FB5FE3" w:rsidRPr="004C57A4">
              <w:rPr>
                <w:szCs w:val="20"/>
              </w:rPr>
              <w:t xml:space="preserve"> </w:t>
            </w:r>
            <w:r w:rsidR="00ED4F78" w:rsidRPr="004C57A4">
              <w:rPr>
                <w:szCs w:val="20"/>
              </w:rPr>
              <w:t>Atezo:</w:t>
            </w:r>
          </w:p>
          <w:p w:rsidR="00ED4F78" w:rsidRPr="00821B49" w:rsidRDefault="008A0CD0" w:rsidP="00DD707C">
            <w:pPr>
              <w:pStyle w:val="TableText0"/>
              <w:jc w:val="center"/>
              <w:rPr>
                <w:szCs w:val="20"/>
              </w:rPr>
            </w:pPr>
            <w:r>
              <w:rPr>
                <w:noProof/>
                <w:color w:val="000000"/>
                <w:szCs w:val="20"/>
                <w:highlight w:val="black"/>
              </w:rPr>
              <w:t>''''''''</w:t>
            </w:r>
            <w:r w:rsidR="00ED4F78" w:rsidRPr="00821B49">
              <w:rPr>
                <w:szCs w:val="20"/>
              </w:rPr>
              <w:t xml:space="preserve"> months</w:t>
            </w:r>
          </w:p>
          <w:p w:rsidR="00272A69" w:rsidRPr="00821B49" w:rsidRDefault="00ED4F78" w:rsidP="00DD707C">
            <w:pPr>
              <w:pStyle w:val="TableText0"/>
              <w:jc w:val="center"/>
              <w:rPr>
                <w:szCs w:val="20"/>
              </w:rPr>
            </w:pPr>
            <w:r w:rsidRPr="00821B49">
              <w:rPr>
                <w:szCs w:val="20"/>
              </w:rPr>
              <w:t>Bev:</w:t>
            </w:r>
          </w:p>
          <w:p w:rsidR="00ED4F78" w:rsidRPr="004C57A4" w:rsidRDefault="008A0CD0" w:rsidP="00DD707C">
            <w:pPr>
              <w:pStyle w:val="TableText0"/>
              <w:jc w:val="center"/>
              <w:rPr>
                <w:szCs w:val="20"/>
              </w:rPr>
            </w:pPr>
            <w:r>
              <w:rPr>
                <w:noProof/>
                <w:color w:val="000000"/>
                <w:szCs w:val="20"/>
                <w:highlight w:val="black"/>
              </w:rPr>
              <w:t>'''''''''</w:t>
            </w:r>
            <w:r w:rsidR="00ED4F78" w:rsidRPr="004C57A4">
              <w:rPr>
                <w:szCs w:val="20"/>
              </w:rPr>
              <w:t xml:space="preserve"> months</w:t>
            </w:r>
          </w:p>
          <w:p w:rsidR="00A80741" w:rsidRPr="004C57A4" w:rsidRDefault="00A80741" w:rsidP="00DD707C">
            <w:pPr>
              <w:pStyle w:val="TableText0"/>
              <w:jc w:val="center"/>
              <w:rPr>
                <w:szCs w:val="20"/>
              </w:rPr>
            </w:pPr>
          </w:p>
          <w:p w:rsidR="00D96D71" w:rsidRPr="00821B49" w:rsidRDefault="00D96D71" w:rsidP="00A80741">
            <w:pPr>
              <w:pStyle w:val="CommentText"/>
              <w:jc w:val="center"/>
              <w:rPr>
                <w:rFonts w:ascii="Arial Narrow" w:hAnsi="Arial Narrow"/>
                <w:szCs w:val="20"/>
              </w:rPr>
            </w:pPr>
            <w:r w:rsidRPr="004C57A4">
              <w:rPr>
                <w:rFonts w:ascii="Arial Narrow" w:hAnsi="Arial Narrow"/>
                <w:szCs w:val="20"/>
              </w:rPr>
              <w:t>Doses</w:t>
            </w:r>
            <w:r w:rsidR="00E21487" w:rsidRPr="004C57A4">
              <w:rPr>
                <w:rFonts w:ascii="Arial Narrow" w:hAnsi="Arial Narrow"/>
                <w:szCs w:val="20"/>
              </w:rPr>
              <w:t xml:space="preserve"> </w:t>
            </w:r>
            <w:r w:rsidR="00E21487" w:rsidRPr="00821B49">
              <w:rPr>
                <w:rFonts w:ascii="Arial Narrow" w:hAnsi="Arial Narrow"/>
                <w:szCs w:val="20"/>
              </w:rPr>
              <w:t>received</w:t>
            </w:r>
            <w:r w:rsidRPr="00821B49">
              <w:rPr>
                <w:rFonts w:ascii="Arial Narrow" w:hAnsi="Arial Narrow"/>
                <w:szCs w:val="20"/>
              </w:rPr>
              <w:t xml:space="preserve">: Atezo: </w:t>
            </w:r>
            <w:r w:rsidR="008A0CD0">
              <w:rPr>
                <w:rFonts w:ascii="Arial Narrow" w:hAnsi="Arial Narrow"/>
                <w:noProof/>
                <w:color w:val="000000"/>
                <w:szCs w:val="20"/>
                <w:highlight w:val="black"/>
              </w:rPr>
              <w:t>''''''''''</w:t>
            </w:r>
            <w:r w:rsidRPr="00821B49">
              <w:rPr>
                <w:rFonts w:ascii="Arial Narrow" w:hAnsi="Arial Narrow"/>
                <w:szCs w:val="20"/>
              </w:rPr>
              <w:t xml:space="preserve"> (</w:t>
            </w:r>
            <w:r w:rsidR="004B290C" w:rsidRPr="00821B49">
              <w:rPr>
                <w:rFonts w:ascii="Arial Narrow" w:hAnsi="Arial Narrow"/>
                <w:szCs w:val="20"/>
              </w:rPr>
              <w:t xml:space="preserve">SD </w:t>
            </w:r>
            <w:r w:rsidR="008A0CD0">
              <w:rPr>
                <w:rFonts w:ascii="Arial Narrow" w:hAnsi="Arial Narrow"/>
                <w:noProof/>
                <w:color w:val="000000"/>
                <w:szCs w:val="20"/>
                <w:highlight w:val="black"/>
              </w:rPr>
              <w:t>'''''''''</w:t>
            </w:r>
            <w:r w:rsidRPr="00821B49">
              <w:rPr>
                <w:rFonts w:ascii="Arial Narrow" w:hAnsi="Arial Narrow"/>
                <w:szCs w:val="20"/>
              </w:rPr>
              <w:t>)</w:t>
            </w:r>
          </w:p>
          <w:p w:rsidR="00D96D71" w:rsidRPr="004C57A4" w:rsidRDefault="00D96D71" w:rsidP="00A80741">
            <w:pPr>
              <w:pStyle w:val="TableText0"/>
              <w:jc w:val="center"/>
              <w:rPr>
                <w:szCs w:val="20"/>
              </w:rPr>
            </w:pPr>
            <w:r w:rsidRPr="00821B49">
              <w:rPr>
                <w:szCs w:val="20"/>
              </w:rPr>
              <w:t>Bev</w:t>
            </w:r>
            <w:r w:rsidR="004B290C" w:rsidRPr="00821B49">
              <w:rPr>
                <w:szCs w:val="20"/>
              </w:rPr>
              <w:t>:</w:t>
            </w:r>
            <w:r w:rsidRPr="00821B49">
              <w:rPr>
                <w:szCs w:val="20"/>
              </w:rPr>
              <w:t xml:space="preserve"> </w:t>
            </w:r>
            <w:r w:rsidR="008A0CD0">
              <w:rPr>
                <w:noProof/>
                <w:color w:val="000000"/>
                <w:szCs w:val="20"/>
                <w:highlight w:val="black"/>
              </w:rPr>
              <w:t>'''''''''</w:t>
            </w:r>
            <w:r w:rsidRPr="00821B49">
              <w:rPr>
                <w:szCs w:val="20"/>
              </w:rPr>
              <w:t xml:space="preserve"> (</w:t>
            </w:r>
            <w:r w:rsidR="004B290C" w:rsidRPr="00821B49">
              <w:rPr>
                <w:szCs w:val="20"/>
              </w:rPr>
              <w:t xml:space="preserve">SD </w:t>
            </w:r>
            <w:r w:rsidR="008A0CD0">
              <w:rPr>
                <w:noProof/>
                <w:color w:val="000000"/>
                <w:szCs w:val="20"/>
                <w:highlight w:val="black"/>
              </w:rPr>
              <w:t>''''''''</w:t>
            </w:r>
            <w:r w:rsidRPr="00821B49">
              <w:rPr>
                <w:szCs w:val="20"/>
              </w:rPr>
              <w:t>)</w:t>
            </w:r>
          </w:p>
        </w:tc>
        <w:tc>
          <w:tcPr>
            <w:tcW w:w="947" w:type="pct"/>
            <w:shd w:val="clear" w:color="auto" w:fill="auto"/>
            <w:vAlign w:val="center"/>
          </w:tcPr>
          <w:p w:rsidR="00ED4F78" w:rsidRPr="00821B49" w:rsidRDefault="00ED4F78" w:rsidP="00ED4F78">
            <w:pPr>
              <w:pStyle w:val="TableText0"/>
              <w:jc w:val="center"/>
              <w:rPr>
                <w:szCs w:val="20"/>
              </w:rPr>
            </w:pPr>
            <w:r w:rsidRPr="004C57A4">
              <w:rPr>
                <w:szCs w:val="20"/>
              </w:rPr>
              <w:t>Atezo:</w:t>
            </w:r>
            <w:r w:rsidR="008A0CD0">
              <w:rPr>
                <w:noProof/>
                <w:color w:val="000000"/>
                <w:szCs w:val="20"/>
                <w:highlight w:val="black"/>
              </w:rPr>
              <w:t>'''''''''''''</w:t>
            </w:r>
            <w:r w:rsidRPr="00821B49">
              <w:rPr>
                <w:szCs w:val="20"/>
              </w:rPr>
              <w:t xml:space="preserve"> months</w:t>
            </w:r>
          </w:p>
          <w:p w:rsidR="00ED4F78" w:rsidRPr="004C57A4" w:rsidRDefault="00ED4F78" w:rsidP="00ED4F78">
            <w:pPr>
              <w:pStyle w:val="TableText0"/>
              <w:jc w:val="center"/>
              <w:rPr>
                <w:szCs w:val="20"/>
              </w:rPr>
            </w:pPr>
            <w:r w:rsidRPr="00821B49">
              <w:rPr>
                <w:szCs w:val="20"/>
              </w:rPr>
              <w:t>Bev:</w:t>
            </w:r>
            <w:r w:rsidR="008A0CD0">
              <w:rPr>
                <w:noProof/>
                <w:color w:val="000000"/>
                <w:szCs w:val="20"/>
                <w:highlight w:val="black"/>
              </w:rPr>
              <w:t>'''''''''''''</w:t>
            </w:r>
            <w:r w:rsidR="00673405" w:rsidRPr="00821B49">
              <w:rPr>
                <w:szCs w:val="20"/>
              </w:rPr>
              <w:t xml:space="preserve"> </w:t>
            </w:r>
            <w:r w:rsidRPr="00821B49">
              <w:rPr>
                <w:szCs w:val="20"/>
              </w:rPr>
              <w:t>months</w:t>
            </w:r>
          </w:p>
        </w:tc>
        <w:tc>
          <w:tcPr>
            <w:tcW w:w="669" w:type="pct"/>
            <w:shd w:val="clear" w:color="auto" w:fill="auto"/>
            <w:vAlign w:val="center"/>
          </w:tcPr>
          <w:p w:rsidR="00673405" w:rsidRPr="00821B49" w:rsidRDefault="00673405" w:rsidP="00673405">
            <w:pPr>
              <w:pStyle w:val="TableText0"/>
              <w:jc w:val="center"/>
              <w:rPr>
                <w:szCs w:val="20"/>
              </w:rPr>
            </w:pPr>
            <w:r w:rsidRPr="00821B49">
              <w:rPr>
                <w:szCs w:val="20"/>
              </w:rPr>
              <w:t>Atezo:</w:t>
            </w:r>
            <w:r w:rsidR="008A0CD0">
              <w:rPr>
                <w:noProof/>
                <w:color w:val="000000"/>
                <w:szCs w:val="20"/>
                <w:highlight w:val="black"/>
              </w:rPr>
              <w:t>''''''''''''</w:t>
            </w:r>
            <w:r w:rsidRPr="00821B49">
              <w:rPr>
                <w:szCs w:val="20"/>
              </w:rPr>
              <w:t xml:space="preserve"> months</w:t>
            </w:r>
          </w:p>
          <w:p w:rsidR="00ED4F78" w:rsidRPr="004C57A4" w:rsidRDefault="00673405" w:rsidP="00673405">
            <w:pPr>
              <w:pStyle w:val="TableText0"/>
              <w:jc w:val="center"/>
              <w:rPr>
                <w:szCs w:val="20"/>
              </w:rPr>
            </w:pPr>
            <w:r w:rsidRPr="00821B49">
              <w:rPr>
                <w:szCs w:val="20"/>
              </w:rPr>
              <w:t>Bev:</w:t>
            </w:r>
            <w:r w:rsidR="008A0CD0">
              <w:rPr>
                <w:noProof/>
                <w:color w:val="000000"/>
                <w:szCs w:val="20"/>
                <w:highlight w:val="black"/>
              </w:rPr>
              <w:t>''''''''''''</w:t>
            </w:r>
            <w:r w:rsidRPr="00821B49">
              <w:rPr>
                <w:szCs w:val="20"/>
              </w:rPr>
              <w:t xml:space="preserve"> months</w:t>
            </w:r>
          </w:p>
        </w:tc>
        <w:tc>
          <w:tcPr>
            <w:tcW w:w="632" w:type="pct"/>
            <w:shd w:val="clear" w:color="auto" w:fill="FFFFFF" w:themeFill="background1"/>
            <w:vAlign w:val="center"/>
          </w:tcPr>
          <w:p w:rsidR="00ED4F78" w:rsidRPr="004C57A4" w:rsidRDefault="00356FBC" w:rsidP="00DD707C">
            <w:pPr>
              <w:pStyle w:val="TableText0"/>
              <w:jc w:val="center"/>
              <w:rPr>
                <w:bCs w:val="0"/>
                <w:szCs w:val="20"/>
              </w:rPr>
            </w:pPr>
            <w:r w:rsidRPr="004C57A4">
              <w:rPr>
                <w:bCs w:val="0"/>
                <w:szCs w:val="20"/>
              </w:rPr>
              <w:t>Duration</w:t>
            </w:r>
            <w:r w:rsidRPr="00821B49">
              <w:rPr>
                <w:bCs w:val="0"/>
                <w:szCs w:val="20"/>
              </w:rPr>
              <w:t xml:space="preserve">: </w:t>
            </w:r>
            <w:r w:rsidR="008A0CD0">
              <w:rPr>
                <w:bCs w:val="0"/>
                <w:noProof/>
                <w:color w:val="000000"/>
                <w:szCs w:val="20"/>
                <w:highlight w:val="black"/>
              </w:rPr>
              <w:t>'''''''''</w:t>
            </w:r>
            <w:r w:rsidR="00673405" w:rsidRPr="004C57A4">
              <w:rPr>
                <w:bCs w:val="0"/>
                <w:szCs w:val="20"/>
              </w:rPr>
              <w:t xml:space="preserve"> months</w:t>
            </w:r>
          </w:p>
          <w:p w:rsidR="00A80741" w:rsidRPr="004C57A4" w:rsidRDefault="00A80741" w:rsidP="00DD707C">
            <w:pPr>
              <w:pStyle w:val="TableText0"/>
              <w:jc w:val="center"/>
              <w:rPr>
                <w:bCs w:val="0"/>
                <w:szCs w:val="20"/>
              </w:rPr>
            </w:pPr>
          </w:p>
          <w:p w:rsidR="00993902" w:rsidRPr="00821B49" w:rsidRDefault="00356FBC" w:rsidP="00DD707C">
            <w:pPr>
              <w:pStyle w:val="TableText0"/>
              <w:jc w:val="center"/>
              <w:rPr>
                <w:bCs w:val="0"/>
                <w:szCs w:val="20"/>
              </w:rPr>
            </w:pPr>
            <w:r w:rsidRPr="00821B49">
              <w:rPr>
                <w:bCs w:val="0"/>
                <w:szCs w:val="20"/>
              </w:rPr>
              <w:t>Doses</w:t>
            </w:r>
            <w:r w:rsidR="00E21487" w:rsidRPr="00821B49">
              <w:rPr>
                <w:bCs w:val="0"/>
                <w:szCs w:val="20"/>
              </w:rPr>
              <w:t xml:space="preserve"> received</w:t>
            </w:r>
            <w:r w:rsidRPr="00821B49">
              <w:rPr>
                <w:bCs w:val="0"/>
                <w:szCs w:val="20"/>
              </w:rPr>
              <w:t xml:space="preserve">: </w:t>
            </w:r>
            <w:r w:rsidR="008A0CD0">
              <w:rPr>
                <w:bCs w:val="0"/>
                <w:noProof/>
                <w:color w:val="000000"/>
                <w:szCs w:val="20"/>
                <w:highlight w:val="black"/>
              </w:rPr>
              <w:t>''''''''''''</w:t>
            </w:r>
            <w:r w:rsidR="00993902" w:rsidRPr="00821B49">
              <w:rPr>
                <w:bCs w:val="0"/>
                <w:szCs w:val="20"/>
              </w:rPr>
              <w:t xml:space="preserve"> </w:t>
            </w:r>
          </w:p>
          <w:p w:rsidR="00356FBC" w:rsidRPr="004C57A4" w:rsidRDefault="00993902" w:rsidP="00DD707C">
            <w:pPr>
              <w:pStyle w:val="TableText0"/>
              <w:jc w:val="center"/>
              <w:rPr>
                <w:bCs w:val="0"/>
                <w:szCs w:val="20"/>
              </w:rPr>
            </w:pPr>
            <w:r w:rsidRPr="00821B49">
              <w:rPr>
                <w:bCs w:val="0"/>
                <w:szCs w:val="20"/>
              </w:rPr>
              <w:t xml:space="preserve">(SD </w:t>
            </w:r>
            <w:r w:rsidR="008A0CD0">
              <w:rPr>
                <w:bCs w:val="0"/>
                <w:noProof/>
                <w:color w:val="000000"/>
                <w:szCs w:val="20"/>
                <w:highlight w:val="black"/>
              </w:rPr>
              <w:t>''''''''''''''</w:t>
            </w:r>
            <w:r w:rsidRPr="00821B49">
              <w:rPr>
                <w:bCs w:val="0"/>
                <w:szCs w:val="20"/>
              </w:rPr>
              <w:t>)</w:t>
            </w:r>
          </w:p>
        </w:tc>
        <w:tc>
          <w:tcPr>
            <w:tcW w:w="632" w:type="pct"/>
            <w:shd w:val="clear" w:color="auto" w:fill="FFFFFF" w:themeFill="background1"/>
            <w:vAlign w:val="center"/>
          </w:tcPr>
          <w:p w:rsidR="00ED4F78" w:rsidRPr="004C57A4" w:rsidRDefault="008A0CD0" w:rsidP="00DD707C">
            <w:pPr>
              <w:pStyle w:val="TableText0"/>
              <w:jc w:val="center"/>
              <w:rPr>
                <w:bCs w:val="0"/>
                <w:szCs w:val="20"/>
              </w:rPr>
            </w:pPr>
            <w:r>
              <w:rPr>
                <w:bCs w:val="0"/>
                <w:noProof/>
                <w:color w:val="000000"/>
                <w:szCs w:val="20"/>
                <w:highlight w:val="black"/>
              </w:rPr>
              <w:t>''''''''''''</w:t>
            </w:r>
            <w:r w:rsidR="00AE15A6" w:rsidRPr="004C57A4">
              <w:rPr>
                <w:bCs w:val="0"/>
                <w:szCs w:val="20"/>
              </w:rPr>
              <w:t xml:space="preserve"> months</w:t>
            </w:r>
          </w:p>
        </w:tc>
        <w:tc>
          <w:tcPr>
            <w:tcW w:w="631" w:type="pct"/>
            <w:shd w:val="clear" w:color="auto" w:fill="FFFFFF" w:themeFill="background1"/>
            <w:vAlign w:val="center"/>
          </w:tcPr>
          <w:p w:rsidR="00ED4F78" w:rsidRPr="004C57A4" w:rsidRDefault="00E84868" w:rsidP="00A80741">
            <w:pPr>
              <w:pStyle w:val="TableText0"/>
              <w:jc w:val="center"/>
              <w:rPr>
                <w:bCs w:val="0"/>
                <w:szCs w:val="20"/>
              </w:rPr>
            </w:pPr>
            <w:r w:rsidRPr="004C57A4">
              <w:rPr>
                <w:bCs w:val="0"/>
                <w:szCs w:val="20"/>
              </w:rPr>
              <w:t>Based on number of scripts in market estimates</w:t>
            </w:r>
          </w:p>
        </w:tc>
      </w:tr>
      <w:tr w:rsidR="00E64524" w:rsidRPr="00E63DF4" w:rsidTr="004C57A4">
        <w:trPr>
          <w:cantSplit/>
          <w:trHeight w:val="800"/>
          <w:jc w:val="center"/>
        </w:trPr>
        <w:tc>
          <w:tcPr>
            <w:tcW w:w="816" w:type="pct"/>
            <w:shd w:val="clear" w:color="auto" w:fill="auto"/>
            <w:vAlign w:val="center"/>
          </w:tcPr>
          <w:p w:rsidR="00ED4F78" w:rsidRPr="004C57A4" w:rsidRDefault="00ED4F78" w:rsidP="00DD707C">
            <w:pPr>
              <w:pStyle w:val="TableText0"/>
              <w:rPr>
                <w:szCs w:val="20"/>
              </w:rPr>
            </w:pPr>
            <w:r w:rsidRPr="004C57A4">
              <w:rPr>
                <w:szCs w:val="20"/>
              </w:rPr>
              <w:t>Cost/patient/</w:t>
            </w:r>
            <w:r w:rsidR="00882E77" w:rsidRPr="004C57A4">
              <w:rPr>
                <w:szCs w:val="20"/>
              </w:rPr>
              <w:t>cycle</w:t>
            </w:r>
            <w:r w:rsidR="009A5905" w:rsidRPr="004C57A4">
              <w:rPr>
                <w:szCs w:val="20"/>
              </w:rPr>
              <w:t xml:space="preserve"> (DPMQ</w:t>
            </w:r>
            <w:r w:rsidR="00040BBA" w:rsidRPr="004C57A4">
              <w:rPr>
                <w:szCs w:val="20"/>
              </w:rPr>
              <w:t>/DPMA</w:t>
            </w:r>
            <w:r w:rsidR="009A5905" w:rsidRPr="004C57A4">
              <w:rPr>
                <w:szCs w:val="20"/>
              </w:rPr>
              <w:t>)</w:t>
            </w:r>
          </w:p>
        </w:tc>
        <w:tc>
          <w:tcPr>
            <w:tcW w:w="673" w:type="pct"/>
            <w:shd w:val="clear" w:color="auto" w:fill="auto"/>
            <w:vAlign w:val="center"/>
          </w:tcPr>
          <w:p w:rsidR="008A7526" w:rsidRPr="004C57A4" w:rsidRDefault="00B33F8B" w:rsidP="00B33F8B">
            <w:pPr>
              <w:pStyle w:val="TableText0"/>
              <w:jc w:val="center"/>
              <w:rPr>
                <w:szCs w:val="20"/>
              </w:rPr>
            </w:pPr>
            <w:r w:rsidRPr="004C57A4">
              <w:rPr>
                <w:szCs w:val="20"/>
              </w:rPr>
              <w:t xml:space="preserve">Atezo: </w:t>
            </w:r>
          </w:p>
          <w:p w:rsidR="00B33F8B" w:rsidRPr="004C57A4" w:rsidRDefault="00E354E9" w:rsidP="00B33F8B">
            <w:pPr>
              <w:pStyle w:val="TableText0"/>
              <w:jc w:val="center"/>
              <w:rPr>
                <w:szCs w:val="20"/>
              </w:rPr>
            </w:pPr>
            <w:r w:rsidRPr="004C57A4">
              <w:rPr>
                <w:szCs w:val="20"/>
              </w:rPr>
              <w:t>$</w:t>
            </w:r>
            <w:r w:rsidR="008A0CD0">
              <w:rPr>
                <w:noProof/>
                <w:color w:val="000000"/>
                <w:szCs w:val="20"/>
                <w:highlight w:val="black"/>
              </w:rPr>
              <w:t>'''''''''''''''</w:t>
            </w:r>
            <w:r w:rsidR="00467A8C" w:rsidRPr="004C57A4">
              <w:rPr>
                <w:szCs w:val="20"/>
                <w:vertAlign w:val="superscript"/>
              </w:rPr>
              <w:t>b</w:t>
            </w:r>
          </w:p>
          <w:p w:rsidR="00027968" w:rsidRPr="004C57A4" w:rsidRDefault="00B33F8B" w:rsidP="00E2273A">
            <w:pPr>
              <w:pStyle w:val="TableText0"/>
              <w:jc w:val="center"/>
              <w:rPr>
                <w:szCs w:val="20"/>
              </w:rPr>
            </w:pPr>
            <w:r w:rsidRPr="004C57A4">
              <w:rPr>
                <w:szCs w:val="20"/>
              </w:rPr>
              <w:t>Bev: $</w:t>
            </w:r>
            <w:r w:rsidR="008A0CD0">
              <w:rPr>
                <w:noProof/>
                <w:color w:val="000000"/>
                <w:szCs w:val="20"/>
                <w:highlight w:val="black"/>
              </w:rPr>
              <w:t>'''''''''</w:t>
            </w:r>
            <w:r w:rsidR="0031118B" w:rsidRPr="004C57A4">
              <w:rPr>
                <w:szCs w:val="20"/>
              </w:rPr>
              <w:t xml:space="preserve"> (per 21 days cycle)</w:t>
            </w:r>
          </w:p>
        </w:tc>
        <w:tc>
          <w:tcPr>
            <w:tcW w:w="947" w:type="pct"/>
            <w:shd w:val="clear" w:color="auto" w:fill="auto"/>
            <w:vAlign w:val="center"/>
          </w:tcPr>
          <w:p w:rsidR="00014838" w:rsidRPr="004C57A4" w:rsidRDefault="00014838" w:rsidP="00014838">
            <w:pPr>
              <w:pStyle w:val="TableText0"/>
              <w:jc w:val="center"/>
              <w:rPr>
                <w:szCs w:val="20"/>
              </w:rPr>
            </w:pPr>
            <w:r w:rsidRPr="004C57A4">
              <w:rPr>
                <w:szCs w:val="20"/>
              </w:rPr>
              <w:t>Atezo: $</w:t>
            </w:r>
            <w:r w:rsidR="008A0CD0">
              <w:rPr>
                <w:noProof/>
                <w:color w:val="000000"/>
                <w:szCs w:val="20"/>
                <w:highlight w:val="black"/>
              </w:rPr>
              <w:t>'''''''''''''''''''''</w:t>
            </w:r>
          </w:p>
          <w:p w:rsidR="00ED4F78" w:rsidRPr="004C57A4" w:rsidRDefault="00014838" w:rsidP="00014838">
            <w:pPr>
              <w:pStyle w:val="TableText0"/>
              <w:jc w:val="center"/>
              <w:rPr>
                <w:szCs w:val="20"/>
              </w:rPr>
            </w:pPr>
            <w:r w:rsidRPr="004C57A4">
              <w:rPr>
                <w:szCs w:val="20"/>
              </w:rPr>
              <w:t>Bev: $</w:t>
            </w:r>
            <w:r w:rsidR="008A0CD0">
              <w:rPr>
                <w:noProof/>
                <w:color w:val="000000"/>
                <w:szCs w:val="20"/>
                <w:highlight w:val="black"/>
              </w:rPr>
              <w:t>'''''''''''''''''</w:t>
            </w:r>
          </w:p>
          <w:p w:rsidR="00BC151B" w:rsidRPr="004C57A4" w:rsidRDefault="00BC151B" w:rsidP="00014838">
            <w:pPr>
              <w:pStyle w:val="TableText0"/>
              <w:jc w:val="center"/>
              <w:rPr>
                <w:szCs w:val="20"/>
              </w:rPr>
            </w:pPr>
            <w:r w:rsidRPr="004C57A4">
              <w:rPr>
                <w:szCs w:val="20"/>
              </w:rPr>
              <w:t>(per 21 days cycle)</w:t>
            </w:r>
          </w:p>
        </w:tc>
        <w:tc>
          <w:tcPr>
            <w:tcW w:w="669" w:type="pct"/>
            <w:shd w:val="clear" w:color="auto" w:fill="auto"/>
            <w:vAlign w:val="center"/>
          </w:tcPr>
          <w:p w:rsidR="00AF1820" w:rsidRPr="004C57A4" w:rsidRDefault="00AF1820" w:rsidP="00AF1820">
            <w:pPr>
              <w:pStyle w:val="TableText0"/>
              <w:jc w:val="center"/>
              <w:rPr>
                <w:szCs w:val="20"/>
              </w:rPr>
            </w:pPr>
            <w:r w:rsidRPr="004C57A4">
              <w:rPr>
                <w:szCs w:val="20"/>
              </w:rPr>
              <w:t>Atezo: $</w:t>
            </w:r>
            <w:r w:rsidR="008A0CD0">
              <w:rPr>
                <w:noProof/>
                <w:color w:val="000000"/>
                <w:szCs w:val="20"/>
                <w:highlight w:val="black"/>
              </w:rPr>
              <w:t>'''''''''''''''''''''</w:t>
            </w:r>
          </w:p>
          <w:p w:rsidR="00ED4F78" w:rsidRPr="004C57A4" w:rsidRDefault="00AF1820" w:rsidP="00AF1820">
            <w:pPr>
              <w:pStyle w:val="TableText0"/>
              <w:jc w:val="center"/>
              <w:rPr>
                <w:i/>
                <w:szCs w:val="20"/>
              </w:rPr>
            </w:pPr>
            <w:r w:rsidRPr="004C57A4">
              <w:rPr>
                <w:szCs w:val="20"/>
              </w:rPr>
              <w:t>Bev: $</w:t>
            </w:r>
            <w:r w:rsidR="008A0CD0">
              <w:rPr>
                <w:noProof/>
                <w:color w:val="000000"/>
                <w:szCs w:val="20"/>
                <w:highlight w:val="black"/>
              </w:rPr>
              <w:t>''''''''''''''''</w:t>
            </w:r>
          </w:p>
        </w:tc>
        <w:tc>
          <w:tcPr>
            <w:tcW w:w="632" w:type="pct"/>
            <w:shd w:val="clear" w:color="auto" w:fill="FFFFFF" w:themeFill="background1"/>
            <w:vAlign w:val="center"/>
          </w:tcPr>
          <w:p w:rsidR="00BD660B" w:rsidRPr="008372A0" w:rsidRDefault="002B75A2" w:rsidP="00A90B59">
            <w:pPr>
              <w:pStyle w:val="TableText0"/>
              <w:jc w:val="center"/>
              <w:rPr>
                <w:bCs w:val="0"/>
                <w:szCs w:val="20"/>
              </w:rPr>
            </w:pPr>
            <w:r w:rsidRPr="00821B49">
              <w:rPr>
                <w:bCs w:val="0"/>
                <w:szCs w:val="20"/>
              </w:rPr>
              <w:t>$</w:t>
            </w:r>
            <w:r w:rsidR="008A0CD0">
              <w:rPr>
                <w:bCs w:val="0"/>
                <w:noProof/>
                <w:color w:val="000000"/>
                <w:szCs w:val="20"/>
                <w:highlight w:val="black"/>
              </w:rPr>
              <w:t>'''''''''''''''''''</w:t>
            </w:r>
            <w:r w:rsidR="003E74B4" w:rsidRPr="00821B49">
              <w:rPr>
                <w:bCs w:val="0"/>
                <w:szCs w:val="20"/>
                <w:vertAlign w:val="superscript"/>
              </w:rPr>
              <w:t>b</w:t>
            </w:r>
            <w:r w:rsidR="00CF4BE9" w:rsidRPr="00821B49">
              <w:rPr>
                <w:bCs w:val="0"/>
                <w:szCs w:val="20"/>
              </w:rPr>
              <w:t xml:space="preserve"> </w:t>
            </w:r>
            <w:r w:rsidR="00790F3B" w:rsidRPr="00821B49">
              <w:rPr>
                <w:bCs w:val="0"/>
                <w:szCs w:val="20"/>
              </w:rPr>
              <w:t>per</w:t>
            </w:r>
            <w:r w:rsidR="00BC151B" w:rsidRPr="008372A0">
              <w:rPr>
                <w:bCs w:val="0"/>
                <w:szCs w:val="20"/>
              </w:rPr>
              <w:t xml:space="preserve"> 30 days cycle) (</w:t>
            </w:r>
            <w:r w:rsidR="00265EE2" w:rsidRPr="008372A0">
              <w:rPr>
                <w:bCs w:val="0"/>
                <w:szCs w:val="20"/>
              </w:rPr>
              <w:t>assumed effective</w:t>
            </w:r>
            <w:r w:rsidR="00615C34" w:rsidRPr="008372A0">
              <w:rPr>
                <w:bCs w:val="0"/>
                <w:szCs w:val="20"/>
              </w:rPr>
              <w:t xml:space="preserve"> price</w:t>
            </w:r>
            <w:r w:rsidR="00265EE2" w:rsidRPr="008372A0">
              <w:rPr>
                <w:bCs w:val="0"/>
                <w:szCs w:val="20"/>
              </w:rPr>
              <w:t>)</w:t>
            </w:r>
          </w:p>
        </w:tc>
        <w:tc>
          <w:tcPr>
            <w:tcW w:w="632" w:type="pct"/>
            <w:shd w:val="clear" w:color="auto" w:fill="FFFFFF" w:themeFill="background1"/>
            <w:vAlign w:val="center"/>
          </w:tcPr>
          <w:p w:rsidR="00ED4F78" w:rsidRPr="008372A0" w:rsidRDefault="00E57998" w:rsidP="00DD707C">
            <w:pPr>
              <w:pStyle w:val="TableText0"/>
              <w:jc w:val="center"/>
              <w:rPr>
                <w:bCs w:val="0"/>
                <w:szCs w:val="20"/>
              </w:rPr>
            </w:pPr>
            <w:r w:rsidRPr="00821B49">
              <w:rPr>
                <w:bCs w:val="0"/>
                <w:szCs w:val="20"/>
              </w:rPr>
              <w:t>$</w:t>
            </w:r>
            <w:r w:rsidR="008A0CD0">
              <w:rPr>
                <w:bCs w:val="0"/>
                <w:noProof/>
                <w:color w:val="000000"/>
                <w:szCs w:val="20"/>
                <w:highlight w:val="black"/>
              </w:rPr>
              <w:t>''''''''''''''''''''</w:t>
            </w:r>
            <w:r w:rsidR="00994D71" w:rsidRPr="008372A0">
              <w:rPr>
                <w:bCs w:val="0"/>
                <w:szCs w:val="20"/>
              </w:rPr>
              <w:t xml:space="preserve"> (assumed effective price)</w:t>
            </w:r>
            <w:r w:rsidR="00BC151B" w:rsidRPr="008372A0">
              <w:rPr>
                <w:bCs w:val="0"/>
                <w:szCs w:val="20"/>
              </w:rPr>
              <w:t xml:space="preserve"> per 30 days cycle</w:t>
            </w:r>
          </w:p>
        </w:tc>
        <w:tc>
          <w:tcPr>
            <w:tcW w:w="631" w:type="pct"/>
            <w:shd w:val="clear" w:color="auto" w:fill="FFFFFF" w:themeFill="background1"/>
          </w:tcPr>
          <w:p w:rsidR="00ED4F78" w:rsidRPr="004C57A4" w:rsidRDefault="00265EE2" w:rsidP="00DD707C">
            <w:pPr>
              <w:pStyle w:val="TableText0"/>
              <w:jc w:val="center"/>
              <w:rPr>
                <w:bCs w:val="0"/>
                <w:szCs w:val="20"/>
              </w:rPr>
            </w:pPr>
            <w:r w:rsidRPr="004C57A4">
              <w:rPr>
                <w:bCs w:val="0"/>
                <w:szCs w:val="20"/>
              </w:rPr>
              <w:t>$5,547.79 (published)</w:t>
            </w:r>
          </w:p>
        </w:tc>
      </w:tr>
      <w:tr w:rsidR="00E64524" w:rsidRPr="00E63DF4" w:rsidTr="004C57A4">
        <w:trPr>
          <w:cantSplit/>
          <w:jc w:val="center"/>
        </w:trPr>
        <w:tc>
          <w:tcPr>
            <w:tcW w:w="816" w:type="pct"/>
            <w:shd w:val="clear" w:color="auto" w:fill="auto"/>
            <w:vAlign w:val="center"/>
          </w:tcPr>
          <w:p w:rsidR="00ED4F78" w:rsidRPr="004C57A4" w:rsidRDefault="00ED4F78" w:rsidP="00DD707C">
            <w:pPr>
              <w:pStyle w:val="TableText0"/>
              <w:rPr>
                <w:szCs w:val="20"/>
              </w:rPr>
            </w:pPr>
            <w:r w:rsidRPr="004C57A4">
              <w:rPr>
                <w:szCs w:val="20"/>
              </w:rPr>
              <w:t>Cost/patient</w:t>
            </w:r>
            <w:r w:rsidR="00410BBA" w:rsidRPr="004C57A4">
              <w:rPr>
                <w:szCs w:val="20"/>
              </w:rPr>
              <w:t xml:space="preserve"> (DPMQ/DPMA)</w:t>
            </w:r>
          </w:p>
        </w:tc>
        <w:tc>
          <w:tcPr>
            <w:tcW w:w="673" w:type="pct"/>
            <w:shd w:val="clear" w:color="auto" w:fill="auto"/>
            <w:vAlign w:val="center"/>
          </w:tcPr>
          <w:p w:rsidR="00F92533" w:rsidRPr="004C57A4" w:rsidRDefault="00900436" w:rsidP="00DD707C">
            <w:pPr>
              <w:pStyle w:val="TableText0"/>
              <w:jc w:val="center"/>
              <w:rPr>
                <w:iCs/>
                <w:szCs w:val="20"/>
              </w:rPr>
            </w:pPr>
            <w:r w:rsidRPr="004C57A4">
              <w:rPr>
                <w:szCs w:val="20"/>
              </w:rPr>
              <w:t xml:space="preserve">Based on mean number of doses: </w:t>
            </w:r>
            <w:r w:rsidR="00ED51EF" w:rsidRPr="004C57A4">
              <w:rPr>
                <w:szCs w:val="20"/>
              </w:rPr>
              <w:t>Atezo:</w:t>
            </w:r>
            <w:r w:rsidR="00410BBA" w:rsidRPr="004C57A4">
              <w:rPr>
                <w:szCs w:val="20"/>
              </w:rPr>
              <w:t xml:space="preserve"> </w:t>
            </w:r>
            <w:r w:rsidR="00D26D90" w:rsidRPr="004C57A4">
              <w:rPr>
                <w:szCs w:val="20"/>
              </w:rPr>
              <w:t>$</w:t>
            </w:r>
            <w:r w:rsidR="008A0CD0">
              <w:rPr>
                <w:iCs/>
                <w:noProof/>
                <w:color w:val="000000"/>
                <w:szCs w:val="20"/>
                <w:highlight w:val="black"/>
              </w:rPr>
              <w:t>'''''''''''''''</w:t>
            </w:r>
            <w:r w:rsidR="003B107B" w:rsidRPr="004C57A4">
              <w:rPr>
                <w:iCs/>
                <w:szCs w:val="20"/>
                <w:vertAlign w:val="superscript"/>
              </w:rPr>
              <w:t>c</w:t>
            </w:r>
          </w:p>
          <w:p w:rsidR="00ED4F78" w:rsidRPr="004C57A4" w:rsidRDefault="00F92533" w:rsidP="00DD707C">
            <w:pPr>
              <w:pStyle w:val="TableText0"/>
              <w:jc w:val="center"/>
              <w:rPr>
                <w:szCs w:val="20"/>
              </w:rPr>
            </w:pPr>
            <w:r w:rsidRPr="004C57A4">
              <w:rPr>
                <w:iCs/>
                <w:szCs w:val="20"/>
              </w:rPr>
              <w:t>Bev: $</w:t>
            </w:r>
            <w:r w:rsidR="008A0CD0">
              <w:rPr>
                <w:iCs/>
                <w:noProof/>
                <w:color w:val="000000"/>
                <w:szCs w:val="20"/>
                <w:highlight w:val="black"/>
              </w:rPr>
              <w:t>'''''''''''''</w:t>
            </w:r>
            <w:r w:rsidR="003B107B" w:rsidRPr="004C57A4">
              <w:rPr>
                <w:iCs/>
                <w:szCs w:val="20"/>
                <w:vertAlign w:val="superscript"/>
              </w:rPr>
              <w:t>c</w:t>
            </w:r>
          </w:p>
        </w:tc>
        <w:tc>
          <w:tcPr>
            <w:tcW w:w="947" w:type="pct"/>
            <w:shd w:val="clear" w:color="auto" w:fill="auto"/>
            <w:vAlign w:val="center"/>
          </w:tcPr>
          <w:p w:rsidR="00647E5F" w:rsidRPr="004C57A4" w:rsidRDefault="00394E50" w:rsidP="00DD707C">
            <w:pPr>
              <w:pStyle w:val="TableText0"/>
              <w:jc w:val="center"/>
              <w:rPr>
                <w:szCs w:val="20"/>
              </w:rPr>
            </w:pPr>
            <w:r w:rsidRPr="006E68B9">
              <w:rPr>
                <w:iCs/>
                <w:szCs w:val="20"/>
              </w:rPr>
              <w:t>Atezo:</w:t>
            </w:r>
            <w:r w:rsidR="00410BBA" w:rsidRPr="004C57A4">
              <w:rPr>
                <w:i/>
                <w:iCs/>
                <w:szCs w:val="20"/>
              </w:rPr>
              <w:t xml:space="preserve"> </w:t>
            </w:r>
            <w:r w:rsidR="007A0A59" w:rsidRPr="004C57A4">
              <w:rPr>
                <w:i/>
                <w:iCs/>
                <w:szCs w:val="20"/>
              </w:rPr>
              <w:t>$</w:t>
            </w:r>
            <w:r w:rsidR="008A0CD0">
              <w:rPr>
                <w:noProof/>
                <w:color w:val="000000"/>
                <w:szCs w:val="20"/>
                <w:highlight w:val="black"/>
              </w:rPr>
              <w:t>'''''''''''''''''</w:t>
            </w:r>
          </w:p>
          <w:p w:rsidR="00ED4F78" w:rsidRPr="004C57A4" w:rsidRDefault="00647E5F" w:rsidP="00DD707C">
            <w:pPr>
              <w:pStyle w:val="TableText0"/>
              <w:jc w:val="center"/>
              <w:rPr>
                <w:i/>
                <w:iCs/>
                <w:szCs w:val="20"/>
              </w:rPr>
            </w:pPr>
            <w:r w:rsidRPr="004C57A4">
              <w:rPr>
                <w:szCs w:val="20"/>
              </w:rPr>
              <w:t>Bev: $</w:t>
            </w:r>
            <w:r w:rsidR="008A0CD0">
              <w:rPr>
                <w:noProof/>
                <w:color w:val="000000"/>
                <w:szCs w:val="20"/>
                <w:highlight w:val="black"/>
              </w:rPr>
              <w:t>''''''''''''''</w:t>
            </w:r>
            <w:r w:rsidR="00333C8E" w:rsidRPr="004C57A4">
              <w:rPr>
                <w:szCs w:val="20"/>
                <w:vertAlign w:val="superscript"/>
              </w:rPr>
              <w:t>d</w:t>
            </w:r>
          </w:p>
        </w:tc>
        <w:tc>
          <w:tcPr>
            <w:tcW w:w="669" w:type="pct"/>
            <w:shd w:val="clear" w:color="auto" w:fill="auto"/>
            <w:vAlign w:val="center"/>
          </w:tcPr>
          <w:p w:rsidR="00ED4F78" w:rsidRPr="004C57A4" w:rsidRDefault="004F7D26" w:rsidP="002F713F">
            <w:pPr>
              <w:pStyle w:val="TableText0"/>
              <w:jc w:val="center"/>
              <w:rPr>
                <w:szCs w:val="20"/>
              </w:rPr>
            </w:pPr>
            <w:r w:rsidRPr="006E68B9">
              <w:rPr>
                <w:szCs w:val="20"/>
              </w:rPr>
              <w:t>$</w:t>
            </w:r>
            <w:r w:rsidR="008A0CD0">
              <w:rPr>
                <w:noProof/>
                <w:color w:val="000000"/>
                <w:szCs w:val="20"/>
                <w:highlight w:val="black"/>
              </w:rPr>
              <w:t>'''''''''''''''''''''''''</w:t>
            </w:r>
            <w:r w:rsidR="00D55AAA" w:rsidRPr="006E68B9">
              <w:rPr>
                <w:szCs w:val="20"/>
                <w:vertAlign w:val="superscript"/>
              </w:rPr>
              <w:t>e</w:t>
            </w:r>
          </w:p>
        </w:tc>
        <w:tc>
          <w:tcPr>
            <w:tcW w:w="632" w:type="pct"/>
            <w:shd w:val="clear" w:color="auto" w:fill="FFFFFF" w:themeFill="background1"/>
            <w:vAlign w:val="center"/>
          </w:tcPr>
          <w:p w:rsidR="00ED4F78" w:rsidRPr="004C57A4" w:rsidRDefault="00900436" w:rsidP="00DD707C">
            <w:pPr>
              <w:pStyle w:val="TableText0"/>
              <w:jc w:val="center"/>
              <w:rPr>
                <w:bCs w:val="0"/>
                <w:szCs w:val="20"/>
              </w:rPr>
            </w:pPr>
            <w:r w:rsidRPr="004C57A4">
              <w:rPr>
                <w:bCs w:val="0"/>
                <w:szCs w:val="20"/>
              </w:rPr>
              <w:t xml:space="preserve">Based on mean number of </w:t>
            </w:r>
            <w:r w:rsidR="00561BAD" w:rsidRPr="004C57A4">
              <w:rPr>
                <w:bCs w:val="0"/>
                <w:szCs w:val="20"/>
              </w:rPr>
              <w:t xml:space="preserve">doses: </w:t>
            </w:r>
            <w:r w:rsidR="00232C93" w:rsidRPr="00821B49">
              <w:rPr>
                <w:bCs w:val="0"/>
                <w:szCs w:val="20"/>
              </w:rPr>
              <w:t>$</w:t>
            </w:r>
            <w:r w:rsidR="008A0CD0">
              <w:rPr>
                <w:bCs w:val="0"/>
                <w:noProof/>
                <w:color w:val="000000"/>
                <w:szCs w:val="20"/>
                <w:highlight w:val="black"/>
              </w:rPr>
              <w:t>'''''''''''''''''''''''</w:t>
            </w:r>
            <w:r w:rsidR="00604D63" w:rsidRPr="00821B49">
              <w:rPr>
                <w:bCs w:val="0"/>
                <w:i/>
                <w:iCs/>
                <w:szCs w:val="20"/>
                <w:vertAlign w:val="superscript"/>
              </w:rPr>
              <w:t>f</w:t>
            </w:r>
          </w:p>
        </w:tc>
        <w:tc>
          <w:tcPr>
            <w:tcW w:w="632" w:type="pct"/>
            <w:shd w:val="clear" w:color="auto" w:fill="FFFFFF" w:themeFill="background1"/>
            <w:vAlign w:val="center"/>
          </w:tcPr>
          <w:p w:rsidR="00ED4F78" w:rsidRPr="004C57A4" w:rsidRDefault="00DB3E0B" w:rsidP="00DD707C">
            <w:pPr>
              <w:pStyle w:val="TableText0"/>
              <w:jc w:val="center"/>
              <w:rPr>
                <w:bCs w:val="0"/>
                <w:szCs w:val="20"/>
              </w:rPr>
            </w:pPr>
            <w:r w:rsidRPr="004C57A4">
              <w:rPr>
                <w:bCs w:val="0"/>
                <w:szCs w:val="20"/>
              </w:rPr>
              <w:t>$</w:t>
            </w:r>
            <w:r w:rsidR="008A0CD0">
              <w:rPr>
                <w:bCs w:val="0"/>
                <w:noProof/>
                <w:color w:val="000000"/>
                <w:szCs w:val="20"/>
                <w:highlight w:val="black"/>
              </w:rPr>
              <w:t>''''''''''''''''</w:t>
            </w:r>
            <w:r w:rsidR="00076B52" w:rsidRPr="00821B49">
              <w:rPr>
                <w:bCs w:val="0"/>
                <w:szCs w:val="20"/>
                <w:vertAlign w:val="superscript"/>
              </w:rPr>
              <w:t>g</w:t>
            </w:r>
          </w:p>
        </w:tc>
        <w:tc>
          <w:tcPr>
            <w:tcW w:w="631" w:type="pct"/>
            <w:shd w:val="clear" w:color="auto" w:fill="FFFFFF" w:themeFill="background1"/>
            <w:vAlign w:val="center"/>
          </w:tcPr>
          <w:p w:rsidR="00ED4F78" w:rsidRPr="004C57A4" w:rsidRDefault="00F90695" w:rsidP="00A80741">
            <w:pPr>
              <w:pStyle w:val="TableText0"/>
              <w:jc w:val="center"/>
              <w:rPr>
                <w:bCs w:val="0"/>
                <w:szCs w:val="20"/>
              </w:rPr>
            </w:pPr>
            <w:r w:rsidRPr="004C57A4">
              <w:rPr>
                <w:bCs w:val="0"/>
                <w:szCs w:val="20"/>
              </w:rPr>
              <w:t>NE</w:t>
            </w:r>
          </w:p>
        </w:tc>
      </w:tr>
    </w:tbl>
    <w:p w:rsidR="00F14B46" w:rsidRPr="00E63DF4" w:rsidRDefault="00F14B46" w:rsidP="00F14B46">
      <w:pPr>
        <w:pStyle w:val="TableFigureFooter"/>
      </w:pPr>
      <w:r w:rsidRPr="00E63DF4">
        <w:t xml:space="preserve">Source: Table 26, pp 156-157 of the trial report, Section 3 workbook, sheet 3a of the utilisation-and-cost-model. </w:t>
      </w:r>
    </w:p>
    <w:p w:rsidR="0090169E" w:rsidRPr="00E63DF4" w:rsidRDefault="0090169E" w:rsidP="00F14B46">
      <w:pPr>
        <w:pStyle w:val="TableFigureFooter"/>
      </w:pPr>
      <w:r w:rsidRPr="00E63DF4">
        <w:t xml:space="preserve">Abbreviations: Atezo = atezolizumab; </w:t>
      </w:r>
      <w:r w:rsidR="004D460B" w:rsidRPr="00E63DF4">
        <w:t>B</w:t>
      </w:r>
      <w:r w:rsidRPr="00E63DF4">
        <w:t xml:space="preserve">ev = bevacizumab; </w:t>
      </w:r>
      <w:r w:rsidR="009A5905" w:rsidRPr="00E63DF4">
        <w:t>DPM</w:t>
      </w:r>
      <w:r w:rsidR="00040BBA" w:rsidRPr="00E63DF4">
        <w:t>A</w:t>
      </w:r>
      <w:r w:rsidR="009A5905" w:rsidRPr="00E63DF4">
        <w:t xml:space="preserve"> = </w:t>
      </w:r>
      <w:r w:rsidR="00040BBA" w:rsidRPr="00E63DF4">
        <w:t>dispensed</w:t>
      </w:r>
      <w:r w:rsidR="009A5905" w:rsidRPr="00E63DF4">
        <w:t xml:space="preserve"> </w:t>
      </w:r>
      <w:r w:rsidR="00040BBA" w:rsidRPr="00E63DF4">
        <w:t xml:space="preserve">price </w:t>
      </w:r>
      <w:r w:rsidR="0013582F" w:rsidRPr="00E63DF4">
        <w:t>for</w:t>
      </w:r>
      <w:r w:rsidR="00040BBA" w:rsidRPr="00E63DF4">
        <w:t xml:space="preserve"> maximum amount; DPMQ = dispensed price </w:t>
      </w:r>
      <w:r w:rsidR="0013582F" w:rsidRPr="00E63DF4">
        <w:t>for</w:t>
      </w:r>
      <w:r w:rsidR="00040BBA" w:rsidRPr="00E63DF4">
        <w:t xml:space="preserve"> maximum quantity; </w:t>
      </w:r>
      <w:r w:rsidRPr="00E63DF4">
        <w:t>N</w:t>
      </w:r>
      <w:r w:rsidR="00F90695" w:rsidRPr="00E63DF4">
        <w:t>E</w:t>
      </w:r>
      <w:r w:rsidRPr="00E63DF4">
        <w:t xml:space="preserve"> = not</w:t>
      </w:r>
      <w:r w:rsidR="00040BBA" w:rsidRPr="00E63DF4">
        <w:t xml:space="preserve"> </w:t>
      </w:r>
      <w:r w:rsidR="00F90695" w:rsidRPr="00E63DF4">
        <w:t>estimable</w:t>
      </w:r>
      <w:r w:rsidR="004B290C" w:rsidRPr="00E63DF4">
        <w:t>; SD = standard deviation</w:t>
      </w:r>
      <w:r w:rsidR="00076B52" w:rsidRPr="00E63DF4">
        <w:t>.</w:t>
      </w:r>
    </w:p>
    <w:p w:rsidR="00074261" w:rsidRPr="00E63DF4" w:rsidRDefault="00D26D90" w:rsidP="00F14B46">
      <w:pPr>
        <w:pStyle w:val="TableFigureFooter"/>
      </w:pPr>
      <w:r w:rsidRPr="00E63DF4">
        <w:t>Note:</w:t>
      </w:r>
      <w:r w:rsidR="00992A2D" w:rsidRPr="00E63DF4">
        <w:t xml:space="preserve"> </w:t>
      </w:r>
    </w:p>
    <w:p w:rsidR="00074261" w:rsidRPr="00E63DF4" w:rsidRDefault="00D568BA" w:rsidP="00F14B46">
      <w:pPr>
        <w:pStyle w:val="TableFigureFooter"/>
      </w:pPr>
      <w:r w:rsidRPr="00821B49">
        <w:t xml:space="preserve">a </w:t>
      </w:r>
      <w:r w:rsidR="00BA51B0" w:rsidRPr="00821B49">
        <w:t>C</w:t>
      </w:r>
      <w:r w:rsidR="001C29D5" w:rsidRPr="00821B49">
        <w:t xml:space="preserve">alculated based on mean total cumulative dose divided by the mean </w:t>
      </w:r>
      <w:r w:rsidR="001C62F1" w:rsidRPr="00821B49">
        <w:t>number of doses received (=</w:t>
      </w:r>
      <w:r w:rsidR="008A0CD0">
        <w:rPr>
          <w:noProof/>
          <w:color w:val="000000"/>
          <w:highlight w:val="black"/>
        </w:rPr>
        <w:t>''''''''''''''''''''' '' ''''''''''</w:t>
      </w:r>
      <w:r w:rsidR="001C62F1" w:rsidRPr="00821B49">
        <w:t xml:space="preserve">) for Atezo, and </w:t>
      </w:r>
      <w:r w:rsidR="006C1BA6" w:rsidRPr="00821B49">
        <w:t>(=</w:t>
      </w:r>
      <w:r w:rsidR="001C62F1" w:rsidRPr="00821B49">
        <w:t xml:space="preserve"> </w:t>
      </w:r>
      <w:r w:rsidR="008A0CD0">
        <w:rPr>
          <w:noProof/>
          <w:color w:val="000000"/>
          <w:highlight w:val="black"/>
        </w:rPr>
        <w:t>'''''''''''''''''''' '' ''''''''</w:t>
      </w:r>
      <w:r w:rsidR="001C62F1" w:rsidRPr="00821B49">
        <w:t>) f</w:t>
      </w:r>
      <w:r w:rsidR="001C62F1" w:rsidRPr="00E63DF4">
        <w:t>or Bev</w:t>
      </w:r>
      <w:r w:rsidR="00661D66" w:rsidRPr="00E63DF4">
        <w:t xml:space="preserve">, </w:t>
      </w:r>
      <w:r w:rsidR="00661D66" w:rsidRPr="00821B49">
        <w:t>and (=</w:t>
      </w:r>
      <w:r w:rsidR="00A71216" w:rsidRPr="00821B49">
        <w:t xml:space="preserve"> </w:t>
      </w:r>
      <w:r w:rsidR="008A0CD0">
        <w:rPr>
          <w:noProof/>
          <w:color w:val="000000"/>
          <w:highlight w:val="black"/>
        </w:rPr>
        <w:t>'''''''''''''''''''' '' '''''''''''''''</w:t>
      </w:r>
      <w:r w:rsidR="00661D66" w:rsidRPr="00821B49">
        <w:t>) for</w:t>
      </w:r>
      <w:r w:rsidR="00661D66" w:rsidRPr="00E63DF4">
        <w:t xml:space="preserve"> sorafenib</w:t>
      </w:r>
      <w:r w:rsidR="001C62F1" w:rsidRPr="00E63DF4">
        <w:t>;</w:t>
      </w:r>
      <w:r w:rsidR="00074205" w:rsidRPr="00E63DF4">
        <w:t xml:space="preserve"> </w:t>
      </w:r>
    </w:p>
    <w:p w:rsidR="003E74B4" w:rsidRPr="00E63DF4" w:rsidRDefault="00467A8C" w:rsidP="00F14B46">
      <w:pPr>
        <w:pStyle w:val="TableFigureFooter"/>
      </w:pPr>
      <w:r w:rsidRPr="00E63DF4">
        <w:t xml:space="preserve">b </w:t>
      </w:r>
      <w:r w:rsidR="00BA51B0" w:rsidRPr="00E63DF4">
        <w:t>B</w:t>
      </w:r>
      <w:r w:rsidRPr="00E63DF4">
        <w:t xml:space="preserve">ased on the </w:t>
      </w:r>
      <w:r w:rsidR="0031118B" w:rsidRPr="00E63DF4">
        <w:t>mean</w:t>
      </w:r>
      <w:r w:rsidR="00EA01B7" w:rsidRPr="00E63DF4">
        <w:t xml:space="preserve"> dose and the ex-man price for Atezo</w:t>
      </w:r>
      <w:r w:rsidR="003E74B4" w:rsidRPr="00E63DF4">
        <w:t xml:space="preserve">, Bev and </w:t>
      </w:r>
      <w:r w:rsidR="006A1B37" w:rsidRPr="00E63DF4">
        <w:t>sorafenib, (</w:t>
      </w:r>
      <w:r w:rsidR="008A0CD0">
        <w:rPr>
          <w:noProof/>
          <w:color w:val="000000"/>
          <w:highlight w:val="black"/>
        </w:rPr>
        <w:t>''''''''' '''''''''''''' '''''''''' '''' ''''''''''''''''''''''' '''''''''' ''''' '''''''''''' '''''''''''''''</w:t>
      </w:r>
      <w:r w:rsidR="003E74B4" w:rsidRPr="00E63DF4">
        <w:t>)</w:t>
      </w:r>
      <w:r w:rsidR="00BB682D" w:rsidRPr="00E63DF4">
        <w:t>;</w:t>
      </w:r>
      <w:r w:rsidR="0031118B" w:rsidRPr="00E63DF4">
        <w:t xml:space="preserve"> </w:t>
      </w:r>
    </w:p>
    <w:p w:rsidR="0074450F" w:rsidRPr="00E63DF4" w:rsidRDefault="003E74B4" w:rsidP="00F14B46">
      <w:pPr>
        <w:pStyle w:val="TableFigureFooter"/>
      </w:pPr>
      <w:r w:rsidRPr="00E63DF4">
        <w:t>c</w:t>
      </w:r>
      <w:r w:rsidR="00D26D90" w:rsidRPr="00E63DF4">
        <w:t xml:space="preserve"> </w:t>
      </w:r>
      <w:r w:rsidR="00BA51B0" w:rsidRPr="00E63DF4">
        <w:t>T</w:t>
      </w:r>
      <w:r w:rsidR="006135B3" w:rsidRPr="00E63DF4">
        <w:t xml:space="preserve">he cost per patient per cycle multiplied by </w:t>
      </w:r>
      <w:r w:rsidR="003B107B" w:rsidRPr="00E63DF4">
        <w:t>the mean number of doses received</w:t>
      </w:r>
      <w:r w:rsidR="00EA7EAE" w:rsidRPr="00E63DF4">
        <w:t>;</w:t>
      </w:r>
    </w:p>
    <w:p w:rsidR="0074450F" w:rsidRPr="00E63DF4" w:rsidRDefault="0074450F" w:rsidP="0074450F">
      <w:pPr>
        <w:pStyle w:val="TableFigureFooter"/>
      </w:pPr>
      <w:r w:rsidRPr="00E63DF4">
        <w:t xml:space="preserve">d </w:t>
      </w:r>
      <w:r w:rsidR="00BA51B0" w:rsidRPr="00E63DF4">
        <w:t>E</w:t>
      </w:r>
      <w:r w:rsidRPr="00E63DF4">
        <w:t xml:space="preserve">stimated in the submission, based on the modelled duration of treatment, undiscounted cost, in excel workbook “Economic evaluation, sheet “ATEZO+BEV’, column BG (Atezo) and column BH (Bev) by amending the formula and removing the discount multiplier; </w:t>
      </w:r>
    </w:p>
    <w:p w:rsidR="005F4241" w:rsidRPr="00E63DF4" w:rsidRDefault="00D55AAA" w:rsidP="00F14B46">
      <w:pPr>
        <w:pStyle w:val="TableFigureFooter"/>
      </w:pPr>
      <w:r w:rsidRPr="001670A4">
        <w:t xml:space="preserve">e </w:t>
      </w:r>
      <w:r w:rsidR="00BA51B0" w:rsidRPr="001670A4">
        <w:t>B</w:t>
      </w:r>
      <w:r w:rsidRPr="001670A4">
        <w:t xml:space="preserve">ased on the estimated net cost to PBS/RPBS over estimated number of treated patients in Year 1 in </w:t>
      </w:r>
      <w:r w:rsidRPr="006E68B9">
        <w:t>Section 4 (= $</w:t>
      </w:r>
      <w:r w:rsidR="008A0CD0">
        <w:rPr>
          <w:noProof/>
          <w:color w:val="000000"/>
          <w:highlight w:val="black"/>
        </w:rPr>
        <w:t>''''''''''''''''''''''''</w:t>
      </w:r>
      <w:r w:rsidRPr="006E68B9">
        <w:t xml:space="preserve"> / </w:t>
      </w:r>
      <w:r w:rsidR="008A0CD0">
        <w:rPr>
          <w:noProof/>
          <w:color w:val="000000"/>
          <w:highlight w:val="black"/>
        </w:rPr>
        <w:t>''''''''''</w:t>
      </w:r>
      <w:r w:rsidRPr="006E68B9">
        <w:t xml:space="preserve"> </w:t>
      </w:r>
      <w:r w:rsidRPr="001670A4">
        <w:t xml:space="preserve">patients), this population excluded </w:t>
      </w:r>
      <w:r w:rsidR="008A0CD0">
        <w:rPr>
          <w:noProof/>
          <w:color w:val="000000"/>
          <w:highlight w:val="black"/>
        </w:rPr>
        <w:t>''''''''</w:t>
      </w:r>
      <w:r w:rsidRPr="001670A4">
        <w:t xml:space="preserve"> grandfathered patients to align with the economic model;</w:t>
      </w:r>
      <w:r w:rsidRPr="00E63DF4">
        <w:t xml:space="preserve"> </w:t>
      </w:r>
      <w:r w:rsidR="00C4574F" w:rsidRPr="00E63DF4">
        <w:t xml:space="preserve"> </w:t>
      </w:r>
    </w:p>
    <w:p w:rsidR="00D21BCC" w:rsidRPr="00E63DF4" w:rsidRDefault="00604D63" w:rsidP="00F14B46">
      <w:pPr>
        <w:pStyle w:val="TableFigureFooter"/>
      </w:pPr>
      <w:r w:rsidRPr="00E63DF4">
        <w:t>f</w:t>
      </w:r>
      <w:r w:rsidR="005F4241" w:rsidRPr="00E63DF4">
        <w:t xml:space="preserve"> </w:t>
      </w:r>
      <w:r w:rsidR="00BA51B0" w:rsidRPr="00E63DF4">
        <w:t>T</w:t>
      </w:r>
      <w:r w:rsidR="005F4241" w:rsidRPr="00E63DF4">
        <w:t xml:space="preserve">he cost per </w:t>
      </w:r>
      <w:r w:rsidR="00885B13" w:rsidRPr="00E63DF4">
        <w:t>patient per cycles divided by 60 doses</w:t>
      </w:r>
      <w:r w:rsidR="00D21BCC" w:rsidRPr="00E63DF4">
        <w:t xml:space="preserve"> (2 doses per day) and multipl</w:t>
      </w:r>
      <w:r w:rsidRPr="00E63DF4">
        <w:t>ied</w:t>
      </w:r>
      <w:r w:rsidR="00D21BCC" w:rsidRPr="00E63DF4">
        <w:t xml:space="preserve"> by the mean number of doses received</w:t>
      </w:r>
      <w:r w:rsidR="005F4241" w:rsidRPr="00E63DF4">
        <w:t xml:space="preserve"> (=</w:t>
      </w:r>
      <w:r w:rsidR="00A71216" w:rsidRPr="00E63DF4">
        <w:t xml:space="preserve"> </w:t>
      </w:r>
      <w:r w:rsidR="00D21BCC" w:rsidRPr="00E63DF4">
        <w:t>(</w:t>
      </w:r>
      <w:r w:rsidR="005F4241" w:rsidRPr="00E63DF4">
        <w:t>$</w:t>
      </w:r>
      <w:r w:rsidR="008A0CD0">
        <w:rPr>
          <w:noProof/>
          <w:color w:val="000000"/>
          <w:highlight w:val="black"/>
        </w:rPr>
        <w:t>'''''''''''''''''''''''</w:t>
      </w:r>
      <w:r w:rsidR="005F4241" w:rsidRPr="00E63DF4">
        <w:t xml:space="preserve"> / </w:t>
      </w:r>
      <w:r w:rsidR="00D21BCC" w:rsidRPr="00E63DF4">
        <w:t>6</w:t>
      </w:r>
      <w:r w:rsidR="005F4241" w:rsidRPr="00E63DF4">
        <w:t>0</w:t>
      </w:r>
      <w:r w:rsidR="005F4241" w:rsidRPr="00821B49">
        <w:t>) *</w:t>
      </w:r>
      <w:r w:rsidR="008A0CD0">
        <w:rPr>
          <w:noProof/>
          <w:color w:val="000000"/>
          <w:highlight w:val="black"/>
        </w:rPr>
        <w:t>'''''''''''''</w:t>
      </w:r>
      <w:r w:rsidR="005F4241" w:rsidRPr="00821B49">
        <w:t>)</w:t>
      </w:r>
      <w:r w:rsidR="00076B52" w:rsidRPr="00821B49">
        <w:t>;</w:t>
      </w:r>
    </w:p>
    <w:p w:rsidR="00992A2D" w:rsidRPr="00E63DF4" w:rsidRDefault="00076B52" w:rsidP="00F14B46">
      <w:pPr>
        <w:pStyle w:val="TableFigureFooter"/>
      </w:pPr>
      <w:r w:rsidRPr="00E63DF4">
        <w:t xml:space="preserve">g </w:t>
      </w:r>
      <w:r w:rsidR="00BA51B0" w:rsidRPr="00E63DF4">
        <w:t>E</w:t>
      </w:r>
      <w:r w:rsidR="00EF132C" w:rsidRPr="00E63DF4">
        <w:t xml:space="preserve">stimated in the submission, based on the modelled duration of treatment, undiscounted cost, in excel workbook “Economic evaluation, sheet “Sorafenib’, column </w:t>
      </w:r>
      <w:r w:rsidR="00AF4B39" w:rsidRPr="00E63DF4">
        <w:t xml:space="preserve">AS </w:t>
      </w:r>
      <w:r w:rsidR="00EF132C" w:rsidRPr="00E63DF4">
        <w:t>by amending the formula and removing the discount multiplier</w:t>
      </w:r>
      <w:r w:rsidR="00AF4B39" w:rsidRPr="00E63DF4">
        <w:t>.</w:t>
      </w:r>
    </w:p>
    <w:p w:rsidR="00F14B46" w:rsidRPr="00E63DF4" w:rsidRDefault="00F14B46" w:rsidP="00F14B46">
      <w:pPr>
        <w:pStyle w:val="4-SubsectionHeading"/>
      </w:pPr>
      <w:bookmarkStart w:id="29" w:name="_Toc22897647"/>
      <w:bookmarkStart w:id="30" w:name="_Toc22898859"/>
      <w:bookmarkStart w:id="31" w:name="_Toc40710598"/>
      <w:r w:rsidRPr="00E63DF4">
        <w:t>Estimated PBS usage &amp; financial implications</w:t>
      </w:r>
      <w:bookmarkEnd w:id="29"/>
      <w:bookmarkEnd w:id="30"/>
      <w:bookmarkEnd w:id="31"/>
    </w:p>
    <w:p w:rsidR="00A8747D" w:rsidRPr="00E63DF4" w:rsidRDefault="00C61640" w:rsidP="00F14B46">
      <w:pPr>
        <w:pStyle w:val="3-BodyText"/>
        <w:rPr>
          <w:color w:val="0066FF"/>
        </w:rPr>
      </w:pPr>
      <w:r w:rsidRPr="00E63DF4">
        <w:t>This submission was not</w:t>
      </w:r>
      <w:r w:rsidR="00F14B46" w:rsidRPr="00E63DF4">
        <w:t xml:space="preserve"> considered by DUS</w:t>
      </w:r>
      <w:r w:rsidR="00577D19" w:rsidRPr="00E63DF4">
        <w:t xml:space="preserve">C. </w:t>
      </w:r>
    </w:p>
    <w:p w:rsidR="000C33AE" w:rsidRPr="00E63DF4" w:rsidRDefault="00577D19" w:rsidP="00A67887">
      <w:pPr>
        <w:pStyle w:val="3-BodyText"/>
        <w:rPr>
          <w:color w:val="0066FF"/>
        </w:rPr>
      </w:pPr>
      <w:r w:rsidRPr="00E63DF4">
        <w:lastRenderedPageBreak/>
        <w:t xml:space="preserve">The </w:t>
      </w:r>
      <w:r w:rsidR="00CE395C" w:rsidRPr="00E63DF4">
        <w:t>submission</w:t>
      </w:r>
      <w:r w:rsidRPr="00E63DF4">
        <w:t xml:space="preserve"> </w:t>
      </w:r>
      <w:r w:rsidR="00CE395C" w:rsidRPr="00E63DF4">
        <w:t>used</w:t>
      </w:r>
      <w:r w:rsidRPr="00E63DF4">
        <w:t xml:space="preserve"> </w:t>
      </w:r>
      <w:r w:rsidR="00CE395C" w:rsidRPr="00E63DF4">
        <w:t xml:space="preserve">a </w:t>
      </w:r>
      <w:r w:rsidRPr="00E63DF4">
        <w:t>m</w:t>
      </w:r>
      <w:r w:rsidR="00CE395C" w:rsidRPr="00E63DF4">
        <w:t>ix</w:t>
      </w:r>
      <w:r w:rsidRPr="00E63DF4">
        <w:t xml:space="preserve">ed epidemiological and market share </w:t>
      </w:r>
      <w:r w:rsidR="00CE395C" w:rsidRPr="00E63DF4">
        <w:t>approach to</w:t>
      </w:r>
      <w:r w:rsidR="003238EA" w:rsidRPr="00E63DF4">
        <w:t xml:space="preserve"> estimate the expected financial impact associated with the listing of Atezo+Bev</w:t>
      </w:r>
      <w:r w:rsidR="004A0740" w:rsidRPr="00E63DF4">
        <w:t>.</w:t>
      </w:r>
      <w:r w:rsidR="00574620" w:rsidRPr="00E63DF4">
        <w:t xml:space="preserve"> The submission stated that since the proposed PBS restriction</w:t>
      </w:r>
      <w:r w:rsidR="00D30255" w:rsidRPr="00E63DF4">
        <w:t xml:space="preserve"> for Atezo+Bev</w:t>
      </w:r>
      <w:r w:rsidR="00574620" w:rsidRPr="00E63DF4">
        <w:t xml:space="preserve"> was narrower</w:t>
      </w:r>
      <w:r w:rsidR="00D30255" w:rsidRPr="00E63DF4">
        <w:t xml:space="preserve"> (WHO PS 0-1)</w:t>
      </w:r>
      <w:r w:rsidR="00574620" w:rsidRPr="00E63DF4">
        <w:t xml:space="preserve"> than the current PBS restriction </w:t>
      </w:r>
      <w:r w:rsidR="004C2131" w:rsidRPr="00E63DF4">
        <w:t>for</w:t>
      </w:r>
      <w:r w:rsidR="00574620" w:rsidRPr="00E63DF4">
        <w:t xml:space="preserve"> sorafenib and lenvatinib</w:t>
      </w:r>
      <w:r w:rsidR="00D30255" w:rsidRPr="00E63DF4">
        <w:t xml:space="preserve"> (WHO PS 0-2)</w:t>
      </w:r>
      <w:r w:rsidR="00574620" w:rsidRPr="00E63DF4">
        <w:t>, an epidemiological approach was used to estimate the number of patients eligible for Atezo+Bev.</w:t>
      </w:r>
      <w:r w:rsidR="00441CBB" w:rsidRPr="00E63DF4">
        <w:t xml:space="preserve"> The </w:t>
      </w:r>
      <w:r w:rsidR="000C33AE" w:rsidRPr="00E63DF4">
        <w:t xml:space="preserve">cost of the drugs that were assumed to be </w:t>
      </w:r>
      <w:r w:rsidR="009C4B6F" w:rsidRPr="00E63DF4">
        <w:t>replace</w:t>
      </w:r>
      <w:r w:rsidR="004647E5" w:rsidRPr="00E63DF4">
        <w:t>d</w:t>
      </w:r>
      <w:r w:rsidR="000C33AE" w:rsidRPr="00E63DF4">
        <w:t xml:space="preserve">, sorafenib and </w:t>
      </w:r>
      <w:r w:rsidR="000C33AE" w:rsidRPr="008372A0">
        <w:t>lenvatinib, were based on published prices.</w:t>
      </w:r>
      <w:r w:rsidR="00C06CCE" w:rsidRPr="008372A0">
        <w:t xml:space="preserve"> </w:t>
      </w:r>
      <w:r w:rsidR="00995B6D" w:rsidRPr="008372A0">
        <w:rPr>
          <w:iCs/>
        </w:rPr>
        <w:t xml:space="preserve">The economic evaluation </w:t>
      </w:r>
      <w:r w:rsidR="00C06CCE" w:rsidRPr="008372A0">
        <w:rPr>
          <w:iCs/>
        </w:rPr>
        <w:t xml:space="preserve">assumed that a </w:t>
      </w:r>
      <w:r w:rsidR="008A0CD0">
        <w:rPr>
          <w:iCs/>
          <w:noProof/>
          <w:color w:val="000000"/>
          <w:highlight w:val="black"/>
        </w:rPr>
        <w:t>'''''</w:t>
      </w:r>
      <w:r w:rsidR="00C06CCE" w:rsidRPr="008372A0">
        <w:rPr>
          <w:iCs/>
        </w:rPr>
        <w:t>% discount</w:t>
      </w:r>
      <w:r w:rsidR="00C06CCE" w:rsidRPr="00E63DF4">
        <w:rPr>
          <w:iCs/>
        </w:rPr>
        <w:t xml:space="preserve"> applied to the published price of sorafenib; this assumption was not carried through into the </w:t>
      </w:r>
      <w:r w:rsidR="00995B6D" w:rsidRPr="00E63DF4">
        <w:rPr>
          <w:iCs/>
        </w:rPr>
        <w:t xml:space="preserve">financial </w:t>
      </w:r>
      <w:r w:rsidR="00C06CCE" w:rsidRPr="00E63DF4">
        <w:rPr>
          <w:iCs/>
        </w:rPr>
        <w:t>estimates provided in the submission.</w:t>
      </w:r>
      <w:r w:rsidR="00995B6D" w:rsidRPr="00E63DF4">
        <w:rPr>
          <w:iCs/>
        </w:rPr>
        <w:t xml:space="preserve"> </w:t>
      </w:r>
      <w:r w:rsidR="00995B6D" w:rsidRPr="00E63DF4">
        <w:t>The submission did not estimate the utilisation of atezolizumab monotherapy 1,680 mg Q4W, which was requested as a separate listing (</w:t>
      </w:r>
      <w:r w:rsidR="00995B6D" w:rsidRPr="00EE28E1">
        <w:t>paragraph 3.1).</w:t>
      </w:r>
      <w:r w:rsidR="00C06CCE" w:rsidRPr="00E63DF4">
        <w:rPr>
          <w:iCs/>
        </w:rPr>
        <w:t xml:space="preserve"> </w:t>
      </w:r>
      <w:r w:rsidR="00C06CCE" w:rsidRPr="00E63DF4">
        <w:t>The key inputs used by the submission in forming the financial estimates are summarised in Table 17.</w:t>
      </w:r>
    </w:p>
    <w:p w:rsidR="00F14B46" w:rsidRPr="00E63DF4" w:rsidRDefault="00F14B46" w:rsidP="00D030BC">
      <w:pPr>
        <w:pStyle w:val="TableFigureHeading"/>
        <w:keepLines/>
        <w:rPr>
          <w:rStyle w:val="CommentReference"/>
          <w:b/>
          <w:szCs w:val="24"/>
        </w:rPr>
      </w:pPr>
      <w:r w:rsidRPr="00E63DF4">
        <w:rPr>
          <w:rStyle w:val="CommentReference"/>
          <w:b/>
          <w:szCs w:val="24"/>
        </w:rPr>
        <w:lastRenderedPageBreak/>
        <w:t xml:space="preserve">Table </w:t>
      </w:r>
      <w:r w:rsidR="00C5631D" w:rsidRPr="00E63DF4">
        <w:rPr>
          <w:rStyle w:val="CommentReference"/>
          <w:b/>
          <w:szCs w:val="24"/>
        </w:rPr>
        <w:t>17</w:t>
      </w:r>
      <w:r w:rsidRPr="00E63DF4">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6"/>
        <w:gridCol w:w="1258"/>
        <w:gridCol w:w="5796"/>
      </w:tblGrid>
      <w:tr w:rsidR="00F14B46" w:rsidRPr="00E63DF4" w:rsidTr="004C57A4">
        <w:trPr>
          <w:tblHeader/>
        </w:trPr>
        <w:tc>
          <w:tcPr>
            <w:tcW w:w="1098" w:type="pct"/>
            <w:shd w:val="clear" w:color="auto" w:fill="auto"/>
            <w:vAlign w:val="center"/>
          </w:tcPr>
          <w:p w:rsidR="00F14B46" w:rsidRPr="00E63DF4" w:rsidRDefault="00F14B46" w:rsidP="00D030BC">
            <w:pPr>
              <w:pStyle w:val="In-tableHeading"/>
              <w:keepLines/>
              <w:widowControl w:val="0"/>
              <w:rPr>
                <w:lang w:val="en-AU"/>
              </w:rPr>
            </w:pPr>
            <w:r w:rsidRPr="00E63DF4">
              <w:rPr>
                <w:lang w:val="en-AU"/>
              </w:rPr>
              <w:t>Parameter</w:t>
            </w:r>
          </w:p>
        </w:tc>
        <w:tc>
          <w:tcPr>
            <w:tcW w:w="696" w:type="pct"/>
            <w:shd w:val="clear" w:color="auto" w:fill="auto"/>
            <w:vAlign w:val="center"/>
          </w:tcPr>
          <w:p w:rsidR="00F14B46" w:rsidRPr="00E63DF4" w:rsidRDefault="00F14B46" w:rsidP="00D030BC">
            <w:pPr>
              <w:pStyle w:val="In-tableHeading"/>
              <w:keepLines/>
              <w:widowControl w:val="0"/>
              <w:rPr>
                <w:lang w:val="en-AU"/>
              </w:rPr>
            </w:pPr>
            <w:r w:rsidRPr="00E63DF4">
              <w:rPr>
                <w:lang w:val="en-AU"/>
              </w:rPr>
              <w:t>Value applied and source</w:t>
            </w:r>
          </w:p>
        </w:tc>
        <w:tc>
          <w:tcPr>
            <w:tcW w:w="3206" w:type="pct"/>
            <w:shd w:val="clear" w:color="auto" w:fill="auto"/>
            <w:vAlign w:val="center"/>
          </w:tcPr>
          <w:p w:rsidR="00F14B46" w:rsidRPr="00E63DF4" w:rsidRDefault="00F14B46" w:rsidP="00D030BC">
            <w:pPr>
              <w:pStyle w:val="In-tableHeading"/>
              <w:keepLines/>
              <w:widowControl w:val="0"/>
              <w:rPr>
                <w:lang w:val="en-AU"/>
              </w:rPr>
            </w:pPr>
            <w:r w:rsidRPr="00E63DF4">
              <w:rPr>
                <w:lang w:val="en-AU"/>
              </w:rPr>
              <w:t>Comment</w:t>
            </w:r>
          </w:p>
        </w:tc>
      </w:tr>
      <w:tr w:rsidR="00F14B46" w:rsidRPr="00E63DF4" w:rsidTr="004C57A4">
        <w:tc>
          <w:tcPr>
            <w:tcW w:w="1098" w:type="pct"/>
            <w:shd w:val="clear" w:color="auto" w:fill="auto"/>
            <w:vAlign w:val="center"/>
          </w:tcPr>
          <w:p w:rsidR="00F14B46" w:rsidRPr="00E63DF4" w:rsidRDefault="00F14B46" w:rsidP="00D030BC">
            <w:pPr>
              <w:pStyle w:val="TableText0"/>
              <w:keepLines/>
              <w:widowControl w:val="0"/>
            </w:pPr>
            <w:r w:rsidRPr="00E63DF4">
              <w:t>Incidence population</w:t>
            </w:r>
          </w:p>
        </w:tc>
        <w:tc>
          <w:tcPr>
            <w:tcW w:w="696" w:type="pct"/>
            <w:shd w:val="clear" w:color="auto" w:fill="auto"/>
            <w:vAlign w:val="center"/>
          </w:tcPr>
          <w:p w:rsidR="00F14B46" w:rsidRPr="00E63DF4" w:rsidRDefault="00C43F79" w:rsidP="00D030BC">
            <w:pPr>
              <w:pStyle w:val="TableText0"/>
              <w:keepLines/>
              <w:widowControl w:val="0"/>
            </w:pPr>
            <w:r w:rsidRPr="00E63DF4">
              <w:rPr>
                <w:szCs w:val="20"/>
              </w:rPr>
              <w:t>HCC representing 82% of all liver cancer</w:t>
            </w:r>
            <w:r w:rsidR="00F528E4" w:rsidRPr="00E63DF4">
              <w:rPr>
                <w:szCs w:val="20"/>
              </w:rPr>
              <w:t>, and growth rate for liver cancer of 3.67%</w:t>
            </w:r>
          </w:p>
        </w:tc>
        <w:tc>
          <w:tcPr>
            <w:tcW w:w="3206" w:type="pct"/>
            <w:shd w:val="clear" w:color="auto" w:fill="auto"/>
            <w:vAlign w:val="center"/>
          </w:tcPr>
          <w:p w:rsidR="00F14B46" w:rsidRPr="00E63DF4" w:rsidRDefault="00C43F79" w:rsidP="00D030BC">
            <w:pPr>
              <w:pStyle w:val="TableText0"/>
              <w:keepLines/>
              <w:widowControl w:val="0"/>
            </w:pPr>
            <w:r w:rsidRPr="00E63DF4">
              <w:rPr>
                <w:iCs/>
                <w:szCs w:val="20"/>
              </w:rPr>
              <w:t>This represents total HCC incidence in Australia</w:t>
            </w:r>
          </w:p>
        </w:tc>
      </w:tr>
      <w:tr w:rsidR="00C43F79" w:rsidRPr="00E63DF4" w:rsidTr="004C57A4">
        <w:tc>
          <w:tcPr>
            <w:tcW w:w="1098" w:type="pct"/>
            <w:tcBorders>
              <w:top w:val="single" w:sz="4" w:space="0" w:color="auto"/>
              <w:left w:val="single" w:sz="4" w:space="0" w:color="auto"/>
              <w:bottom w:val="single" w:sz="4" w:space="0" w:color="auto"/>
              <w:right w:val="single" w:sz="4" w:space="0" w:color="auto"/>
            </w:tcBorders>
          </w:tcPr>
          <w:p w:rsidR="00C43F79" w:rsidRPr="00E63DF4" w:rsidRDefault="00C43F79" w:rsidP="00D030BC">
            <w:pPr>
              <w:pStyle w:val="TableText0"/>
              <w:keepLines/>
              <w:widowControl w:val="0"/>
            </w:pPr>
            <w:r w:rsidRPr="00E63DF4">
              <w:rPr>
                <w:szCs w:val="20"/>
              </w:rPr>
              <w:t>Proportion of all liver cancer diagnoses (ICD-10 code C22) that are HCC</w:t>
            </w:r>
          </w:p>
        </w:tc>
        <w:tc>
          <w:tcPr>
            <w:tcW w:w="696" w:type="pct"/>
            <w:tcBorders>
              <w:top w:val="single" w:sz="4" w:space="0" w:color="auto"/>
              <w:left w:val="single" w:sz="4" w:space="0" w:color="auto"/>
              <w:bottom w:val="single" w:sz="4" w:space="0" w:color="auto"/>
              <w:right w:val="single" w:sz="4" w:space="0" w:color="auto"/>
            </w:tcBorders>
          </w:tcPr>
          <w:p w:rsidR="00C43F79" w:rsidRPr="00E63DF4" w:rsidRDefault="00C43F79" w:rsidP="00D030BC">
            <w:pPr>
              <w:pStyle w:val="TableText0"/>
              <w:keepLines/>
              <w:widowControl w:val="0"/>
              <w:rPr>
                <w:szCs w:val="20"/>
              </w:rPr>
            </w:pPr>
            <w:r w:rsidRPr="00E63DF4">
              <w:rPr>
                <w:szCs w:val="20"/>
              </w:rPr>
              <w:t>82%</w:t>
            </w:r>
          </w:p>
        </w:tc>
        <w:tc>
          <w:tcPr>
            <w:tcW w:w="3206" w:type="pct"/>
            <w:tcBorders>
              <w:top w:val="single" w:sz="4" w:space="0" w:color="auto"/>
              <w:left w:val="single" w:sz="4" w:space="0" w:color="auto"/>
              <w:bottom w:val="single" w:sz="4" w:space="0" w:color="auto"/>
              <w:right w:val="single" w:sz="4" w:space="0" w:color="auto"/>
            </w:tcBorders>
          </w:tcPr>
          <w:p w:rsidR="00C43F79" w:rsidRPr="00E63DF4" w:rsidRDefault="00C43F79" w:rsidP="0017674A">
            <w:pPr>
              <w:pStyle w:val="TableText0"/>
              <w:keepLines/>
              <w:widowControl w:val="0"/>
              <w:rPr>
                <w:iCs/>
                <w:szCs w:val="20"/>
              </w:rPr>
            </w:pPr>
            <w:r w:rsidRPr="00E63DF4">
              <w:rPr>
                <w:szCs w:val="20"/>
              </w:rPr>
              <w:t>Australian specific prospective population-based study of newly diagnosed HCC patients which is not treatment specific</w:t>
            </w:r>
            <w:r w:rsidR="00EE7E0F" w:rsidRPr="00E63DF4">
              <w:rPr>
                <w:szCs w:val="20"/>
              </w:rPr>
              <w:t>.</w:t>
            </w:r>
            <w:r w:rsidRPr="00E63DF4">
              <w:rPr>
                <w:szCs w:val="20"/>
              </w:rPr>
              <w:t xml:space="preserve"> </w:t>
            </w:r>
          </w:p>
        </w:tc>
      </w:tr>
      <w:tr w:rsidR="009E49A6" w:rsidRPr="00E63DF4" w:rsidTr="004C57A4">
        <w:tc>
          <w:tcPr>
            <w:tcW w:w="1098" w:type="pct"/>
            <w:tcBorders>
              <w:top w:val="single" w:sz="4" w:space="0" w:color="auto"/>
              <w:left w:val="single" w:sz="4" w:space="0" w:color="auto"/>
              <w:bottom w:val="single" w:sz="4" w:space="0" w:color="auto"/>
              <w:right w:val="single" w:sz="4" w:space="0" w:color="auto"/>
            </w:tcBorders>
          </w:tcPr>
          <w:p w:rsidR="009E49A6" w:rsidRPr="00E63DF4" w:rsidRDefault="009E49A6" w:rsidP="00D030BC">
            <w:pPr>
              <w:pStyle w:val="TableText0"/>
              <w:keepLines/>
              <w:widowControl w:val="0"/>
            </w:pPr>
            <w:r w:rsidRPr="00E63DF4">
              <w:rPr>
                <w:szCs w:val="20"/>
              </w:rPr>
              <w:t>Proportion of patients diagnosed at BCLC stage A</w:t>
            </w:r>
            <w:r w:rsidR="008A724B" w:rsidRPr="00E63DF4">
              <w:rPr>
                <w:szCs w:val="20"/>
              </w:rPr>
              <w:t>/B/C</w:t>
            </w:r>
            <w:r w:rsidRPr="00E63DF4">
              <w:rPr>
                <w:szCs w:val="20"/>
              </w:rPr>
              <w:t xml:space="preserve"> HCC in Australia</w:t>
            </w:r>
          </w:p>
        </w:tc>
        <w:tc>
          <w:tcPr>
            <w:tcW w:w="696" w:type="pct"/>
            <w:tcBorders>
              <w:top w:val="single" w:sz="4" w:space="0" w:color="auto"/>
              <w:left w:val="single" w:sz="4" w:space="0" w:color="auto"/>
              <w:bottom w:val="single" w:sz="4" w:space="0" w:color="auto"/>
              <w:right w:val="single" w:sz="4" w:space="0" w:color="auto"/>
            </w:tcBorders>
          </w:tcPr>
          <w:p w:rsidR="009E49A6" w:rsidRPr="00E63DF4" w:rsidRDefault="008A724B" w:rsidP="00D030BC">
            <w:pPr>
              <w:pStyle w:val="TableText0"/>
              <w:keepLines/>
              <w:widowControl w:val="0"/>
              <w:rPr>
                <w:szCs w:val="20"/>
              </w:rPr>
            </w:pPr>
            <w:r w:rsidRPr="00E63DF4">
              <w:rPr>
                <w:szCs w:val="20"/>
              </w:rPr>
              <w:t>A=</w:t>
            </w:r>
            <w:r w:rsidR="009E49A6" w:rsidRPr="00E63DF4">
              <w:rPr>
                <w:szCs w:val="20"/>
              </w:rPr>
              <w:t>26%</w:t>
            </w:r>
          </w:p>
          <w:p w:rsidR="008A724B" w:rsidRPr="00E63DF4" w:rsidRDefault="008A724B" w:rsidP="00D030BC">
            <w:pPr>
              <w:pStyle w:val="TableText0"/>
              <w:keepLines/>
              <w:widowControl w:val="0"/>
              <w:rPr>
                <w:szCs w:val="20"/>
              </w:rPr>
            </w:pPr>
            <w:r w:rsidRPr="00E63DF4">
              <w:rPr>
                <w:szCs w:val="20"/>
              </w:rPr>
              <w:t>B=22%</w:t>
            </w:r>
          </w:p>
          <w:p w:rsidR="008A724B" w:rsidRPr="00E63DF4" w:rsidRDefault="008A724B" w:rsidP="00D030BC">
            <w:pPr>
              <w:pStyle w:val="TableText0"/>
              <w:keepLines/>
              <w:widowControl w:val="0"/>
            </w:pPr>
            <w:r w:rsidRPr="00E63DF4">
              <w:rPr>
                <w:szCs w:val="20"/>
              </w:rPr>
              <w:t>C=37%</w:t>
            </w:r>
          </w:p>
        </w:tc>
        <w:tc>
          <w:tcPr>
            <w:tcW w:w="3206" w:type="pct"/>
            <w:tcBorders>
              <w:top w:val="single" w:sz="4" w:space="0" w:color="auto"/>
              <w:left w:val="single" w:sz="4" w:space="0" w:color="auto"/>
              <w:bottom w:val="single" w:sz="4" w:space="0" w:color="auto"/>
              <w:right w:val="single" w:sz="4" w:space="0" w:color="auto"/>
            </w:tcBorders>
          </w:tcPr>
          <w:p w:rsidR="009E49A6" w:rsidRPr="00E63DF4" w:rsidRDefault="009E49A6" w:rsidP="00D030BC">
            <w:pPr>
              <w:pStyle w:val="TableText0"/>
              <w:keepLines/>
              <w:widowControl w:val="0"/>
            </w:pPr>
            <w:r w:rsidRPr="00E63DF4">
              <w:rPr>
                <w:szCs w:val="20"/>
              </w:rPr>
              <w:t>Hong 2018. Australian population-based cohort study of newly diagnosed HCC patients</w:t>
            </w:r>
          </w:p>
        </w:tc>
      </w:tr>
      <w:tr w:rsidR="00E66AF0" w:rsidRPr="00E63DF4" w:rsidTr="004C57A4">
        <w:tc>
          <w:tcPr>
            <w:tcW w:w="1098" w:type="pct"/>
            <w:tcBorders>
              <w:top w:val="single" w:sz="4" w:space="0" w:color="auto"/>
              <w:left w:val="single" w:sz="4" w:space="0" w:color="auto"/>
              <w:bottom w:val="single" w:sz="4" w:space="0" w:color="auto"/>
              <w:right w:val="single" w:sz="4" w:space="0" w:color="auto"/>
            </w:tcBorders>
          </w:tcPr>
          <w:p w:rsidR="00E66AF0" w:rsidRPr="00E63DF4" w:rsidRDefault="00E66AF0" w:rsidP="00D030BC">
            <w:pPr>
              <w:pStyle w:val="TableText0"/>
              <w:keepLines/>
              <w:widowControl w:val="0"/>
              <w:rPr>
                <w:szCs w:val="20"/>
              </w:rPr>
            </w:pPr>
            <w:r w:rsidRPr="00E63DF4">
              <w:rPr>
                <w:szCs w:val="20"/>
              </w:rPr>
              <w:t>Proportion of patients with liver cancer in Child-Pugh A</w:t>
            </w:r>
          </w:p>
        </w:tc>
        <w:tc>
          <w:tcPr>
            <w:tcW w:w="696" w:type="pct"/>
            <w:tcBorders>
              <w:top w:val="single" w:sz="4" w:space="0" w:color="auto"/>
              <w:left w:val="single" w:sz="4" w:space="0" w:color="auto"/>
              <w:bottom w:val="single" w:sz="4" w:space="0" w:color="auto"/>
              <w:right w:val="single" w:sz="4" w:space="0" w:color="auto"/>
            </w:tcBorders>
          </w:tcPr>
          <w:p w:rsidR="00E66AF0" w:rsidRPr="00E63DF4" w:rsidRDefault="00E66AF0" w:rsidP="00D030BC">
            <w:pPr>
              <w:pStyle w:val="TableText0"/>
              <w:keepLines/>
              <w:widowControl w:val="0"/>
              <w:rPr>
                <w:szCs w:val="20"/>
              </w:rPr>
            </w:pPr>
            <w:r w:rsidRPr="00E63DF4">
              <w:rPr>
                <w:szCs w:val="20"/>
              </w:rPr>
              <w:t>56%</w:t>
            </w:r>
          </w:p>
        </w:tc>
        <w:tc>
          <w:tcPr>
            <w:tcW w:w="3206" w:type="pct"/>
            <w:tcBorders>
              <w:top w:val="single" w:sz="4" w:space="0" w:color="auto"/>
              <w:left w:val="single" w:sz="4" w:space="0" w:color="auto"/>
              <w:bottom w:val="single" w:sz="4" w:space="0" w:color="auto"/>
              <w:right w:val="single" w:sz="4" w:space="0" w:color="auto"/>
            </w:tcBorders>
          </w:tcPr>
          <w:p w:rsidR="00E66AF0" w:rsidRPr="00E63DF4" w:rsidRDefault="00E66AF0" w:rsidP="00D030BC">
            <w:pPr>
              <w:pStyle w:val="TableText0"/>
              <w:keepLines/>
              <w:widowControl w:val="0"/>
              <w:rPr>
                <w:szCs w:val="20"/>
              </w:rPr>
            </w:pPr>
            <w:r w:rsidRPr="00E63DF4">
              <w:rPr>
                <w:szCs w:val="20"/>
              </w:rPr>
              <w:t>Hong 2018. Australian population-based cohort study of newly diagnosed HCC patients</w:t>
            </w:r>
          </w:p>
        </w:tc>
      </w:tr>
      <w:tr w:rsidR="00E66AF0" w:rsidRPr="00E63DF4" w:rsidTr="004C57A4">
        <w:tc>
          <w:tcPr>
            <w:tcW w:w="1098" w:type="pct"/>
            <w:tcBorders>
              <w:top w:val="single" w:sz="4" w:space="0" w:color="auto"/>
              <w:left w:val="single" w:sz="4" w:space="0" w:color="auto"/>
              <w:bottom w:val="single" w:sz="4" w:space="0" w:color="auto"/>
              <w:right w:val="single" w:sz="4" w:space="0" w:color="auto"/>
            </w:tcBorders>
          </w:tcPr>
          <w:p w:rsidR="00E66AF0" w:rsidRPr="00E63DF4" w:rsidRDefault="00E66AF0" w:rsidP="00D030BC">
            <w:pPr>
              <w:pStyle w:val="TableText0"/>
              <w:keepLines/>
              <w:widowControl w:val="0"/>
              <w:rPr>
                <w:szCs w:val="20"/>
              </w:rPr>
            </w:pPr>
            <w:r w:rsidRPr="00E63DF4">
              <w:rPr>
                <w:szCs w:val="20"/>
              </w:rPr>
              <w:t>Proportion of BCLC stage B HCC patients who receive TACE</w:t>
            </w:r>
          </w:p>
        </w:tc>
        <w:tc>
          <w:tcPr>
            <w:tcW w:w="696" w:type="pct"/>
            <w:tcBorders>
              <w:top w:val="single" w:sz="4" w:space="0" w:color="auto"/>
              <w:left w:val="single" w:sz="4" w:space="0" w:color="auto"/>
              <w:bottom w:val="single" w:sz="4" w:space="0" w:color="auto"/>
              <w:right w:val="single" w:sz="4" w:space="0" w:color="auto"/>
            </w:tcBorders>
          </w:tcPr>
          <w:p w:rsidR="00E66AF0" w:rsidRPr="00E63DF4" w:rsidRDefault="00E66AF0" w:rsidP="00D030BC">
            <w:pPr>
              <w:pStyle w:val="TableText0"/>
              <w:keepLines/>
              <w:widowControl w:val="0"/>
              <w:rPr>
                <w:szCs w:val="20"/>
              </w:rPr>
            </w:pPr>
            <w:r w:rsidRPr="00E63DF4">
              <w:rPr>
                <w:szCs w:val="20"/>
              </w:rPr>
              <w:t>45.7%</w:t>
            </w:r>
          </w:p>
        </w:tc>
        <w:tc>
          <w:tcPr>
            <w:tcW w:w="3206" w:type="pct"/>
            <w:tcBorders>
              <w:top w:val="single" w:sz="4" w:space="0" w:color="auto"/>
              <w:left w:val="single" w:sz="4" w:space="0" w:color="auto"/>
              <w:bottom w:val="single" w:sz="4" w:space="0" w:color="auto"/>
              <w:right w:val="single" w:sz="4" w:space="0" w:color="auto"/>
            </w:tcBorders>
          </w:tcPr>
          <w:p w:rsidR="00E66AF0" w:rsidRPr="00E63DF4" w:rsidRDefault="00E66AF0" w:rsidP="00D030BC">
            <w:pPr>
              <w:pStyle w:val="TableText0"/>
              <w:keepLines/>
              <w:widowControl w:val="0"/>
              <w:rPr>
                <w:szCs w:val="20"/>
              </w:rPr>
            </w:pPr>
            <w:r w:rsidRPr="00E63DF4">
              <w:rPr>
                <w:szCs w:val="20"/>
              </w:rPr>
              <w:t xml:space="preserve">Included assumption that all who did not receive TACE were eligible for Atezo+Bev. </w:t>
            </w:r>
            <w:r w:rsidRPr="00E63DF4">
              <w:rPr>
                <w:iCs/>
                <w:szCs w:val="20"/>
              </w:rPr>
              <w:t>This may be an overestimation.</w:t>
            </w:r>
          </w:p>
        </w:tc>
      </w:tr>
      <w:tr w:rsidR="00E66AF0" w:rsidRPr="00E63DF4" w:rsidTr="004C57A4">
        <w:tc>
          <w:tcPr>
            <w:tcW w:w="1098" w:type="pct"/>
            <w:tcBorders>
              <w:top w:val="single" w:sz="4" w:space="0" w:color="auto"/>
              <w:left w:val="single" w:sz="4" w:space="0" w:color="auto"/>
              <w:bottom w:val="single" w:sz="4" w:space="0" w:color="auto"/>
              <w:right w:val="single" w:sz="4" w:space="0" w:color="auto"/>
            </w:tcBorders>
            <w:vAlign w:val="center"/>
          </w:tcPr>
          <w:p w:rsidR="00E66AF0" w:rsidRPr="00E63DF4" w:rsidRDefault="00E66AF0" w:rsidP="00D030BC">
            <w:pPr>
              <w:pStyle w:val="TableText0"/>
              <w:keepLines/>
              <w:widowControl w:val="0"/>
              <w:rPr>
                <w:szCs w:val="20"/>
              </w:rPr>
            </w:pPr>
            <w:r w:rsidRPr="00E63DF4">
              <w:rPr>
                <w:szCs w:val="20"/>
              </w:rPr>
              <w:t xml:space="preserve">Proportion of patients with HCC who have </w:t>
            </w:r>
            <w:r w:rsidR="00651039" w:rsidRPr="00E63DF4">
              <w:rPr>
                <w:szCs w:val="20"/>
              </w:rPr>
              <w:t>WHO</w:t>
            </w:r>
            <w:r w:rsidRPr="00E63DF4">
              <w:rPr>
                <w:szCs w:val="20"/>
              </w:rPr>
              <w:t xml:space="preserve"> PS 0 or 1</w:t>
            </w:r>
          </w:p>
        </w:tc>
        <w:tc>
          <w:tcPr>
            <w:tcW w:w="696" w:type="pct"/>
            <w:tcBorders>
              <w:top w:val="single" w:sz="4" w:space="0" w:color="auto"/>
              <w:left w:val="single" w:sz="4" w:space="0" w:color="auto"/>
              <w:bottom w:val="single" w:sz="4" w:space="0" w:color="auto"/>
              <w:right w:val="single" w:sz="4" w:space="0" w:color="auto"/>
            </w:tcBorders>
          </w:tcPr>
          <w:p w:rsidR="00E66AF0" w:rsidRPr="00E63DF4" w:rsidRDefault="00E66AF0" w:rsidP="00D030BC">
            <w:pPr>
              <w:pStyle w:val="TableText0"/>
              <w:keepLines/>
              <w:widowControl w:val="0"/>
              <w:rPr>
                <w:szCs w:val="20"/>
              </w:rPr>
            </w:pPr>
            <w:r w:rsidRPr="00E63DF4">
              <w:rPr>
                <w:szCs w:val="20"/>
              </w:rPr>
              <w:t>87.4%</w:t>
            </w:r>
          </w:p>
        </w:tc>
        <w:tc>
          <w:tcPr>
            <w:tcW w:w="3206" w:type="pct"/>
            <w:tcBorders>
              <w:top w:val="single" w:sz="4" w:space="0" w:color="auto"/>
              <w:left w:val="single" w:sz="4" w:space="0" w:color="auto"/>
              <w:bottom w:val="single" w:sz="4" w:space="0" w:color="auto"/>
              <w:right w:val="single" w:sz="4" w:space="0" w:color="auto"/>
            </w:tcBorders>
          </w:tcPr>
          <w:p w:rsidR="00E66AF0" w:rsidRPr="00E63DF4" w:rsidRDefault="00E66AF0" w:rsidP="00D030BC">
            <w:pPr>
              <w:pStyle w:val="TableText0"/>
              <w:keepLines/>
              <w:widowControl w:val="0"/>
              <w:rPr>
                <w:szCs w:val="20"/>
              </w:rPr>
            </w:pPr>
            <w:r w:rsidRPr="00E63DF4">
              <w:rPr>
                <w:szCs w:val="20"/>
              </w:rPr>
              <w:t>Assumption that PS is not correlated with BCLC stage at diagnosis, likely underestimates eligibility in early stage diagnosis and overestimates eligibility in later stage diagnosis. The submission proposed that this would balance out when applied to the whole population. Impact of this variable is tested in a sensitivity analysis.</w:t>
            </w:r>
          </w:p>
        </w:tc>
      </w:tr>
      <w:tr w:rsidR="00707F24" w:rsidRPr="00E63DF4" w:rsidTr="004C57A4">
        <w:tc>
          <w:tcPr>
            <w:tcW w:w="1098" w:type="pct"/>
            <w:shd w:val="clear" w:color="auto" w:fill="auto"/>
            <w:vAlign w:val="center"/>
          </w:tcPr>
          <w:p w:rsidR="00707F24" w:rsidRPr="00E63DF4" w:rsidRDefault="00707F24" w:rsidP="00D030BC">
            <w:pPr>
              <w:pStyle w:val="TableText0"/>
              <w:keepLines/>
              <w:widowControl w:val="0"/>
            </w:pPr>
            <w:r w:rsidRPr="00E63DF4">
              <w:t>Uptake rate</w:t>
            </w:r>
          </w:p>
        </w:tc>
        <w:tc>
          <w:tcPr>
            <w:tcW w:w="696" w:type="pct"/>
            <w:shd w:val="clear" w:color="auto" w:fill="auto"/>
            <w:vAlign w:val="center"/>
          </w:tcPr>
          <w:p w:rsidR="00707F24" w:rsidRPr="00E63DF4" w:rsidRDefault="008A0CD0" w:rsidP="00D030BC">
            <w:pPr>
              <w:pStyle w:val="TableText0"/>
              <w:keepLines/>
              <w:widowControl w:val="0"/>
            </w:pPr>
            <w:r>
              <w:rPr>
                <w:noProof/>
                <w:color w:val="000000"/>
                <w:szCs w:val="20"/>
                <w:highlight w:val="black"/>
              </w:rPr>
              <w:t>''''''</w:t>
            </w:r>
            <w:r w:rsidR="00707F24" w:rsidRPr="00E63DF4">
              <w:rPr>
                <w:szCs w:val="20"/>
              </w:rPr>
              <w:t>%</w:t>
            </w:r>
          </w:p>
        </w:tc>
        <w:tc>
          <w:tcPr>
            <w:tcW w:w="3206" w:type="pct"/>
            <w:shd w:val="clear" w:color="auto" w:fill="auto"/>
            <w:vAlign w:val="center"/>
          </w:tcPr>
          <w:p w:rsidR="00707F24" w:rsidRPr="00E63DF4" w:rsidRDefault="00707F24" w:rsidP="00D030BC">
            <w:pPr>
              <w:pStyle w:val="TableText0"/>
              <w:keepLines/>
              <w:widowControl w:val="0"/>
              <w:rPr>
                <w:szCs w:val="20"/>
              </w:rPr>
            </w:pPr>
            <w:r w:rsidRPr="00E63DF4">
              <w:rPr>
                <w:szCs w:val="20"/>
              </w:rPr>
              <w:t>Assumption. Based on IMbrave150 “superior OS and quality of life benefit compared to comparators”.</w:t>
            </w:r>
          </w:p>
          <w:p w:rsidR="00707F24" w:rsidRPr="00E63DF4" w:rsidRDefault="00707F24" w:rsidP="00D030BC">
            <w:pPr>
              <w:pStyle w:val="TableText0"/>
              <w:keepLines/>
              <w:widowControl w:val="0"/>
            </w:pPr>
            <w:r w:rsidRPr="00E63DF4">
              <w:rPr>
                <w:szCs w:val="20"/>
              </w:rPr>
              <w:t xml:space="preserve">The submission tested a lower uptake rate </w:t>
            </w:r>
            <w:r w:rsidRPr="00821B49">
              <w:rPr>
                <w:szCs w:val="20"/>
              </w:rPr>
              <w:t xml:space="preserve">of </w:t>
            </w:r>
            <w:r w:rsidR="008A0CD0">
              <w:rPr>
                <w:noProof/>
                <w:color w:val="000000"/>
                <w:szCs w:val="20"/>
                <w:highlight w:val="black"/>
              </w:rPr>
              <w:t>''''''</w:t>
            </w:r>
            <w:r w:rsidRPr="00821B49">
              <w:rPr>
                <w:szCs w:val="20"/>
              </w:rPr>
              <w:t>%</w:t>
            </w:r>
            <w:r w:rsidRPr="00E63DF4">
              <w:rPr>
                <w:szCs w:val="20"/>
              </w:rPr>
              <w:t xml:space="preserve"> in the first year in the sensitivity analysis.</w:t>
            </w:r>
          </w:p>
        </w:tc>
      </w:tr>
      <w:tr w:rsidR="00CA7F80" w:rsidRPr="00E63DF4" w:rsidTr="004C57A4">
        <w:tc>
          <w:tcPr>
            <w:tcW w:w="1098" w:type="pct"/>
            <w:tcBorders>
              <w:top w:val="single" w:sz="4" w:space="0" w:color="auto"/>
              <w:left w:val="single" w:sz="4" w:space="0" w:color="auto"/>
              <w:bottom w:val="single" w:sz="4" w:space="0" w:color="auto"/>
              <w:right w:val="single" w:sz="4" w:space="0" w:color="auto"/>
            </w:tcBorders>
          </w:tcPr>
          <w:p w:rsidR="00CA7F80" w:rsidRPr="00E63DF4" w:rsidRDefault="00CA7F80" w:rsidP="00D030BC">
            <w:pPr>
              <w:pStyle w:val="TableText0"/>
              <w:keepLines/>
              <w:widowControl w:val="0"/>
            </w:pPr>
            <w:r w:rsidRPr="00E63DF4">
              <w:rPr>
                <w:szCs w:val="20"/>
              </w:rPr>
              <w:t>Proportion of sorafenib and lenvatinib</w:t>
            </w:r>
            <w:r w:rsidR="004E6AE7" w:rsidRPr="00E63DF4">
              <w:rPr>
                <w:szCs w:val="20"/>
              </w:rPr>
              <w:t xml:space="preserve"> in HCC setting</w:t>
            </w:r>
            <w:r w:rsidRPr="00E63DF4">
              <w:rPr>
                <w:szCs w:val="20"/>
              </w:rPr>
              <w:t xml:space="preserve"> replaced with Atezo+Bev after listing</w:t>
            </w:r>
          </w:p>
        </w:tc>
        <w:tc>
          <w:tcPr>
            <w:tcW w:w="696" w:type="pct"/>
            <w:tcBorders>
              <w:top w:val="single" w:sz="4" w:space="0" w:color="auto"/>
              <w:left w:val="single" w:sz="4" w:space="0" w:color="auto"/>
              <w:bottom w:val="single" w:sz="4" w:space="0" w:color="auto"/>
              <w:right w:val="single" w:sz="4" w:space="0" w:color="auto"/>
            </w:tcBorders>
          </w:tcPr>
          <w:p w:rsidR="00CA7F80" w:rsidRPr="00E63DF4" w:rsidRDefault="00CA7F80" w:rsidP="00D030BC">
            <w:pPr>
              <w:pStyle w:val="TableText0"/>
              <w:keepLines/>
              <w:widowControl w:val="0"/>
            </w:pPr>
            <w:r w:rsidRPr="00E63DF4">
              <w:rPr>
                <w:szCs w:val="20"/>
              </w:rPr>
              <w:t>88%</w:t>
            </w:r>
            <w:r w:rsidR="00851906" w:rsidRPr="00E63DF4">
              <w:rPr>
                <w:szCs w:val="20"/>
                <w:vertAlign w:val="superscript"/>
              </w:rPr>
              <w:t>a</w:t>
            </w:r>
          </w:p>
        </w:tc>
        <w:tc>
          <w:tcPr>
            <w:tcW w:w="3206" w:type="pct"/>
            <w:tcBorders>
              <w:top w:val="single" w:sz="4" w:space="0" w:color="auto"/>
              <w:left w:val="single" w:sz="4" w:space="0" w:color="auto"/>
              <w:bottom w:val="single" w:sz="4" w:space="0" w:color="auto"/>
              <w:right w:val="single" w:sz="4" w:space="0" w:color="auto"/>
            </w:tcBorders>
          </w:tcPr>
          <w:p w:rsidR="000F44B5" w:rsidRPr="00E63DF4" w:rsidRDefault="00CA7F80" w:rsidP="00D030BC">
            <w:pPr>
              <w:pStyle w:val="TableText0"/>
              <w:keepLines/>
              <w:widowControl w:val="0"/>
            </w:pPr>
            <w:r w:rsidRPr="00E63DF4">
              <w:rPr>
                <w:iCs/>
                <w:szCs w:val="20"/>
              </w:rPr>
              <w:t xml:space="preserve">This </w:t>
            </w:r>
            <w:r w:rsidR="00CA21A8" w:rsidRPr="00E63DF4">
              <w:rPr>
                <w:iCs/>
                <w:szCs w:val="20"/>
              </w:rPr>
              <w:t>may be</w:t>
            </w:r>
            <w:r w:rsidRPr="00E63DF4">
              <w:rPr>
                <w:iCs/>
                <w:szCs w:val="20"/>
              </w:rPr>
              <w:t xml:space="preserve"> an overestimate since it assumes that all patients for whom it is eligible</w:t>
            </w:r>
            <w:r w:rsidR="002E2D54" w:rsidRPr="00E63DF4">
              <w:rPr>
                <w:iCs/>
                <w:szCs w:val="20"/>
              </w:rPr>
              <w:t xml:space="preserve"> (WHO PS 0</w:t>
            </w:r>
            <w:r w:rsidR="000F44B5" w:rsidRPr="00E63DF4">
              <w:rPr>
                <w:iCs/>
                <w:szCs w:val="20"/>
              </w:rPr>
              <w:t>-1)</w:t>
            </w:r>
            <w:r w:rsidRPr="00E63DF4">
              <w:rPr>
                <w:iCs/>
                <w:szCs w:val="20"/>
              </w:rPr>
              <w:t xml:space="preserve"> will be treated with Atezo+Bev rather than sorafenib and lenvatinib.</w:t>
            </w:r>
          </w:p>
        </w:tc>
      </w:tr>
      <w:tr w:rsidR="00CA7F80" w:rsidRPr="00E63DF4" w:rsidTr="004C57A4">
        <w:tc>
          <w:tcPr>
            <w:tcW w:w="1098" w:type="pct"/>
            <w:shd w:val="clear" w:color="auto" w:fill="auto"/>
            <w:vAlign w:val="center"/>
          </w:tcPr>
          <w:p w:rsidR="00CA7F80" w:rsidRPr="00E63DF4" w:rsidRDefault="00CA7F80" w:rsidP="00D030BC">
            <w:pPr>
              <w:pStyle w:val="TableText0"/>
              <w:keepLines/>
              <w:widowControl w:val="0"/>
            </w:pPr>
            <w:r w:rsidRPr="00E63DF4">
              <w:t>Grandfathered patients</w:t>
            </w:r>
          </w:p>
        </w:tc>
        <w:tc>
          <w:tcPr>
            <w:tcW w:w="696" w:type="pct"/>
            <w:shd w:val="clear" w:color="auto" w:fill="auto"/>
            <w:vAlign w:val="center"/>
          </w:tcPr>
          <w:p w:rsidR="00CA7F80" w:rsidRPr="00E63DF4" w:rsidRDefault="00745A3E" w:rsidP="00D030BC">
            <w:pPr>
              <w:pStyle w:val="TableText0"/>
              <w:keepLines/>
              <w:widowControl w:val="0"/>
            </w:pPr>
            <w:r>
              <w:t>&lt; 500</w:t>
            </w:r>
          </w:p>
        </w:tc>
        <w:tc>
          <w:tcPr>
            <w:tcW w:w="3206" w:type="pct"/>
            <w:shd w:val="clear" w:color="auto" w:fill="auto"/>
            <w:vAlign w:val="center"/>
          </w:tcPr>
          <w:p w:rsidR="00CA7F80" w:rsidRPr="00E63DF4" w:rsidRDefault="00411EEA" w:rsidP="00D030BC">
            <w:pPr>
              <w:pStyle w:val="TableText0"/>
              <w:keepLines/>
              <w:widowControl w:val="0"/>
            </w:pPr>
            <w:r>
              <w:t>The evaluation considered this is m</w:t>
            </w:r>
            <w:r w:rsidR="002519BE" w:rsidRPr="00E63DF4">
              <w:t>ost likely an overestimate</w:t>
            </w:r>
            <w:r w:rsidR="005F1F00" w:rsidRPr="00E63DF4">
              <w:t>.</w:t>
            </w:r>
          </w:p>
        </w:tc>
      </w:tr>
      <w:tr w:rsidR="00CA7F80" w:rsidRPr="00E63DF4" w:rsidTr="004C57A4">
        <w:tc>
          <w:tcPr>
            <w:tcW w:w="1098" w:type="pct"/>
            <w:tcBorders>
              <w:bottom w:val="single" w:sz="4" w:space="0" w:color="auto"/>
            </w:tcBorders>
            <w:shd w:val="clear" w:color="auto" w:fill="auto"/>
            <w:vAlign w:val="center"/>
          </w:tcPr>
          <w:p w:rsidR="00CA7F80" w:rsidRPr="00E63DF4" w:rsidRDefault="00CE658E" w:rsidP="00D030BC">
            <w:pPr>
              <w:pStyle w:val="TableText0"/>
              <w:keepLines/>
              <w:widowControl w:val="0"/>
            </w:pPr>
            <w:r w:rsidRPr="00E63DF4">
              <w:t>C</w:t>
            </w:r>
            <w:r w:rsidR="00CA7F80" w:rsidRPr="00E63DF4">
              <w:t>omparator</w:t>
            </w:r>
            <w:r w:rsidR="00DD3CC2" w:rsidRPr="00E63DF4">
              <w:t>s</w:t>
            </w:r>
          </w:p>
        </w:tc>
        <w:tc>
          <w:tcPr>
            <w:tcW w:w="696" w:type="pct"/>
            <w:tcBorders>
              <w:bottom w:val="single" w:sz="4" w:space="0" w:color="auto"/>
            </w:tcBorders>
            <w:shd w:val="clear" w:color="auto" w:fill="auto"/>
            <w:vAlign w:val="center"/>
          </w:tcPr>
          <w:p w:rsidR="00CA7F80" w:rsidRPr="00E63DF4" w:rsidRDefault="00055DD7" w:rsidP="00D030BC">
            <w:pPr>
              <w:pStyle w:val="TableText0"/>
              <w:keepLines/>
              <w:widowControl w:val="0"/>
            </w:pPr>
            <w:r w:rsidRPr="00E63DF4">
              <w:t>Sorafenib and lenvatinib</w:t>
            </w:r>
          </w:p>
        </w:tc>
        <w:tc>
          <w:tcPr>
            <w:tcW w:w="3206" w:type="pct"/>
            <w:tcBorders>
              <w:bottom w:val="single" w:sz="4" w:space="0" w:color="auto"/>
            </w:tcBorders>
            <w:shd w:val="clear" w:color="auto" w:fill="auto"/>
            <w:vAlign w:val="center"/>
          </w:tcPr>
          <w:p w:rsidR="00CA7F80" w:rsidRPr="00E63DF4" w:rsidRDefault="008855D3" w:rsidP="00D030BC">
            <w:pPr>
              <w:pStyle w:val="TableText0"/>
              <w:keepLines/>
              <w:widowControl w:val="0"/>
            </w:pPr>
            <w:r w:rsidRPr="00E63DF4">
              <w:t>S</w:t>
            </w:r>
            <w:r w:rsidR="00B26F18" w:rsidRPr="00E63DF4">
              <w:t xml:space="preserve">orafenib is the </w:t>
            </w:r>
            <w:r w:rsidR="00DD3CC2" w:rsidRPr="00E63DF4">
              <w:t>comparator</w:t>
            </w:r>
            <w:r w:rsidR="00B26F18" w:rsidRPr="00E63DF4">
              <w:t xml:space="preserve"> </w:t>
            </w:r>
            <w:r w:rsidRPr="00E63DF4">
              <w:t xml:space="preserve">used </w:t>
            </w:r>
            <w:r w:rsidR="00B26F18" w:rsidRPr="00E63DF4">
              <w:t>in Section 1</w:t>
            </w:r>
            <w:r w:rsidR="00F9244B" w:rsidRPr="00E63DF4">
              <w:t>, Section 2</w:t>
            </w:r>
            <w:r w:rsidR="00B26F18" w:rsidRPr="00E63DF4">
              <w:t xml:space="preserve"> and Section 3</w:t>
            </w:r>
            <w:r w:rsidRPr="00E63DF4">
              <w:t xml:space="preserve"> of the</w:t>
            </w:r>
            <w:r w:rsidR="00F9244B" w:rsidRPr="00E63DF4">
              <w:t xml:space="preserve"> </w:t>
            </w:r>
            <w:r w:rsidR="001C106E" w:rsidRPr="00E63DF4">
              <w:t>submission.</w:t>
            </w:r>
            <w:r w:rsidR="00B26F18" w:rsidRPr="00E63DF4">
              <w:t xml:space="preserve"> However, lenvatinib was not presented as compara</w:t>
            </w:r>
            <w:r w:rsidR="00DD3CC2" w:rsidRPr="00E63DF4">
              <w:t>tor.</w:t>
            </w:r>
          </w:p>
        </w:tc>
      </w:tr>
      <w:tr w:rsidR="00CA7F80" w:rsidRPr="00E63DF4" w:rsidTr="004C57A4">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rsidR="00CA7F80" w:rsidRPr="00E63DF4" w:rsidRDefault="00CA7F80" w:rsidP="00D030BC">
            <w:pPr>
              <w:pStyle w:val="TableText0"/>
              <w:keepLines/>
              <w:widowControl w:val="0"/>
            </w:pPr>
            <w:r w:rsidRPr="00E63DF4">
              <w:t>MBS item</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CA7F80" w:rsidRPr="00E63DF4" w:rsidRDefault="00143ACE" w:rsidP="00D030BC">
            <w:pPr>
              <w:pStyle w:val="TableText0"/>
              <w:keepLines/>
              <w:widowControl w:val="0"/>
            </w:pPr>
            <w:r w:rsidRPr="00E63DF4">
              <w:t xml:space="preserve">MBS item number 13918: </w:t>
            </w:r>
            <w:r w:rsidR="003841BC" w:rsidRPr="00E63DF4">
              <w:t>$</w:t>
            </w:r>
            <w:r w:rsidRPr="00E63DF4">
              <w:t>99.</w:t>
            </w:r>
            <w:r w:rsidR="00B9669C" w:rsidRPr="00E63DF4">
              <w:t>50 (reflecting IV infusion &gt;1 hour duration)</w:t>
            </w:r>
          </w:p>
        </w:tc>
        <w:tc>
          <w:tcPr>
            <w:tcW w:w="3206" w:type="pct"/>
            <w:tcBorders>
              <w:top w:val="single" w:sz="4" w:space="0" w:color="auto"/>
              <w:left w:val="single" w:sz="4" w:space="0" w:color="auto"/>
              <w:bottom w:val="single" w:sz="4" w:space="0" w:color="auto"/>
              <w:right w:val="single" w:sz="4" w:space="0" w:color="auto"/>
            </w:tcBorders>
            <w:shd w:val="clear" w:color="auto" w:fill="auto"/>
            <w:vAlign w:val="center"/>
          </w:tcPr>
          <w:p w:rsidR="00CA7F80" w:rsidRPr="00E63DF4" w:rsidRDefault="00CA7F80" w:rsidP="00D030BC">
            <w:pPr>
              <w:pStyle w:val="TableText0"/>
              <w:keepLines/>
              <w:widowControl w:val="0"/>
            </w:pPr>
            <w:r w:rsidRPr="00E63DF4">
              <w:t>Appropriate</w:t>
            </w:r>
          </w:p>
        </w:tc>
      </w:tr>
    </w:tbl>
    <w:p w:rsidR="008C1768" w:rsidRPr="00E63DF4" w:rsidRDefault="008C1768" w:rsidP="004C57A4">
      <w:pPr>
        <w:pStyle w:val="TableFigureFooter"/>
      </w:pPr>
      <w:r w:rsidRPr="00E63DF4">
        <w:t>Source: Table4.2, pp136-137, Table 4.1</w:t>
      </w:r>
      <w:r w:rsidR="004E6AE7" w:rsidRPr="00E63DF4">
        <w:t>2</w:t>
      </w:r>
      <w:r w:rsidRPr="00E63DF4">
        <w:t>, 14</w:t>
      </w:r>
      <w:r w:rsidR="004E6AE7" w:rsidRPr="00E63DF4">
        <w:t>4</w:t>
      </w:r>
      <w:r w:rsidRPr="00E63DF4">
        <w:t>, Table 4.</w:t>
      </w:r>
      <w:r w:rsidR="004E6AE7" w:rsidRPr="00E63DF4">
        <w:t>34</w:t>
      </w:r>
      <w:r w:rsidRPr="00E63DF4">
        <w:t>, p16</w:t>
      </w:r>
      <w:r w:rsidR="004E6AE7" w:rsidRPr="00E63DF4">
        <w:t>1</w:t>
      </w:r>
      <w:r w:rsidRPr="00E63DF4">
        <w:t>, of the submission.</w:t>
      </w:r>
    </w:p>
    <w:p w:rsidR="00F14B46" w:rsidRPr="00E63DF4" w:rsidRDefault="00B9669C" w:rsidP="004C57A4">
      <w:pPr>
        <w:pStyle w:val="TableFigureFooter"/>
        <w:rPr>
          <w:color w:val="3366FF"/>
        </w:rPr>
      </w:pPr>
      <w:r w:rsidRPr="00E63DF4">
        <w:t>Abbreviations: AIHW = Australian Institute of Health and Welfare; Atezo = atezolizumab; BCLC = Barcelona Clinic Liver Cancer; Bev = bevacizumab; HCC = hepatocellular carcinoma; ICD-10 code = International Classification of Disease version 10; MBS = Medicare Benefits Schedule; PBS = Pharmaceutical Benefits Scheme; RPBS = Repatriation Pharmaceutical Benefit Scheme; TACE = transarterial chemoembolisation</w:t>
      </w:r>
      <w:r w:rsidR="0015680D" w:rsidRPr="00E63DF4">
        <w:t xml:space="preserve">; WHO PS = World Health Organisation </w:t>
      </w:r>
      <w:r w:rsidR="004555C0" w:rsidRPr="00E63DF4">
        <w:t>p</w:t>
      </w:r>
      <w:r w:rsidR="00C75071" w:rsidRPr="00E63DF4">
        <w:t xml:space="preserve">erformance </w:t>
      </w:r>
      <w:r w:rsidR="004555C0" w:rsidRPr="00E63DF4">
        <w:t>s</w:t>
      </w:r>
      <w:r w:rsidR="00C75071" w:rsidRPr="00E63DF4">
        <w:t>tatus.</w:t>
      </w:r>
    </w:p>
    <w:p w:rsidR="00BA51B0" w:rsidRPr="00E63DF4" w:rsidRDefault="00851906" w:rsidP="004C57A4">
      <w:pPr>
        <w:pStyle w:val="TableFigureFooter"/>
        <w:rPr>
          <w:szCs w:val="18"/>
        </w:rPr>
      </w:pPr>
      <w:r w:rsidRPr="00E63DF4">
        <w:rPr>
          <w:szCs w:val="18"/>
        </w:rPr>
        <w:t xml:space="preserve">Note: </w:t>
      </w:r>
    </w:p>
    <w:p w:rsidR="00851906" w:rsidRPr="004C57A4" w:rsidRDefault="00851906" w:rsidP="004C57A4">
      <w:pPr>
        <w:pStyle w:val="TableFigureFooter"/>
        <w:rPr>
          <w:szCs w:val="18"/>
        </w:rPr>
      </w:pPr>
      <w:r w:rsidRPr="00E63DF4">
        <w:rPr>
          <w:szCs w:val="18"/>
        </w:rPr>
        <w:t xml:space="preserve">a </w:t>
      </w:r>
      <w:r w:rsidR="00BA51B0" w:rsidRPr="00E63DF4">
        <w:rPr>
          <w:szCs w:val="18"/>
        </w:rPr>
        <w:t>T</w:t>
      </w:r>
      <w:r w:rsidRPr="00E63DF4">
        <w:rPr>
          <w:szCs w:val="18"/>
        </w:rPr>
        <w:t xml:space="preserve">he submission assumed that of the total sorafenib and </w:t>
      </w:r>
      <w:r w:rsidR="00A67887" w:rsidRPr="00E63DF4">
        <w:rPr>
          <w:szCs w:val="18"/>
        </w:rPr>
        <w:t>lenvatinib</w:t>
      </w:r>
      <w:r w:rsidRPr="00E63DF4">
        <w:rPr>
          <w:szCs w:val="18"/>
        </w:rPr>
        <w:t xml:space="preserve"> HCC market that includes patients </w:t>
      </w:r>
      <w:r w:rsidR="00A67887" w:rsidRPr="00E63DF4">
        <w:rPr>
          <w:szCs w:val="18"/>
        </w:rPr>
        <w:t>with</w:t>
      </w:r>
      <w:r w:rsidRPr="00E63DF4">
        <w:rPr>
          <w:szCs w:val="18"/>
        </w:rPr>
        <w:t xml:space="preserve"> WHO PS 0-2, 88% are </w:t>
      </w:r>
      <w:r w:rsidR="00A67887" w:rsidRPr="00E63DF4">
        <w:rPr>
          <w:szCs w:val="18"/>
        </w:rPr>
        <w:t>patients</w:t>
      </w:r>
      <w:r w:rsidRPr="00E63DF4">
        <w:rPr>
          <w:szCs w:val="18"/>
        </w:rPr>
        <w:t xml:space="preserve"> with WHO PS 0-1. The </w:t>
      </w:r>
      <w:r w:rsidR="00A67887" w:rsidRPr="00E63DF4">
        <w:rPr>
          <w:szCs w:val="18"/>
        </w:rPr>
        <w:t>submission</w:t>
      </w:r>
      <w:r w:rsidRPr="00E63DF4">
        <w:rPr>
          <w:szCs w:val="18"/>
        </w:rPr>
        <w:t xml:space="preserve"> assumed that 100% of patients with WHO PS 0-1 will be replace</w:t>
      </w:r>
      <w:r w:rsidR="00A67887" w:rsidRPr="00E63DF4">
        <w:rPr>
          <w:szCs w:val="18"/>
        </w:rPr>
        <w:t>d</w:t>
      </w:r>
      <w:r w:rsidRPr="00E63DF4">
        <w:rPr>
          <w:szCs w:val="18"/>
        </w:rPr>
        <w:t xml:space="preserve"> by Atezo+Bev.</w:t>
      </w:r>
    </w:p>
    <w:p w:rsidR="00C06CCE" w:rsidRPr="00E63DF4" w:rsidRDefault="00C06CCE" w:rsidP="00C06CCE">
      <w:pPr>
        <w:pStyle w:val="3-BodyText"/>
      </w:pPr>
      <w:r w:rsidRPr="00E63DF4">
        <w:lastRenderedPageBreak/>
        <w:t xml:space="preserve">The submission estimated the number of eligible HCC patients to receive Atezo+Bev based on five subgroups: </w:t>
      </w:r>
    </w:p>
    <w:p w:rsidR="00C06CCE" w:rsidRPr="00E63DF4" w:rsidRDefault="005F2339" w:rsidP="00C06CCE">
      <w:pPr>
        <w:pStyle w:val="3-BodyText"/>
        <w:numPr>
          <w:ilvl w:val="0"/>
          <w:numId w:val="3"/>
        </w:numPr>
      </w:pPr>
      <w:r w:rsidRPr="00E63DF4">
        <w:t xml:space="preserve">Subgroup 1: </w:t>
      </w:r>
      <w:r w:rsidR="00C06CCE" w:rsidRPr="00E63DF4">
        <w:t>BCLC stage A who experience recurrence and are ineligible for TACE</w:t>
      </w:r>
    </w:p>
    <w:p w:rsidR="00C06CCE" w:rsidRPr="00E63DF4" w:rsidRDefault="005F2339" w:rsidP="00C06CCE">
      <w:pPr>
        <w:pStyle w:val="3-BodyText"/>
        <w:numPr>
          <w:ilvl w:val="0"/>
          <w:numId w:val="3"/>
        </w:numPr>
      </w:pPr>
      <w:r w:rsidRPr="00E63DF4">
        <w:t xml:space="preserve">Subgroup 2: </w:t>
      </w:r>
      <w:r w:rsidR="00C06CCE" w:rsidRPr="00E63DF4">
        <w:t>BCLC stage B1 patients who experience recurrence and are ineligible for TACE</w:t>
      </w:r>
    </w:p>
    <w:p w:rsidR="00C06CCE" w:rsidRPr="00E63DF4" w:rsidRDefault="005F2339" w:rsidP="00C06CCE">
      <w:pPr>
        <w:pStyle w:val="3-BodyText"/>
        <w:numPr>
          <w:ilvl w:val="0"/>
          <w:numId w:val="3"/>
        </w:numPr>
      </w:pPr>
      <w:r w:rsidRPr="00E63DF4">
        <w:t xml:space="preserve">Subgroup 3: </w:t>
      </w:r>
      <w:r w:rsidR="00C06CCE" w:rsidRPr="00E63DF4">
        <w:t>BCLC stage B2-B4 and ineligible for TACE</w:t>
      </w:r>
    </w:p>
    <w:p w:rsidR="00C06CCE" w:rsidRPr="00E63DF4" w:rsidRDefault="005F2339" w:rsidP="00C06CCE">
      <w:pPr>
        <w:pStyle w:val="3-BodyText"/>
        <w:numPr>
          <w:ilvl w:val="0"/>
          <w:numId w:val="3"/>
        </w:numPr>
      </w:pPr>
      <w:r w:rsidRPr="00E63DF4">
        <w:t xml:space="preserve">Subgroup 4: </w:t>
      </w:r>
      <w:r w:rsidR="00C06CCE" w:rsidRPr="00E63DF4">
        <w:t>BCLC stage C disease who are Child-Pugh A, WHO PS 0 or 1</w:t>
      </w:r>
    </w:p>
    <w:p w:rsidR="00C06CCE" w:rsidRPr="00E63DF4" w:rsidRDefault="005F2339" w:rsidP="00C06CCE">
      <w:pPr>
        <w:pStyle w:val="3-BodyText"/>
        <w:numPr>
          <w:ilvl w:val="0"/>
          <w:numId w:val="3"/>
        </w:numPr>
      </w:pPr>
      <w:r w:rsidRPr="00E63DF4">
        <w:t xml:space="preserve">Subgroup 5: </w:t>
      </w:r>
      <w:r w:rsidR="00C06CCE" w:rsidRPr="00E63DF4">
        <w:t>Stage B patients who received TACE but overtime become too weak to continue receiving TACE (‘unTACEable’).</w:t>
      </w:r>
    </w:p>
    <w:p w:rsidR="00C06CCE" w:rsidRPr="00E63DF4" w:rsidRDefault="00C06CCE" w:rsidP="00C06CCE">
      <w:pPr>
        <w:pStyle w:val="3-BodyText"/>
        <w:rPr>
          <w:iCs/>
        </w:rPr>
      </w:pPr>
      <w:r w:rsidRPr="00E63DF4">
        <w:rPr>
          <w:iCs/>
        </w:rPr>
        <w:t xml:space="preserve">The </w:t>
      </w:r>
      <w:r w:rsidR="00E72C2F" w:rsidRPr="00E63DF4">
        <w:rPr>
          <w:iCs/>
        </w:rPr>
        <w:t xml:space="preserve">evaluation considered the </w:t>
      </w:r>
      <w:r w:rsidRPr="00E63DF4">
        <w:rPr>
          <w:iCs/>
        </w:rPr>
        <w:t>estimates provided by the submission</w:t>
      </w:r>
      <w:r w:rsidR="000C39F0" w:rsidRPr="00E63DF4">
        <w:rPr>
          <w:iCs/>
        </w:rPr>
        <w:t xml:space="preserve"> were</w:t>
      </w:r>
      <w:r w:rsidRPr="00E63DF4">
        <w:rPr>
          <w:iCs/>
        </w:rPr>
        <w:t xml:space="preserve"> reasonable and consistent with the proposed TGA registration and requested PBS listing.</w:t>
      </w:r>
      <w:r w:rsidR="004032A9" w:rsidRPr="00E63DF4">
        <w:rPr>
          <w:iCs/>
        </w:rPr>
        <w:t xml:space="preserve"> However,</w:t>
      </w:r>
      <w:r w:rsidR="004032A9" w:rsidRPr="00E63DF4">
        <w:t xml:space="preserve"> </w:t>
      </w:r>
      <w:r w:rsidR="004032A9" w:rsidRPr="00E63DF4">
        <w:rPr>
          <w:iCs/>
        </w:rPr>
        <w:t>the extent to which patients described by groups 1,</w:t>
      </w:r>
      <w:r w:rsidR="00A71216" w:rsidRPr="00E63DF4">
        <w:rPr>
          <w:iCs/>
        </w:rPr>
        <w:t xml:space="preserve"> </w:t>
      </w:r>
      <w:r w:rsidR="004032A9" w:rsidRPr="00E63DF4">
        <w:rPr>
          <w:iCs/>
        </w:rPr>
        <w:t>2 and 5 are captured in current sorafenib/lenvatinib use</w:t>
      </w:r>
      <w:r w:rsidR="000856BD" w:rsidRPr="00E63DF4">
        <w:rPr>
          <w:iCs/>
        </w:rPr>
        <w:t xml:space="preserve"> is unknown</w:t>
      </w:r>
      <w:r w:rsidR="00E63DF4">
        <w:rPr>
          <w:iCs/>
        </w:rPr>
        <w:t xml:space="preserve">. </w:t>
      </w:r>
    </w:p>
    <w:p w:rsidR="00C06CCE" w:rsidRPr="00E63DF4" w:rsidRDefault="00C06CCE" w:rsidP="00C06CCE">
      <w:pPr>
        <w:pStyle w:val="3-BodyText"/>
      </w:pPr>
      <w:r w:rsidRPr="00E63DF4">
        <w:t>The submission did not estimate prevalent patients due to the average duration of treatment being less than 1 year</w:t>
      </w:r>
      <w:r w:rsidRPr="00E63DF4">
        <w:rPr>
          <w:iCs/>
        </w:rPr>
        <w:t xml:space="preserve">. Therefore, the </w:t>
      </w:r>
      <w:r w:rsidR="00E72C2F" w:rsidRPr="00E63DF4">
        <w:rPr>
          <w:iCs/>
        </w:rPr>
        <w:t xml:space="preserve">evaluation </w:t>
      </w:r>
      <w:r w:rsidR="00AB07C5" w:rsidRPr="00E63DF4">
        <w:rPr>
          <w:iCs/>
        </w:rPr>
        <w:t>considered</w:t>
      </w:r>
      <w:r w:rsidR="00E72C2F" w:rsidRPr="00E63DF4">
        <w:rPr>
          <w:iCs/>
        </w:rPr>
        <w:t xml:space="preserve"> the </w:t>
      </w:r>
      <w:r w:rsidRPr="00E63DF4">
        <w:rPr>
          <w:iCs/>
        </w:rPr>
        <w:t xml:space="preserve">inclusion of grandfathered patients was appropriate. </w:t>
      </w:r>
      <w:r w:rsidRPr="00E63DF4">
        <w:t xml:space="preserve">The submission included </w:t>
      </w:r>
      <w:r w:rsidR="00745A3E">
        <w:t>&lt; 500</w:t>
      </w:r>
      <w:r w:rsidRPr="00E63DF4">
        <w:t xml:space="preserve"> grandfathered patients. </w:t>
      </w:r>
      <w:r w:rsidRPr="00E63DF4">
        <w:rPr>
          <w:iCs/>
        </w:rPr>
        <w:t>The submission did not provide justification for the high number</w:t>
      </w:r>
      <w:r w:rsidR="00544C8D" w:rsidRPr="00E63DF4">
        <w:rPr>
          <w:iCs/>
        </w:rPr>
        <w:t xml:space="preserve"> of grandfathered patients</w:t>
      </w:r>
      <w:r w:rsidRPr="00E63DF4">
        <w:rPr>
          <w:iCs/>
        </w:rPr>
        <w:t xml:space="preserve">. </w:t>
      </w:r>
    </w:p>
    <w:p w:rsidR="00E94240" w:rsidRPr="00E63DF4" w:rsidRDefault="00C06CCE" w:rsidP="00E94240">
      <w:pPr>
        <w:pStyle w:val="3-BodyText"/>
      </w:pPr>
      <w:r w:rsidRPr="00E63DF4">
        <w:t xml:space="preserve">The submission assumed an uptake rate of </w:t>
      </w:r>
      <w:r w:rsidR="008A0CD0">
        <w:rPr>
          <w:noProof/>
          <w:color w:val="000000"/>
          <w:highlight w:val="black"/>
        </w:rPr>
        <w:t>'''''</w:t>
      </w:r>
      <w:r w:rsidRPr="00E63DF4">
        <w:t>% of Atezo+Bev from Year 1 onward</w:t>
      </w:r>
      <w:r w:rsidR="009D7B27" w:rsidRPr="00E63DF4">
        <w:t xml:space="preserve">, </w:t>
      </w:r>
      <w:r w:rsidR="009D7B27" w:rsidRPr="00E63DF4">
        <w:rPr>
          <w:color w:val="000000" w:themeColor="text1"/>
        </w:rPr>
        <w:t>which represents 100% of the sorafenib and lenvatinib (WHO PS 0-1) use</w:t>
      </w:r>
      <w:r w:rsidRPr="00E63DF4">
        <w:t>.</w:t>
      </w:r>
      <w:r w:rsidRPr="00E63DF4">
        <w:rPr>
          <w:iCs/>
        </w:rPr>
        <w:t xml:space="preserve"> A sensitivity analysis showed that the estimates were sensitive to this assumption</w:t>
      </w:r>
      <w:r w:rsidR="00E94240" w:rsidRPr="00E63DF4">
        <w:rPr>
          <w:iCs/>
        </w:rPr>
        <w:t>.</w:t>
      </w:r>
      <w:r w:rsidR="009D7B27" w:rsidRPr="00E63DF4">
        <w:rPr>
          <w:iCs/>
        </w:rPr>
        <w:t xml:space="preserve"> </w:t>
      </w:r>
      <w:r w:rsidR="009D7B27" w:rsidRPr="00E63DF4">
        <w:t>The Sponsor stated in the PSCR that g</w:t>
      </w:r>
      <w:r w:rsidR="009D7B27" w:rsidRPr="00E63DF4">
        <w:rPr>
          <w:rFonts w:ascii="Calibri" w:hAnsi="Calibri" w:cs="Calibri"/>
          <w:bCs/>
          <w:szCs w:val="22"/>
        </w:rPr>
        <w:t>iven the demonstrated health outcomes in IMbrave150, unanimous feedback from the members of Roche’s Hepatocellular Cancer Advisory Board was that Atezo+Bev is the first-line treatment of choice for every patient who satisfies PBS eligibility criteria. Therefore, it is reasonable to assume that all patients eligible for Atezo+Bev would have otherwise initiated on a first-line TKI.</w:t>
      </w:r>
      <w:r w:rsidR="009D7B27" w:rsidRPr="00E63DF4">
        <w:t xml:space="preserve"> </w:t>
      </w:r>
      <w:r w:rsidR="005C486B" w:rsidRPr="00E63DF4">
        <w:t>The</w:t>
      </w:r>
      <w:r w:rsidR="00930175" w:rsidRPr="00E63DF4">
        <w:t xml:space="preserve"> PBAC agreed with the</w:t>
      </w:r>
      <w:r w:rsidR="005C486B" w:rsidRPr="00E63DF4">
        <w:t xml:space="preserve"> ESC </w:t>
      </w:r>
      <w:r w:rsidR="00930175" w:rsidRPr="00E63DF4">
        <w:t xml:space="preserve">that </w:t>
      </w:r>
      <w:r w:rsidR="005C486B" w:rsidRPr="00E63DF4">
        <w:t xml:space="preserve">the uptake rate was overestimated as some patients </w:t>
      </w:r>
      <w:r w:rsidR="00804A8C" w:rsidRPr="00E63DF4">
        <w:t xml:space="preserve">may </w:t>
      </w:r>
      <w:r w:rsidR="000263EA">
        <w:t>have contra-indications to Atezo+Bev (e</w:t>
      </w:r>
      <w:r w:rsidR="00411EEA">
        <w:t>.g</w:t>
      </w:r>
      <w:r w:rsidR="000263EA">
        <w:t>.</w:t>
      </w:r>
      <w:r w:rsidR="00411EEA">
        <w:t>,</w:t>
      </w:r>
      <w:r w:rsidR="000263EA">
        <w:t xml:space="preserve"> autoimmune disease), be unwilling to receive intravenous therapy, </w:t>
      </w:r>
      <w:r w:rsidR="00585A67">
        <w:t>and/</w:t>
      </w:r>
      <w:r w:rsidR="000263EA">
        <w:t xml:space="preserve">or </w:t>
      </w:r>
      <w:r w:rsidR="005C486B" w:rsidRPr="00E63DF4">
        <w:t>not be able to access multi-disciplinary care (i.e. remote location, low socio-economic status and poor health literacy as may occur with HCC patients).</w:t>
      </w:r>
    </w:p>
    <w:p w:rsidR="00040124" w:rsidRPr="00E63DF4" w:rsidRDefault="00E94240" w:rsidP="00E94240">
      <w:pPr>
        <w:pStyle w:val="3-BodyText"/>
      </w:pPr>
      <w:r w:rsidRPr="00E63DF4">
        <w:t xml:space="preserve">The market share estimates for sorafenib and lenvatinib informed the estimates of replacement and were based on a combination of PBS item reports and PBS 10% sample market data. </w:t>
      </w:r>
    </w:p>
    <w:p w:rsidR="00AD5D1F" w:rsidRPr="00E63DF4" w:rsidRDefault="00AD5D1F" w:rsidP="00E94240">
      <w:pPr>
        <w:pStyle w:val="3-BodyText"/>
      </w:pPr>
      <w:r w:rsidRPr="00E63DF4">
        <w:t xml:space="preserve">The submission estimated that 87.4% </w:t>
      </w:r>
      <w:r w:rsidRPr="00E63DF4">
        <w:rPr>
          <w:szCs w:val="20"/>
        </w:rPr>
        <w:t>of patients with HCC have WHO PS 0 or 1. The evaluation considered that this figure likely underestimate</w:t>
      </w:r>
      <w:r w:rsidR="00A1267D" w:rsidRPr="00E63DF4">
        <w:rPr>
          <w:szCs w:val="20"/>
        </w:rPr>
        <w:t>d</w:t>
      </w:r>
      <w:r w:rsidRPr="00E63DF4">
        <w:rPr>
          <w:szCs w:val="20"/>
        </w:rPr>
        <w:t xml:space="preserve"> eligibility in early stage diagnosis and overestimate</w:t>
      </w:r>
      <w:r w:rsidR="00A1267D" w:rsidRPr="00E63DF4">
        <w:rPr>
          <w:szCs w:val="20"/>
        </w:rPr>
        <w:t>d</w:t>
      </w:r>
      <w:r w:rsidRPr="00E63DF4">
        <w:rPr>
          <w:szCs w:val="20"/>
        </w:rPr>
        <w:t xml:space="preserve"> eligibility in later stage diagnosis</w:t>
      </w:r>
      <w:r w:rsidR="00F8311A" w:rsidRPr="00E63DF4">
        <w:rPr>
          <w:szCs w:val="20"/>
        </w:rPr>
        <w:t xml:space="preserve">, which </w:t>
      </w:r>
      <w:r w:rsidR="00F8311A" w:rsidRPr="006B6F89">
        <w:rPr>
          <w:szCs w:val="20"/>
        </w:rPr>
        <w:t>accounts</w:t>
      </w:r>
      <w:r w:rsidR="00CA18B5" w:rsidRPr="006B6F89">
        <w:rPr>
          <w:szCs w:val="20"/>
        </w:rPr>
        <w:t xml:space="preserve"> for</w:t>
      </w:r>
      <w:r w:rsidR="00F8311A" w:rsidRPr="006B6F89">
        <w:rPr>
          <w:szCs w:val="20"/>
        </w:rPr>
        <w:t xml:space="preserve"> </w:t>
      </w:r>
      <w:r w:rsidR="002F713F" w:rsidRPr="006B6F89">
        <w:rPr>
          <w:szCs w:val="20"/>
        </w:rPr>
        <w:t>65</w:t>
      </w:r>
      <w:r w:rsidR="00F8311A" w:rsidRPr="006B6F89">
        <w:rPr>
          <w:szCs w:val="20"/>
        </w:rPr>
        <w:t>%</w:t>
      </w:r>
      <w:r w:rsidR="00F8311A" w:rsidRPr="006957B3">
        <w:rPr>
          <w:szCs w:val="20"/>
        </w:rPr>
        <w:t xml:space="preserve"> </w:t>
      </w:r>
      <w:r w:rsidR="00F8311A" w:rsidRPr="00E63DF4">
        <w:rPr>
          <w:szCs w:val="20"/>
        </w:rPr>
        <w:t xml:space="preserve">of </w:t>
      </w:r>
      <w:r w:rsidR="00E759DC" w:rsidRPr="00E63DF4">
        <w:rPr>
          <w:szCs w:val="20"/>
        </w:rPr>
        <w:t xml:space="preserve">patient numbers </w:t>
      </w:r>
      <w:r w:rsidR="007F0015" w:rsidRPr="00E63DF4">
        <w:rPr>
          <w:szCs w:val="20"/>
        </w:rPr>
        <w:t>(Subgroup 4)</w:t>
      </w:r>
      <w:r w:rsidRPr="00E63DF4">
        <w:rPr>
          <w:szCs w:val="20"/>
        </w:rPr>
        <w:t>. The</w:t>
      </w:r>
      <w:r w:rsidR="00930175" w:rsidRPr="00E63DF4">
        <w:rPr>
          <w:szCs w:val="20"/>
        </w:rPr>
        <w:t xml:space="preserve"> PBAC agreed with the</w:t>
      </w:r>
      <w:r w:rsidRPr="00E63DF4">
        <w:rPr>
          <w:szCs w:val="20"/>
        </w:rPr>
        <w:t xml:space="preserve"> ESC that this figure of </w:t>
      </w:r>
      <w:r w:rsidRPr="00E63DF4">
        <w:rPr>
          <w:szCs w:val="20"/>
        </w:rPr>
        <w:lastRenderedPageBreak/>
        <w:t xml:space="preserve">87.4% was a significant overestimate, as </w:t>
      </w:r>
      <w:r w:rsidRPr="00E63DF4">
        <w:t>patients with BCLC B or C are often frail and do not have WHO PS 0 or 1.</w:t>
      </w:r>
    </w:p>
    <w:p w:rsidR="00651039" w:rsidRPr="00E63DF4" w:rsidRDefault="00C06CCE" w:rsidP="00AD5D1F">
      <w:pPr>
        <w:pStyle w:val="3-BodyText"/>
      </w:pPr>
      <w:r w:rsidRPr="00E63DF4">
        <w:t xml:space="preserve">The submission assumed that upon listing of Atezo+Bev all HCC patient with WHO PS 0 or 1 would </w:t>
      </w:r>
      <w:r w:rsidR="005F2604" w:rsidRPr="00E63DF4">
        <w:t xml:space="preserve">be treated with </w:t>
      </w:r>
      <w:r w:rsidRPr="00E63DF4">
        <w:t xml:space="preserve">Atezo+Bev, which constituted 88% of all sorafenib and lenvatinib patients. </w:t>
      </w:r>
      <w:r w:rsidR="00F8311A" w:rsidRPr="00E63DF4">
        <w:rPr>
          <w:iCs/>
        </w:rPr>
        <w:t xml:space="preserve">The PBAC considered that this </w:t>
      </w:r>
      <w:r w:rsidRPr="00E63DF4">
        <w:rPr>
          <w:iCs/>
        </w:rPr>
        <w:t>assumption was not well justified and is most likely an overestimate</w:t>
      </w:r>
      <w:r w:rsidRPr="00E63DF4">
        <w:t xml:space="preserve">. </w:t>
      </w:r>
      <w:r w:rsidRPr="00E63DF4">
        <w:rPr>
          <w:iCs/>
        </w:rPr>
        <w:t xml:space="preserve">A sensitivity analysis indicated that the financial estimates were sensitive to </w:t>
      </w:r>
      <w:r w:rsidR="008C6376" w:rsidRPr="00E63DF4">
        <w:rPr>
          <w:color w:val="000000" w:themeColor="text1"/>
        </w:rPr>
        <w:t>the assumed extent of substitution for sorafenib and lenvatinib</w:t>
      </w:r>
      <w:r w:rsidR="00E63DF4">
        <w:rPr>
          <w:color w:val="000000" w:themeColor="text1"/>
        </w:rPr>
        <w:t xml:space="preserve">. </w:t>
      </w:r>
    </w:p>
    <w:p w:rsidR="00F8311A" w:rsidRPr="00E63DF4" w:rsidRDefault="00F8311A" w:rsidP="00AD5D1F">
      <w:pPr>
        <w:pStyle w:val="3-BodyText"/>
      </w:pPr>
      <w:r w:rsidRPr="00E63DF4">
        <w:rPr>
          <w:bCs/>
        </w:rPr>
        <w:t xml:space="preserve">The PBAC considered there may be </w:t>
      </w:r>
      <w:r w:rsidR="002644BD">
        <w:rPr>
          <w:bCs/>
        </w:rPr>
        <w:t xml:space="preserve">risk of </w:t>
      </w:r>
      <w:r w:rsidRPr="00E63DF4">
        <w:rPr>
          <w:bCs/>
        </w:rPr>
        <w:t xml:space="preserve">use outside the Atezo+Bev restriction after progression </w:t>
      </w:r>
      <w:r w:rsidR="00C537C1" w:rsidRPr="00E63DF4">
        <w:rPr>
          <w:bCs/>
        </w:rPr>
        <w:t>on</w:t>
      </w:r>
      <w:r w:rsidRPr="00E63DF4">
        <w:rPr>
          <w:bCs/>
        </w:rPr>
        <w:t xml:space="preserve"> (not intolerance to) sorafenib and lenvatinib.</w:t>
      </w:r>
    </w:p>
    <w:p w:rsidR="00277251" w:rsidRPr="00E63DF4" w:rsidRDefault="00277251" w:rsidP="00F14B46">
      <w:pPr>
        <w:pStyle w:val="3-BodyText"/>
      </w:pPr>
      <w:r w:rsidRPr="00E63DF4">
        <w:rPr>
          <w:iCs/>
          <w:lang w:eastAsia="en-GB"/>
        </w:rPr>
        <w:t xml:space="preserve">The effective price of bevacizumab reflects the </w:t>
      </w:r>
      <w:r w:rsidR="008A0CD0">
        <w:rPr>
          <w:iCs/>
          <w:noProof/>
          <w:color w:val="000000"/>
          <w:highlight w:val="black"/>
          <w:lang w:eastAsia="en-GB"/>
        </w:rPr>
        <w:t>''''''''''''</w:t>
      </w:r>
      <w:r w:rsidRPr="00E63DF4">
        <w:rPr>
          <w:iCs/>
          <w:lang w:eastAsia="en-GB"/>
        </w:rPr>
        <w:t xml:space="preserve"> rebate proposed in the SPA (which does not apply to the mark-ups and dispensing fees that would be associated with dispensing of bevacizumab). </w:t>
      </w:r>
    </w:p>
    <w:p w:rsidR="00F157FF" w:rsidRPr="00E63DF4" w:rsidRDefault="00B74F0D" w:rsidP="00A13175">
      <w:pPr>
        <w:pStyle w:val="3-BodyText"/>
        <w:rPr>
          <w:i/>
        </w:rPr>
      </w:pPr>
      <w:r w:rsidRPr="00E63DF4">
        <w:t xml:space="preserve">The </w:t>
      </w:r>
      <w:r w:rsidR="00AD75CD" w:rsidRPr="00E63DF4">
        <w:t>financial</w:t>
      </w:r>
      <w:r w:rsidRPr="00E63DF4">
        <w:t xml:space="preserve"> estimates for the use of </w:t>
      </w:r>
      <w:r w:rsidR="00AD75CD" w:rsidRPr="00E63DF4">
        <w:t>Atezo+Bev</w:t>
      </w:r>
      <w:r w:rsidRPr="00E63DF4">
        <w:t xml:space="preserve"> </w:t>
      </w:r>
      <w:r w:rsidR="00F157FF" w:rsidRPr="00E63DF4">
        <w:t xml:space="preserve">are presented in Table </w:t>
      </w:r>
      <w:r w:rsidR="003841BC" w:rsidRPr="00E63DF4">
        <w:t>18</w:t>
      </w:r>
      <w:r w:rsidR="00F157FF" w:rsidRPr="00E63DF4">
        <w:t>.</w:t>
      </w:r>
    </w:p>
    <w:p w:rsidR="005B33E9" w:rsidRPr="002F713F" w:rsidRDefault="005B33E9" w:rsidP="005B33E9">
      <w:pPr>
        <w:pStyle w:val="TableFigureHeading"/>
      </w:pPr>
      <w:bookmarkStart w:id="32" w:name="_Hlk39779397"/>
      <w:r w:rsidRPr="002F713F">
        <w:rPr>
          <w:rStyle w:val="CommentReference"/>
          <w:b/>
          <w:szCs w:val="24"/>
        </w:rPr>
        <w:t xml:space="preserve">Table </w:t>
      </w:r>
      <w:r w:rsidR="007C12AF" w:rsidRPr="002F713F">
        <w:rPr>
          <w:rStyle w:val="CommentReference"/>
          <w:b/>
          <w:szCs w:val="24"/>
        </w:rPr>
        <w:t>18</w:t>
      </w:r>
      <w:r w:rsidRPr="002F713F">
        <w:rPr>
          <w:rStyle w:val="CommentReference"/>
          <w:b/>
          <w:szCs w:val="24"/>
        </w:rPr>
        <w:t>: Estimated use and financial implications (effective price</w:t>
      </w:r>
      <w:r w:rsidR="0088047E" w:rsidRPr="002F713F">
        <w:rPr>
          <w:rStyle w:val="CommentReference"/>
          <w:b/>
          <w:szCs w:val="24"/>
        </w:rPr>
        <w:t xml:space="preserve"> for Atezo+Bev; published price for sorafenib and lenvatinib</w:t>
      </w:r>
      <w:r w:rsidRPr="002F713F">
        <w:rPr>
          <w:rStyle w:val="CommentReference"/>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7"/>
        <w:gridCol w:w="1170"/>
        <w:gridCol w:w="1170"/>
        <w:gridCol w:w="1170"/>
        <w:gridCol w:w="1170"/>
        <w:gridCol w:w="1170"/>
        <w:gridCol w:w="1173"/>
      </w:tblGrid>
      <w:tr w:rsidR="005B33E9" w:rsidRPr="002F713F" w:rsidTr="004C57A4">
        <w:trPr>
          <w:tblHeader/>
        </w:trPr>
        <w:tc>
          <w:tcPr>
            <w:tcW w:w="1116" w:type="pct"/>
            <w:shd w:val="clear" w:color="auto" w:fill="auto"/>
            <w:vAlign w:val="center"/>
          </w:tcPr>
          <w:p w:rsidR="005B33E9" w:rsidRPr="002F713F" w:rsidRDefault="005B33E9" w:rsidP="00DD707C">
            <w:pPr>
              <w:pStyle w:val="In-tableHeading"/>
              <w:jc w:val="center"/>
              <w:rPr>
                <w:szCs w:val="20"/>
                <w:lang w:val="en-AU"/>
              </w:rPr>
            </w:pPr>
          </w:p>
        </w:tc>
        <w:tc>
          <w:tcPr>
            <w:tcW w:w="647" w:type="pct"/>
            <w:shd w:val="clear" w:color="auto" w:fill="auto"/>
            <w:vAlign w:val="center"/>
          </w:tcPr>
          <w:p w:rsidR="005B33E9" w:rsidRPr="002F713F" w:rsidRDefault="005B33E9" w:rsidP="00DD707C">
            <w:pPr>
              <w:pStyle w:val="In-tableHeading"/>
              <w:jc w:val="center"/>
              <w:rPr>
                <w:szCs w:val="20"/>
                <w:lang w:val="en-AU"/>
              </w:rPr>
            </w:pPr>
            <w:r w:rsidRPr="002F713F">
              <w:rPr>
                <w:szCs w:val="20"/>
                <w:lang w:val="en-AU"/>
              </w:rPr>
              <w:t>Year 1</w:t>
            </w:r>
          </w:p>
        </w:tc>
        <w:tc>
          <w:tcPr>
            <w:tcW w:w="647" w:type="pct"/>
            <w:shd w:val="clear" w:color="auto" w:fill="auto"/>
            <w:vAlign w:val="center"/>
          </w:tcPr>
          <w:p w:rsidR="005B33E9" w:rsidRPr="002F713F" w:rsidRDefault="005B33E9" w:rsidP="00DD707C">
            <w:pPr>
              <w:pStyle w:val="In-tableHeading"/>
              <w:jc w:val="center"/>
              <w:rPr>
                <w:szCs w:val="20"/>
                <w:lang w:val="en-AU"/>
              </w:rPr>
            </w:pPr>
            <w:r w:rsidRPr="002F713F">
              <w:rPr>
                <w:szCs w:val="20"/>
                <w:lang w:val="en-AU"/>
              </w:rPr>
              <w:t>Year 2</w:t>
            </w:r>
          </w:p>
        </w:tc>
        <w:tc>
          <w:tcPr>
            <w:tcW w:w="647" w:type="pct"/>
            <w:shd w:val="clear" w:color="auto" w:fill="auto"/>
            <w:vAlign w:val="center"/>
          </w:tcPr>
          <w:p w:rsidR="005B33E9" w:rsidRPr="002F713F" w:rsidRDefault="005B33E9" w:rsidP="00DD707C">
            <w:pPr>
              <w:pStyle w:val="In-tableHeading"/>
              <w:jc w:val="center"/>
              <w:rPr>
                <w:szCs w:val="20"/>
                <w:lang w:val="en-AU"/>
              </w:rPr>
            </w:pPr>
            <w:r w:rsidRPr="002F713F">
              <w:rPr>
                <w:szCs w:val="20"/>
                <w:lang w:val="en-AU"/>
              </w:rPr>
              <w:t>Year 3</w:t>
            </w:r>
          </w:p>
        </w:tc>
        <w:tc>
          <w:tcPr>
            <w:tcW w:w="647" w:type="pct"/>
            <w:shd w:val="clear" w:color="auto" w:fill="auto"/>
            <w:vAlign w:val="center"/>
          </w:tcPr>
          <w:p w:rsidR="005B33E9" w:rsidRPr="002F713F" w:rsidRDefault="005B33E9" w:rsidP="00DD707C">
            <w:pPr>
              <w:pStyle w:val="In-tableHeading"/>
              <w:jc w:val="center"/>
              <w:rPr>
                <w:szCs w:val="20"/>
                <w:lang w:val="en-AU"/>
              </w:rPr>
            </w:pPr>
            <w:r w:rsidRPr="002F713F">
              <w:rPr>
                <w:szCs w:val="20"/>
                <w:lang w:val="en-AU"/>
              </w:rPr>
              <w:t>Year 4</w:t>
            </w:r>
          </w:p>
        </w:tc>
        <w:tc>
          <w:tcPr>
            <w:tcW w:w="647" w:type="pct"/>
            <w:shd w:val="clear" w:color="auto" w:fill="auto"/>
            <w:vAlign w:val="center"/>
          </w:tcPr>
          <w:p w:rsidR="005B33E9" w:rsidRPr="002F713F" w:rsidRDefault="005B33E9" w:rsidP="00DD707C">
            <w:pPr>
              <w:pStyle w:val="In-tableHeading"/>
              <w:jc w:val="center"/>
              <w:rPr>
                <w:szCs w:val="20"/>
                <w:lang w:val="en-AU"/>
              </w:rPr>
            </w:pPr>
            <w:r w:rsidRPr="002F713F">
              <w:rPr>
                <w:szCs w:val="20"/>
                <w:lang w:val="en-AU"/>
              </w:rPr>
              <w:t>Year 5</w:t>
            </w:r>
          </w:p>
        </w:tc>
        <w:tc>
          <w:tcPr>
            <w:tcW w:w="649" w:type="pct"/>
          </w:tcPr>
          <w:p w:rsidR="005B33E9" w:rsidRPr="002F713F" w:rsidRDefault="005B33E9" w:rsidP="00DD707C">
            <w:pPr>
              <w:pStyle w:val="In-tableHeading"/>
              <w:jc w:val="center"/>
              <w:rPr>
                <w:szCs w:val="20"/>
                <w:lang w:val="en-AU"/>
              </w:rPr>
            </w:pPr>
            <w:r w:rsidRPr="002F713F">
              <w:rPr>
                <w:szCs w:val="20"/>
                <w:lang w:val="en-AU"/>
              </w:rPr>
              <w:t>Year 6</w:t>
            </w:r>
          </w:p>
        </w:tc>
      </w:tr>
      <w:tr w:rsidR="005B33E9" w:rsidRPr="002F713F" w:rsidTr="004C57A4">
        <w:tc>
          <w:tcPr>
            <w:tcW w:w="5000" w:type="pct"/>
            <w:gridSpan w:val="7"/>
            <w:shd w:val="clear" w:color="auto" w:fill="auto"/>
            <w:vAlign w:val="center"/>
          </w:tcPr>
          <w:p w:rsidR="005B33E9" w:rsidRPr="002F713F" w:rsidRDefault="005B33E9" w:rsidP="00DD707C">
            <w:pPr>
              <w:pStyle w:val="In-tableHeading"/>
              <w:rPr>
                <w:bCs/>
                <w:color w:val="000000"/>
                <w:szCs w:val="20"/>
                <w:lang w:val="en-AU"/>
              </w:rPr>
            </w:pPr>
            <w:r w:rsidRPr="002F713F">
              <w:rPr>
                <w:bCs/>
                <w:color w:val="000000"/>
                <w:szCs w:val="20"/>
                <w:lang w:val="en-AU"/>
              </w:rPr>
              <w:t>Estimated extent of use</w:t>
            </w:r>
          </w:p>
        </w:tc>
      </w:tr>
      <w:tr w:rsidR="005B33E9" w:rsidRPr="002F713F" w:rsidTr="004C57A4">
        <w:tc>
          <w:tcPr>
            <w:tcW w:w="1116" w:type="pct"/>
            <w:shd w:val="clear" w:color="auto" w:fill="auto"/>
            <w:vAlign w:val="center"/>
          </w:tcPr>
          <w:p w:rsidR="005B33E9" w:rsidRPr="002F713F" w:rsidRDefault="005B33E9" w:rsidP="00DD707C">
            <w:pPr>
              <w:pStyle w:val="TableText0"/>
              <w:rPr>
                <w:szCs w:val="20"/>
              </w:rPr>
            </w:pPr>
            <w:r w:rsidRPr="002F713F">
              <w:rPr>
                <w:szCs w:val="20"/>
              </w:rPr>
              <w:t>Number of patients treated</w:t>
            </w:r>
          </w:p>
        </w:tc>
        <w:tc>
          <w:tcPr>
            <w:tcW w:w="647" w:type="pct"/>
            <w:tcBorders>
              <w:top w:val="single" w:sz="4" w:space="0" w:color="auto"/>
              <w:left w:val="single" w:sz="4" w:space="0" w:color="auto"/>
              <w:bottom w:val="single" w:sz="4" w:space="0" w:color="auto"/>
              <w:right w:val="single" w:sz="4" w:space="0" w:color="auto"/>
            </w:tcBorders>
            <w:vAlign w:val="center"/>
          </w:tcPr>
          <w:p w:rsidR="005B33E9" w:rsidRPr="008A0CD0" w:rsidRDefault="008A0CD0" w:rsidP="00DD707C">
            <w:pPr>
              <w:pStyle w:val="TableText0"/>
              <w:jc w:val="center"/>
              <w:rPr>
                <w:szCs w:val="20"/>
                <w:highlight w:val="black"/>
              </w:rPr>
            </w:pPr>
            <w:r>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tcPr>
          <w:p w:rsidR="005B33E9" w:rsidRPr="008A0CD0" w:rsidRDefault="008A0CD0" w:rsidP="00DD707C">
            <w:pPr>
              <w:pStyle w:val="TableText0"/>
              <w:jc w:val="center"/>
              <w:rPr>
                <w:szCs w:val="20"/>
                <w:highlight w:val="black"/>
              </w:rPr>
            </w:pPr>
            <w:r>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tcPr>
          <w:p w:rsidR="005B33E9" w:rsidRPr="008A0CD0" w:rsidRDefault="008A0CD0" w:rsidP="00DD707C">
            <w:pPr>
              <w:pStyle w:val="TableText0"/>
              <w:jc w:val="center"/>
              <w:rPr>
                <w:szCs w:val="20"/>
                <w:highlight w:val="black"/>
              </w:rPr>
            </w:pPr>
            <w:r>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tcPr>
          <w:p w:rsidR="005B33E9" w:rsidRPr="008A0CD0" w:rsidRDefault="008A0CD0" w:rsidP="00DD707C">
            <w:pPr>
              <w:pStyle w:val="TableText0"/>
              <w:jc w:val="center"/>
              <w:rPr>
                <w:szCs w:val="20"/>
                <w:highlight w:val="black"/>
              </w:rPr>
            </w:pPr>
            <w:r>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tcPr>
          <w:p w:rsidR="005B33E9" w:rsidRPr="008A0CD0" w:rsidRDefault="008A0CD0" w:rsidP="00DD707C">
            <w:pPr>
              <w:pStyle w:val="TableText0"/>
              <w:jc w:val="center"/>
              <w:rPr>
                <w:szCs w:val="20"/>
                <w:highlight w:val="black"/>
              </w:rPr>
            </w:pPr>
            <w:r>
              <w:rPr>
                <w:noProof/>
                <w:color w:val="000000"/>
                <w:szCs w:val="20"/>
                <w:highlight w:val="black"/>
              </w:rPr>
              <w:t>'''''''''</w:t>
            </w:r>
          </w:p>
        </w:tc>
        <w:tc>
          <w:tcPr>
            <w:tcW w:w="649" w:type="pct"/>
            <w:tcBorders>
              <w:top w:val="single" w:sz="4" w:space="0" w:color="auto"/>
              <w:left w:val="single" w:sz="4" w:space="0" w:color="auto"/>
              <w:bottom w:val="single" w:sz="4" w:space="0" w:color="auto"/>
              <w:right w:val="single" w:sz="4" w:space="0" w:color="auto"/>
            </w:tcBorders>
            <w:vAlign w:val="center"/>
          </w:tcPr>
          <w:p w:rsidR="005B33E9" w:rsidRPr="008A0CD0" w:rsidRDefault="008A0CD0" w:rsidP="00DD707C">
            <w:pPr>
              <w:pStyle w:val="TableText0"/>
              <w:jc w:val="center"/>
              <w:rPr>
                <w:szCs w:val="20"/>
                <w:highlight w:val="black"/>
              </w:rPr>
            </w:pPr>
            <w:r>
              <w:rPr>
                <w:noProof/>
                <w:color w:val="000000"/>
                <w:szCs w:val="20"/>
                <w:highlight w:val="black"/>
              </w:rPr>
              <w:t>''''''''''</w:t>
            </w:r>
          </w:p>
        </w:tc>
      </w:tr>
      <w:tr w:rsidR="007C12AF" w:rsidRPr="002F713F" w:rsidTr="004C57A4">
        <w:tc>
          <w:tcPr>
            <w:tcW w:w="1116" w:type="pct"/>
            <w:shd w:val="clear" w:color="auto" w:fill="auto"/>
            <w:vAlign w:val="center"/>
          </w:tcPr>
          <w:p w:rsidR="007C12AF" w:rsidRPr="002F713F" w:rsidRDefault="007C12AF" w:rsidP="00DD707C">
            <w:pPr>
              <w:pStyle w:val="TableText0"/>
              <w:rPr>
                <w:szCs w:val="20"/>
              </w:rPr>
            </w:pPr>
            <w:r w:rsidRPr="002F713F">
              <w:rPr>
                <w:szCs w:val="20"/>
              </w:rPr>
              <w:t>Grandfathered patients</w:t>
            </w:r>
          </w:p>
        </w:tc>
        <w:tc>
          <w:tcPr>
            <w:tcW w:w="647" w:type="pct"/>
            <w:tcBorders>
              <w:top w:val="single" w:sz="4" w:space="0" w:color="auto"/>
              <w:left w:val="single" w:sz="4" w:space="0" w:color="auto"/>
              <w:bottom w:val="single" w:sz="4" w:space="0" w:color="auto"/>
              <w:right w:val="single" w:sz="4" w:space="0" w:color="auto"/>
            </w:tcBorders>
            <w:vAlign w:val="center"/>
          </w:tcPr>
          <w:p w:rsidR="007C12AF" w:rsidRPr="008A0CD0" w:rsidRDefault="008A0CD0" w:rsidP="00DD707C">
            <w:pPr>
              <w:pStyle w:val="TableText0"/>
              <w:jc w:val="center"/>
              <w:rPr>
                <w:szCs w:val="20"/>
                <w:highlight w:val="black"/>
              </w:rPr>
            </w:pPr>
            <w:r>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tcPr>
          <w:p w:rsidR="007C12AF" w:rsidRPr="006957B3" w:rsidRDefault="007C12AF" w:rsidP="00DD707C">
            <w:pPr>
              <w:pStyle w:val="TableText0"/>
              <w:jc w:val="center"/>
              <w:rPr>
                <w:szCs w:val="20"/>
              </w:rPr>
            </w:pPr>
          </w:p>
        </w:tc>
        <w:tc>
          <w:tcPr>
            <w:tcW w:w="647" w:type="pct"/>
            <w:tcBorders>
              <w:top w:val="single" w:sz="4" w:space="0" w:color="auto"/>
              <w:left w:val="single" w:sz="4" w:space="0" w:color="auto"/>
              <w:bottom w:val="single" w:sz="4" w:space="0" w:color="auto"/>
              <w:right w:val="single" w:sz="4" w:space="0" w:color="auto"/>
            </w:tcBorders>
            <w:vAlign w:val="center"/>
          </w:tcPr>
          <w:p w:rsidR="007C12AF" w:rsidRPr="006957B3" w:rsidRDefault="007C12AF" w:rsidP="00DD707C">
            <w:pPr>
              <w:pStyle w:val="TableText0"/>
              <w:jc w:val="center"/>
              <w:rPr>
                <w:szCs w:val="20"/>
              </w:rPr>
            </w:pPr>
          </w:p>
        </w:tc>
        <w:tc>
          <w:tcPr>
            <w:tcW w:w="647" w:type="pct"/>
            <w:tcBorders>
              <w:top w:val="single" w:sz="4" w:space="0" w:color="auto"/>
              <w:left w:val="single" w:sz="4" w:space="0" w:color="auto"/>
              <w:bottom w:val="single" w:sz="4" w:space="0" w:color="auto"/>
              <w:right w:val="single" w:sz="4" w:space="0" w:color="auto"/>
            </w:tcBorders>
            <w:vAlign w:val="center"/>
          </w:tcPr>
          <w:p w:rsidR="007C12AF" w:rsidRPr="006957B3" w:rsidRDefault="007C12AF" w:rsidP="00DD707C">
            <w:pPr>
              <w:pStyle w:val="TableText0"/>
              <w:jc w:val="center"/>
              <w:rPr>
                <w:szCs w:val="20"/>
              </w:rPr>
            </w:pPr>
          </w:p>
        </w:tc>
        <w:tc>
          <w:tcPr>
            <w:tcW w:w="647" w:type="pct"/>
            <w:tcBorders>
              <w:top w:val="single" w:sz="4" w:space="0" w:color="auto"/>
              <w:left w:val="single" w:sz="4" w:space="0" w:color="auto"/>
              <w:bottom w:val="single" w:sz="4" w:space="0" w:color="auto"/>
              <w:right w:val="single" w:sz="4" w:space="0" w:color="auto"/>
            </w:tcBorders>
            <w:vAlign w:val="center"/>
          </w:tcPr>
          <w:p w:rsidR="007C12AF" w:rsidRPr="006957B3" w:rsidRDefault="007C12AF" w:rsidP="00DD707C">
            <w:pPr>
              <w:pStyle w:val="TableText0"/>
              <w:jc w:val="center"/>
              <w:rPr>
                <w:szCs w:val="20"/>
              </w:rPr>
            </w:pPr>
          </w:p>
        </w:tc>
        <w:tc>
          <w:tcPr>
            <w:tcW w:w="649" w:type="pct"/>
            <w:tcBorders>
              <w:top w:val="single" w:sz="4" w:space="0" w:color="auto"/>
              <w:left w:val="single" w:sz="4" w:space="0" w:color="auto"/>
              <w:bottom w:val="single" w:sz="4" w:space="0" w:color="auto"/>
              <w:right w:val="single" w:sz="4" w:space="0" w:color="auto"/>
            </w:tcBorders>
            <w:vAlign w:val="center"/>
          </w:tcPr>
          <w:p w:rsidR="007C12AF" w:rsidRPr="006957B3" w:rsidRDefault="007C12AF" w:rsidP="00DD707C">
            <w:pPr>
              <w:pStyle w:val="TableText0"/>
              <w:jc w:val="center"/>
              <w:rPr>
                <w:szCs w:val="20"/>
              </w:rPr>
            </w:pPr>
          </w:p>
        </w:tc>
      </w:tr>
      <w:tr w:rsidR="005B33E9" w:rsidRPr="002F713F" w:rsidTr="004C57A4">
        <w:tc>
          <w:tcPr>
            <w:tcW w:w="1116" w:type="pct"/>
            <w:shd w:val="clear" w:color="auto" w:fill="auto"/>
            <w:vAlign w:val="center"/>
          </w:tcPr>
          <w:p w:rsidR="005B33E9" w:rsidRPr="002F713F" w:rsidRDefault="005B33E9" w:rsidP="00DD707C">
            <w:pPr>
              <w:pStyle w:val="TableText0"/>
              <w:rPr>
                <w:szCs w:val="20"/>
              </w:rPr>
            </w:pPr>
            <w:r w:rsidRPr="002F713F">
              <w:rPr>
                <w:szCs w:val="20"/>
              </w:rPr>
              <w:t>Number of scripts dispensed</w:t>
            </w:r>
            <w:r w:rsidRPr="002F713F">
              <w:rPr>
                <w:szCs w:val="20"/>
                <w:vertAlign w:val="superscript"/>
              </w:rPr>
              <w:t>a</w:t>
            </w:r>
          </w:p>
        </w:tc>
        <w:tc>
          <w:tcPr>
            <w:tcW w:w="647" w:type="pct"/>
            <w:tcBorders>
              <w:top w:val="single" w:sz="4" w:space="0" w:color="auto"/>
              <w:left w:val="single" w:sz="4" w:space="0" w:color="auto"/>
              <w:bottom w:val="single" w:sz="4" w:space="0" w:color="auto"/>
              <w:right w:val="single" w:sz="4" w:space="0" w:color="auto"/>
            </w:tcBorders>
            <w:vAlign w:val="center"/>
          </w:tcPr>
          <w:p w:rsidR="005B33E9" w:rsidRPr="008A0CD0" w:rsidRDefault="008A0CD0" w:rsidP="00DD707C">
            <w:pPr>
              <w:pStyle w:val="TableText0"/>
              <w:jc w:val="center"/>
              <w:rPr>
                <w:szCs w:val="20"/>
                <w:highlight w:val="black"/>
              </w:rPr>
            </w:pPr>
            <w:r>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tcPr>
          <w:p w:rsidR="005B33E9" w:rsidRPr="008A0CD0" w:rsidRDefault="008A0CD0" w:rsidP="00DD707C">
            <w:pPr>
              <w:pStyle w:val="TableText0"/>
              <w:jc w:val="center"/>
              <w:rPr>
                <w:szCs w:val="20"/>
                <w:highlight w:val="black"/>
              </w:rPr>
            </w:pPr>
            <w:r>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tcPr>
          <w:p w:rsidR="005B33E9" w:rsidRPr="008A0CD0" w:rsidRDefault="008A0CD0" w:rsidP="00DD707C">
            <w:pPr>
              <w:pStyle w:val="TableText0"/>
              <w:jc w:val="center"/>
              <w:rPr>
                <w:szCs w:val="20"/>
                <w:highlight w:val="black"/>
              </w:rPr>
            </w:pPr>
            <w:r>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tcPr>
          <w:p w:rsidR="005B33E9" w:rsidRPr="008A0CD0" w:rsidRDefault="008A0CD0" w:rsidP="00DD707C">
            <w:pPr>
              <w:pStyle w:val="TableText0"/>
              <w:jc w:val="center"/>
              <w:rPr>
                <w:szCs w:val="20"/>
                <w:highlight w:val="black"/>
              </w:rPr>
            </w:pPr>
            <w:r>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tcPr>
          <w:p w:rsidR="005B33E9" w:rsidRPr="008A0CD0" w:rsidRDefault="008A0CD0" w:rsidP="00DD707C">
            <w:pPr>
              <w:pStyle w:val="TableText0"/>
              <w:jc w:val="center"/>
              <w:rPr>
                <w:szCs w:val="20"/>
                <w:highlight w:val="black"/>
              </w:rPr>
            </w:pPr>
            <w:r>
              <w:rPr>
                <w:noProof/>
                <w:color w:val="000000"/>
                <w:szCs w:val="20"/>
                <w:highlight w:val="black"/>
              </w:rPr>
              <w:t>'''''''''''''''</w:t>
            </w:r>
          </w:p>
        </w:tc>
        <w:tc>
          <w:tcPr>
            <w:tcW w:w="649" w:type="pct"/>
            <w:tcBorders>
              <w:top w:val="single" w:sz="4" w:space="0" w:color="auto"/>
              <w:left w:val="single" w:sz="4" w:space="0" w:color="auto"/>
              <w:bottom w:val="single" w:sz="4" w:space="0" w:color="auto"/>
              <w:right w:val="single" w:sz="4" w:space="0" w:color="auto"/>
            </w:tcBorders>
            <w:vAlign w:val="center"/>
          </w:tcPr>
          <w:p w:rsidR="005B33E9" w:rsidRPr="008A0CD0" w:rsidRDefault="008A0CD0" w:rsidP="00DD707C">
            <w:pPr>
              <w:pStyle w:val="TableText0"/>
              <w:jc w:val="center"/>
              <w:rPr>
                <w:szCs w:val="20"/>
                <w:highlight w:val="black"/>
              </w:rPr>
            </w:pPr>
            <w:r>
              <w:rPr>
                <w:noProof/>
                <w:color w:val="000000"/>
                <w:szCs w:val="20"/>
                <w:highlight w:val="black"/>
              </w:rPr>
              <w:t>''''''''''''''''</w:t>
            </w:r>
          </w:p>
        </w:tc>
      </w:tr>
      <w:tr w:rsidR="005B33E9" w:rsidRPr="002F713F" w:rsidTr="004C57A4">
        <w:tc>
          <w:tcPr>
            <w:tcW w:w="5000" w:type="pct"/>
            <w:gridSpan w:val="7"/>
            <w:shd w:val="clear" w:color="auto" w:fill="auto"/>
            <w:vAlign w:val="center"/>
          </w:tcPr>
          <w:p w:rsidR="005B33E9" w:rsidRPr="006957B3" w:rsidRDefault="005B33E9" w:rsidP="00DD707C">
            <w:pPr>
              <w:pStyle w:val="In-tableHeading"/>
              <w:rPr>
                <w:szCs w:val="20"/>
                <w:lang w:val="en-AU"/>
              </w:rPr>
            </w:pPr>
            <w:r w:rsidRPr="006957B3">
              <w:rPr>
                <w:szCs w:val="20"/>
                <w:lang w:val="en-AU"/>
              </w:rPr>
              <w:t>Estimated financial implications of Atezo+Bev</w:t>
            </w:r>
          </w:p>
        </w:tc>
      </w:tr>
      <w:tr w:rsidR="002F713F" w:rsidRPr="002F713F" w:rsidTr="004C57A4">
        <w:tc>
          <w:tcPr>
            <w:tcW w:w="1116" w:type="pct"/>
            <w:shd w:val="clear" w:color="auto" w:fill="auto"/>
            <w:vAlign w:val="center"/>
          </w:tcPr>
          <w:p w:rsidR="002F713F" w:rsidRPr="002F713F" w:rsidRDefault="002F713F" w:rsidP="002F713F">
            <w:pPr>
              <w:pStyle w:val="TableText0"/>
              <w:rPr>
                <w:szCs w:val="20"/>
              </w:rPr>
            </w:pPr>
            <w:r w:rsidRPr="002F713F">
              <w:rPr>
                <w:szCs w:val="20"/>
              </w:rPr>
              <w:t>Atezo</w:t>
            </w:r>
          </w:p>
        </w:tc>
        <w:tc>
          <w:tcPr>
            <w:tcW w:w="647" w:type="pct"/>
            <w:tcBorders>
              <w:top w:val="nil"/>
              <w:left w:val="nil"/>
              <w:bottom w:val="single" w:sz="4" w:space="0" w:color="auto"/>
              <w:right w:val="single" w:sz="4" w:space="0" w:color="auto"/>
            </w:tcBorders>
            <w:shd w:val="clear" w:color="000000" w:fill="FFFFFF"/>
            <w:vAlign w:val="center"/>
          </w:tcPr>
          <w:p w:rsidR="002F713F" w:rsidRPr="006957B3" w:rsidRDefault="002F713F" w:rsidP="002F713F">
            <w:pPr>
              <w:pStyle w:val="TableText0"/>
              <w:jc w:val="center"/>
              <w:rPr>
                <w:iCs/>
                <w:szCs w:val="20"/>
              </w:rPr>
            </w:pPr>
            <w:r w:rsidRPr="006957B3">
              <w:rPr>
                <w:iCs/>
                <w:szCs w:val="20"/>
              </w:rPr>
              <w:t>$</w:t>
            </w:r>
            <w:r w:rsidR="008A0CD0">
              <w:rPr>
                <w:iCs/>
                <w:noProof/>
                <w:color w:val="000000"/>
                <w:szCs w:val="20"/>
                <w:highlight w:val="black"/>
              </w:rPr>
              <w:t>''''''''''''''''''''''''</w:t>
            </w:r>
            <w:r w:rsidRPr="006957B3">
              <w:rPr>
                <w:iCs/>
                <w:szCs w:val="20"/>
              </w:rPr>
              <w:t xml:space="preserve"> </w:t>
            </w:r>
          </w:p>
        </w:tc>
        <w:tc>
          <w:tcPr>
            <w:tcW w:w="647" w:type="pct"/>
            <w:tcBorders>
              <w:top w:val="nil"/>
              <w:left w:val="single" w:sz="4" w:space="0" w:color="auto"/>
              <w:bottom w:val="single" w:sz="4" w:space="0" w:color="auto"/>
              <w:right w:val="single" w:sz="4" w:space="0" w:color="auto"/>
            </w:tcBorders>
            <w:shd w:val="clear" w:color="000000" w:fill="FFFFFF"/>
            <w:vAlign w:val="center"/>
          </w:tcPr>
          <w:p w:rsidR="002F713F" w:rsidRPr="006957B3" w:rsidRDefault="002F713F" w:rsidP="002F713F">
            <w:pPr>
              <w:pStyle w:val="TableText0"/>
              <w:jc w:val="center"/>
              <w:rPr>
                <w:iCs/>
                <w:szCs w:val="20"/>
              </w:rPr>
            </w:pPr>
            <w:r w:rsidRPr="006957B3">
              <w:rPr>
                <w:iCs/>
                <w:szCs w:val="20"/>
              </w:rPr>
              <w:t>$</w:t>
            </w:r>
            <w:r w:rsidR="008A0CD0">
              <w:rPr>
                <w:iCs/>
                <w:noProof/>
                <w:color w:val="000000"/>
                <w:szCs w:val="20"/>
                <w:highlight w:val="black"/>
              </w:rPr>
              <w:t>'''''''''''''''''''''''''</w:t>
            </w:r>
          </w:p>
        </w:tc>
        <w:tc>
          <w:tcPr>
            <w:tcW w:w="647" w:type="pct"/>
            <w:tcBorders>
              <w:top w:val="nil"/>
              <w:left w:val="single" w:sz="4" w:space="0" w:color="auto"/>
              <w:bottom w:val="single" w:sz="4" w:space="0" w:color="auto"/>
              <w:right w:val="single" w:sz="4" w:space="0" w:color="auto"/>
            </w:tcBorders>
            <w:shd w:val="clear" w:color="000000" w:fill="FFFFFF"/>
            <w:vAlign w:val="center"/>
          </w:tcPr>
          <w:p w:rsidR="002F713F" w:rsidRPr="006957B3" w:rsidRDefault="002F713F" w:rsidP="002F713F">
            <w:pPr>
              <w:pStyle w:val="TableText0"/>
              <w:jc w:val="center"/>
              <w:rPr>
                <w:iCs/>
                <w:szCs w:val="20"/>
              </w:rPr>
            </w:pPr>
            <w:r w:rsidRPr="006957B3">
              <w:rPr>
                <w:iCs/>
                <w:szCs w:val="20"/>
              </w:rPr>
              <w:t>$</w:t>
            </w:r>
            <w:r w:rsidR="008A0CD0">
              <w:rPr>
                <w:iCs/>
                <w:noProof/>
                <w:color w:val="000000"/>
                <w:szCs w:val="20"/>
                <w:highlight w:val="black"/>
              </w:rPr>
              <w:t>''''''''''''''''''''''''''''</w:t>
            </w:r>
          </w:p>
        </w:tc>
        <w:tc>
          <w:tcPr>
            <w:tcW w:w="647" w:type="pct"/>
            <w:tcBorders>
              <w:top w:val="nil"/>
              <w:left w:val="single" w:sz="4" w:space="0" w:color="auto"/>
              <w:bottom w:val="single" w:sz="4" w:space="0" w:color="auto"/>
              <w:right w:val="single" w:sz="4" w:space="0" w:color="auto"/>
            </w:tcBorders>
            <w:shd w:val="clear" w:color="000000" w:fill="FFFFFF"/>
            <w:vAlign w:val="center"/>
          </w:tcPr>
          <w:p w:rsidR="002F713F" w:rsidRPr="006957B3" w:rsidRDefault="002F713F" w:rsidP="002F713F">
            <w:pPr>
              <w:pStyle w:val="TableText0"/>
              <w:jc w:val="center"/>
              <w:rPr>
                <w:iCs/>
                <w:szCs w:val="20"/>
              </w:rPr>
            </w:pPr>
            <w:r w:rsidRPr="006957B3">
              <w:rPr>
                <w:iCs/>
                <w:szCs w:val="20"/>
              </w:rPr>
              <w:t>$</w:t>
            </w:r>
            <w:r w:rsidR="008A0CD0">
              <w:rPr>
                <w:iCs/>
                <w:noProof/>
                <w:color w:val="000000"/>
                <w:szCs w:val="20"/>
                <w:highlight w:val="black"/>
              </w:rPr>
              <w:t>'''''''''''''''''''''''</w:t>
            </w:r>
          </w:p>
        </w:tc>
        <w:tc>
          <w:tcPr>
            <w:tcW w:w="647" w:type="pct"/>
            <w:tcBorders>
              <w:top w:val="nil"/>
              <w:left w:val="single" w:sz="4" w:space="0" w:color="auto"/>
              <w:bottom w:val="single" w:sz="4" w:space="0" w:color="auto"/>
              <w:right w:val="single" w:sz="4" w:space="0" w:color="auto"/>
            </w:tcBorders>
            <w:shd w:val="clear" w:color="000000" w:fill="FFFFFF"/>
            <w:vAlign w:val="center"/>
          </w:tcPr>
          <w:p w:rsidR="002F713F" w:rsidRPr="006957B3" w:rsidRDefault="002F713F" w:rsidP="002F713F">
            <w:pPr>
              <w:pStyle w:val="TableText0"/>
              <w:jc w:val="center"/>
              <w:rPr>
                <w:iCs/>
                <w:szCs w:val="20"/>
              </w:rPr>
            </w:pPr>
            <w:r w:rsidRPr="006957B3">
              <w:rPr>
                <w:iCs/>
                <w:szCs w:val="20"/>
              </w:rPr>
              <w:t>$</w:t>
            </w:r>
            <w:r w:rsidR="008A0CD0">
              <w:rPr>
                <w:iCs/>
                <w:noProof/>
                <w:color w:val="000000"/>
                <w:szCs w:val="20"/>
                <w:highlight w:val="black"/>
              </w:rPr>
              <w:t>''''''''''''''''''''''''''''</w:t>
            </w:r>
          </w:p>
        </w:tc>
        <w:tc>
          <w:tcPr>
            <w:tcW w:w="649" w:type="pct"/>
            <w:tcBorders>
              <w:top w:val="nil"/>
              <w:left w:val="single" w:sz="4" w:space="0" w:color="auto"/>
              <w:bottom w:val="single" w:sz="4" w:space="0" w:color="auto"/>
              <w:right w:val="single" w:sz="4" w:space="0" w:color="auto"/>
            </w:tcBorders>
            <w:shd w:val="clear" w:color="000000" w:fill="FFFFFF"/>
            <w:vAlign w:val="center"/>
          </w:tcPr>
          <w:p w:rsidR="002F713F" w:rsidRPr="006957B3" w:rsidRDefault="002F713F" w:rsidP="002F713F">
            <w:pPr>
              <w:pStyle w:val="TableText0"/>
              <w:jc w:val="center"/>
              <w:rPr>
                <w:iCs/>
                <w:szCs w:val="20"/>
              </w:rPr>
            </w:pPr>
            <w:r w:rsidRPr="006957B3">
              <w:rPr>
                <w:iCs/>
                <w:szCs w:val="20"/>
              </w:rPr>
              <w:t>$</w:t>
            </w:r>
            <w:r w:rsidR="008A0CD0">
              <w:rPr>
                <w:iCs/>
                <w:noProof/>
                <w:color w:val="000000"/>
                <w:szCs w:val="20"/>
                <w:highlight w:val="black"/>
              </w:rPr>
              <w:t>''''''''''''''''''''''''</w:t>
            </w:r>
          </w:p>
        </w:tc>
      </w:tr>
      <w:tr w:rsidR="002F713F" w:rsidRPr="002F713F" w:rsidTr="00440547">
        <w:tc>
          <w:tcPr>
            <w:tcW w:w="1116" w:type="pct"/>
            <w:shd w:val="clear" w:color="auto" w:fill="auto"/>
            <w:vAlign w:val="center"/>
          </w:tcPr>
          <w:p w:rsidR="002F713F" w:rsidRPr="002F713F" w:rsidRDefault="002F713F" w:rsidP="002F713F">
            <w:pPr>
              <w:pStyle w:val="TableText0"/>
              <w:rPr>
                <w:szCs w:val="20"/>
              </w:rPr>
            </w:pPr>
            <w:r w:rsidRPr="002F713F">
              <w:rPr>
                <w:szCs w:val="20"/>
              </w:rPr>
              <w:t>Bev</w:t>
            </w:r>
          </w:p>
        </w:tc>
        <w:tc>
          <w:tcPr>
            <w:tcW w:w="647" w:type="pct"/>
            <w:tcBorders>
              <w:top w:val="single" w:sz="4" w:space="0" w:color="auto"/>
              <w:left w:val="single" w:sz="4" w:space="0" w:color="auto"/>
              <w:bottom w:val="single" w:sz="4" w:space="0" w:color="auto"/>
              <w:right w:val="single" w:sz="4" w:space="0" w:color="auto"/>
            </w:tcBorders>
            <w:shd w:val="clear" w:color="000000" w:fill="F2F2F2"/>
            <w:vAlign w:val="center"/>
          </w:tcPr>
          <w:p w:rsidR="002F713F" w:rsidRPr="006957B3" w:rsidRDefault="002F713F" w:rsidP="002F713F">
            <w:pPr>
              <w:pStyle w:val="TableText0"/>
              <w:jc w:val="center"/>
              <w:rPr>
                <w:iCs/>
                <w:szCs w:val="20"/>
              </w:rPr>
            </w:pPr>
            <w:r w:rsidRPr="006957B3">
              <w:rPr>
                <w:iCs/>
                <w:szCs w:val="20"/>
              </w:rPr>
              <w:t>$</w:t>
            </w:r>
            <w:r w:rsidR="008A0CD0">
              <w:rPr>
                <w:iCs/>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2F713F">
            <w:pPr>
              <w:pStyle w:val="TableText0"/>
              <w:jc w:val="center"/>
              <w:rPr>
                <w:iCs/>
                <w:szCs w:val="20"/>
              </w:rPr>
            </w:pPr>
            <w:r w:rsidRPr="006957B3">
              <w:rPr>
                <w:iCs/>
                <w:szCs w:val="20"/>
              </w:rPr>
              <w:t>$</w:t>
            </w:r>
            <w:r w:rsidR="008A0CD0">
              <w:rPr>
                <w:iCs/>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2F713F">
            <w:pPr>
              <w:pStyle w:val="TableText0"/>
              <w:jc w:val="center"/>
              <w:rPr>
                <w:iCs/>
                <w:szCs w:val="20"/>
              </w:rPr>
            </w:pPr>
            <w:r w:rsidRPr="006957B3">
              <w:rPr>
                <w:iCs/>
                <w:szCs w:val="20"/>
              </w:rPr>
              <w:t>$</w:t>
            </w:r>
            <w:r w:rsidR="008A0CD0">
              <w:rPr>
                <w:iCs/>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2F713F">
            <w:pPr>
              <w:pStyle w:val="TableText0"/>
              <w:jc w:val="center"/>
              <w:rPr>
                <w:iCs/>
                <w:szCs w:val="20"/>
              </w:rPr>
            </w:pPr>
            <w:r w:rsidRPr="006957B3">
              <w:rPr>
                <w:iCs/>
                <w:szCs w:val="20"/>
              </w:rPr>
              <w:t>$</w:t>
            </w:r>
            <w:r w:rsidR="008A0CD0">
              <w:rPr>
                <w:iCs/>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2F713F">
            <w:pPr>
              <w:pStyle w:val="TableText0"/>
              <w:jc w:val="center"/>
              <w:rPr>
                <w:iCs/>
                <w:szCs w:val="20"/>
              </w:rPr>
            </w:pPr>
            <w:r w:rsidRPr="006957B3">
              <w:rPr>
                <w:iCs/>
                <w:szCs w:val="20"/>
              </w:rPr>
              <w:t>$</w:t>
            </w:r>
            <w:r w:rsidR="008A0CD0">
              <w:rPr>
                <w:iCs/>
                <w:noProof/>
                <w:color w:val="000000"/>
                <w:szCs w:val="20"/>
                <w:highlight w:val="black"/>
              </w:rPr>
              <w:t>''''''''''''''''''''''''</w:t>
            </w:r>
          </w:p>
        </w:tc>
        <w:tc>
          <w:tcPr>
            <w:tcW w:w="649"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2F713F">
            <w:pPr>
              <w:pStyle w:val="TableText0"/>
              <w:jc w:val="center"/>
              <w:rPr>
                <w:iCs/>
                <w:szCs w:val="20"/>
              </w:rPr>
            </w:pPr>
            <w:r w:rsidRPr="006957B3">
              <w:rPr>
                <w:iCs/>
                <w:szCs w:val="20"/>
              </w:rPr>
              <w:t>$</w:t>
            </w:r>
            <w:r w:rsidR="008A0CD0">
              <w:rPr>
                <w:iCs/>
                <w:noProof/>
                <w:color w:val="000000"/>
                <w:szCs w:val="20"/>
                <w:highlight w:val="black"/>
              </w:rPr>
              <w:t>''''''''''''''''''''''</w:t>
            </w:r>
          </w:p>
        </w:tc>
      </w:tr>
      <w:tr w:rsidR="002F713F" w:rsidRPr="002F713F" w:rsidTr="00440547">
        <w:tc>
          <w:tcPr>
            <w:tcW w:w="1116" w:type="pct"/>
            <w:shd w:val="clear" w:color="auto" w:fill="auto"/>
            <w:vAlign w:val="center"/>
          </w:tcPr>
          <w:p w:rsidR="002F713F" w:rsidRPr="002F713F" w:rsidRDefault="002F713F" w:rsidP="002F713F">
            <w:pPr>
              <w:pStyle w:val="TableText0"/>
              <w:rPr>
                <w:szCs w:val="20"/>
              </w:rPr>
            </w:pPr>
            <w:r w:rsidRPr="002F713F">
              <w:rPr>
                <w:szCs w:val="20"/>
              </w:rPr>
              <w:t>Total cost to PBS/RPBS less copayments</w:t>
            </w:r>
          </w:p>
        </w:tc>
        <w:tc>
          <w:tcPr>
            <w:tcW w:w="647" w:type="pct"/>
            <w:tcBorders>
              <w:top w:val="single" w:sz="4" w:space="0" w:color="auto"/>
              <w:left w:val="single" w:sz="4" w:space="0" w:color="auto"/>
              <w:bottom w:val="single" w:sz="4" w:space="0" w:color="auto"/>
              <w:right w:val="single" w:sz="4" w:space="0" w:color="auto"/>
            </w:tcBorders>
            <w:shd w:val="clear" w:color="000000" w:fill="F2F2F2"/>
            <w:vAlign w:val="center"/>
          </w:tcPr>
          <w:p w:rsidR="002F713F" w:rsidRPr="006957B3" w:rsidRDefault="002F713F" w:rsidP="002F713F">
            <w:pPr>
              <w:pStyle w:val="TableText0"/>
              <w:jc w:val="center"/>
              <w:rPr>
                <w:iCs/>
                <w:szCs w:val="20"/>
              </w:rPr>
            </w:pPr>
            <w:r w:rsidRPr="006957B3">
              <w:rPr>
                <w:iCs/>
                <w:szCs w:val="20"/>
              </w:rPr>
              <w:t>$</w:t>
            </w:r>
            <w:r w:rsidR="008A0CD0">
              <w:rPr>
                <w:iCs/>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2F713F">
            <w:pPr>
              <w:pStyle w:val="TableText0"/>
              <w:jc w:val="center"/>
              <w:rPr>
                <w:iCs/>
                <w:szCs w:val="20"/>
              </w:rPr>
            </w:pPr>
            <w:r w:rsidRPr="006957B3">
              <w:rPr>
                <w:iCs/>
                <w:szCs w:val="20"/>
              </w:rPr>
              <w:t>$</w:t>
            </w:r>
            <w:r w:rsidR="008A0CD0">
              <w:rPr>
                <w:iCs/>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2F713F">
            <w:pPr>
              <w:pStyle w:val="TableText0"/>
              <w:jc w:val="center"/>
              <w:rPr>
                <w:iCs/>
                <w:szCs w:val="20"/>
              </w:rPr>
            </w:pPr>
            <w:r w:rsidRPr="006957B3">
              <w:rPr>
                <w:iCs/>
                <w:szCs w:val="20"/>
              </w:rPr>
              <w:t>$</w:t>
            </w:r>
            <w:r w:rsidR="008A0CD0">
              <w:rPr>
                <w:iCs/>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2F713F">
            <w:pPr>
              <w:pStyle w:val="TableText0"/>
              <w:jc w:val="center"/>
              <w:rPr>
                <w:iCs/>
                <w:szCs w:val="20"/>
              </w:rPr>
            </w:pPr>
            <w:r w:rsidRPr="006957B3">
              <w:rPr>
                <w:iCs/>
                <w:szCs w:val="20"/>
              </w:rPr>
              <w:t>$</w:t>
            </w:r>
            <w:r w:rsidR="008A0CD0">
              <w:rPr>
                <w:iCs/>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2F713F">
            <w:pPr>
              <w:pStyle w:val="TableText0"/>
              <w:jc w:val="center"/>
              <w:rPr>
                <w:iCs/>
                <w:szCs w:val="20"/>
              </w:rPr>
            </w:pPr>
            <w:r w:rsidRPr="006957B3">
              <w:rPr>
                <w:iCs/>
                <w:szCs w:val="20"/>
              </w:rPr>
              <w:t>$</w:t>
            </w:r>
            <w:r w:rsidR="008A0CD0">
              <w:rPr>
                <w:iCs/>
                <w:noProof/>
                <w:color w:val="000000"/>
                <w:szCs w:val="20"/>
                <w:highlight w:val="black"/>
              </w:rPr>
              <w:t>''''''''''''''''''''''''''</w:t>
            </w:r>
          </w:p>
        </w:tc>
        <w:tc>
          <w:tcPr>
            <w:tcW w:w="649"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2F713F">
            <w:pPr>
              <w:pStyle w:val="TableText0"/>
              <w:jc w:val="center"/>
              <w:rPr>
                <w:iCs/>
                <w:szCs w:val="20"/>
              </w:rPr>
            </w:pPr>
            <w:r w:rsidRPr="006957B3">
              <w:rPr>
                <w:iCs/>
                <w:szCs w:val="20"/>
              </w:rPr>
              <w:t>$</w:t>
            </w:r>
            <w:r w:rsidR="008A0CD0">
              <w:rPr>
                <w:iCs/>
                <w:noProof/>
                <w:color w:val="000000"/>
                <w:szCs w:val="20"/>
                <w:highlight w:val="black"/>
              </w:rPr>
              <w:t>''''''''''''''''''''''''</w:t>
            </w:r>
          </w:p>
        </w:tc>
      </w:tr>
      <w:tr w:rsidR="00115E28" w:rsidRPr="002F713F" w:rsidTr="004C57A4">
        <w:tc>
          <w:tcPr>
            <w:tcW w:w="5000" w:type="pct"/>
            <w:gridSpan w:val="7"/>
            <w:shd w:val="clear" w:color="auto" w:fill="auto"/>
            <w:vAlign w:val="center"/>
          </w:tcPr>
          <w:p w:rsidR="00115E28" w:rsidRPr="006957B3" w:rsidRDefault="00115E28" w:rsidP="00115E28">
            <w:pPr>
              <w:pStyle w:val="TableText0"/>
              <w:rPr>
                <w:b/>
                <w:szCs w:val="20"/>
              </w:rPr>
            </w:pPr>
            <w:r w:rsidRPr="006957B3">
              <w:rPr>
                <w:b/>
                <w:szCs w:val="20"/>
              </w:rPr>
              <w:t>Estimated financial implications for sorafenib and lenvatinib (published prices)</w:t>
            </w:r>
          </w:p>
        </w:tc>
      </w:tr>
      <w:tr w:rsidR="002F713F" w:rsidRPr="002F713F" w:rsidTr="00440547">
        <w:tc>
          <w:tcPr>
            <w:tcW w:w="1116" w:type="pct"/>
            <w:shd w:val="clear" w:color="auto" w:fill="auto"/>
            <w:vAlign w:val="center"/>
          </w:tcPr>
          <w:p w:rsidR="002F713F" w:rsidRPr="002F713F" w:rsidRDefault="002F713F" w:rsidP="002F713F">
            <w:pPr>
              <w:pStyle w:val="TableText0"/>
              <w:rPr>
                <w:szCs w:val="20"/>
              </w:rPr>
            </w:pPr>
            <w:r w:rsidRPr="002F713F">
              <w:rPr>
                <w:szCs w:val="20"/>
              </w:rPr>
              <w:t>Saving to PBS/RPBS less copayments</w:t>
            </w:r>
          </w:p>
        </w:tc>
        <w:tc>
          <w:tcPr>
            <w:tcW w:w="647" w:type="pct"/>
            <w:tcBorders>
              <w:top w:val="single" w:sz="4" w:space="0" w:color="auto"/>
              <w:left w:val="single" w:sz="4" w:space="0" w:color="auto"/>
              <w:bottom w:val="single" w:sz="4" w:space="0" w:color="auto"/>
              <w:right w:val="single" w:sz="4" w:space="0" w:color="auto"/>
            </w:tcBorders>
            <w:shd w:val="clear" w:color="000000" w:fill="F2F2F2"/>
            <w:vAlign w:val="center"/>
          </w:tcPr>
          <w:p w:rsidR="002F713F" w:rsidRPr="006957B3" w:rsidRDefault="002F713F" w:rsidP="002F713F">
            <w:pPr>
              <w:pStyle w:val="TableText0"/>
              <w:jc w:val="center"/>
              <w:rPr>
                <w:iCs/>
                <w:szCs w:val="20"/>
              </w:rPr>
            </w:pPr>
            <w:r w:rsidRPr="006957B3">
              <w:rPr>
                <w:iCs/>
                <w:szCs w:val="20"/>
              </w:rPr>
              <w:t>-$15,645,943</w:t>
            </w:r>
          </w:p>
        </w:tc>
        <w:tc>
          <w:tcPr>
            <w:tcW w:w="647"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2F713F">
            <w:pPr>
              <w:pStyle w:val="TableText0"/>
              <w:jc w:val="center"/>
              <w:rPr>
                <w:iCs/>
                <w:szCs w:val="20"/>
              </w:rPr>
            </w:pPr>
            <w:r w:rsidRPr="006957B3">
              <w:rPr>
                <w:iCs/>
                <w:szCs w:val="20"/>
              </w:rPr>
              <w:t>-$16,001,957</w:t>
            </w:r>
          </w:p>
        </w:tc>
        <w:tc>
          <w:tcPr>
            <w:tcW w:w="647"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2F713F">
            <w:pPr>
              <w:pStyle w:val="TableText0"/>
              <w:jc w:val="center"/>
              <w:rPr>
                <w:iCs/>
                <w:szCs w:val="20"/>
              </w:rPr>
            </w:pPr>
            <w:r w:rsidRPr="006957B3">
              <w:rPr>
                <w:iCs/>
                <w:szCs w:val="20"/>
              </w:rPr>
              <w:t>-$16,371,028</w:t>
            </w:r>
          </w:p>
        </w:tc>
        <w:tc>
          <w:tcPr>
            <w:tcW w:w="647"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2F713F">
            <w:pPr>
              <w:pStyle w:val="TableText0"/>
              <w:jc w:val="center"/>
              <w:rPr>
                <w:iCs/>
                <w:szCs w:val="20"/>
              </w:rPr>
            </w:pPr>
            <w:r w:rsidRPr="006957B3">
              <w:rPr>
                <w:iCs/>
                <w:szCs w:val="20"/>
              </w:rPr>
              <w:t>-$16,753,647</w:t>
            </w:r>
          </w:p>
        </w:tc>
        <w:tc>
          <w:tcPr>
            <w:tcW w:w="647"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2F713F">
            <w:pPr>
              <w:pStyle w:val="TableText0"/>
              <w:jc w:val="center"/>
              <w:rPr>
                <w:iCs/>
                <w:szCs w:val="20"/>
              </w:rPr>
            </w:pPr>
            <w:r w:rsidRPr="006957B3">
              <w:rPr>
                <w:iCs/>
                <w:szCs w:val="20"/>
              </w:rPr>
              <w:t>-$17,150,289</w:t>
            </w:r>
          </w:p>
        </w:tc>
        <w:tc>
          <w:tcPr>
            <w:tcW w:w="649"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2F713F">
            <w:pPr>
              <w:pStyle w:val="TableText0"/>
              <w:jc w:val="center"/>
              <w:rPr>
                <w:iCs/>
                <w:szCs w:val="20"/>
              </w:rPr>
            </w:pPr>
            <w:r w:rsidRPr="006957B3">
              <w:rPr>
                <w:iCs/>
                <w:szCs w:val="20"/>
              </w:rPr>
              <w:t>-$17,561,480</w:t>
            </w:r>
          </w:p>
        </w:tc>
      </w:tr>
      <w:tr w:rsidR="00115E28" w:rsidRPr="002F713F" w:rsidTr="004C57A4">
        <w:tc>
          <w:tcPr>
            <w:tcW w:w="5000" w:type="pct"/>
            <w:gridSpan w:val="7"/>
            <w:shd w:val="clear" w:color="auto" w:fill="auto"/>
            <w:vAlign w:val="center"/>
          </w:tcPr>
          <w:p w:rsidR="00115E28" w:rsidRPr="006957B3" w:rsidRDefault="00115E28" w:rsidP="00115E28">
            <w:pPr>
              <w:pStyle w:val="In-tableHeading"/>
              <w:rPr>
                <w:szCs w:val="20"/>
                <w:lang w:val="en-AU"/>
              </w:rPr>
            </w:pPr>
            <w:r w:rsidRPr="006957B3">
              <w:rPr>
                <w:szCs w:val="20"/>
                <w:lang w:val="en-AU"/>
              </w:rPr>
              <w:t>Net financial implications</w:t>
            </w:r>
          </w:p>
        </w:tc>
      </w:tr>
      <w:tr w:rsidR="002F713F" w:rsidRPr="002F713F" w:rsidTr="00440547">
        <w:tc>
          <w:tcPr>
            <w:tcW w:w="1116" w:type="pct"/>
            <w:shd w:val="clear" w:color="auto" w:fill="auto"/>
            <w:vAlign w:val="center"/>
          </w:tcPr>
          <w:p w:rsidR="002F713F" w:rsidRPr="002F713F" w:rsidRDefault="002F713F" w:rsidP="002F713F">
            <w:pPr>
              <w:pStyle w:val="TableText0"/>
              <w:rPr>
                <w:szCs w:val="20"/>
              </w:rPr>
            </w:pPr>
            <w:r w:rsidRPr="002F713F">
              <w:rPr>
                <w:szCs w:val="20"/>
              </w:rPr>
              <w:t>Net cost to PBS/RPBS</w:t>
            </w:r>
          </w:p>
        </w:tc>
        <w:tc>
          <w:tcPr>
            <w:tcW w:w="647" w:type="pct"/>
            <w:tcBorders>
              <w:top w:val="single" w:sz="4" w:space="0" w:color="auto"/>
              <w:left w:val="single" w:sz="4" w:space="0" w:color="auto"/>
              <w:bottom w:val="single" w:sz="4" w:space="0" w:color="auto"/>
              <w:right w:val="single" w:sz="4" w:space="0" w:color="auto"/>
            </w:tcBorders>
            <w:shd w:val="clear" w:color="000000" w:fill="F2F2F2"/>
            <w:vAlign w:val="center"/>
          </w:tcPr>
          <w:p w:rsidR="002F713F" w:rsidRPr="006957B3" w:rsidRDefault="002F713F" w:rsidP="0015565F">
            <w:pPr>
              <w:pStyle w:val="TableText0"/>
              <w:jc w:val="center"/>
              <w:rPr>
                <w:iCs/>
                <w:szCs w:val="20"/>
              </w:rPr>
            </w:pPr>
            <w:r w:rsidRPr="006957B3">
              <w:rPr>
                <w:iCs/>
                <w:szCs w:val="20"/>
              </w:rPr>
              <w:t>$</w:t>
            </w:r>
            <w:r w:rsidR="008A0CD0">
              <w:rPr>
                <w:iCs/>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15565F">
            <w:pPr>
              <w:pStyle w:val="TableText0"/>
              <w:jc w:val="center"/>
              <w:rPr>
                <w:iCs/>
                <w:szCs w:val="20"/>
              </w:rPr>
            </w:pPr>
            <w:r w:rsidRPr="006957B3">
              <w:rPr>
                <w:iCs/>
                <w:szCs w:val="20"/>
              </w:rPr>
              <w:t>$</w:t>
            </w:r>
            <w:r w:rsidR="008A0CD0">
              <w:rPr>
                <w:iCs/>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15565F">
            <w:pPr>
              <w:pStyle w:val="TableText0"/>
              <w:jc w:val="center"/>
              <w:rPr>
                <w:iCs/>
                <w:szCs w:val="20"/>
              </w:rPr>
            </w:pPr>
            <w:r w:rsidRPr="006957B3">
              <w:rPr>
                <w:iCs/>
                <w:szCs w:val="20"/>
              </w:rPr>
              <w:t>$</w:t>
            </w:r>
            <w:r w:rsidR="008A0CD0">
              <w:rPr>
                <w:iCs/>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15565F">
            <w:pPr>
              <w:pStyle w:val="TableText0"/>
              <w:jc w:val="center"/>
              <w:rPr>
                <w:iCs/>
                <w:szCs w:val="20"/>
              </w:rPr>
            </w:pPr>
            <w:r w:rsidRPr="006957B3">
              <w:rPr>
                <w:iCs/>
                <w:szCs w:val="20"/>
              </w:rPr>
              <w:t>$</w:t>
            </w:r>
            <w:r w:rsidR="008A0CD0">
              <w:rPr>
                <w:iCs/>
                <w:noProof/>
                <w:color w:val="000000"/>
                <w:szCs w:val="20"/>
                <w:highlight w:val="black"/>
              </w:rPr>
              <w:t>''''''''''''''''''''''''''''</w:t>
            </w:r>
          </w:p>
        </w:tc>
        <w:tc>
          <w:tcPr>
            <w:tcW w:w="647"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15565F">
            <w:pPr>
              <w:pStyle w:val="TableText0"/>
              <w:jc w:val="center"/>
              <w:rPr>
                <w:iCs/>
                <w:szCs w:val="20"/>
              </w:rPr>
            </w:pPr>
            <w:r w:rsidRPr="006957B3">
              <w:rPr>
                <w:iCs/>
                <w:szCs w:val="20"/>
              </w:rPr>
              <w:t>$</w:t>
            </w:r>
            <w:r w:rsidR="008A0CD0">
              <w:rPr>
                <w:iCs/>
                <w:noProof/>
                <w:color w:val="000000"/>
                <w:szCs w:val="20"/>
                <w:highlight w:val="black"/>
              </w:rPr>
              <w:t>''''''''''''''''''''''''</w:t>
            </w:r>
          </w:p>
        </w:tc>
        <w:tc>
          <w:tcPr>
            <w:tcW w:w="649" w:type="pct"/>
            <w:tcBorders>
              <w:top w:val="single" w:sz="4" w:space="0" w:color="auto"/>
              <w:left w:val="nil"/>
              <w:bottom w:val="single" w:sz="4" w:space="0" w:color="auto"/>
              <w:right w:val="single" w:sz="4" w:space="0" w:color="auto"/>
            </w:tcBorders>
            <w:shd w:val="clear" w:color="000000" w:fill="F2F2F2"/>
            <w:vAlign w:val="center"/>
          </w:tcPr>
          <w:p w:rsidR="002F713F" w:rsidRPr="006957B3" w:rsidRDefault="002F713F" w:rsidP="0015565F">
            <w:pPr>
              <w:pStyle w:val="TableText0"/>
              <w:jc w:val="center"/>
              <w:rPr>
                <w:iCs/>
                <w:szCs w:val="20"/>
              </w:rPr>
            </w:pPr>
            <w:r w:rsidRPr="006957B3">
              <w:rPr>
                <w:iCs/>
                <w:szCs w:val="20"/>
              </w:rPr>
              <w:t>$</w:t>
            </w:r>
            <w:r w:rsidR="008A0CD0">
              <w:rPr>
                <w:iCs/>
                <w:noProof/>
                <w:color w:val="000000"/>
                <w:szCs w:val="20"/>
                <w:highlight w:val="black"/>
              </w:rPr>
              <w:t>'''''''''''''''''''''''''''''</w:t>
            </w:r>
          </w:p>
        </w:tc>
      </w:tr>
      <w:tr w:rsidR="0015565F" w:rsidRPr="002F713F" w:rsidTr="00440547">
        <w:tc>
          <w:tcPr>
            <w:tcW w:w="1116" w:type="pct"/>
            <w:shd w:val="clear" w:color="auto" w:fill="auto"/>
            <w:vAlign w:val="center"/>
          </w:tcPr>
          <w:p w:rsidR="0015565F" w:rsidRPr="002F713F" w:rsidRDefault="0015565F" w:rsidP="0015565F">
            <w:pPr>
              <w:pStyle w:val="TableText0"/>
              <w:rPr>
                <w:szCs w:val="20"/>
              </w:rPr>
            </w:pPr>
            <w:r w:rsidRPr="002F713F">
              <w:rPr>
                <w:szCs w:val="20"/>
              </w:rPr>
              <w:t>Net cost to MBS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15565F" w:rsidRPr="006957B3" w:rsidRDefault="0015565F" w:rsidP="0015565F">
            <w:pPr>
              <w:pStyle w:val="TableText0"/>
              <w:jc w:val="center"/>
              <w:rPr>
                <w:iCs/>
                <w:szCs w:val="20"/>
              </w:rPr>
            </w:pPr>
            <w:r w:rsidRPr="006957B3">
              <w:rPr>
                <w:iCs/>
                <w:szCs w:val="20"/>
              </w:rPr>
              <w:t>$</w:t>
            </w:r>
            <w:r w:rsidR="008A0CD0">
              <w:rPr>
                <w:iCs/>
                <w:noProof/>
                <w:color w:val="000000"/>
                <w:szCs w:val="20"/>
                <w:highlight w:val="black"/>
              </w:rPr>
              <w:t>'''''''''''''''''''''</w:t>
            </w:r>
            <w:r w:rsidRPr="006957B3">
              <w:rPr>
                <w:iCs/>
                <w:szCs w:val="20"/>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15565F" w:rsidRPr="006957B3" w:rsidRDefault="0015565F" w:rsidP="0015565F">
            <w:pPr>
              <w:pStyle w:val="TableText0"/>
              <w:jc w:val="center"/>
              <w:rPr>
                <w:iCs/>
                <w:szCs w:val="20"/>
              </w:rPr>
            </w:pPr>
            <w:r w:rsidRPr="006957B3">
              <w:rPr>
                <w:iCs/>
                <w:szCs w:val="20"/>
              </w:rPr>
              <w:t>$</w:t>
            </w:r>
            <w:r w:rsidR="008A0CD0">
              <w:rPr>
                <w:iCs/>
                <w:noProof/>
                <w:color w:val="000000"/>
                <w:szCs w:val="20"/>
                <w:highlight w:val="black"/>
              </w:rPr>
              <w:t>''''''''''''''''''</w:t>
            </w:r>
            <w:r w:rsidRPr="006957B3">
              <w:rPr>
                <w:iCs/>
                <w:szCs w:val="20"/>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15565F" w:rsidRPr="006957B3" w:rsidRDefault="0015565F" w:rsidP="0015565F">
            <w:pPr>
              <w:pStyle w:val="TableText0"/>
              <w:jc w:val="center"/>
              <w:rPr>
                <w:iCs/>
                <w:szCs w:val="20"/>
              </w:rPr>
            </w:pPr>
            <w:r w:rsidRPr="006957B3">
              <w:rPr>
                <w:iCs/>
                <w:szCs w:val="20"/>
              </w:rPr>
              <w:t>$</w:t>
            </w:r>
            <w:r w:rsidR="008A0CD0">
              <w:rPr>
                <w:iCs/>
                <w:noProof/>
                <w:color w:val="000000"/>
                <w:szCs w:val="20"/>
                <w:highlight w:val="black"/>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15565F" w:rsidRPr="006957B3" w:rsidRDefault="0015565F" w:rsidP="0015565F">
            <w:pPr>
              <w:pStyle w:val="TableText0"/>
              <w:jc w:val="center"/>
              <w:rPr>
                <w:iCs/>
                <w:szCs w:val="20"/>
              </w:rPr>
            </w:pPr>
            <w:r w:rsidRPr="006957B3">
              <w:rPr>
                <w:iCs/>
                <w:szCs w:val="20"/>
              </w:rPr>
              <w:t>$</w:t>
            </w:r>
            <w:r w:rsidR="008A0CD0">
              <w:rPr>
                <w:iCs/>
                <w:noProof/>
                <w:color w:val="000000"/>
                <w:szCs w:val="20"/>
                <w:highlight w:val="black"/>
              </w:rPr>
              <w:t>''''''''''''''''''</w:t>
            </w:r>
            <w:r w:rsidRPr="006957B3">
              <w:rPr>
                <w:iCs/>
                <w:szCs w:val="20"/>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15565F" w:rsidRPr="006957B3" w:rsidRDefault="0015565F" w:rsidP="0015565F">
            <w:pPr>
              <w:pStyle w:val="TableText0"/>
              <w:jc w:val="center"/>
              <w:rPr>
                <w:iCs/>
                <w:szCs w:val="20"/>
              </w:rPr>
            </w:pPr>
            <w:r w:rsidRPr="006957B3">
              <w:rPr>
                <w:iCs/>
                <w:szCs w:val="20"/>
              </w:rPr>
              <w:t>$</w:t>
            </w:r>
            <w:r w:rsidR="008A0CD0">
              <w:rPr>
                <w:iCs/>
                <w:noProof/>
                <w:color w:val="000000"/>
                <w:szCs w:val="20"/>
                <w:highlight w:val="black"/>
              </w:rPr>
              <w:t>'''''''''''''''''''''</w:t>
            </w:r>
            <w:r w:rsidRPr="006957B3">
              <w:rPr>
                <w:iCs/>
                <w:szCs w:val="20"/>
              </w:rPr>
              <w:t xml:space="preserve"> </w:t>
            </w:r>
          </w:p>
        </w:tc>
        <w:tc>
          <w:tcPr>
            <w:tcW w:w="649" w:type="pct"/>
            <w:tcBorders>
              <w:top w:val="single" w:sz="4" w:space="0" w:color="auto"/>
              <w:left w:val="nil"/>
              <w:bottom w:val="single" w:sz="4" w:space="0" w:color="auto"/>
              <w:right w:val="single" w:sz="4" w:space="0" w:color="auto"/>
            </w:tcBorders>
            <w:shd w:val="clear" w:color="auto" w:fill="auto"/>
            <w:vAlign w:val="center"/>
          </w:tcPr>
          <w:p w:rsidR="0015565F" w:rsidRPr="006957B3" w:rsidRDefault="0015565F" w:rsidP="0015565F">
            <w:pPr>
              <w:pStyle w:val="TableText0"/>
              <w:jc w:val="center"/>
              <w:rPr>
                <w:iCs/>
                <w:szCs w:val="20"/>
              </w:rPr>
            </w:pPr>
            <w:r w:rsidRPr="006957B3">
              <w:rPr>
                <w:iCs/>
                <w:szCs w:val="20"/>
              </w:rPr>
              <w:t>$</w:t>
            </w:r>
            <w:r w:rsidR="008A0CD0">
              <w:rPr>
                <w:iCs/>
                <w:noProof/>
                <w:color w:val="000000"/>
                <w:szCs w:val="20"/>
                <w:highlight w:val="black"/>
              </w:rPr>
              <w:t>''''''''''''''''''''''''</w:t>
            </w:r>
            <w:r w:rsidRPr="006957B3">
              <w:rPr>
                <w:iCs/>
                <w:szCs w:val="20"/>
              </w:rPr>
              <w:t xml:space="preserve"> </w:t>
            </w:r>
          </w:p>
        </w:tc>
      </w:tr>
      <w:tr w:rsidR="0015565F" w:rsidRPr="00E63DF4" w:rsidTr="00440547">
        <w:tc>
          <w:tcPr>
            <w:tcW w:w="1116" w:type="pct"/>
            <w:shd w:val="clear" w:color="auto" w:fill="auto"/>
            <w:vAlign w:val="center"/>
          </w:tcPr>
          <w:p w:rsidR="0015565F" w:rsidRPr="002F713F" w:rsidRDefault="0015565F" w:rsidP="0015565F">
            <w:pPr>
              <w:pStyle w:val="TableText0"/>
              <w:rPr>
                <w:szCs w:val="20"/>
              </w:rPr>
            </w:pPr>
            <w:r w:rsidRPr="002F713F">
              <w:rPr>
                <w:szCs w:val="20"/>
              </w:rPr>
              <w:t>Net cost to PBS/RPBS/MBS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15565F" w:rsidRPr="006957B3" w:rsidRDefault="0015565F" w:rsidP="0015565F">
            <w:pPr>
              <w:pStyle w:val="TableText0"/>
              <w:jc w:val="center"/>
              <w:rPr>
                <w:iCs/>
                <w:szCs w:val="20"/>
              </w:rPr>
            </w:pPr>
            <w:r w:rsidRPr="006957B3">
              <w:rPr>
                <w:iCs/>
                <w:szCs w:val="20"/>
              </w:rPr>
              <w:t>$</w:t>
            </w:r>
            <w:r w:rsidR="008A0CD0">
              <w:rPr>
                <w:iCs/>
                <w:noProof/>
                <w:color w:val="000000"/>
                <w:szCs w:val="20"/>
                <w:highlight w:val="black"/>
              </w:rPr>
              <w:t>'''''''''''''''''''''''''''</w:t>
            </w:r>
            <w:r w:rsidRPr="006957B3">
              <w:rPr>
                <w:iCs/>
                <w:szCs w:val="20"/>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15565F" w:rsidRPr="006957B3" w:rsidRDefault="0015565F" w:rsidP="0015565F">
            <w:pPr>
              <w:pStyle w:val="TableText0"/>
              <w:jc w:val="center"/>
              <w:rPr>
                <w:iCs/>
                <w:szCs w:val="20"/>
              </w:rPr>
            </w:pPr>
            <w:r w:rsidRPr="006957B3">
              <w:rPr>
                <w:iCs/>
                <w:szCs w:val="20"/>
              </w:rPr>
              <w:t>$</w:t>
            </w:r>
            <w:r w:rsidR="008A0CD0">
              <w:rPr>
                <w:iCs/>
                <w:noProof/>
                <w:color w:val="000000"/>
                <w:szCs w:val="20"/>
                <w:highlight w:val="black"/>
              </w:rPr>
              <w:t>'''''''''''''''''''''''''''''</w:t>
            </w:r>
            <w:r w:rsidRPr="006957B3">
              <w:rPr>
                <w:iCs/>
                <w:szCs w:val="20"/>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15565F" w:rsidRPr="006957B3" w:rsidRDefault="0015565F" w:rsidP="0015565F">
            <w:pPr>
              <w:pStyle w:val="TableText0"/>
              <w:jc w:val="center"/>
              <w:rPr>
                <w:iCs/>
                <w:szCs w:val="20"/>
              </w:rPr>
            </w:pPr>
            <w:r w:rsidRPr="006957B3">
              <w:rPr>
                <w:iCs/>
                <w:szCs w:val="20"/>
              </w:rPr>
              <w:t>$</w:t>
            </w:r>
            <w:r w:rsidR="008A0CD0">
              <w:rPr>
                <w:iCs/>
                <w:noProof/>
                <w:color w:val="000000"/>
                <w:szCs w:val="20"/>
                <w:highlight w:val="black"/>
              </w:rPr>
              <w:t>'''''''''''''''''''''''''''</w:t>
            </w:r>
            <w:r w:rsidRPr="006957B3">
              <w:rPr>
                <w:iCs/>
                <w:szCs w:val="20"/>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15565F" w:rsidRPr="006957B3" w:rsidRDefault="0015565F" w:rsidP="0015565F">
            <w:pPr>
              <w:pStyle w:val="TableText0"/>
              <w:jc w:val="center"/>
              <w:rPr>
                <w:iCs/>
                <w:szCs w:val="20"/>
              </w:rPr>
            </w:pPr>
            <w:r w:rsidRPr="006957B3">
              <w:rPr>
                <w:iCs/>
                <w:szCs w:val="20"/>
              </w:rPr>
              <w:t>$</w:t>
            </w:r>
            <w:r w:rsidR="008A0CD0">
              <w:rPr>
                <w:iCs/>
                <w:noProof/>
                <w:color w:val="000000"/>
                <w:szCs w:val="20"/>
                <w:highlight w:val="black"/>
              </w:rPr>
              <w:t>'''''''''''''''''''''''''''</w:t>
            </w:r>
            <w:r w:rsidRPr="006957B3">
              <w:rPr>
                <w:iCs/>
                <w:szCs w:val="20"/>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15565F" w:rsidRPr="006957B3" w:rsidRDefault="0015565F" w:rsidP="0015565F">
            <w:pPr>
              <w:pStyle w:val="TableText0"/>
              <w:jc w:val="center"/>
              <w:rPr>
                <w:iCs/>
                <w:szCs w:val="20"/>
              </w:rPr>
            </w:pPr>
            <w:r w:rsidRPr="006957B3">
              <w:rPr>
                <w:iCs/>
                <w:szCs w:val="20"/>
              </w:rPr>
              <w:t>$</w:t>
            </w:r>
            <w:r w:rsidR="008A0CD0">
              <w:rPr>
                <w:iCs/>
                <w:noProof/>
                <w:color w:val="000000"/>
                <w:szCs w:val="20"/>
                <w:highlight w:val="black"/>
              </w:rPr>
              <w:t>''''''''''''''''''''''''''''</w:t>
            </w:r>
            <w:r w:rsidRPr="006957B3">
              <w:rPr>
                <w:iCs/>
                <w:szCs w:val="20"/>
              </w:rPr>
              <w:t xml:space="preserve"> </w:t>
            </w:r>
          </w:p>
        </w:tc>
        <w:tc>
          <w:tcPr>
            <w:tcW w:w="649" w:type="pct"/>
            <w:tcBorders>
              <w:top w:val="single" w:sz="4" w:space="0" w:color="auto"/>
              <w:left w:val="nil"/>
              <w:bottom w:val="single" w:sz="4" w:space="0" w:color="auto"/>
              <w:right w:val="single" w:sz="4" w:space="0" w:color="auto"/>
            </w:tcBorders>
            <w:shd w:val="clear" w:color="auto" w:fill="auto"/>
            <w:vAlign w:val="center"/>
          </w:tcPr>
          <w:p w:rsidR="0015565F" w:rsidRPr="006957B3" w:rsidRDefault="0015565F" w:rsidP="0015565F">
            <w:pPr>
              <w:pStyle w:val="TableText0"/>
              <w:jc w:val="center"/>
              <w:rPr>
                <w:iCs/>
                <w:szCs w:val="20"/>
              </w:rPr>
            </w:pPr>
            <w:r w:rsidRPr="006957B3">
              <w:rPr>
                <w:iCs/>
                <w:szCs w:val="20"/>
              </w:rPr>
              <w:t>$</w:t>
            </w:r>
            <w:r w:rsidR="008A0CD0">
              <w:rPr>
                <w:iCs/>
                <w:noProof/>
                <w:color w:val="000000"/>
                <w:szCs w:val="20"/>
                <w:highlight w:val="black"/>
              </w:rPr>
              <w:t>''''''''''''''''''''''''</w:t>
            </w:r>
            <w:r w:rsidRPr="006957B3">
              <w:rPr>
                <w:iCs/>
                <w:szCs w:val="20"/>
              </w:rPr>
              <w:t xml:space="preserve"> </w:t>
            </w:r>
          </w:p>
        </w:tc>
      </w:tr>
    </w:tbl>
    <w:p w:rsidR="005B33E9" w:rsidRPr="00E63DF4" w:rsidRDefault="005B33E9" w:rsidP="004C57A4">
      <w:pPr>
        <w:pStyle w:val="TableFigureFooter"/>
      </w:pPr>
      <w:r w:rsidRPr="00E63DF4">
        <w:t>Source: Table 4.12, p144; Table 4.13, p145; Table 4.2</w:t>
      </w:r>
      <w:r w:rsidR="007D0FDA" w:rsidRPr="00E63DF4">
        <w:t>6</w:t>
      </w:r>
      <w:r w:rsidRPr="00E63DF4">
        <w:t>, p15</w:t>
      </w:r>
      <w:r w:rsidR="007D0FDA" w:rsidRPr="00E63DF4">
        <w:t>5</w:t>
      </w:r>
      <w:r w:rsidRPr="00E63DF4">
        <w:t xml:space="preserve">; </w:t>
      </w:r>
      <w:r w:rsidR="008A2C83" w:rsidRPr="00E63DF4">
        <w:t xml:space="preserve">Prepared </w:t>
      </w:r>
      <w:r w:rsidRPr="00E63DF4">
        <w:t xml:space="preserve">during </w:t>
      </w:r>
      <w:r w:rsidR="008A2C83" w:rsidRPr="00E63DF4">
        <w:t>the e</w:t>
      </w:r>
      <w:r w:rsidRPr="00E63DF4">
        <w:t xml:space="preserve">valuation from Table 4.28, p156, Table 4.29, p157, Table 4.30, p 158; </w:t>
      </w:r>
      <w:r w:rsidRPr="00E63DF4">
        <w:rPr>
          <w:lang w:eastAsia="en-GB"/>
        </w:rPr>
        <w:t>Table 4.3</w:t>
      </w:r>
      <w:r w:rsidR="0032290E" w:rsidRPr="00E63DF4">
        <w:rPr>
          <w:lang w:eastAsia="en-GB"/>
        </w:rPr>
        <w:t>2</w:t>
      </w:r>
      <w:r w:rsidRPr="00E63DF4">
        <w:rPr>
          <w:lang w:eastAsia="en-GB"/>
        </w:rPr>
        <w:t>, p159;</w:t>
      </w:r>
      <w:r w:rsidRPr="00E63DF4">
        <w:t xml:space="preserve"> </w:t>
      </w:r>
      <w:r w:rsidRPr="00E63DF4">
        <w:rPr>
          <w:lang w:eastAsia="en-GB"/>
        </w:rPr>
        <w:t xml:space="preserve">Table 4.36, p161; </w:t>
      </w:r>
      <w:r w:rsidRPr="00E63DF4">
        <w:t>Table 4.36, p161 and ATEZO_BEVA_utilisation-and-cost-model.xlsm, ‘5. I</w:t>
      </w:r>
      <w:r w:rsidR="002B55B9" w:rsidRPr="00E63DF4">
        <w:t>mpact – net’ of the submission.</w:t>
      </w:r>
    </w:p>
    <w:p w:rsidR="005B33E9" w:rsidRPr="00E63DF4" w:rsidRDefault="005B33E9" w:rsidP="004C57A4">
      <w:pPr>
        <w:pStyle w:val="TableFigureFooter"/>
        <w:rPr>
          <w:rStyle w:val="CommentReference"/>
        </w:rPr>
      </w:pPr>
      <w:r w:rsidRPr="00E63DF4">
        <w:t xml:space="preserve">Abbreviations: MBS=Medicare Benefits Schedule; PBS=Pharmaceutical Benefits Scheme; RPBS=Repatriation Pharmaceutical Benefits </w:t>
      </w:r>
    </w:p>
    <w:p w:rsidR="005B33E9" w:rsidRDefault="005B33E9" w:rsidP="004C57A4">
      <w:pPr>
        <w:pStyle w:val="TableFigureFooter"/>
      </w:pPr>
      <w:r w:rsidRPr="00E63DF4">
        <w:t xml:space="preserve">Note: </w:t>
      </w:r>
      <w:r w:rsidR="00BA51B0" w:rsidRPr="00E63DF4">
        <w:t xml:space="preserve">a </w:t>
      </w:r>
      <w:r w:rsidRPr="00F45DBE">
        <w:t xml:space="preserve">Assuming </w:t>
      </w:r>
      <w:r w:rsidR="008A0CD0">
        <w:rPr>
          <w:noProof/>
          <w:color w:val="000000"/>
          <w:highlight w:val="black"/>
        </w:rPr>
        <w:t>'''''''''''''</w:t>
      </w:r>
      <w:r w:rsidRPr="00F45DBE">
        <w:t xml:space="preserve"> scripts (atezolizumab) and </w:t>
      </w:r>
      <w:r w:rsidR="008A0CD0">
        <w:rPr>
          <w:noProof/>
          <w:color w:val="000000"/>
          <w:highlight w:val="black"/>
        </w:rPr>
        <w:t>''''''''''''''</w:t>
      </w:r>
      <w:r w:rsidRPr="00F45DBE">
        <w:t xml:space="preserve"> scripts</w:t>
      </w:r>
      <w:r w:rsidRPr="00E63DF4">
        <w:t xml:space="preserve"> (bevacizumab) per year as estimated by the submission</w:t>
      </w:r>
      <w:bookmarkEnd w:id="32"/>
      <w:r w:rsidRPr="00E63DF4">
        <w:t>.</w:t>
      </w:r>
    </w:p>
    <w:p w:rsidR="00A21B2D" w:rsidRDefault="00A21B2D" w:rsidP="004C57A4">
      <w:pPr>
        <w:pStyle w:val="TableFigureFooter"/>
      </w:pPr>
    </w:p>
    <w:p w:rsidR="00A21B2D" w:rsidRPr="00A21B2D" w:rsidRDefault="00A21B2D" w:rsidP="004C57A4">
      <w:pPr>
        <w:pStyle w:val="TableFigureFooter"/>
        <w:rPr>
          <w:rFonts w:ascii="Calibri" w:hAnsi="Calibri" w:cs="Calibri"/>
          <w:i/>
          <w:sz w:val="24"/>
          <w:szCs w:val="24"/>
        </w:rPr>
      </w:pPr>
      <w:r>
        <w:rPr>
          <w:rFonts w:ascii="Calibri" w:hAnsi="Calibri" w:cs="Calibri"/>
          <w:i/>
          <w:sz w:val="24"/>
          <w:szCs w:val="24"/>
        </w:rPr>
        <w:t xml:space="preserve">The redacted table shows that at Year 6, the estimated number of patients treated was 500 &lt; 5,000; the estimated number of scripts dispensed was 20,000 &lt; 30,000; and the net cost to the PBS would be $10 million to &lt; $20 million. </w:t>
      </w:r>
    </w:p>
    <w:p w:rsidR="007C12AF" w:rsidRPr="00E63DF4" w:rsidRDefault="00D53F02" w:rsidP="00ED7BAC">
      <w:pPr>
        <w:pStyle w:val="3-BodyText"/>
      </w:pPr>
      <w:r w:rsidRPr="00E63DF4">
        <w:rPr>
          <w:iCs/>
        </w:rPr>
        <w:t xml:space="preserve">The ESC noted that utilisation data for sorafenib and lenvatinib provided by the DUSC </w:t>
      </w:r>
      <w:r w:rsidR="00804A8C" w:rsidRPr="00E63DF4">
        <w:rPr>
          <w:iCs/>
        </w:rPr>
        <w:t xml:space="preserve">Secretariat </w:t>
      </w:r>
      <w:r w:rsidRPr="00E63DF4">
        <w:rPr>
          <w:iCs/>
        </w:rPr>
        <w:t>indicated that there were 718 patients treated with a TKI for advanced HCC</w:t>
      </w:r>
      <w:r w:rsidR="005F6649" w:rsidRPr="00E63DF4">
        <w:rPr>
          <w:iCs/>
        </w:rPr>
        <w:t xml:space="preserve"> </w:t>
      </w:r>
      <w:r w:rsidR="005F6649" w:rsidRPr="00E63DF4">
        <w:rPr>
          <w:iCs/>
        </w:rPr>
        <w:lastRenderedPageBreak/>
        <w:t>in 2019</w:t>
      </w:r>
      <w:r w:rsidR="00804A8C" w:rsidRPr="00E63DF4">
        <w:rPr>
          <w:rStyle w:val="FootnoteReference"/>
          <w:iCs/>
        </w:rPr>
        <w:footnoteReference w:id="2"/>
      </w:r>
      <w:r w:rsidRPr="00E63DF4">
        <w:rPr>
          <w:iCs/>
        </w:rPr>
        <w:t>.</w:t>
      </w:r>
      <w:r w:rsidR="00D46409" w:rsidRPr="00E63DF4">
        <w:rPr>
          <w:iCs/>
        </w:rPr>
        <w:t xml:space="preserve"> The ESC noted that this is more than the number of patients estimated to be treated with </w:t>
      </w:r>
      <w:r w:rsidR="00E5007E" w:rsidRPr="00E63DF4">
        <w:rPr>
          <w:iCs/>
        </w:rPr>
        <w:t>A</w:t>
      </w:r>
      <w:r w:rsidR="00D46409" w:rsidRPr="00E63DF4">
        <w:rPr>
          <w:iCs/>
        </w:rPr>
        <w:t>tez</w:t>
      </w:r>
      <w:r w:rsidR="00E5007E" w:rsidRPr="00E63DF4">
        <w:rPr>
          <w:iCs/>
        </w:rPr>
        <w:t>o</w:t>
      </w:r>
      <w:r w:rsidR="00D46409" w:rsidRPr="00E63DF4">
        <w:rPr>
          <w:iCs/>
        </w:rPr>
        <w:t>+</w:t>
      </w:r>
      <w:r w:rsidR="00E5007E" w:rsidRPr="00E63DF4">
        <w:rPr>
          <w:iCs/>
        </w:rPr>
        <w:t>B</w:t>
      </w:r>
      <w:r w:rsidR="00D46409" w:rsidRPr="00E63DF4">
        <w:rPr>
          <w:iCs/>
        </w:rPr>
        <w:t xml:space="preserve">ev in </w:t>
      </w:r>
      <w:r w:rsidR="00E5007E" w:rsidRPr="00E63DF4">
        <w:rPr>
          <w:iCs/>
        </w:rPr>
        <w:t>Y</w:t>
      </w:r>
      <w:r w:rsidR="00D46409" w:rsidRPr="00E63DF4">
        <w:rPr>
          <w:iCs/>
        </w:rPr>
        <w:t>ear 1</w:t>
      </w:r>
      <w:r w:rsidR="00A1413E" w:rsidRPr="00E63DF4">
        <w:rPr>
          <w:iCs/>
        </w:rPr>
        <w:t xml:space="preserve"> </w:t>
      </w:r>
      <w:r w:rsidR="00A1413E" w:rsidRPr="00E47017">
        <w:rPr>
          <w:iCs/>
        </w:rPr>
        <w:t>(</w:t>
      </w:r>
      <w:r w:rsidR="00E47017">
        <w:rPr>
          <w:iCs/>
        </w:rPr>
        <w:t>500 to &lt; 5,000</w:t>
      </w:r>
      <w:r w:rsidR="00A1413E" w:rsidRPr="00E47017">
        <w:rPr>
          <w:iCs/>
        </w:rPr>
        <w:t>)</w:t>
      </w:r>
      <w:r w:rsidR="00FE524A" w:rsidRPr="00E47017">
        <w:rPr>
          <w:iCs/>
        </w:rPr>
        <w:t xml:space="preserve">, </w:t>
      </w:r>
      <w:r w:rsidR="00FE524A" w:rsidRPr="00E63DF4">
        <w:rPr>
          <w:iCs/>
        </w:rPr>
        <w:t xml:space="preserve">although </w:t>
      </w:r>
      <w:r w:rsidR="00B6096B" w:rsidRPr="00E63DF4">
        <w:rPr>
          <w:iCs/>
        </w:rPr>
        <w:t xml:space="preserve">it may be </w:t>
      </w:r>
      <w:r w:rsidR="00FE524A" w:rsidRPr="00E63DF4">
        <w:rPr>
          <w:iCs/>
        </w:rPr>
        <w:t>consistent with the use of Atezo+Bev only in patients with a WHO PS of 0 and 1</w:t>
      </w:r>
      <w:r w:rsidR="00A1413E" w:rsidRPr="00E63DF4">
        <w:rPr>
          <w:rFonts w:cs="Calibri"/>
          <w:bCs/>
          <w:szCs w:val="22"/>
        </w:rPr>
        <w:t>.</w:t>
      </w:r>
      <w:r w:rsidR="00ED7BAC" w:rsidRPr="00E63DF4">
        <w:rPr>
          <w:iCs/>
        </w:rPr>
        <w:t xml:space="preserve"> </w:t>
      </w:r>
      <w:r w:rsidR="00A1413E" w:rsidRPr="00E63DF4">
        <w:rPr>
          <w:iCs/>
        </w:rPr>
        <w:t xml:space="preserve">The </w:t>
      </w:r>
      <w:r w:rsidR="00ED7BAC" w:rsidRPr="00E63DF4">
        <w:rPr>
          <w:iCs/>
        </w:rPr>
        <w:t xml:space="preserve">ESC </w:t>
      </w:r>
      <w:r w:rsidR="00A1413E" w:rsidRPr="00E63DF4">
        <w:rPr>
          <w:iCs/>
        </w:rPr>
        <w:t xml:space="preserve">considered </w:t>
      </w:r>
      <w:r w:rsidR="00D46409" w:rsidRPr="00E63DF4">
        <w:rPr>
          <w:iCs/>
        </w:rPr>
        <w:t xml:space="preserve">that a </w:t>
      </w:r>
      <w:r w:rsidR="0066410C">
        <w:rPr>
          <w:iCs/>
        </w:rPr>
        <w:t>R</w:t>
      </w:r>
      <w:r w:rsidR="0066410C" w:rsidRPr="00E63DF4">
        <w:rPr>
          <w:iCs/>
        </w:rPr>
        <w:t xml:space="preserve">isk </w:t>
      </w:r>
      <w:r w:rsidR="0066410C">
        <w:rPr>
          <w:iCs/>
        </w:rPr>
        <w:t>S</w:t>
      </w:r>
      <w:r w:rsidR="0066410C" w:rsidRPr="00E63DF4">
        <w:rPr>
          <w:iCs/>
        </w:rPr>
        <w:t xml:space="preserve">haring </w:t>
      </w:r>
      <w:r w:rsidR="0066410C">
        <w:rPr>
          <w:iCs/>
        </w:rPr>
        <w:t>A</w:t>
      </w:r>
      <w:r w:rsidR="0066410C" w:rsidRPr="00E63DF4">
        <w:rPr>
          <w:iCs/>
        </w:rPr>
        <w:t xml:space="preserve">rrangement </w:t>
      </w:r>
      <w:r w:rsidR="00ED7BAC" w:rsidRPr="00E63DF4">
        <w:rPr>
          <w:iCs/>
        </w:rPr>
        <w:t>may be appropriate</w:t>
      </w:r>
      <w:r w:rsidR="00D46409" w:rsidRPr="00E63DF4">
        <w:rPr>
          <w:iCs/>
        </w:rPr>
        <w:t xml:space="preserve"> to manage the risk of the financial</w:t>
      </w:r>
      <w:r w:rsidR="0036620B" w:rsidRPr="00E63DF4">
        <w:rPr>
          <w:iCs/>
        </w:rPr>
        <w:t xml:space="preserve"> implications</w:t>
      </w:r>
      <w:r w:rsidR="00D46409" w:rsidRPr="00E63DF4">
        <w:rPr>
          <w:iCs/>
        </w:rPr>
        <w:t xml:space="preserve"> substantially exceeding those presented in the submission.</w:t>
      </w:r>
      <w:r w:rsidR="00ED7BAC" w:rsidRPr="00E63DF4">
        <w:rPr>
          <w:iCs/>
        </w:rPr>
        <w:t xml:space="preserve"> The pre-PBAC response stated that </w:t>
      </w:r>
      <w:r w:rsidR="00ED7BAC" w:rsidRPr="00E63DF4">
        <w:rPr>
          <w:rFonts w:cs="Calibri"/>
          <w:bCs/>
          <w:szCs w:val="22"/>
        </w:rPr>
        <w:t xml:space="preserve">triangulation using an alternative approach informed by DUSC and published Australian literature infers that 632 of the 718 patients treated with a TKI would meet ECOG PS 0-1 criteria, given that 88% of patients treated with sorafenib have an ECOG PS of 0-1 (Table 1, Doyle 2016). </w:t>
      </w:r>
    </w:p>
    <w:p w:rsidR="00A37F2E" w:rsidRPr="00E63DF4" w:rsidRDefault="00A37F2E" w:rsidP="00A37F2E">
      <w:pPr>
        <w:pStyle w:val="3-BodyText"/>
      </w:pPr>
      <w:r w:rsidRPr="00E63DF4">
        <w:t xml:space="preserve">Key results of univariate sensitivity analyses presented in the submission are provided in Table 19. The results showed that the estimates were most sensitive in Year 1 to the change in the assumed uptake rate, to the assumed proportion of patients with WHO PS 0-1 and to the assumed proportion of patients who received TACE. </w:t>
      </w:r>
      <w:r w:rsidRPr="00E63DF4">
        <w:rPr>
          <w:iCs/>
        </w:rPr>
        <w:t>An additional sensitivity analysis was conducted as part of the evaluation by estimating the impact of a lower replacement rate for sorafenib and lenvatinib scripts (from 88% to 50%), resulting in an increase in the estimated net cost to the PBS/RPBS</w:t>
      </w:r>
      <w:r w:rsidRPr="00E63DF4">
        <w:t>.</w:t>
      </w:r>
    </w:p>
    <w:p w:rsidR="007B57C4" w:rsidRPr="0015565F" w:rsidDel="00ED45BE" w:rsidRDefault="007B57C4" w:rsidP="004C57A4">
      <w:pPr>
        <w:pStyle w:val="TableFigureHeading"/>
        <w:rPr>
          <w:rStyle w:val="CommentReference"/>
          <w:b/>
          <w:szCs w:val="24"/>
        </w:rPr>
      </w:pPr>
      <w:r w:rsidRPr="0015565F" w:rsidDel="00ED45BE">
        <w:rPr>
          <w:rStyle w:val="CommentReference"/>
          <w:b/>
          <w:szCs w:val="24"/>
        </w:rPr>
        <w:t xml:space="preserve">Table </w:t>
      </w:r>
      <w:r w:rsidR="004549D6" w:rsidRPr="0015565F">
        <w:rPr>
          <w:rStyle w:val="CommentReference"/>
          <w:b/>
          <w:szCs w:val="24"/>
        </w:rPr>
        <w:t>19</w:t>
      </w:r>
      <w:r w:rsidRPr="0015565F">
        <w:rPr>
          <w:rStyle w:val="CommentReference"/>
          <w:b/>
          <w:szCs w:val="24"/>
        </w:rPr>
        <w:t>:</w:t>
      </w:r>
      <w:r w:rsidRPr="0015565F" w:rsidDel="00ED45BE">
        <w:rPr>
          <w:rStyle w:val="CommentReference"/>
          <w:b/>
          <w:szCs w:val="24"/>
        </w:rPr>
        <w:t xml:space="preserve"> </w:t>
      </w:r>
      <w:r w:rsidR="00B747A3" w:rsidRPr="0015565F">
        <w:rPr>
          <w:rStyle w:val="CommentReference"/>
          <w:b/>
          <w:szCs w:val="24"/>
        </w:rPr>
        <w:t>Key u</w:t>
      </w:r>
      <w:r w:rsidRPr="0015565F">
        <w:rPr>
          <w:rStyle w:val="CommentReference"/>
          <w:b/>
          <w:szCs w:val="24"/>
        </w:rPr>
        <w:t>nivariate</w:t>
      </w:r>
      <w:r w:rsidR="00C71C62" w:rsidRPr="0015565F">
        <w:rPr>
          <w:rStyle w:val="CommentReference"/>
          <w:b/>
          <w:szCs w:val="24"/>
        </w:rPr>
        <w:t xml:space="preserve"> sensitivity analysis for estimated cost to PBS/RPBS (Atezo+Bev effective prices)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8"/>
        <w:gridCol w:w="995"/>
        <w:gridCol w:w="1055"/>
        <w:gridCol w:w="1057"/>
        <w:gridCol w:w="1060"/>
        <w:gridCol w:w="1055"/>
        <w:gridCol w:w="1060"/>
        <w:gridCol w:w="1060"/>
      </w:tblGrid>
      <w:tr w:rsidR="00F76C0A" w:rsidRPr="0015565F" w:rsidDel="00ED45BE" w:rsidTr="0015565F">
        <w:trPr>
          <w:trHeight w:val="207"/>
          <w:jc w:val="center"/>
        </w:trPr>
        <w:tc>
          <w:tcPr>
            <w:tcW w:w="1491" w:type="pct"/>
            <w:gridSpan w:val="2"/>
            <w:tcBorders>
              <w:top w:val="single" w:sz="4" w:space="0" w:color="auto"/>
              <w:left w:val="single" w:sz="4" w:space="0" w:color="auto"/>
              <w:bottom w:val="single" w:sz="4" w:space="0" w:color="auto"/>
              <w:right w:val="single" w:sz="4" w:space="0" w:color="auto"/>
            </w:tcBorders>
            <w:hideMark/>
          </w:tcPr>
          <w:p w:rsidR="00F76C0A" w:rsidRPr="0015565F" w:rsidDel="00ED45BE" w:rsidRDefault="00F76C0A" w:rsidP="00F76C0A">
            <w:pPr>
              <w:pStyle w:val="TableHeadingRow"/>
              <w:keepLines/>
              <w:jc w:val="left"/>
              <w:rPr>
                <w:rFonts w:ascii="Arial Narrow" w:hAnsi="Arial Narrow"/>
              </w:rPr>
            </w:pPr>
            <w:r w:rsidRPr="0015565F">
              <w:rPr>
                <w:rFonts w:ascii="Arial Narrow" w:hAnsi="Arial Narrow"/>
              </w:rPr>
              <w:t>Year</w:t>
            </w:r>
          </w:p>
        </w:tc>
        <w:tc>
          <w:tcPr>
            <w:tcW w:w="584" w:type="pct"/>
            <w:tcBorders>
              <w:top w:val="single" w:sz="4" w:space="0" w:color="auto"/>
              <w:left w:val="single" w:sz="4" w:space="0" w:color="auto"/>
              <w:bottom w:val="single" w:sz="4" w:space="0" w:color="auto"/>
              <w:right w:val="single" w:sz="4" w:space="0" w:color="auto"/>
            </w:tcBorders>
          </w:tcPr>
          <w:p w:rsidR="00F76C0A" w:rsidRPr="0015565F" w:rsidDel="00ED45BE" w:rsidRDefault="00F76C0A" w:rsidP="00DD707C">
            <w:pPr>
              <w:pStyle w:val="TableHeadingRow"/>
              <w:keepLines/>
              <w:rPr>
                <w:rFonts w:ascii="Arial Narrow" w:hAnsi="Arial Narrow"/>
              </w:rPr>
            </w:pPr>
            <w:r w:rsidRPr="0015565F" w:rsidDel="00ED45BE">
              <w:rPr>
                <w:rFonts w:ascii="Arial Narrow" w:hAnsi="Arial Narrow"/>
              </w:rPr>
              <w:t>2020</w:t>
            </w:r>
          </w:p>
        </w:tc>
        <w:tc>
          <w:tcPr>
            <w:tcW w:w="585" w:type="pct"/>
            <w:tcBorders>
              <w:top w:val="single" w:sz="4" w:space="0" w:color="auto"/>
              <w:left w:val="single" w:sz="4" w:space="0" w:color="auto"/>
              <w:bottom w:val="single" w:sz="4" w:space="0" w:color="auto"/>
              <w:right w:val="single" w:sz="4" w:space="0" w:color="auto"/>
            </w:tcBorders>
            <w:hideMark/>
          </w:tcPr>
          <w:p w:rsidR="00F76C0A" w:rsidRPr="0015565F" w:rsidDel="00ED45BE" w:rsidRDefault="00F76C0A" w:rsidP="00DD707C">
            <w:pPr>
              <w:pStyle w:val="TableHeadingRow"/>
              <w:keepLines/>
              <w:rPr>
                <w:rFonts w:ascii="Arial Narrow" w:hAnsi="Arial Narrow"/>
              </w:rPr>
            </w:pPr>
            <w:r w:rsidRPr="0015565F" w:rsidDel="00ED45BE">
              <w:rPr>
                <w:rFonts w:ascii="Arial Narrow" w:hAnsi="Arial Narrow"/>
              </w:rPr>
              <w:t>2021</w:t>
            </w:r>
          </w:p>
        </w:tc>
        <w:tc>
          <w:tcPr>
            <w:tcW w:w="585" w:type="pct"/>
            <w:tcBorders>
              <w:top w:val="single" w:sz="4" w:space="0" w:color="auto"/>
              <w:left w:val="single" w:sz="4" w:space="0" w:color="auto"/>
              <w:bottom w:val="single" w:sz="4" w:space="0" w:color="auto"/>
              <w:right w:val="single" w:sz="4" w:space="0" w:color="auto"/>
            </w:tcBorders>
            <w:hideMark/>
          </w:tcPr>
          <w:p w:rsidR="00F76C0A" w:rsidRPr="0015565F" w:rsidDel="00ED45BE" w:rsidRDefault="00F76C0A" w:rsidP="00DD707C">
            <w:pPr>
              <w:pStyle w:val="TableHeadingRow"/>
              <w:keepLines/>
              <w:rPr>
                <w:rFonts w:ascii="Arial Narrow" w:hAnsi="Arial Narrow"/>
              </w:rPr>
            </w:pPr>
            <w:r w:rsidRPr="0015565F" w:rsidDel="00ED45BE">
              <w:rPr>
                <w:rFonts w:ascii="Arial Narrow" w:hAnsi="Arial Narrow"/>
              </w:rPr>
              <w:t>2022</w:t>
            </w:r>
          </w:p>
        </w:tc>
        <w:tc>
          <w:tcPr>
            <w:tcW w:w="584" w:type="pct"/>
            <w:tcBorders>
              <w:top w:val="single" w:sz="4" w:space="0" w:color="auto"/>
              <w:left w:val="single" w:sz="4" w:space="0" w:color="auto"/>
              <w:bottom w:val="single" w:sz="4" w:space="0" w:color="auto"/>
              <w:right w:val="single" w:sz="4" w:space="0" w:color="auto"/>
            </w:tcBorders>
            <w:hideMark/>
          </w:tcPr>
          <w:p w:rsidR="00F76C0A" w:rsidRPr="0015565F" w:rsidDel="00ED45BE" w:rsidRDefault="00F76C0A" w:rsidP="00DD707C">
            <w:pPr>
              <w:pStyle w:val="TableHeadingRow"/>
              <w:keepLines/>
              <w:rPr>
                <w:rFonts w:ascii="Arial Narrow" w:hAnsi="Arial Narrow"/>
              </w:rPr>
            </w:pPr>
            <w:r w:rsidRPr="0015565F" w:rsidDel="00ED45BE">
              <w:rPr>
                <w:rFonts w:ascii="Arial Narrow" w:hAnsi="Arial Narrow"/>
              </w:rPr>
              <w:t>2023</w:t>
            </w:r>
          </w:p>
        </w:tc>
        <w:tc>
          <w:tcPr>
            <w:tcW w:w="585" w:type="pct"/>
            <w:tcBorders>
              <w:top w:val="single" w:sz="4" w:space="0" w:color="auto"/>
              <w:left w:val="single" w:sz="4" w:space="0" w:color="auto"/>
              <w:bottom w:val="single" w:sz="4" w:space="0" w:color="auto"/>
              <w:right w:val="single" w:sz="4" w:space="0" w:color="auto"/>
            </w:tcBorders>
            <w:hideMark/>
          </w:tcPr>
          <w:p w:rsidR="00F76C0A" w:rsidRPr="0015565F" w:rsidDel="00ED45BE" w:rsidRDefault="00F76C0A" w:rsidP="00DD707C">
            <w:pPr>
              <w:pStyle w:val="TableHeadingRow"/>
              <w:keepLines/>
              <w:rPr>
                <w:rFonts w:ascii="Arial Narrow" w:hAnsi="Arial Narrow"/>
              </w:rPr>
            </w:pPr>
            <w:r w:rsidRPr="0015565F" w:rsidDel="00ED45BE">
              <w:rPr>
                <w:rFonts w:ascii="Arial Narrow" w:hAnsi="Arial Narrow"/>
              </w:rPr>
              <w:t>2024</w:t>
            </w:r>
          </w:p>
        </w:tc>
        <w:tc>
          <w:tcPr>
            <w:tcW w:w="585" w:type="pct"/>
            <w:tcBorders>
              <w:top w:val="single" w:sz="4" w:space="0" w:color="auto"/>
              <w:left w:val="single" w:sz="4" w:space="0" w:color="auto"/>
              <w:bottom w:val="single" w:sz="4" w:space="0" w:color="auto"/>
              <w:right w:val="single" w:sz="4" w:space="0" w:color="auto"/>
            </w:tcBorders>
            <w:hideMark/>
          </w:tcPr>
          <w:p w:rsidR="00F76C0A" w:rsidRPr="0015565F" w:rsidDel="00ED45BE" w:rsidRDefault="00F76C0A" w:rsidP="00DD707C">
            <w:pPr>
              <w:pStyle w:val="TableHeadingRow"/>
              <w:keepLines/>
              <w:rPr>
                <w:rFonts w:ascii="Arial Narrow" w:hAnsi="Arial Narrow"/>
              </w:rPr>
            </w:pPr>
            <w:r w:rsidRPr="0015565F" w:rsidDel="00ED45BE">
              <w:rPr>
                <w:rFonts w:ascii="Arial Narrow" w:hAnsi="Arial Narrow"/>
              </w:rPr>
              <w:t>2025</w:t>
            </w:r>
          </w:p>
        </w:tc>
      </w:tr>
      <w:tr w:rsidR="0015565F" w:rsidRPr="0015565F" w:rsidDel="00ED45BE" w:rsidTr="0015565F">
        <w:trPr>
          <w:trHeight w:val="207"/>
          <w:jc w:val="center"/>
        </w:trPr>
        <w:tc>
          <w:tcPr>
            <w:tcW w:w="1491" w:type="pct"/>
            <w:gridSpan w:val="2"/>
            <w:tcBorders>
              <w:top w:val="single" w:sz="4" w:space="0" w:color="auto"/>
              <w:left w:val="single" w:sz="4" w:space="0" w:color="auto"/>
              <w:bottom w:val="single" w:sz="4" w:space="0" w:color="auto"/>
              <w:right w:val="single" w:sz="4" w:space="0" w:color="auto"/>
            </w:tcBorders>
            <w:hideMark/>
          </w:tcPr>
          <w:p w:rsidR="0015565F" w:rsidRPr="0015565F" w:rsidDel="00ED45BE" w:rsidRDefault="0015565F" w:rsidP="0015565F">
            <w:pPr>
              <w:pStyle w:val="TableText1"/>
              <w:keepNext/>
              <w:keepLines/>
              <w:rPr>
                <w:rFonts w:ascii="Arial Narrow" w:hAnsi="Arial Narrow"/>
                <w:b/>
              </w:rPr>
            </w:pPr>
            <w:r w:rsidRPr="0015565F">
              <w:rPr>
                <w:rFonts w:ascii="Arial Narrow" w:hAnsi="Arial Narrow"/>
                <w:b/>
              </w:rPr>
              <w:t>Base case</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r>
      <w:tr w:rsidR="0062692C" w:rsidRPr="0015565F" w:rsidDel="00ED45BE" w:rsidTr="0015565F">
        <w:trPr>
          <w:trHeight w:val="207"/>
          <w:jc w:val="center"/>
        </w:trPr>
        <w:tc>
          <w:tcPr>
            <w:tcW w:w="940" w:type="pct"/>
            <w:tcBorders>
              <w:top w:val="single" w:sz="4" w:space="0" w:color="auto"/>
              <w:left w:val="single" w:sz="4" w:space="0" w:color="auto"/>
              <w:bottom w:val="single" w:sz="4" w:space="0" w:color="auto"/>
              <w:right w:val="single" w:sz="4" w:space="0" w:color="auto"/>
            </w:tcBorders>
          </w:tcPr>
          <w:p w:rsidR="00F76C0A" w:rsidRPr="0015565F" w:rsidRDefault="00F76C0A" w:rsidP="008A2C83">
            <w:pPr>
              <w:pStyle w:val="TableText1"/>
              <w:keepNext/>
              <w:keepLines/>
              <w:rPr>
                <w:rFonts w:ascii="Arial Narrow" w:hAnsi="Arial Narrow"/>
                <w:i/>
              </w:rPr>
            </w:pPr>
            <w:r w:rsidRPr="0015565F">
              <w:rPr>
                <w:rFonts w:ascii="Arial Narrow" w:hAnsi="Arial Narrow"/>
                <w:i/>
              </w:rPr>
              <w:t>Variable or assumption</w:t>
            </w:r>
          </w:p>
        </w:tc>
        <w:tc>
          <w:tcPr>
            <w:tcW w:w="551" w:type="pct"/>
            <w:tcBorders>
              <w:top w:val="single" w:sz="4" w:space="0" w:color="auto"/>
              <w:left w:val="single" w:sz="4" w:space="0" w:color="auto"/>
              <w:bottom w:val="single" w:sz="4" w:space="0" w:color="auto"/>
              <w:right w:val="single" w:sz="4" w:space="0" w:color="auto"/>
            </w:tcBorders>
          </w:tcPr>
          <w:p w:rsidR="00F76C0A" w:rsidRPr="0015565F" w:rsidDel="00ED45BE" w:rsidRDefault="00F76C0A" w:rsidP="00DD707C">
            <w:pPr>
              <w:pStyle w:val="TableText1"/>
              <w:keepNext/>
              <w:keepLines/>
              <w:jc w:val="center"/>
              <w:rPr>
                <w:rFonts w:ascii="Arial Narrow" w:hAnsi="Arial Narrow"/>
                <w:i/>
              </w:rPr>
            </w:pPr>
            <w:r w:rsidRPr="0015565F">
              <w:rPr>
                <w:rFonts w:ascii="Arial Narrow" w:hAnsi="Arial Narrow"/>
                <w:i/>
              </w:rPr>
              <w:t>Base case value</w:t>
            </w:r>
          </w:p>
        </w:tc>
        <w:tc>
          <w:tcPr>
            <w:tcW w:w="584" w:type="pct"/>
            <w:tcBorders>
              <w:top w:val="single" w:sz="4" w:space="0" w:color="auto"/>
              <w:left w:val="single" w:sz="4" w:space="0" w:color="auto"/>
              <w:bottom w:val="single" w:sz="4" w:space="0" w:color="auto"/>
              <w:right w:val="single" w:sz="4" w:space="0" w:color="auto"/>
            </w:tcBorders>
            <w:vAlign w:val="center"/>
          </w:tcPr>
          <w:p w:rsidR="00F76C0A" w:rsidRPr="00A21B2D" w:rsidDel="00ED45BE" w:rsidRDefault="00F76C0A" w:rsidP="00DD707C">
            <w:pPr>
              <w:pStyle w:val="TableText1"/>
              <w:keepNext/>
              <w:keepLines/>
              <w:jc w:val="center"/>
              <w:rPr>
                <w:rFonts w:ascii="Arial Narrow" w:hAnsi="Arial Narrow"/>
              </w:rPr>
            </w:pPr>
          </w:p>
        </w:tc>
        <w:tc>
          <w:tcPr>
            <w:tcW w:w="585" w:type="pct"/>
            <w:tcBorders>
              <w:top w:val="single" w:sz="4" w:space="0" w:color="auto"/>
              <w:left w:val="single" w:sz="4" w:space="0" w:color="auto"/>
              <w:bottom w:val="single" w:sz="4" w:space="0" w:color="auto"/>
              <w:right w:val="single" w:sz="4" w:space="0" w:color="auto"/>
            </w:tcBorders>
            <w:vAlign w:val="center"/>
          </w:tcPr>
          <w:p w:rsidR="00F76C0A" w:rsidRPr="00A21B2D" w:rsidDel="00ED45BE" w:rsidRDefault="00F76C0A" w:rsidP="00DD707C">
            <w:pPr>
              <w:pStyle w:val="TableText1"/>
              <w:keepNext/>
              <w:keepLines/>
              <w:jc w:val="center"/>
              <w:rPr>
                <w:rFonts w:ascii="Arial Narrow" w:hAnsi="Arial Narrow"/>
              </w:rPr>
            </w:pPr>
          </w:p>
        </w:tc>
        <w:tc>
          <w:tcPr>
            <w:tcW w:w="585" w:type="pct"/>
            <w:tcBorders>
              <w:top w:val="single" w:sz="4" w:space="0" w:color="auto"/>
              <w:left w:val="single" w:sz="4" w:space="0" w:color="auto"/>
              <w:bottom w:val="single" w:sz="4" w:space="0" w:color="auto"/>
              <w:right w:val="single" w:sz="4" w:space="0" w:color="auto"/>
            </w:tcBorders>
            <w:vAlign w:val="center"/>
          </w:tcPr>
          <w:p w:rsidR="00F76C0A" w:rsidRPr="00A21B2D" w:rsidDel="00ED45BE" w:rsidRDefault="00F76C0A" w:rsidP="00DD707C">
            <w:pPr>
              <w:pStyle w:val="TableText1"/>
              <w:keepNext/>
              <w:keepLines/>
              <w:jc w:val="center"/>
              <w:rPr>
                <w:rFonts w:ascii="Arial Narrow" w:hAnsi="Arial Narrow"/>
              </w:rPr>
            </w:pPr>
          </w:p>
        </w:tc>
        <w:tc>
          <w:tcPr>
            <w:tcW w:w="584" w:type="pct"/>
            <w:tcBorders>
              <w:top w:val="single" w:sz="4" w:space="0" w:color="auto"/>
              <w:left w:val="single" w:sz="4" w:space="0" w:color="auto"/>
              <w:bottom w:val="single" w:sz="4" w:space="0" w:color="auto"/>
              <w:right w:val="single" w:sz="4" w:space="0" w:color="auto"/>
            </w:tcBorders>
            <w:vAlign w:val="center"/>
          </w:tcPr>
          <w:p w:rsidR="00F76C0A" w:rsidRPr="00A21B2D" w:rsidDel="00ED45BE" w:rsidRDefault="00F76C0A" w:rsidP="00DD707C">
            <w:pPr>
              <w:pStyle w:val="TableText1"/>
              <w:keepNext/>
              <w:keepLines/>
              <w:jc w:val="center"/>
              <w:rPr>
                <w:rFonts w:ascii="Arial Narrow" w:hAnsi="Arial Narrow"/>
              </w:rPr>
            </w:pPr>
          </w:p>
        </w:tc>
        <w:tc>
          <w:tcPr>
            <w:tcW w:w="585" w:type="pct"/>
            <w:tcBorders>
              <w:top w:val="single" w:sz="4" w:space="0" w:color="auto"/>
              <w:left w:val="single" w:sz="4" w:space="0" w:color="auto"/>
              <w:bottom w:val="single" w:sz="4" w:space="0" w:color="auto"/>
              <w:right w:val="single" w:sz="4" w:space="0" w:color="auto"/>
            </w:tcBorders>
            <w:vAlign w:val="center"/>
          </w:tcPr>
          <w:p w:rsidR="00F76C0A" w:rsidRPr="00A21B2D" w:rsidDel="00ED45BE" w:rsidRDefault="00F76C0A" w:rsidP="00DD707C">
            <w:pPr>
              <w:pStyle w:val="TableText1"/>
              <w:keepNext/>
              <w:keepLines/>
              <w:jc w:val="center"/>
              <w:rPr>
                <w:rFonts w:ascii="Arial Narrow" w:hAnsi="Arial Narrow"/>
              </w:rPr>
            </w:pPr>
          </w:p>
        </w:tc>
        <w:tc>
          <w:tcPr>
            <w:tcW w:w="585" w:type="pct"/>
            <w:tcBorders>
              <w:top w:val="single" w:sz="4" w:space="0" w:color="auto"/>
              <w:left w:val="single" w:sz="4" w:space="0" w:color="auto"/>
              <w:bottom w:val="single" w:sz="4" w:space="0" w:color="auto"/>
              <w:right w:val="single" w:sz="4" w:space="0" w:color="auto"/>
            </w:tcBorders>
            <w:vAlign w:val="center"/>
          </w:tcPr>
          <w:p w:rsidR="00F76C0A" w:rsidRPr="00A21B2D" w:rsidDel="00ED45BE" w:rsidRDefault="00F76C0A" w:rsidP="00DD707C">
            <w:pPr>
              <w:pStyle w:val="TableText1"/>
              <w:keepNext/>
              <w:keepLines/>
              <w:jc w:val="center"/>
              <w:rPr>
                <w:rFonts w:ascii="Arial Narrow" w:hAnsi="Arial Narrow"/>
              </w:rPr>
            </w:pPr>
          </w:p>
        </w:tc>
      </w:tr>
      <w:tr w:rsidR="0015565F" w:rsidRPr="0015565F" w:rsidDel="00ED45BE" w:rsidTr="00440547">
        <w:trPr>
          <w:trHeight w:val="207"/>
          <w:jc w:val="center"/>
        </w:trPr>
        <w:tc>
          <w:tcPr>
            <w:tcW w:w="940" w:type="pct"/>
            <w:tcBorders>
              <w:top w:val="single" w:sz="4" w:space="0" w:color="auto"/>
              <w:left w:val="single" w:sz="4" w:space="0" w:color="auto"/>
              <w:bottom w:val="single" w:sz="4" w:space="0" w:color="auto"/>
              <w:right w:val="single" w:sz="4" w:space="0" w:color="auto"/>
            </w:tcBorders>
            <w:hideMark/>
          </w:tcPr>
          <w:p w:rsidR="0015565F" w:rsidRPr="0015565F" w:rsidDel="00ED45BE" w:rsidRDefault="0015565F" w:rsidP="0015565F">
            <w:pPr>
              <w:pStyle w:val="TableText1"/>
              <w:keepNext/>
              <w:keepLines/>
              <w:rPr>
                <w:rFonts w:ascii="Arial Narrow" w:hAnsi="Arial Narrow"/>
              </w:rPr>
            </w:pPr>
            <w:r w:rsidRPr="0015565F">
              <w:rPr>
                <w:rFonts w:ascii="Arial Narrow" w:hAnsi="Arial Narrow"/>
              </w:rPr>
              <w:t>P</w:t>
            </w:r>
            <w:r w:rsidRPr="0015565F" w:rsidDel="00ED45BE">
              <w:rPr>
                <w:rFonts w:ascii="Arial Narrow" w:hAnsi="Arial Narrow"/>
              </w:rPr>
              <w:t>atients receiving TACE Hong 2018</w:t>
            </w:r>
            <w:r w:rsidRPr="0015565F">
              <w:rPr>
                <w:rFonts w:ascii="Arial Narrow" w:hAnsi="Arial Narrow"/>
              </w:rPr>
              <w:t xml:space="preserve"> (24.0%)</w:t>
            </w:r>
          </w:p>
        </w:tc>
        <w:tc>
          <w:tcPr>
            <w:tcW w:w="551" w:type="pct"/>
            <w:tcBorders>
              <w:top w:val="single" w:sz="4" w:space="0" w:color="auto"/>
              <w:left w:val="single" w:sz="4" w:space="0" w:color="auto"/>
              <w:bottom w:val="single" w:sz="4" w:space="0" w:color="auto"/>
              <w:right w:val="single" w:sz="4" w:space="0" w:color="auto"/>
            </w:tcBorders>
            <w:vAlign w:val="center"/>
          </w:tcPr>
          <w:p w:rsidR="0015565F" w:rsidRPr="0015565F" w:rsidDel="00ED45BE" w:rsidRDefault="0015565F" w:rsidP="0015565F">
            <w:pPr>
              <w:pStyle w:val="TableText1"/>
              <w:keepNext/>
              <w:keepLines/>
              <w:jc w:val="center"/>
              <w:rPr>
                <w:rFonts w:ascii="Arial Narrow" w:hAnsi="Arial Narrow"/>
              </w:rPr>
            </w:pPr>
            <w:r w:rsidRPr="0015565F">
              <w:rPr>
                <w:rFonts w:ascii="Arial Narrow" w:hAnsi="Arial Narrow"/>
              </w:rPr>
              <w:t>45.7%</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r>
      <w:tr w:rsidR="0015565F" w:rsidRPr="0015565F" w:rsidDel="00ED45BE" w:rsidTr="00440547">
        <w:trPr>
          <w:trHeight w:val="207"/>
          <w:jc w:val="center"/>
        </w:trPr>
        <w:tc>
          <w:tcPr>
            <w:tcW w:w="940" w:type="pct"/>
            <w:tcBorders>
              <w:top w:val="single" w:sz="4" w:space="0" w:color="auto"/>
              <w:left w:val="single" w:sz="4" w:space="0" w:color="auto"/>
              <w:bottom w:val="single" w:sz="4" w:space="0" w:color="auto"/>
              <w:right w:val="single" w:sz="4" w:space="0" w:color="auto"/>
            </w:tcBorders>
            <w:hideMark/>
          </w:tcPr>
          <w:p w:rsidR="0015565F" w:rsidRPr="0015565F" w:rsidDel="00ED45BE" w:rsidRDefault="0015565F" w:rsidP="0015565F">
            <w:pPr>
              <w:pStyle w:val="TableText1"/>
              <w:keepNext/>
              <w:keepLines/>
              <w:rPr>
                <w:rFonts w:ascii="Arial Narrow" w:hAnsi="Arial Narrow"/>
              </w:rPr>
            </w:pPr>
            <w:r w:rsidRPr="0015565F">
              <w:rPr>
                <w:rFonts w:ascii="Arial Narrow" w:hAnsi="Arial Narrow"/>
              </w:rPr>
              <w:t>P</w:t>
            </w:r>
            <w:r w:rsidRPr="0015565F" w:rsidDel="00ED45BE">
              <w:rPr>
                <w:rFonts w:ascii="Arial Narrow" w:hAnsi="Arial Narrow"/>
              </w:rPr>
              <w:t>atients with ECOG PS 0 or 1 Hsu 2013</w:t>
            </w:r>
            <w:r w:rsidRPr="0015565F">
              <w:rPr>
                <w:rFonts w:ascii="Arial Narrow" w:hAnsi="Arial Narrow"/>
              </w:rPr>
              <w:t xml:space="preserve"> (77%)</w:t>
            </w:r>
          </w:p>
        </w:tc>
        <w:tc>
          <w:tcPr>
            <w:tcW w:w="551" w:type="pct"/>
            <w:tcBorders>
              <w:top w:val="single" w:sz="4" w:space="0" w:color="auto"/>
              <w:left w:val="single" w:sz="4" w:space="0" w:color="auto"/>
              <w:bottom w:val="single" w:sz="4" w:space="0" w:color="auto"/>
              <w:right w:val="single" w:sz="4" w:space="0" w:color="auto"/>
            </w:tcBorders>
            <w:vAlign w:val="center"/>
          </w:tcPr>
          <w:p w:rsidR="0015565F" w:rsidRPr="0015565F" w:rsidDel="00ED45BE" w:rsidRDefault="0015565F" w:rsidP="0015565F">
            <w:pPr>
              <w:pStyle w:val="TableText1"/>
              <w:keepNext/>
              <w:keepLines/>
              <w:jc w:val="center"/>
              <w:rPr>
                <w:rFonts w:ascii="Arial Narrow" w:hAnsi="Arial Narrow"/>
              </w:rPr>
            </w:pPr>
            <w:r w:rsidRPr="00A21B2D">
              <w:rPr>
                <w:rFonts w:ascii="Arial Narrow" w:hAnsi="Arial Narrow"/>
              </w:rPr>
              <w:t>87.4%</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r>
      <w:tr w:rsidR="0015565F" w:rsidRPr="0015565F" w:rsidDel="00ED45BE" w:rsidTr="00440547">
        <w:trPr>
          <w:trHeight w:val="207"/>
          <w:jc w:val="center"/>
        </w:trPr>
        <w:tc>
          <w:tcPr>
            <w:tcW w:w="940" w:type="pct"/>
            <w:tcBorders>
              <w:top w:val="single" w:sz="4" w:space="0" w:color="auto"/>
              <w:left w:val="single" w:sz="4" w:space="0" w:color="auto"/>
              <w:bottom w:val="single" w:sz="4" w:space="0" w:color="auto"/>
              <w:right w:val="single" w:sz="4" w:space="0" w:color="auto"/>
            </w:tcBorders>
            <w:hideMark/>
          </w:tcPr>
          <w:p w:rsidR="0015565F" w:rsidRPr="006B6F89" w:rsidDel="00ED45BE" w:rsidRDefault="0015565F" w:rsidP="0015565F">
            <w:pPr>
              <w:pStyle w:val="TableText1"/>
              <w:keepNext/>
              <w:keepLines/>
              <w:rPr>
                <w:rFonts w:ascii="Arial Narrow" w:hAnsi="Arial Narrow"/>
              </w:rPr>
            </w:pPr>
            <w:r w:rsidRPr="006B6F89">
              <w:rPr>
                <w:rFonts w:ascii="Arial Narrow" w:hAnsi="Arial Narrow"/>
              </w:rPr>
              <w:t>F</w:t>
            </w:r>
            <w:r w:rsidRPr="006B6F89" w:rsidDel="00ED45BE">
              <w:rPr>
                <w:rFonts w:ascii="Arial Narrow" w:hAnsi="Arial Narrow"/>
              </w:rPr>
              <w:t xml:space="preserve">irst year uptake rate </w:t>
            </w:r>
            <w:r w:rsidRPr="006B6F89">
              <w:rPr>
                <w:rFonts w:ascii="Arial Narrow" w:hAnsi="Arial Narrow"/>
              </w:rPr>
              <w:t>(</w:t>
            </w:r>
            <w:r w:rsidR="008A0CD0">
              <w:rPr>
                <w:rFonts w:ascii="Arial Narrow" w:hAnsi="Arial Narrow"/>
                <w:noProof/>
                <w:color w:val="000000"/>
                <w:highlight w:val="black"/>
              </w:rPr>
              <w:t>''''''</w:t>
            </w:r>
            <w:r w:rsidRPr="006B6F89" w:rsidDel="00ED45BE">
              <w:rPr>
                <w:rFonts w:ascii="Arial Narrow" w:hAnsi="Arial Narrow"/>
              </w:rPr>
              <w:t>%</w:t>
            </w:r>
            <w:r w:rsidRPr="006B6F89">
              <w:rPr>
                <w:rFonts w:ascii="Arial Narrow" w:hAnsi="Arial Narrow"/>
              </w:rPr>
              <w:t>)</w:t>
            </w:r>
          </w:p>
        </w:tc>
        <w:tc>
          <w:tcPr>
            <w:tcW w:w="551" w:type="pct"/>
            <w:tcBorders>
              <w:top w:val="single" w:sz="4" w:space="0" w:color="auto"/>
              <w:left w:val="single" w:sz="4" w:space="0" w:color="auto"/>
              <w:bottom w:val="single" w:sz="4" w:space="0" w:color="auto"/>
              <w:right w:val="single" w:sz="4" w:space="0" w:color="auto"/>
            </w:tcBorders>
            <w:vAlign w:val="center"/>
          </w:tcPr>
          <w:p w:rsidR="0015565F" w:rsidRPr="006B6F89" w:rsidDel="00ED45BE" w:rsidRDefault="008A0CD0" w:rsidP="0015565F">
            <w:pPr>
              <w:pStyle w:val="TableText1"/>
              <w:keepNext/>
              <w:keepLines/>
              <w:jc w:val="center"/>
              <w:rPr>
                <w:rFonts w:ascii="Arial Narrow" w:hAnsi="Arial Narrow"/>
              </w:rPr>
            </w:pPr>
            <w:r>
              <w:rPr>
                <w:rFonts w:ascii="Arial Narrow" w:hAnsi="Arial Narrow"/>
                <w:noProof/>
                <w:color w:val="000000"/>
                <w:highlight w:val="black"/>
              </w:rPr>
              <w:t>''''''</w:t>
            </w:r>
            <w:r w:rsidR="0015565F" w:rsidRPr="006B6F89" w:rsidDel="00ED45BE">
              <w:rPr>
                <w:rFonts w:ascii="Arial Narrow" w:hAnsi="Arial Narrow"/>
              </w:rPr>
              <w:t>%</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r>
      <w:tr w:rsidR="0015565F" w:rsidRPr="00E63DF4" w:rsidDel="00ED45BE" w:rsidTr="00440547">
        <w:trPr>
          <w:trHeight w:val="207"/>
          <w:jc w:val="center"/>
        </w:trPr>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15565F" w:rsidRPr="0015565F" w:rsidDel="00ED45BE" w:rsidRDefault="0015565F" w:rsidP="0015565F">
            <w:pPr>
              <w:pStyle w:val="TableText1"/>
              <w:keepNext/>
              <w:keepLines/>
              <w:rPr>
                <w:rFonts w:ascii="Arial Narrow" w:hAnsi="Arial Narrow"/>
                <w:iCs/>
              </w:rPr>
            </w:pPr>
            <w:r w:rsidRPr="0015565F">
              <w:rPr>
                <w:rFonts w:ascii="Arial Narrow" w:hAnsi="Arial Narrow"/>
                <w:iCs/>
              </w:rPr>
              <w:t>R</w:t>
            </w:r>
            <w:r w:rsidRPr="0015565F" w:rsidDel="00ED45BE">
              <w:rPr>
                <w:rFonts w:ascii="Arial Narrow" w:hAnsi="Arial Narrow"/>
                <w:iCs/>
              </w:rPr>
              <w:t>eplacement of sorafenib and lenvatinib scripts at 50%</w:t>
            </w:r>
            <w:r w:rsidRPr="0015565F">
              <w:rPr>
                <w:rFonts w:ascii="Arial Narrow" w:hAnsi="Arial Narrow"/>
                <w:iCs/>
              </w:rPr>
              <w:t xml:space="preserve"> of the total market</w:t>
            </w:r>
          </w:p>
        </w:tc>
        <w:tc>
          <w:tcPr>
            <w:tcW w:w="551" w:type="pct"/>
            <w:tcBorders>
              <w:top w:val="single" w:sz="4" w:space="0" w:color="auto"/>
              <w:left w:val="single" w:sz="4" w:space="0" w:color="auto"/>
              <w:bottom w:val="single" w:sz="4" w:space="0" w:color="auto"/>
              <w:right w:val="single" w:sz="4" w:space="0" w:color="auto"/>
            </w:tcBorders>
            <w:vAlign w:val="center"/>
          </w:tcPr>
          <w:p w:rsidR="0015565F" w:rsidRPr="0015565F" w:rsidDel="00ED45BE" w:rsidRDefault="0015565F" w:rsidP="0015565F">
            <w:pPr>
              <w:pStyle w:val="TableText1"/>
              <w:keepNext/>
              <w:keepLines/>
              <w:jc w:val="center"/>
              <w:rPr>
                <w:rFonts w:ascii="Arial Narrow" w:hAnsi="Arial Narrow" w:cs="Arial"/>
                <w:iCs/>
                <w:color w:val="000000"/>
              </w:rPr>
            </w:pPr>
            <w:r w:rsidRPr="0015565F">
              <w:rPr>
                <w:rFonts w:ascii="Arial Narrow" w:hAnsi="Arial Narrow"/>
                <w:iCs/>
              </w:rPr>
              <w:t>88</w:t>
            </w:r>
            <w:r w:rsidRPr="0015565F" w:rsidDel="00ED45BE">
              <w:rPr>
                <w:rFonts w:ascii="Arial Narrow" w:hAnsi="Arial Narrow"/>
                <w:iCs/>
              </w:rPr>
              <w:t>%</w:t>
            </w:r>
            <w:r w:rsidRPr="0015565F">
              <w:rPr>
                <w:rFonts w:ascii="Arial Narrow" w:hAnsi="Arial Narrow"/>
                <w:iCs/>
                <w:vertAlign w:val="superscript"/>
              </w:rPr>
              <w:t xml:space="preserve"> a</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4" w:type="pct"/>
            <w:tcBorders>
              <w:top w:val="single" w:sz="4" w:space="0" w:color="auto"/>
              <w:left w:val="nil"/>
              <w:bottom w:val="single" w:sz="4" w:space="0" w:color="auto"/>
              <w:right w:val="single" w:sz="4" w:space="0" w:color="auto"/>
            </w:tcBorders>
            <w:shd w:val="clear" w:color="auto" w:fill="auto"/>
            <w:vAlign w:val="center"/>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c>
          <w:tcPr>
            <w:tcW w:w="585" w:type="pct"/>
            <w:tcBorders>
              <w:top w:val="single" w:sz="4" w:space="0" w:color="auto"/>
              <w:left w:val="nil"/>
              <w:bottom w:val="single" w:sz="4" w:space="0" w:color="auto"/>
              <w:right w:val="single" w:sz="4" w:space="0" w:color="auto"/>
            </w:tcBorders>
            <w:shd w:val="clear" w:color="auto" w:fill="auto"/>
            <w:vAlign w:val="center"/>
          </w:tcPr>
          <w:p w:rsidR="0015565F" w:rsidRPr="00A21B2D" w:rsidRDefault="0015565F" w:rsidP="0015565F">
            <w:pPr>
              <w:pStyle w:val="TableText1"/>
              <w:keepNext/>
              <w:keepLines/>
              <w:jc w:val="center"/>
              <w:rPr>
                <w:rFonts w:ascii="Arial Narrow" w:hAnsi="Arial Narrow"/>
              </w:rPr>
            </w:pPr>
            <w:r w:rsidRPr="00A21B2D">
              <w:rPr>
                <w:rFonts w:ascii="Arial Narrow" w:hAnsi="Arial Narrow"/>
              </w:rPr>
              <w:t>$</w:t>
            </w:r>
            <w:r w:rsidR="008A0CD0">
              <w:rPr>
                <w:rFonts w:ascii="Arial Narrow" w:hAnsi="Arial Narrow"/>
                <w:noProof/>
                <w:color w:val="000000"/>
                <w:highlight w:val="black"/>
              </w:rPr>
              <w:t>''''''''''''''''''''''''''''</w:t>
            </w:r>
          </w:p>
        </w:tc>
      </w:tr>
    </w:tbl>
    <w:p w:rsidR="007B57C4" w:rsidRPr="00E63DF4" w:rsidDel="00ED45BE" w:rsidRDefault="007B57C4" w:rsidP="004C57A4">
      <w:pPr>
        <w:pStyle w:val="TableFigureFooter"/>
      </w:pPr>
      <w:r w:rsidRPr="00E63DF4" w:rsidDel="00ED45BE">
        <w:t>Source: Table 4.38, p162 and Table 2.40, p163 of the submission.</w:t>
      </w:r>
    </w:p>
    <w:p w:rsidR="007B57C4" w:rsidRPr="00E63DF4" w:rsidRDefault="00B747A3" w:rsidP="004C57A4">
      <w:pPr>
        <w:pStyle w:val="TableFigureFooter"/>
      </w:pPr>
      <w:r w:rsidRPr="00E63DF4">
        <w:t xml:space="preserve">Abbreviations: </w:t>
      </w:r>
      <w:r w:rsidR="007B57C4" w:rsidRPr="00E63DF4">
        <w:t>ECOG PS=Eastern Cooperative Oncology Group performance status; PBS=Pharmaceutical Benefits Scheme; RPBS=Repatriation Pharmaceutical Benefits Scheme; TACE = transarterial chemoembolisation.</w:t>
      </w:r>
    </w:p>
    <w:p w:rsidR="00BA51B0" w:rsidRPr="00E63DF4" w:rsidRDefault="001E0554" w:rsidP="004C57A4">
      <w:pPr>
        <w:pStyle w:val="TableFigureFooter"/>
      </w:pPr>
      <w:r w:rsidRPr="00E63DF4">
        <w:t xml:space="preserve">Note: </w:t>
      </w:r>
    </w:p>
    <w:p w:rsidR="00AB07C5" w:rsidRDefault="001E0554" w:rsidP="004C57A4">
      <w:pPr>
        <w:pStyle w:val="TableFigureFooter"/>
      </w:pPr>
      <w:r w:rsidRPr="00E63DF4">
        <w:t xml:space="preserve">a </w:t>
      </w:r>
      <w:r w:rsidR="00BA51B0" w:rsidRPr="00E63DF4">
        <w:t>T</w:t>
      </w:r>
      <w:r w:rsidRPr="00E63DF4">
        <w:t xml:space="preserve">he submission </w:t>
      </w:r>
      <w:r w:rsidR="00336CAD" w:rsidRPr="00E63DF4">
        <w:t xml:space="preserve">assumed that of the total sorafenib and </w:t>
      </w:r>
      <w:r w:rsidR="00A67887" w:rsidRPr="00E63DF4">
        <w:t>lenvatinib</w:t>
      </w:r>
      <w:r w:rsidR="00336CAD" w:rsidRPr="00E63DF4">
        <w:t xml:space="preserve"> HCC market that includes patients </w:t>
      </w:r>
      <w:r w:rsidR="00A67887" w:rsidRPr="00E63DF4">
        <w:t>with</w:t>
      </w:r>
      <w:r w:rsidR="00336CAD" w:rsidRPr="00E63DF4">
        <w:t xml:space="preserve"> WHO PS 0-2, 88% are </w:t>
      </w:r>
      <w:r w:rsidR="00A67887" w:rsidRPr="00E63DF4">
        <w:t>patients</w:t>
      </w:r>
      <w:r w:rsidR="00336CAD" w:rsidRPr="00E63DF4">
        <w:t xml:space="preserve"> with WHO PS 0-1. The </w:t>
      </w:r>
      <w:r w:rsidR="00A67887" w:rsidRPr="00E63DF4">
        <w:t>submission</w:t>
      </w:r>
      <w:r w:rsidR="00336CAD" w:rsidRPr="00E63DF4">
        <w:t xml:space="preserve"> assumed that 100% of patients with WHO PS 0-1 </w:t>
      </w:r>
      <w:r w:rsidR="00851906" w:rsidRPr="00E63DF4">
        <w:t>will be replace</w:t>
      </w:r>
      <w:r w:rsidR="00A67887" w:rsidRPr="00E63DF4">
        <w:t>d</w:t>
      </w:r>
      <w:r w:rsidR="00851906" w:rsidRPr="00E63DF4">
        <w:t xml:space="preserve"> by Atezo+Bev.</w:t>
      </w:r>
    </w:p>
    <w:p w:rsidR="00A21B2D" w:rsidRDefault="00A21B2D" w:rsidP="004C57A4">
      <w:pPr>
        <w:pStyle w:val="TableFigureFooter"/>
      </w:pPr>
    </w:p>
    <w:p w:rsidR="00A21B2D" w:rsidRPr="00A21B2D" w:rsidRDefault="00A21B2D" w:rsidP="004C57A4">
      <w:pPr>
        <w:pStyle w:val="TableFigureFooter"/>
        <w:rPr>
          <w:rFonts w:asciiTheme="minorHAnsi" w:hAnsiTheme="minorHAnsi" w:cstheme="minorHAnsi"/>
          <w:i/>
          <w:sz w:val="24"/>
          <w:szCs w:val="24"/>
        </w:rPr>
      </w:pPr>
      <w:r w:rsidRPr="00A21B2D">
        <w:rPr>
          <w:rFonts w:asciiTheme="minorHAnsi" w:hAnsiTheme="minorHAnsi" w:cstheme="minorHAnsi"/>
          <w:i/>
          <w:sz w:val="24"/>
          <w:szCs w:val="24"/>
        </w:rPr>
        <w:t xml:space="preserve">The redacted table shows that at Year 6, </w:t>
      </w:r>
      <w:r w:rsidR="00E47017">
        <w:rPr>
          <w:rFonts w:asciiTheme="minorHAnsi" w:hAnsiTheme="minorHAnsi" w:cstheme="minorHAnsi"/>
          <w:i/>
          <w:sz w:val="24"/>
          <w:szCs w:val="24"/>
        </w:rPr>
        <w:t>with a l</w:t>
      </w:r>
      <w:r w:rsidRPr="00A21B2D">
        <w:rPr>
          <w:rFonts w:asciiTheme="minorHAnsi" w:hAnsiTheme="minorHAnsi" w:cstheme="minorHAnsi"/>
          <w:i/>
          <w:iCs/>
          <w:sz w:val="24"/>
          <w:szCs w:val="24"/>
        </w:rPr>
        <w:t>ower replacement rate for sorafenib and lenvatinib scripts (from 88% to 50%)</w:t>
      </w:r>
      <w:r w:rsidR="00E47017">
        <w:rPr>
          <w:rFonts w:asciiTheme="minorHAnsi" w:hAnsiTheme="minorHAnsi" w:cstheme="minorHAnsi"/>
          <w:i/>
          <w:iCs/>
          <w:sz w:val="24"/>
          <w:szCs w:val="24"/>
        </w:rPr>
        <w:t xml:space="preserve">, the estimated net cost to the PBS </w:t>
      </w:r>
      <w:r w:rsidRPr="00A21B2D">
        <w:rPr>
          <w:rFonts w:asciiTheme="minorHAnsi" w:hAnsiTheme="minorHAnsi" w:cstheme="minorHAnsi"/>
          <w:i/>
          <w:iCs/>
          <w:sz w:val="24"/>
          <w:szCs w:val="24"/>
        </w:rPr>
        <w:t xml:space="preserve">would be $20 million to &lt; $30 million. </w:t>
      </w:r>
    </w:p>
    <w:p w:rsidR="007B5AC9" w:rsidRPr="00E63DF4" w:rsidRDefault="00100457" w:rsidP="004C57A4">
      <w:pPr>
        <w:pStyle w:val="Bodytextitalics"/>
        <w:ind w:left="1440"/>
      </w:pPr>
      <w:r w:rsidRPr="00E63DF4">
        <w:lastRenderedPageBreak/>
        <w:t>For more detail on PBAC’s view, see section 7 PBAC outcome.</w:t>
      </w:r>
    </w:p>
    <w:p w:rsidR="007B5AC9" w:rsidRPr="00E63DF4" w:rsidRDefault="007B5AC9" w:rsidP="00731A3B">
      <w:pPr>
        <w:pStyle w:val="4-SubsectionHeading"/>
      </w:pPr>
      <w:r w:rsidRPr="00E63DF4">
        <w:t>Quality use of medicines</w:t>
      </w:r>
    </w:p>
    <w:p w:rsidR="00ED7BAC" w:rsidRPr="00E63DF4" w:rsidRDefault="007B5AC9" w:rsidP="006D6904">
      <w:pPr>
        <w:pStyle w:val="3-BodyText"/>
      </w:pPr>
      <w:r w:rsidRPr="00E63DF4">
        <w:t xml:space="preserve">No information was provided in the submission on quality use of medicines; however, </w:t>
      </w:r>
      <w:r w:rsidR="00A475B7" w:rsidRPr="00E63DF4">
        <w:t>the PBAC noted that HCC patients may be treated by hepatologists</w:t>
      </w:r>
      <w:r w:rsidR="00ED7BAC" w:rsidRPr="00E63DF4">
        <w:t xml:space="preserve"> </w:t>
      </w:r>
      <w:r w:rsidR="00A475B7" w:rsidRPr="00E63DF4">
        <w:t>who</w:t>
      </w:r>
      <w:r w:rsidR="004508F1" w:rsidRPr="00E63DF4">
        <w:t xml:space="preserve"> may not be</w:t>
      </w:r>
      <w:r w:rsidR="00A475B7" w:rsidRPr="00E63DF4">
        <w:t xml:space="preserve"> familiar with immunotherapy and </w:t>
      </w:r>
      <w:r w:rsidR="007656EA">
        <w:t xml:space="preserve">management of </w:t>
      </w:r>
      <w:r w:rsidR="00A475B7" w:rsidRPr="00E63DF4">
        <w:t>the</w:t>
      </w:r>
      <w:r w:rsidR="00333FDD" w:rsidRPr="00E63DF4">
        <w:t xml:space="preserve"> associated AEs. The PBAC considered this group of </w:t>
      </w:r>
      <w:r w:rsidR="004508F1" w:rsidRPr="00E63DF4">
        <w:t xml:space="preserve">specialists </w:t>
      </w:r>
      <w:r w:rsidR="00333FDD" w:rsidRPr="00E63DF4">
        <w:t>may require</w:t>
      </w:r>
      <w:r w:rsidR="004508F1" w:rsidRPr="00E63DF4">
        <w:t xml:space="preserve"> additional support to ensure appropriate use of Atez</w:t>
      </w:r>
      <w:r w:rsidR="00411EEA">
        <w:t>o</w:t>
      </w:r>
      <w:r w:rsidR="004508F1" w:rsidRPr="00E63DF4">
        <w:t xml:space="preserve"> + Bev in clinical practice</w:t>
      </w:r>
      <w:r w:rsidRPr="00E63DF4">
        <w:t xml:space="preserve">. </w:t>
      </w:r>
    </w:p>
    <w:p w:rsidR="00EF196D" w:rsidRPr="00E63DF4" w:rsidRDefault="009C4E8D" w:rsidP="006D6904">
      <w:pPr>
        <w:pStyle w:val="3-BodyText"/>
      </w:pPr>
      <w:r w:rsidRPr="00E63DF4">
        <w:t xml:space="preserve">The PBAC </w:t>
      </w:r>
      <w:r w:rsidR="00ED7BAC" w:rsidRPr="00E63DF4">
        <w:t>noted that the</w:t>
      </w:r>
      <w:r w:rsidR="00EF196D" w:rsidRPr="00E63DF4">
        <w:t xml:space="preserve"> safety of Atezo+Bev has not been established in patients who had incompletely treated varices</w:t>
      </w:r>
      <w:r w:rsidR="002644BD">
        <w:t xml:space="preserve">, variceal bleeding within </w:t>
      </w:r>
      <w:r w:rsidR="00411EEA">
        <w:t xml:space="preserve">the previous </w:t>
      </w:r>
      <w:r w:rsidR="002644BD">
        <w:t>6 months</w:t>
      </w:r>
      <w:r w:rsidR="00BD77E5">
        <w:t xml:space="preserve"> </w:t>
      </w:r>
      <w:r w:rsidR="00EF196D" w:rsidRPr="00E63DF4">
        <w:t>or who were at high risk of bleeding</w:t>
      </w:r>
      <w:r w:rsidR="00ED7BAC" w:rsidRPr="00E63DF4">
        <w:t xml:space="preserve"> and considered it would be appropriate to include a ‘Caution’ in the restriction criteria that </w:t>
      </w:r>
      <w:r w:rsidR="00FF3036" w:rsidRPr="00E63DF4">
        <w:t>patients should</w:t>
      </w:r>
      <w:r w:rsidR="006D6904" w:rsidRPr="00E63DF4">
        <w:t xml:space="preserve"> be assessed for risk of variceal bleeding</w:t>
      </w:r>
      <w:r w:rsidR="00ED7BAC" w:rsidRPr="00E63DF4">
        <w:t xml:space="preserve"> prior to treatmen</w:t>
      </w:r>
      <w:r w:rsidR="00A14DF2" w:rsidRPr="00E63DF4">
        <w:t>t</w:t>
      </w:r>
      <w:r w:rsidR="00ED7BAC" w:rsidRPr="00E63DF4">
        <w:t xml:space="preserve"> with Atez</w:t>
      </w:r>
      <w:r w:rsidR="002644BD">
        <w:t>o</w:t>
      </w:r>
      <w:r w:rsidR="00ED7BAC" w:rsidRPr="00E63DF4">
        <w:t xml:space="preserve">+Bev. </w:t>
      </w:r>
    </w:p>
    <w:p w:rsidR="003C752F" w:rsidRPr="004C57A4" w:rsidRDefault="007B5AC9" w:rsidP="004C57A4">
      <w:pPr>
        <w:pStyle w:val="Bodytextitalics"/>
        <w:ind w:left="1440"/>
      </w:pPr>
      <w:r w:rsidRPr="00E63DF4">
        <w:t>For more detail on PBAC’s view, see section 7 PBAC outcome.</w:t>
      </w:r>
    </w:p>
    <w:p w:rsidR="003F75C3" w:rsidRPr="00E63DF4" w:rsidRDefault="003F75C3" w:rsidP="00731A3B">
      <w:pPr>
        <w:pStyle w:val="2-SectionHeading"/>
      </w:pPr>
      <w:r w:rsidRPr="00E63DF4">
        <w:t>PBAC Outcome</w:t>
      </w:r>
    </w:p>
    <w:p w:rsidR="003F75C3" w:rsidRPr="00E63DF4" w:rsidRDefault="003F75C3" w:rsidP="001A205C">
      <w:pPr>
        <w:pStyle w:val="3-BodyText"/>
      </w:pPr>
      <w:r w:rsidRPr="00E63DF4">
        <w:t>The PBAC recommended the</w:t>
      </w:r>
      <w:r w:rsidR="002B1416" w:rsidRPr="00E63DF4">
        <w:t xml:space="preserve"> </w:t>
      </w:r>
      <w:r w:rsidR="001A205C" w:rsidRPr="00E63DF4">
        <w:rPr>
          <w:bCs/>
        </w:rPr>
        <w:t xml:space="preserve">Section 100 (Efficient Funding of Chemotherapy - Public and Private Hospital) Authority Required (STREAMLINED) </w:t>
      </w:r>
      <w:r w:rsidRPr="00E63DF4">
        <w:t>listing of</w:t>
      </w:r>
      <w:r w:rsidR="002B1416" w:rsidRPr="00E63DF4">
        <w:t xml:space="preserve"> </w:t>
      </w:r>
      <w:r w:rsidR="0081005D" w:rsidRPr="00E63DF4">
        <w:t>a</w:t>
      </w:r>
      <w:r w:rsidR="002B1416" w:rsidRPr="00E63DF4">
        <w:t>tezo</w:t>
      </w:r>
      <w:r w:rsidR="00D61662" w:rsidRPr="00E63DF4">
        <w:t>lizumab</w:t>
      </w:r>
      <w:r w:rsidR="0081005D" w:rsidRPr="00E63DF4">
        <w:t xml:space="preserve"> in combination with b</w:t>
      </w:r>
      <w:r w:rsidR="002B1416" w:rsidRPr="00E63DF4">
        <w:t>ev</w:t>
      </w:r>
      <w:r w:rsidR="00D61662" w:rsidRPr="00E63DF4">
        <w:t>acizumab (Atezo+Bev)</w:t>
      </w:r>
      <w:r w:rsidR="002B1416" w:rsidRPr="00E63DF4">
        <w:t xml:space="preserve"> for the treatment of </w:t>
      </w:r>
      <w:r w:rsidR="002B1416" w:rsidRPr="00E63DF4">
        <w:rPr>
          <w:iCs/>
        </w:rPr>
        <w:t xml:space="preserve">patients with advanced </w:t>
      </w:r>
      <w:r w:rsidR="00D34585" w:rsidRPr="00E63DF4">
        <w:rPr>
          <w:iCs/>
        </w:rPr>
        <w:t xml:space="preserve">unresectable </w:t>
      </w:r>
      <w:r w:rsidR="002B1416" w:rsidRPr="00E63DF4">
        <w:rPr>
          <w:iCs/>
        </w:rPr>
        <w:t>BCLC stage B or stage C HCC who have not received prior systemic treatment</w:t>
      </w:r>
      <w:r w:rsidR="00E63DF4">
        <w:rPr>
          <w:iCs/>
        </w:rPr>
        <w:t xml:space="preserve">. </w:t>
      </w:r>
      <w:r w:rsidR="00D12B2D" w:rsidRPr="00E63DF4">
        <w:t>The PBAC considered there was a high clinical need in this patient population and recognised the substantial clinical benefit provided by Atezo+Bev, despite the immaturity of the overall survival data.</w:t>
      </w:r>
      <w:r w:rsidR="00D12B2D" w:rsidRPr="00E63DF4">
        <w:rPr>
          <w:iCs/>
        </w:rPr>
        <w:t xml:space="preserve"> </w:t>
      </w:r>
      <w:r w:rsidR="002B1416" w:rsidRPr="00E63DF4">
        <w:rPr>
          <w:iCs/>
        </w:rPr>
        <w:t>The PBAC’s recommendation for listing was based on, among other matters, its assessment</w:t>
      </w:r>
      <w:r w:rsidR="009F3B16" w:rsidRPr="00E63DF4">
        <w:rPr>
          <w:iCs/>
        </w:rPr>
        <w:t xml:space="preserve"> </w:t>
      </w:r>
      <w:r w:rsidR="00D34585" w:rsidRPr="00E63DF4">
        <w:rPr>
          <w:iCs/>
        </w:rPr>
        <w:t>that the cost-effectiveness of Atez</w:t>
      </w:r>
      <w:r w:rsidR="002644BD">
        <w:rPr>
          <w:iCs/>
        </w:rPr>
        <w:t>o</w:t>
      </w:r>
      <w:r w:rsidR="00D34585" w:rsidRPr="00E63DF4">
        <w:rPr>
          <w:iCs/>
        </w:rPr>
        <w:t>+Bev would be acceptable at the price proposed in the submission</w:t>
      </w:r>
      <w:r w:rsidR="007A571E">
        <w:rPr>
          <w:iCs/>
        </w:rPr>
        <w:t>, with an appropriate risk sharing arrangement to manage the risk of use outside the restriction</w:t>
      </w:r>
      <w:r w:rsidR="00D34585" w:rsidRPr="00E63DF4">
        <w:rPr>
          <w:iCs/>
        </w:rPr>
        <w:t>.</w:t>
      </w:r>
      <w:r w:rsidR="00D12B2D" w:rsidRPr="00E63DF4">
        <w:rPr>
          <w:iCs/>
        </w:rPr>
        <w:t xml:space="preserve"> </w:t>
      </w:r>
    </w:p>
    <w:p w:rsidR="00154BDB" w:rsidRPr="00E63DF4" w:rsidRDefault="003F75C3" w:rsidP="00154BDB">
      <w:pPr>
        <w:pStyle w:val="3-BodyText"/>
      </w:pPr>
      <w:r w:rsidRPr="00E63DF4">
        <w:t xml:space="preserve">The PBAC </w:t>
      </w:r>
      <w:r w:rsidR="00166496" w:rsidRPr="00E63DF4">
        <w:t>wa</w:t>
      </w:r>
      <w:r w:rsidRPr="00E63DF4">
        <w:t xml:space="preserve">s satisfied that </w:t>
      </w:r>
      <w:r w:rsidR="00BF559C" w:rsidRPr="00E63DF4">
        <w:t>Atezo+Bev</w:t>
      </w:r>
      <w:r w:rsidRPr="00E63DF4">
        <w:t xml:space="preserve"> provides, for some patients, a significant improvement in efficacy over</w:t>
      </w:r>
      <w:r w:rsidR="00BF559C" w:rsidRPr="00E63DF4">
        <w:t xml:space="preserve"> sorafenib</w:t>
      </w:r>
      <w:r w:rsidRPr="00E63DF4">
        <w:t>.</w:t>
      </w:r>
      <w:r w:rsidR="00951B5A" w:rsidRPr="00E63DF4">
        <w:t xml:space="preserve"> </w:t>
      </w:r>
      <w:r w:rsidR="00154BDB" w:rsidRPr="00E63DF4">
        <w:t xml:space="preserve">The PBAC noted that lenvatinib was also PBS listed for HCC but, as lenvatinib was recommended on the basis of non-inferior efficacy and safety to sorafenib, considered </w:t>
      </w:r>
      <w:r w:rsidR="00154BDB" w:rsidRPr="00E63DF4">
        <w:rPr>
          <w:bCs/>
        </w:rPr>
        <w:t xml:space="preserve">sorafenib was an appropriate proxy for first-line TKI therapy in the target population. </w:t>
      </w:r>
    </w:p>
    <w:p w:rsidR="00155257" w:rsidRPr="00E63DF4" w:rsidRDefault="00951B5A" w:rsidP="004C57A4">
      <w:pPr>
        <w:pStyle w:val="3-BodyText"/>
        <w:rPr>
          <w:bCs/>
        </w:rPr>
      </w:pPr>
      <w:r w:rsidRPr="00E63DF4">
        <w:t>The PBAC noted that there is a</w:t>
      </w:r>
      <w:r w:rsidR="004862AF" w:rsidRPr="00E63DF4">
        <w:t xml:space="preserve"> high</w:t>
      </w:r>
      <w:r w:rsidRPr="00E63DF4">
        <w:t xml:space="preserve"> clinical need for effective treatments in </w:t>
      </w:r>
      <w:r w:rsidR="00BF559C" w:rsidRPr="00E63DF4">
        <w:t>advanced HCC,</w:t>
      </w:r>
      <w:r w:rsidRPr="00E63DF4">
        <w:t xml:space="preserve"> given the poor prognosis</w:t>
      </w:r>
      <w:r w:rsidR="00D61662" w:rsidRPr="00E63DF4">
        <w:t xml:space="preserve"> for patients</w:t>
      </w:r>
      <w:r w:rsidRPr="00E63DF4">
        <w:t xml:space="preserve"> </w:t>
      </w:r>
      <w:r w:rsidR="00FC4B59">
        <w:t>and</w:t>
      </w:r>
      <w:r w:rsidR="00110F31" w:rsidRPr="00E63DF4">
        <w:t xml:space="preserve"> the</w:t>
      </w:r>
      <w:r w:rsidR="00BF559C" w:rsidRPr="00E63DF4">
        <w:t xml:space="preserve"> poor efficacy and high toxicity</w:t>
      </w:r>
      <w:r w:rsidR="00110F31" w:rsidRPr="00E63DF4">
        <w:t xml:space="preserve"> of current treatments</w:t>
      </w:r>
      <w:r w:rsidRPr="00E63DF4">
        <w:t>. The PBAC noted this was supported by the consumer comments received for this submission.</w:t>
      </w:r>
    </w:p>
    <w:p w:rsidR="000D1F8E" w:rsidRPr="00E63DF4" w:rsidRDefault="002F49EE" w:rsidP="004C57A4">
      <w:pPr>
        <w:pStyle w:val="3-BodyText"/>
        <w:rPr>
          <w:bCs/>
        </w:rPr>
      </w:pPr>
      <w:r w:rsidRPr="00E63DF4">
        <w:rPr>
          <w:bCs/>
        </w:rPr>
        <w:t>The</w:t>
      </w:r>
      <w:r w:rsidRPr="00E63DF4">
        <w:t xml:space="preserve"> PBAC noted the Sponsor </w:t>
      </w:r>
      <w:r w:rsidR="008B7161" w:rsidRPr="00E63DF4">
        <w:t xml:space="preserve">sought the PBAC’s consideration for an ‘alternative’ PBS restriction that would </w:t>
      </w:r>
      <w:r w:rsidR="00640DA2" w:rsidRPr="00E63DF4">
        <w:t xml:space="preserve">extend use to patients with </w:t>
      </w:r>
      <w:r w:rsidR="00166496" w:rsidRPr="00E63DF4">
        <w:t xml:space="preserve">a </w:t>
      </w:r>
      <w:r w:rsidR="00640DA2" w:rsidRPr="00E63DF4">
        <w:t>WHO PS</w:t>
      </w:r>
      <w:r w:rsidR="00166496" w:rsidRPr="00E63DF4">
        <w:t xml:space="preserve"> of </w:t>
      </w:r>
      <w:r w:rsidR="008B7161" w:rsidRPr="00E63DF4">
        <w:t>2</w:t>
      </w:r>
      <w:r w:rsidRPr="00E63DF4">
        <w:t>.</w:t>
      </w:r>
      <w:r w:rsidR="00640DA2" w:rsidRPr="00E63DF4">
        <w:t xml:space="preserve"> </w:t>
      </w:r>
      <w:r w:rsidR="008B7161" w:rsidRPr="00E63DF4">
        <w:t xml:space="preserve">The PBAC </w:t>
      </w:r>
      <w:r w:rsidR="00640DA2" w:rsidRPr="00E63DF4">
        <w:t xml:space="preserve">noted </w:t>
      </w:r>
      <w:r w:rsidR="008B7161" w:rsidRPr="00E63DF4">
        <w:t>t</w:t>
      </w:r>
      <w:r w:rsidR="00640DA2" w:rsidRPr="00E63DF4">
        <w:t>hat</w:t>
      </w:r>
      <w:r w:rsidR="008B7161" w:rsidRPr="00E63DF4">
        <w:t xml:space="preserve"> patients with </w:t>
      </w:r>
      <w:r w:rsidR="000571AB" w:rsidRPr="00E63DF4">
        <w:t xml:space="preserve">a </w:t>
      </w:r>
      <w:r w:rsidR="008B7161" w:rsidRPr="00E63DF4">
        <w:t>WHO PS</w:t>
      </w:r>
      <w:r w:rsidR="000571AB" w:rsidRPr="00E63DF4">
        <w:t xml:space="preserve"> of </w:t>
      </w:r>
      <w:r w:rsidR="008B7161" w:rsidRPr="00E63DF4">
        <w:t xml:space="preserve">2 were not </w:t>
      </w:r>
      <w:r w:rsidR="00BD77E5">
        <w:t xml:space="preserve">included in </w:t>
      </w:r>
      <w:r w:rsidR="008B7161" w:rsidRPr="00E63DF4">
        <w:t>the tr</w:t>
      </w:r>
      <w:r w:rsidR="00640DA2" w:rsidRPr="00E63DF4">
        <w:t>ial population</w:t>
      </w:r>
      <w:r w:rsidR="00BD77E5">
        <w:t xml:space="preserve"> and </w:t>
      </w:r>
      <w:r w:rsidR="00640DA2" w:rsidRPr="00E63DF4">
        <w:t xml:space="preserve">the PBAC advised </w:t>
      </w:r>
      <w:r w:rsidR="008B7161" w:rsidRPr="00E63DF4">
        <w:t>that</w:t>
      </w:r>
      <w:r w:rsidR="00640DA2" w:rsidRPr="00E63DF4">
        <w:t xml:space="preserve"> the requested </w:t>
      </w:r>
      <w:r w:rsidR="005D0D5D" w:rsidRPr="00E63DF4">
        <w:t>restriction criterion</w:t>
      </w:r>
      <w:r w:rsidR="00640DA2" w:rsidRPr="00E63DF4">
        <w:t xml:space="preserve"> was</w:t>
      </w:r>
      <w:r w:rsidR="000D1F8E" w:rsidRPr="00E63DF4">
        <w:t xml:space="preserve"> not supported.</w:t>
      </w:r>
      <w:r w:rsidR="00550014" w:rsidRPr="00E63DF4">
        <w:t xml:space="preserve"> </w:t>
      </w:r>
      <w:r w:rsidR="000D1F8E" w:rsidRPr="00E63DF4">
        <w:t xml:space="preserve">The PBAC agreed with the Secretariat that the proposed continuation criteria for Atezo+Bev should not allow treatment after disease progression, and noted that the Sponsor </w:t>
      </w:r>
      <w:r w:rsidR="00104803" w:rsidRPr="00E63DF4">
        <w:t xml:space="preserve">indicated in its </w:t>
      </w:r>
      <w:r w:rsidR="00104803" w:rsidRPr="00E63DF4">
        <w:lastRenderedPageBreak/>
        <w:t xml:space="preserve">pre-PBAC response that it </w:t>
      </w:r>
      <w:r w:rsidR="000D1F8E" w:rsidRPr="00E63DF4">
        <w:t>is amenable to this restriction amendment.</w:t>
      </w:r>
      <w:r w:rsidR="0046635E" w:rsidRPr="00E63DF4">
        <w:t xml:space="preserve"> </w:t>
      </w:r>
      <w:r w:rsidR="00F114A2" w:rsidRPr="00E63DF4">
        <w:t>T</w:t>
      </w:r>
      <w:r w:rsidR="00D5698B" w:rsidRPr="00E63DF4">
        <w:t>he PBAC considered that Atezo+Bev should not be used following a VEGF TKI unless</w:t>
      </w:r>
      <w:r w:rsidR="003D26EC" w:rsidRPr="00E63DF4">
        <w:t xml:space="preserve"> </w:t>
      </w:r>
      <w:r w:rsidR="00D5698B" w:rsidRPr="00E63DF4">
        <w:t>intolerance of a severity necessitating permanent treatment withdrawal</w:t>
      </w:r>
      <w:r w:rsidR="003D26EC" w:rsidRPr="00E63DF4">
        <w:t xml:space="preserve"> occurred</w:t>
      </w:r>
      <w:r w:rsidR="00D5698B" w:rsidRPr="00E63DF4">
        <w:t>.</w:t>
      </w:r>
      <w:r w:rsidR="008E36B7" w:rsidRPr="00E63DF4">
        <w:t xml:space="preserve"> </w:t>
      </w:r>
    </w:p>
    <w:p w:rsidR="003F75C3" w:rsidRPr="00E63DF4" w:rsidRDefault="00640DA2" w:rsidP="004C57A4">
      <w:pPr>
        <w:pStyle w:val="3-BodyText"/>
        <w:rPr>
          <w:bCs/>
        </w:rPr>
      </w:pPr>
      <w:r w:rsidRPr="00E63DF4">
        <w:t>The PBAC considered that</w:t>
      </w:r>
      <w:r w:rsidR="005D0D5D" w:rsidRPr="00E63DF4">
        <w:t xml:space="preserve"> VEGF</w:t>
      </w:r>
      <w:r w:rsidRPr="00E63DF4">
        <w:t xml:space="preserve"> </w:t>
      </w:r>
      <w:r w:rsidR="005D0D5D" w:rsidRPr="00E63DF4">
        <w:t>TKIs (sorafenib and lenvatinib)</w:t>
      </w:r>
      <w:r w:rsidRPr="00E63DF4">
        <w:t xml:space="preserve"> </w:t>
      </w:r>
      <w:r w:rsidR="00F33298" w:rsidRPr="00E63DF4">
        <w:t>should remain as first-</w:t>
      </w:r>
      <w:r w:rsidR="005D0D5D" w:rsidRPr="00E63DF4">
        <w:t>line treatments for HCC in line with clinical evidence, and</w:t>
      </w:r>
      <w:r w:rsidR="00F33298" w:rsidRPr="00E63DF4">
        <w:t xml:space="preserve"> second-</w:t>
      </w:r>
      <w:r w:rsidR="005D0D5D" w:rsidRPr="00E63DF4">
        <w:t xml:space="preserve">line use should not </w:t>
      </w:r>
      <w:r w:rsidR="00E41869">
        <w:t xml:space="preserve">occur </w:t>
      </w:r>
      <w:r w:rsidR="005D0D5D" w:rsidRPr="00E63DF4">
        <w:t xml:space="preserve">following disease progression after </w:t>
      </w:r>
      <w:r w:rsidR="00E35A0E" w:rsidRPr="00E63DF4">
        <w:t xml:space="preserve">patients have been treated with </w:t>
      </w:r>
      <w:r w:rsidR="005D0D5D" w:rsidRPr="00E63DF4">
        <w:t>Atezo+Bev</w:t>
      </w:r>
      <w:r w:rsidR="00E63DF4">
        <w:t xml:space="preserve">. </w:t>
      </w:r>
      <w:r w:rsidR="002F49EE" w:rsidRPr="00E63DF4">
        <w:t xml:space="preserve">The PBAC noted there will be flow-on restriction changes to </w:t>
      </w:r>
      <w:r w:rsidR="00F33298" w:rsidRPr="00E63DF4">
        <w:t>sorafenib and lenvatinib</w:t>
      </w:r>
      <w:r w:rsidR="002F49EE" w:rsidRPr="00E63DF4">
        <w:t xml:space="preserve"> regarding the</w:t>
      </w:r>
      <w:r w:rsidR="00E35A0E" w:rsidRPr="00E63DF4">
        <w:t>ir</w:t>
      </w:r>
      <w:r w:rsidR="00F33298" w:rsidRPr="00E63DF4">
        <w:t xml:space="preserve"> line of therapy</w:t>
      </w:r>
      <w:r w:rsidR="00B9199D" w:rsidRPr="00E63DF4">
        <w:t xml:space="preserve"> (item numbers 9380Q and 11638M, respectively)</w:t>
      </w:r>
      <w:r w:rsidR="009E489A" w:rsidRPr="00E63DF4">
        <w:t xml:space="preserve">. </w:t>
      </w:r>
    </w:p>
    <w:p w:rsidR="0038431D" w:rsidRPr="00E63DF4" w:rsidRDefault="00362020" w:rsidP="004C57A4">
      <w:pPr>
        <w:pStyle w:val="3-BodyText"/>
      </w:pPr>
      <w:r w:rsidRPr="00E63DF4">
        <w:t>The submission was based on one head-to-head randomised, Phase III, open-label multi-centre trial (IMbrave150; N=501) comparing Atezo+Bev to sorafenib in patients with previously untreated advanced HCC.</w:t>
      </w:r>
      <w:r w:rsidR="0038431D" w:rsidRPr="00E63DF4">
        <w:t xml:space="preserve"> </w:t>
      </w:r>
      <w:r w:rsidRPr="00E63DF4">
        <w:t xml:space="preserve">The PBAC noted that </w:t>
      </w:r>
      <w:r w:rsidR="00D50B17" w:rsidRPr="00E63DF4">
        <w:t>t</w:t>
      </w:r>
      <w:r w:rsidR="00D50B17" w:rsidRPr="00E63DF4">
        <w:rPr>
          <w:iCs/>
        </w:rPr>
        <w:t>he median duration of follow-up for the trial was short (8.6 months) and the median OS in the Atezo+Bev arm was not reached, with only 28.6% (Atezo+Bev) and 39.4% (sorafenib) of patients having experienced an event. The PBAC considered that the improvement in OS (HR=0.</w:t>
      </w:r>
      <w:r w:rsidR="00D50B17" w:rsidRPr="00E63DF4">
        <w:t>58) represents a substantial clinical benefit</w:t>
      </w:r>
      <w:r w:rsidR="00AF3EE1" w:rsidRPr="00E63DF4">
        <w:t xml:space="preserve">, </w:t>
      </w:r>
      <w:r w:rsidR="00AF3EE1" w:rsidRPr="00E63DF4">
        <w:rPr>
          <w:iCs/>
        </w:rPr>
        <w:t>despite the immaturity of the data,</w:t>
      </w:r>
      <w:r w:rsidR="00D50B17" w:rsidRPr="00E63DF4">
        <w:t xml:space="preserve"> </w:t>
      </w:r>
      <w:r w:rsidR="00D50B17" w:rsidRPr="00E63DF4">
        <w:rPr>
          <w:iCs/>
        </w:rPr>
        <w:t xml:space="preserve">given the poor outcomes associated with HCC. </w:t>
      </w:r>
    </w:p>
    <w:p w:rsidR="003F75C3" w:rsidRPr="00E63DF4" w:rsidRDefault="00D50B17" w:rsidP="004C57A4">
      <w:pPr>
        <w:pStyle w:val="3-BodyText"/>
        <w:rPr>
          <w:bCs/>
        </w:rPr>
      </w:pPr>
      <w:r w:rsidRPr="00E63DF4">
        <w:t xml:space="preserve">The PBAC noted that the statistical difference in </w:t>
      </w:r>
      <w:r w:rsidR="003B751B" w:rsidRPr="00E63DF4">
        <w:t>time to deterioration (</w:t>
      </w:r>
      <w:r w:rsidRPr="00E63DF4">
        <w:t>TTD</w:t>
      </w:r>
      <w:r w:rsidR="003B751B" w:rsidRPr="00E63DF4">
        <w:t>)</w:t>
      </w:r>
      <w:r w:rsidRPr="00E63DF4">
        <w:t xml:space="preserve"> in favour of Atezo+Bev is likely to be clinically significant to patients in terms of improved QoL. While the submission described Atezo+Bev as non-inferior to sorafenib in terms of safety, the PBAC noted it had a different AE profile.</w:t>
      </w:r>
      <w:r w:rsidR="00A0182C" w:rsidRPr="00E63DF4">
        <w:t xml:space="preserve"> </w:t>
      </w:r>
      <w:r w:rsidR="003B751B" w:rsidRPr="00E63DF4">
        <w:t xml:space="preserve">The PBAC noted </w:t>
      </w:r>
      <w:r w:rsidR="00CD22FC" w:rsidRPr="00E63DF4">
        <w:t xml:space="preserve">Atezo+Bev was associated with significantly less diarrhoea and palmar-plantar erythrodysaesthesia syndrome compared with sorafenib, but more cases of increased </w:t>
      </w:r>
      <w:r w:rsidR="00CD22FC" w:rsidRPr="00E63DF4">
        <w:rPr>
          <w:rFonts w:eastAsia="Calibri"/>
          <w:bCs/>
        </w:rPr>
        <w:t>alanine aminotransferase and infusion-related reactions</w:t>
      </w:r>
      <w:r w:rsidR="00CD22FC" w:rsidRPr="00E63DF4">
        <w:t>.</w:t>
      </w:r>
    </w:p>
    <w:p w:rsidR="00A55F16" w:rsidRPr="00E63DF4" w:rsidRDefault="004B25D6" w:rsidP="004C57A4">
      <w:pPr>
        <w:pStyle w:val="3-BodyText"/>
        <w:rPr>
          <w:bCs/>
        </w:rPr>
      </w:pPr>
      <w:r w:rsidRPr="00E63DF4">
        <w:t xml:space="preserve">The PBAC noted the strict inclusion and exclusion criteria of IMbrave 150 </w:t>
      </w:r>
      <w:r w:rsidR="002821C8" w:rsidRPr="00E63DF4">
        <w:t xml:space="preserve">and considered this </w:t>
      </w:r>
      <w:r w:rsidRPr="00E63DF4">
        <w:t>may limit the generalisability of the trial results to Australian clinical practice</w:t>
      </w:r>
      <w:r w:rsidR="003820ED" w:rsidRPr="00E63DF4">
        <w:t xml:space="preserve"> (</w:t>
      </w:r>
      <w:r w:rsidR="003820ED" w:rsidRPr="00EE28E1">
        <w:t>paragraph 6.11)</w:t>
      </w:r>
      <w:r w:rsidRPr="00EE28E1">
        <w:t>.</w:t>
      </w:r>
      <w:r w:rsidRPr="00E63DF4">
        <w:t xml:space="preserve"> </w:t>
      </w:r>
      <w:r w:rsidR="009E1077" w:rsidRPr="00E63DF4">
        <w:t>The PBAC considered that, in clinical practice, the benefit of Atez</w:t>
      </w:r>
      <w:r w:rsidR="00411EEA">
        <w:t>o</w:t>
      </w:r>
      <w:r w:rsidR="009E1077" w:rsidRPr="00E63DF4">
        <w:t xml:space="preserve">+Bev may be smaller and the safety worse than observed in IMbrave 150. In particular, the PBAC noted patients with incompletely treated </w:t>
      </w:r>
      <w:r w:rsidR="00CA67A8" w:rsidRPr="00E63DF4">
        <w:t xml:space="preserve">oesophageal and/ or gastric </w:t>
      </w:r>
      <w:r w:rsidR="009E1077" w:rsidRPr="00E63DF4">
        <w:t xml:space="preserve">varices or at high risk of </w:t>
      </w:r>
      <w:r w:rsidR="00CA67A8" w:rsidRPr="00E63DF4">
        <w:t>b</w:t>
      </w:r>
      <w:r w:rsidR="009E1077" w:rsidRPr="00E63DF4">
        <w:t>leeding were excluded from IMbrave 150</w:t>
      </w:r>
      <w:r w:rsidR="00E63DF4">
        <w:t xml:space="preserve">. </w:t>
      </w:r>
      <w:r w:rsidR="008310FC" w:rsidRPr="00455053">
        <w:t>The PBAC considered that the PBS restriction should include a caution for patients to be assessed for risk of variceal bleeding before treatment with Atezo+Bev.</w:t>
      </w:r>
    </w:p>
    <w:p w:rsidR="00AC2E84" w:rsidRPr="00E63DF4" w:rsidRDefault="00B86EF3" w:rsidP="00B321CF">
      <w:pPr>
        <w:widowControl w:val="0"/>
        <w:numPr>
          <w:ilvl w:val="1"/>
          <w:numId w:val="1"/>
        </w:numPr>
        <w:spacing w:after="120"/>
        <w:rPr>
          <w:rFonts w:asciiTheme="minorHAnsi" w:hAnsiTheme="minorHAnsi"/>
          <w:bCs/>
          <w:snapToGrid w:val="0"/>
        </w:rPr>
      </w:pPr>
      <w:r w:rsidRPr="00E63DF4">
        <w:rPr>
          <w:rFonts w:asciiTheme="minorHAnsi" w:hAnsiTheme="minorHAnsi"/>
          <w:bCs/>
          <w:snapToGrid w:val="0"/>
        </w:rPr>
        <w:t>The PBAC noted the base case ICER presented in the submission was $</w:t>
      </w:r>
      <w:r w:rsidR="00E47017">
        <w:rPr>
          <w:rFonts w:asciiTheme="minorHAnsi" w:hAnsiTheme="minorHAnsi"/>
          <w:bCs/>
          <w:snapToGrid w:val="0"/>
        </w:rPr>
        <w:t>45,000 to &lt; $55,000</w:t>
      </w:r>
      <w:r w:rsidRPr="00E63DF4">
        <w:rPr>
          <w:rFonts w:asciiTheme="minorHAnsi" w:hAnsiTheme="minorHAnsi"/>
          <w:bCs/>
          <w:snapToGrid w:val="0"/>
        </w:rPr>
        <w:t xml:space="preserve"> per quality adj</w:t>
      </w:r>
      <w:r w:rsidR="00AD7F4E" w:rsidRPr="00E63DF4">
        <w:rPr>
          <w:rFonts w:asciiTheme="minorHAnsi" w:hAnsiTheme="minorHAnsi"/>
          <w:bCs/>
          <w:snapToGrid w:val="0"/>
        </w:rPr>
        <w:t>usted life year (QALY) gained</w:t>
      </w:r>
      <w:r w:rsidR="00F62F5A" w:rsidRPr="00E63DF4">
        <w:rPr>
          <w:rFonts w:asciiTheme="minorHAnsi" w:hAnsiTheme="minorHAnsi"/>
          <w:bCs/>
          <w:snapToGrid w:val="0"/>
        </w:rPr>
        <w:t xml:space="preserve"> (</w:t>
      </w:r>
      <w:r w:rsidR="00F62F5A" w:rsidRPr="00E63DF4">
        <w:rPr>
          <w:rFonts w:cs="Calibri"/>
        </w:rPr>
        <w:t xml:space="preserve">assuming an effective sorafenib </w:t>
      </w:r>
      <w:r w:rsidR="00F62F5A" w:rsidRPr="008372A0">
        <w:rPr>
          <w:rFonts w:cs="Calibri"/>
        </w:rPr>
        <w:t xml:space="preserve">price at </w:t>
      </w:r>
      <w:r w:rsidR="000C0DEB">
        <w:rPr>
          <w:rFonts w:cs="Calibri"/>
          <w:noProof/>
          <w:color w:val="000000"/>
          <w:highlight w:val="black"/>
        </w:rPr>
        <w:t>''''''</w:t>
      </w:r>
      <w:r w:rsidR="00F62F5A" w:rsidRPr="008372A0">
        <w:rPr>
          <w:rFonts w:cs="Calibri"/>
        </w:rPr>
        <w:t>% of</w:t>
      </w:r>
      <w:r w:rsidR="00F62F5A" w:rsidRPr="00E63DF4">
        <w:rPr>
          <w:rFonts w:cs="Calibri"/>
        </w:rPr>
        <w:t xml:space="preserve"> the published price)</w:t>
      </w:r>
      <w:r w:rsidR="00AD7F4E" w:rsidRPr="00E63DF4">
        <w:rPr>
          <w:rFonts w:asciiTheme="minorHAnsi" w:hAnsiTheme="minorHAnsi"/>
          <w:bCs/>
          <w:snapToGrid w:val="0"/>
        </w:rPr>
        <w:t xml:space="preserve">. </w:t>
      </w:r>
      <w:r w:rsidR="001B15A8" w:rsidRPr="00E63DF4">
        <w:rPr>
          <w:rFonts w:asciiTheme="minorHAnsi" w:hAnsiTheme="minorHAnsi"/>
          <w:bCs/>
          <w:snapToGrid w:val="0"/>
        </w:rPr>
        <w:t xml:space="preserve">The PBAC noted the economic model did not assume convergence of the OS curves and inclusion of convergence was a key driver of the </w:t>
      </w:r>
      <w:r w:rsidR="00AA002E" w:rsidRPr="00E63DF4">
        <w:rPr>
          <w:rFonts w:asciiTheme="minorHAnsi" w:hAnsiTheme="minorHAnsi"/>
          <w:bCs/>
          <w:snapToGrid w:val="0"/>
        </w:rPr>
        <w:t xml:space="preserve">result </w:t>
      </w:r>
      <w:r w:rsidR="001B15A8" w:rsidRPr="00E63DF4">
        <w:rPr>
          <w:rFonts w:asciiTheme="minorHAnsi" w:hAnsiTheme="minorHAnsi"/>
          <w:bCs/>
          <w:snapToGrid w:val="0"/>
        </w:rPr>
        <w:t>(</w:t>
      </w:r>
      <w:r w:rsidR="001B15A8" w:rsidRPr="00EE28E1">
        <w:rPr>
          <w:rFonts w:asciiTheme="minorHAnsi" w:hAnsiTheme="minorHAnsi"/>
          <w:bCs/>
          <w:snapToGrid w:val="0"/>
        </w:rPr>
        <w:t>paragraph 6.</w:t>
      </w:r>
      <w:r w:rsidR="00EE28E1" w:rsidRPr="00EE28E1">
        <w:rPr>
          <w:rFonts w:asciiTheme="minorHAnsi" w:hAnsiTheme="minorHAnsi"/>
          <w:bCs/>
          <w:snapToGrid w:val="0"/>
        </w:rPr>
        <w:t>35</w:t>
      </w:r>
      <w:r w:rsidR="001B15A8" w:rsidRPr="00EE28E1">
        <w:rPr>
          <w:rFonts w:asciiTheme="minorHAnsi" w:hAnsiTheme="minorHAnsi"/>
          <w:bCs/>
          <w:snapToGrid w:val="0"/>
        </w:rPr>
        <w:t>).</w:t>
      </w:r>
      <w:r w:rsidR="001B15A8" w:rsidRPr="00E63DF4">
        <w:rPr>
          <w:rFonts w:asciiTheme="minorHAnsi" w:hAnsiTheme="minorHAnsi"/>
          <w:bCs/>
          <w:snapToGrid w:val="0"/>
        </w:rPr>
        <w:t xml:space="preserve"> </w:t>
      </w:r>
      <w:r w:rsidRPr="00E63DF4">
        <w:rPr>
          <w:rFonts w:asciiTheme="minorHAnsi" w:hAnsiTheme="minorHAnsi"/>
          <w:bCs/>
          <w:snapToGrid w:val="0"/>
        </w:rPr>
        <w:t>The PBAC considered the 10 year time horizon applied in the model was unreasonable, given the life expectancy of HCC patients</w:t>
      </w:r>
      <w:r w:rsidR="00AD7F4E" w:rsidRPr="00E63DF4">
        <w:rPr>
          <w:rFonts w:asciiTheme="minorHAnsi" w:hAnsiTheme="minorHAnsi"/>
          <w:bCs/>
          <w:snapToGrid w:val="0"/>
        </w:rPr>
        <w:t xml:space="preserve"> and the extent of extrapolation required with on</w:t>
      </w:r>
      <w:r w:rsidR="00F62F5A" w:rsidRPr="00E63DF4">
        <w:rPr>
          <w:rFonts w:asciiTheme="minorHAnsi" w:hAnsiTheme="minorHAnsi"/>
          <w:bCs/>
          <w:snapToGrid w:val="0"/>
        </w:rPr>
        <w:t>ly 8.6 months of follow-</w:t>
      </w:r>
      <w:r w:rsidR="00AD7F4E" w:rsidRPr="00E63DF4">
        <w:rPr>
          <w:rFonts w:asciiTheme="minorHAnsi" w:hAnsiTheme="minorHAnsi"/>
          <w:bCs/>
          <w:snapToGrid w:val="0"/>
        </w:rPr>
        <w:t xml:space="preserve">up in IMbrave150. The </w:t>
      </w:r>
      <w:r w:rsidR="001B15A8" w:rsidRPr="00E63DF4">
        <w:rPr>
          <w:rFonts w:asciiTheme="minorHAnsi" w:hAnsiTheme="minorHAnsi"/>
          <w:bCs/>
          <w:snapToGrid w:val="0"/>
        </w:rPr>
        <w:t xml:space="preserve">PBAC </w:t>
      </w:r>
      <w:r w:rsidR="00AD7F4E" w:rsidRPr="00E63DF4">
        <w:rPr>
          <w:rFonts w:asciiTheme="minorHAnsi" w:hAnsiTheme="minorHAnsi"/>
          <w:bCs/>
          <w:snapToGrid w:val="0"/>
        </w:rPr>
        <w:t xml:space="preserve">considered a 7.5 year time horizon </w:t>
      </w:r>
      <w:r w:rsidR="001B15A8" w:rsidRPr="00E63DF4">
        <w:rPr>
          <w:rFonts w:asciiTheme="minorHAnsi" w:hAnsiTheme="minorHAnsi"/>
          <w:bCs/>
          <w:snapToGrid w:val="0"/>
        </w:rPr>
        <w:t xml:space="preserve">with convergence of OS curves from 36 months </w:t>
      </w:r>
      <w:r w:rsidR="00AD7F4E" w:rsidRPr="00E63DF4">
        <w:rPr>
          <w:rFonts w:asciiTheme="minorHAnsi" w:hAnsiTheme="minorHAnsi"/>
          <w:bCs/>
          <w:snapToGrid w:val="0"/>
        </w:rPr>
        <w:t xml:space="preserve">was more reasonable. </w:t>
      </w:r>
      <w:r w:rsidR="001B15A8" w:rsidRPr="00E63DF4">
        <w:rPr>
          <w:rFonts w:asciiTheme="minorHAnsi" w:hAnsiTheme="minorHAnsi"/>
          <w:bCs/>
          <w:snapToGrid w:val="0"/>
        </w:rPr>
        <w:t xml:space="preserve">The PBAC noted the multivariate analysis incorporating these changes (and using the best fit extrapolation for OS in both treatment arms) </w:t>
      </w:r>
      <w:r w:rsidR="001B15A8" w:rsidRPr="00E63DF4">
        <w:rPr>
          <w:rFonts w:asciiTheme="minorHAnsi" w:hAnsiTheme="minorHAnsi"/>
          <w:bCs/>
          <w:snapToGrid w:val="0"/>
        </w:rPr>
        <w:lastRenderedPageBreak/>
        <w:t xml:space="preserve">resulted in an ICER of </w:t>
      </w:r>
      <w:r w:rsidR="001B15A8" w:rsidRPr="00E63DF4">
        <w:t>$</w:t>
      </w:r>
      <w:r w:rsidR="00E47017">
        <w:t>75,000 to &lt; $95,000</w:t>
      </w:r>
      <w:r w:rsidR="001B15A8" w:rsidRPr="00E63DF4">
        <w:t xml:space="preserve"> per QALY gained (paragraph </w:t>
      </w:r>
      <w:r w:rsidR="001B15A8" w:rsidRPr="00F47937">
        <w:t>6.42).</w:t>
      </w:r>
      <w:r w:rsidR="000D1DD4" w:rsidRPr="00E63DF4">
        <w:t xml:space="preserve"> </w:t>
      </w:r>
      <w:r w:rsidR="00CA67A8" w:rsidRPr="00E63DF4">
        <w:t>The PBAC noted the ICERs using the effective price of sorafenib (</w:t>
      </w:r>
      <w:r w:rsidR="00CA67A8" w:rsidRPr="00F47937">
        <w:t>paragraph 6.43)</w:t>
      </w:r>
      <w:r w:rsidR="00E63DF4" w:rsidRPr="00F47937">
        <w:t>.</w:t>
      </w:r>
      <w:r w:rsidR="00E63DF4">
        <w:t xml:space="preserve"> </w:t>
      </w:r>
      <w:r w:rsidR="000D1DD4" w:rsidRPr="00E63DF4">
        <w:t>The PBAC considered</w:t>
      </w:r>
      <w:r w:rsidR="004B25D6" w:rsidRPr="00E63DF4">
        <w:t xml:space="preserve"> </w:t>
      </w:r>
      <w:r w:rsidR="000D1DD4" w:rsidRPr="00E63DF4">
        <w:t>the cost effectiveness of Atez</w:t>
      </w:r>
      <w:r w:rsidR="00E41869">
        <w:t>o</w:t>
      </w:r>
      <w:r w:rsidR="000D1DD4" w:rsidRPr="00E63DF4">
        <w:t xml:space="preserve">+Bev was likely to </w:t>
      </w:r>
      <w:r w:rsidR="00F114A2" w:rsidRPr="00E63DF4">
        <w:t xml:space="preserve">be within the </w:t>
      </w:r>
      <w:r w:rsidR="000D1DD4" w:rsidRPr="00E63DF4">
        <w:t>range previously considered reasonable for this condition</w:t>
      </w:r>
      <w:r w:rsidR="00E63DF4">
        <w:t xml:space="preserve">. </w:t>
      </w:r>
      <w:r w:rsidR="003B751B" w:rsidRPr="00E63DF4">
        <w:t xml:space="preserve"> </w:t>
      </w:r>
    </w:p>
    <w:p w:rsidR="00FF107F" w:rsidRPr="00E63DF4" w:rsidRDefault="00F356F7" w:rsidP="004C57A4">
      <w:pPr>
        <w:pStyle w:val="3-BodyText"/>
      </w:pPr>
      <w:r w:rsidRPr="00E63DF4">
        <w:t xml:space="preserve">The PBAC considered that the </w:t>
      </w:r>
      <w:r w:rsidR="00FF107F" w:rsidRPr="00E63DF4">
        <w:t>number of patients</w:t>
      </w:r>
      <w:r w:rsidR="00C67FC9" w:rsidRPr="00E63DF4">
        <w:t xml:space="preserve"> expected</w:t>
      </w:r>
      <w:r w:rsidR="00FF107F" w:rsidRPr="00E63DF4">
        <w:t xml:space="preserve"> to be treated with Atez</w:t>
      </w:r>
      <w:r w:rsidR="00E41869">
        <w:t>o</w:t>
      </w:r>
      <w:r w:rsidR="00FF107F" w:rsidRPr="00E63DF4">
        <w:t>+</w:t>
      </w:r>
      <w:r w:rsidR="00FF107F" w:rsidRPr="00E47017">
        <w:t>Bev (</w:t>
      </w:r>
      <w:r w:rsidR="00E47017">
        <w:t>500 to &lt; 5,000</w:t>
      </w:r>
      <w:r w:rsidR="00FF107F" w:rsidRPr="00E47017">
        <w:t xml:space="preserve"> in Year 1, increasing to </w:t>
      </w:r>
      <w:r w:rsidR="00E47017">
        <w:t>500 to &lt; 5,000</w:t>
      </w:r>
      <w:r w:rsidR="00FF107F" w:rsidRPr="00E47017">
        <w:t xml:space="preserve"> in Year 6)</w:t>
      </w:r>
      <w:r w:rsidR="0046635E" w:rsidRPr="00E47017">
        <w:t xml:space="preserve"> was likely o</w:t>
      </w:r>
      <w:r w:rsidR="00FF107F" w:rsidRPr="00E47017">
        <w:t>verestimated</w:t>
      </w:r>
      <w:r w:rsidR="00E63DF4" w:rsidRPr="00E47017">
        <w:t xml:space="preserve">. </w:t>
      </w:r>
      <w:r w:rsidR="00FF107F" w:rsidRPr="00E47017">
        <w:t xml:space="preserve">The PBAC </w:t>
      </w:r>
      <w:r w:rsidR="00AF3EE1" w:rsidRPr="00E47017">
        <w:t>c</w:t>
      </w:r>
      <w:r w:rsidR="00AF3EE1" w:rsidRPr="00E63DF4">
        <w:t>onsidered</w:t>
      </w:r>
      <w:r w:rsidR="00FF107F" w:rsidRPr="00E63DF4">
        <w:t xml:space="preserve"> it is unlikely 87.4% of patients with Stage C disease (Subgroup 4, as defined in </w:t>
      </w:r>
      <w:r w:rsidR="00FF107F" w:rsidRPr="00F47937">
        <w:t>paragraph 6.4</w:t>
      </w:r>
      <w:r w:rsidR="009D4017" w:rsidRPr="00F47937">
        <w:t>9</w:t>
      </w:r>
      <w:r w:rsidR="00FF107F" w:rsidRPr="00F47937">
        <w:t>) would</w:t>
      </w:r>
      <w:r w:rsidR="00FF107F" w:rsidRPr="00E63DF4">
        <w:t xml:space="preserve"> have a WHO PS of 0 or</w:t>
      </w:r>
      <w:r w:rsidR="00C67FC9" w:rsidRPr="00E63DF4">
        <w:t xml:space="preserve"> </w:t>
      </w:r>
      <w:r w:rsidR="00FF107F" w:rsidRPr="00E63DF4">
        <w:t>1</w:t>
      </w:r>
      <w:r w:rsidR="00E63DF4">
        <w:t xml:space="preserve">. </w:t>
      </w:r>
      <w:r w:rsidR="00312B0D" w:rsidRPr="00E63DF4">
        <w:t xml:space="preserve">The PBAC considered </w:t>
      </w:r>
      <w:r w:rsidR="00AD37CF" w:rsidRPr="00E63DF4">
        <w:t>77</w:t>
      </w:r>
      <w:r w:rsidR="00312B0D" w:rsidRPr="00E63DF4">
        <w:t xml:space="preserve">% would be a more reasonable estimate in this </w:t>
      </w:r>
      <w:r w:rsidR="00D67FDF" w:rsidRPr="00E63DF4">
        <w:t>population</w:t>
      </w:r>
      <w:r w:rsidR="00312B0D" w:rsidRPr="00E63DF4">
        <w:t>,</w:t>
      </w:r>
      <w:r w:rsidR="0046635E" w:rsidRPr="00E63DF4">
        <w:t xml:space="preserve"> consistent with the</w:t>
      </w:r>
      <w:r w:rsidR="00AD37CF" w:rsidRPr="00E63DF4">
        <w:t xml:space="preserve"> rate applied in the sensitivity analysis</w:t>
      </w:r>
      <w:r w:rsidR="00E63DF4">
        <w:t xml:space="preserve">. </w:t>
      </w:r>
      <w:r w:rsidR="00312B0D" w:rsidRPr="00BD77E5">
        <w:t>The PBAC also consider</w:t>
      </w:r>
      <w:r w:rsidR="001A205C" w:rsidRPr="00BD77E5">
        <w:t>e</w:t>
      </w:r>
      <w:r w:rsidR="00312B0D" w:rsidRPr="00BD77E5">
        <w:t>d the estimated uptake of Atez</w:t>
      </w:r>
      <w:r w:rsidR="00E41869" w:rsidRPr="00BD77E5">
        <w:t>o</w:t>
      </w:r>
      <w:r w:rsidR="00312B0D" w:rsidRPr="00BD77E5">
        <w:t xml:space="preserve">+Bev in each of the eligible subgroups of </w:t>
      </w:r>
      <w:r w:rsidR="00312B0D" w:rsidRPr="006B6F89">
        <w:t>patients (</w:t>
      </w:r>
      <w:r w:rsidR="008A0CD0">
        <w:rPr>
          <w:noProof/>
          <w:color w:val="000000"/>
          <w:highlight w:val="black"/>
        </w:rPr>
        <w:t>'''''</w:t>
      </w:r>
      <w:r w:rsidR="00312B0D" w:rsidRPr="006B6F89">
        <w:t>%)</w:t>
      </w:r>
      <w:r w:rsidR="00312B0D" w:rsidRPr="00BD77E5">
        <w:t xml:space="preserve"> may be overestimated </w:t>
      </w:r>
      <w:r w:rsidR="00FF107F" w:rsidRPr="00BD77E5">
        <w:t xml:space="preserve">as </w:t>
      </w:r>
      <w:r w:rsidRPr="00BD77E5">
        <w:t xml:space="preserve">some patients may </w:t>
      </w:r>
      <w:r w:rsidR="00742AFC" w:rsidRPr="00BD77E5">
        <w:t>have contra-indications to Atezo+Bev (e</w:t>
      </w:r>
      <w:r w:rsidR="00BD77E5" w:rsidRPr="00BD77E5">
        <w:t>.</w:t>
      </w:r>
      <w:r w:rsidR="00742AFC" w:rsidRPr="00BD77E5">
        <w:t>g.</w:t>
      </w:r>
      <w:r w:rsidR="00BD77E5" w:rsidRPr="00BD77E5">
        <w:t>,</w:t>
      </w:r>
      <w:r w:rsidR="00742AFC" w:rsidRPr="00BD77E5">
        <w:t xml:space="preserve"> autoimmune disease), be unwilling to receive intravenous therapy, and/or </w:t>
      </w:r>
      <w:r w:rsidRPr="00BD77E5">
        <w:t>not</w:t>
      </w:r>
      <w:r w:rsidR="00BD77E5" w:rsidRPr="00BD77E5">
        <w:t xml:space="preserve"> be able to </w:t>
      </w:r>
      <w:r w:rsidRPr="00BD77E5">
        <w:t>access multidisciplinary care</w:t>
      </w:r>
      <w:r w:rsidR="00742AFC" w:rsidRPr="00BD77E5">
        <w:t>,</w:t>
      </w:r>
      <w:r w:rsidR="00312B0D" w:rsidRPr="00BD77E5">
        <w:t xml:space="preserve"> </w:t>
      </w:r>
      <w:r w:rsidR="001A205C" w:rsidRPr="00BD77E5">
        <w:t>and</w:t>
      </w:r>
      <w:r w:rsidR="007B1CB6" w:rsidRPr="00BD77E5">
        <w:t xml:space="preserve"> </w:t>
      </w:r>
      <w:r w:rsidR="00AD37CF" w:rsidRPr="00BD77E5">
        <w:t xml:space="preserve">the </w:t>
      </w:r>
      <w:r w:rsidR="007B1CB6" w:rsidRPr="00BD77E5">
        <w:t>applicability of the clinical data to the Australian population (</w:t>
      </w:r>
      <w:r w:rsidR="007B1CB6" w:rsidRPr="00F47937">
        <w:t>paragraph 7.8)</w:t>
      </w:r>
      <w:r w:rsidR="007B1CB6" w:rsidRPr="00BD77E5">
        <w:t xml:space="preserve"> may limit uptake</w:t>
      </w:r>
      <w:r w:rsidR="00E63DF4" w:rsidRPr="00BD77E5">
        <w:t xml:space="preserve">. </w:t>
      </w:r>
      <w:r w:rsidR="001A205C" w:rsidRPr="00BD77E5">
        <w:t xml:space="preserve">The PBAC considered </w:t>
      </w:r>
      <w:r w:rsidR="00AD37CF" w:rsidRPr="00BD77E5">
        <w:t>an 80</w:t>
      </w:r>
      <w:r w:rsidR="007B1CB6" w:rsidRPr="00BD77E5">
        <w:t xml:space="preserve">% uptake per year in eligible incident patients </w:t>
      </w:r>
      <w:r w:rsidR="002A5346" w:rsidRPr="00BD77E5">
        <w:t xml:space="preserve">would </w:t>
      </w:r>
      <w:r w:rsidR="00AD37CF" w:rsidRPr="00BD77E5">
        <w:t xml:space="preserve">be </w:t>
      </w:r>
      <w:r w:rsidR="007B1CB6" w:rsidRPr="00BD77E5">
        <w:t>more reasonable</w:t>
      </w:r>
      <w:r w:rsidR="007B1CB6" w:rsidRPr="0012118D">
        <w:rPr>
          <w:color w:val="FF0000"/>
        </w:rPr>
        <w:t xml:space="preserve">. </w:t>
      </w:r>
      <w:r w:rsidR="00AD37CF" w:rsidRPr="00E63DF4">
        <w:t>The PBAC noted the number of patients expected to be treated with Atez</w:t>
      </w:r>
      <w:r w:rsidR="00411EEA">
        <w:t>o</w:t>
      </w:r>
      <w:r w:rsidR="00AD37CF" w:rsidRPr="00E63DF4">
        <w:t xml:space="preserve">+Bev with these </w:t>
      </w:r>
      <w:r w:rsidR="00AD37CF" w:rsidRPr="00E47017">
        <w:t xml:space="preserve">revisions is </w:t>
      </w:r>
      <w:r w:rsidR="00E47017">
        <w:t>&lt; 500</w:t>
      </w:r>
      <w:r w:rsidR="00AD37CF" w:rsidRPr="00E47017">
        <w:t xml:space="preserve"> in Year 1 and </w:t>
      </w:r>
      <w:r w:rsidR="00E47017">
        <w:t>500 to &lt; 5,000</w:t>
      </w:r>
      <w:r w:rsidR="00AD37CF" w:rsidRPr="00E47017">
        <w:t xml:space="preserve"> in </w:t>
      </w:r>
      <w:r w:rsidR="00AD37CF" w:rsidRPr="00E63DF4">
        <w:t>Year 6</w:t>
      </w:r>
      <w:r w:rsidR="003339DD" w:rsidRPr="00E63DF4">
        <w:t>.</w:t>
      </w:r>
      <w:r w:rsidR="00455053" w:rsidRPr="00455053">
        <w:t xml:space="preserve"> The PBAC noted that not all patients treated in Year 1 would receive a full treatment course </w:t>
      </w:r>
      <w:r w:rsidR="00455053">
        <w:t xml:space="preserve">(as patients commence treatment throughout the year) and </w:t>
      </w:r>
      <w:r w:rsidR="00455053" w:rsidRPr="00455053">
        <w:t xml:space="preserve">a lower uptake rate </w:t>
      </w:r>
      <w:r w:rsidR="00455053">
        <w:t xml:space="preserve">should be applied </w:t>
      </w:r>
      <w:r w:rsidR="00455053" w:rsidRPr="00455053">
        <w:t>in Year 1 to account for a lower number of prescriptions per patient.</w:t>
      </w:r>
    </w:p>
    <w:p w:rsidR="0046635E" w:rsidRPr="00E63DF4" w:rsidRDefault="00920807" w:rsidP="00BF6CD2">
      <w:pPr>
        <w:pStyle w:val="3-BodyText"/>
      </w:pPr>
      <w:r w:rsidRPr="00E63DF4">
        <w:t>The PBAC noted the submission</w:t>
      </w:r>
      <w:r w:rsidR="0022268B" w:rsidRPr="00E63DF4">
        <w:t xml:space="preserve"> indicated </w:t>
      </w:r>
      <w:r w:rsidR="00745A3E">
        <w:t>&lt; 500</w:t>
      </w:r>
      <w:r w:rsidR="0022268B" w:rsidRPr="00E63DF4">
        <w:t xml:space="preserve"> patients would require grandfathering onto PBS-subsidised treatment and these patients are appropriately included in </w:t>
      </w:r>
      <w:r w:rsidRPr="00E63DF4">
        <w:t>the financial estimates with a reduced treatme</w:t>
      </w:r>
      <w:r w:rsidR="0022268B" w:rsidRPr="00E63DF4">
        <w:t>n</w:t>
      </w:r>
      <w:r w:rsidRPr="00E63DF4">
        <w:t xml:space="preserve">t cost applied to account for treatment already received. </w:t>
      </w:r>
      <w:r w:rsidR="00BF6CD2">
        <w:t>The PBAC recommended that the grandfathering</w:t>
      </w:r>
      <w:r w:rsidR="00062D9F">
        <w:t xml:space="preserve"> listing</w:t>
      </w:r>
      <w:r w:rsidR="00BF6CD2">
        <w:t xml:space="preserve"> </w:t>
      </w:r>
      <w:r w:rsidR="00062D9F">
        <w:t xml:space="preserve">could be removed after </w:t>
      </w:r>
      <w:r w:rsidR="00BF6CD2">
        <w:t xml:space="preserve">12 months. </w:t>
      </w:r>
    </w:p>
    <w:p w:rsidR="003F75C3" w:rsidRPr="00E63DF4" w:rsidRDefault="00423D00" w:rsidP="002821C8">
      <w:pPr>
        <w:pStyle w:val="3-BodyText"/>
      </w:pPr>
      <w:r w:rsidRPr="00E63DF4">
        <w:t>The PBAC advised that</w:t>
      </w:r>
      <w:r w:rsidR="008E36B7" w:rsidRPr="00E63DF4">
        <w:t xml:space="preserve"> </w:t>
      </w:r>
      <w:r w:rsidRPr="00E63DF4">
        <w:t xml:space="preserve">a </w:t>
      </w:r>
      <w:r w:rsidR="008E36B7" w:rsidRPr="00E63DF4">
        <w:t>risk sharing arrangement with expenditure caps</w:t>
      </w:r>
      <w:r w:rsidR="008D2F55">
        <w:t xml:space="preserve"> based on the cost of atezolizumab as</w:t>
      </w:r>
      <w:r w:rsidR="008E36B7" w:rsidRPr="00E63DF4">
        <w:t xml:space="preserve"> defined by the patient numbers in </w:t>
      </w:r>
      <w:r w:rsidR="008E36B7" w:rsidRPr="00F47937">
        <w:t>paragraph 7.10</w:t>
      </w:r>
      <w:r w:rsidR="008E36B7" w:rsidRPr="00E63DF4">
        <w:t xml:space="preserve"> </w:t>
      </w:r>
      <w:r w:rsidR="00AC3BE4" w:rsidRPr="00E63DF4">
        <w:t xml:space="preserve">would </w:t>
      </w:r>
      <w:r w:rsidR="001A205C" w:rsidRPr="00E63DF4">
        <w:t xml:space="preserve">be </w:t>
      </w:r>
      <w:r w:rsidRPr="00E63DF4">
        <w:t>required to manage the risk of</w:t>
      </w:r>
      <w:r w:rsidR="008E36B7" w:rsidRPr="00E63DF4">
        <w:t xml:space="preserve"> Atez</w:t>
      </w:r>
      <w:r w:rsidR="00411EEA">
        <w:t>o</w:t>
      </w:r>
      <w:r w:rsidR="008E36B7" w:rsidRPr="00E63DF4">
        <w:t>+Bev use outside the restriction criteria</w:t>
      </w:r>
      <w:r w:rsidR="008B3D04" w:rsidRPr="00E63DF4">
        <w:t xml:space="preserve">; in particular, </w:t>
      </w:r>
      <w:r w:rsidR="006932A1" w:rsidRPr="00E63DF4">
        <w:t xml:space="preserve">use in patients with a WHO PS of 2 and </w:t>
      </w:r>
      <w:r w:rsidR="008B3D04" w:rsidRPr="00E63DF4">
        <w:t>as a second-</w:t>
      </w:r>
      <w:r w:rsidR="008E36B7" w:rsidRPr="00E63DF4">
        <w:t>line</w:t>
      </w:r>
      <w:r w:rsidR="008B3D04" w:rsidRPr="00E63DF4">
        <w:t xml:space="preserve"> treatment</w:t>
      </w:r>
      <w:r w:rsidR="008E36B7" w:rsidRPr="00E63DF4">
        <w:t xml:space="preserve"> after progression on </w:t>
      </w:r>
      <w:r w:rsidR="008B3D04" w:rsidRPr="00E63DF4">
        <w:t xml:space="preserve">(not intolerance to) </w:t>
      </w:r>
      <w:r w:rsidR="008E36B7" w:rsidRPr="00E63DF4">
        <w:t>sorafenib/ lenvatinib.</w:t>
      </w:r>
      <w:r w:rsidRPr="00E63DF4">
        <w:t xml:space="preserve"> </w:t>
      </w:r>
      <w:r w:rsidR="008D2F55" w:rsidRPr="008E36B7">
        <w:rPr>
          <w:lang w:val="en-GB"/>
        </w:rPr>
        <w:t xml:space="preserve">Acknowledging the high clinical need in patients with HCC, the PBAC considered </w:t>
      </w:r>
      <w:r w:rsidR="008D2F55">
        <w:rPr>
          <w:lang w:val="en-GB"/>
        </w:rPr>
        <w:t>that while</w:t>
      </w:r>
      <w:r w:rsidR="008D2F55" w:rsidRPr="008E36B7">
        <w:rPr>
          <w:lang w:val="en-GB"/>
        </w:rPr>
        <w:t xml:space="preserve"> a rebate of</w:t>
      </w:r>
      <w:r w:rsidR="008D2F55">
        <w:rPr>
          <w:lang w:val="en-GB"/>
        </w:rPr>
        <w:t xml:space="preserve"> less than </w:t>
      </w:r>
      <w:r w:rsidR="008A0CD0">
        <w:rPr>
          <w:noProof/>
          <w:color w:val="000000"/>
          <w:highlight w:val="black"/>
          <w:lang w:val="en-GB"/>
        </w:rPr>
        <w:t>''''''''''</w:t>
      </w:r>
      <w:r w:rsidR="008D2F55" w:rsidRPr="008E36B7">
        <w:rPr>
          <w:lang w:val="en-GB"/>
        </w:rPr>
        <w:t xml:space="preserve"> above the expenditure caps may be appropriate</w:t>
      </w:r>
      <w:r w:rsidR="008D2F55">
        <w:rPr>
          <w:lang w:val="en-GB"/>
        </w:rPr>
        <w:t xml:space="preserve">, any rebate would need to require the sponsor to rebate </w:t>
      </w:r>
      <w:r w:rsidR="008A0CD0">
        <w:rPr>
          <w:noProof/>
          <w:color w:val="000000"/>
          <w:highlight w:val="black"/>
          <w:lang w:val="en-GB"/>
        </w:rPr>
        <w:t>'''''' '''''''''''''''</w:t>
      </w:r>
      <w:r w:rsidR="008D2F55">
        <w:rPr>
          <w:lang w:val="en-GB"/>
        </w:rPr>
        <w:t xml:space="preserve"> of the cost of atezolizumab use outside the defined RSA cap, noting that the cost effectiveness of such use would be unknown.</w:t>
      </w:r>
    </w:p>
    <w:p w:rsidR="00F14E4E" w:rsidRPr="00E63DF4" w:rsidRDefault="00F14E4E" w:rsidP="001F2F05">
      <w:pPr>
        <w:pStyle w:val="3-BodyText"/>
        <w:spacing w:after="0"/>
      </w:pPr>
      <w:r w:rsidRPr="00E63DF4">
        <w:rPr>
          <w:rFonts w:eastAsiaTheme="minorHAnsi" w:cstheme="minorBidi"/>
          <w:szCs w:val="22"/>
        </w:rPr>
        <w:t>The PBAC found that the criteria prescribed by the National Health (Pharmaceutical and Vaccines – Cost Recovery) Regulations 2009 for Pricing Pathway A were met. Specifically, the PBAC found that in the circumstances of its recommendation for Atezo</w:t>
      </w:r>
      <w:r w:rsidRPr="00E63DF4">
        <w:rPr>
          <w:rFonts w:eastAsiaTheme="minorHAnsi" w:cstheme="minorBidi"/>
        </w:rPr>
        <w:t>+Bev:</w:t>
      </w:r>
    </w:p>
    <w:p w:rsidR="00F14E4E" w:rsidRPr="00E63DF4" w:rsidRDefault="00F14E4E" w:rsidP="001F2F05">
      <w:pPr>
        <w:pStyle w:val="BodyText11"/>
        <w:numPr>
          <w:ilvl w:val="0"/>
          <w:numId w:val="33"/>
        </w:numPr>
        <w:spacing w:after="0"/>
        <w:ind w:left="1134" w:hanging="425"/>
        <w:rPr>
          <w:snapToGrid w:val="0"/>
          <w:sz w:val="24"/>
          <w:szCs w:val="24"/>
        </w:rPr>
      </w:pPr>
      <w:r w:rsidRPr="00E63DF4">
        <w:rPr>
          <w:sz w:val="24"/>
          <w:szCs w:val="24"/>
        </w:rPr>
        <w:lastRenderedPageBreak/>
        <w:t>The treatment is expected to provide a substantial and clinically relevant improvement in efficacy over the nominated comparator in terms of overall survival in the advanced HCC patient population;</w:t>
      </w:r>
    </w:p>
    <w:p w:rsidR="00F14E4E" w:rsidRPr="00E63DF4" w:rsidRDefault="00F14E4E" w:rsidP="001F2F05">
      <w:pPr>
        <w:pStyle w:val="BodyText11"/>
        <w:numPr>
          <w:ilvl w:val="0"/>
          <w:numId w:val="33"/>
        </w:numPr>
        <w:spacing w:after="0"/>
        <w:ind w:left="1134" w:hanging="425"/>
        <w:rPr>
          <w:snapToGrid w:val="0"/>
          <w:sz w:val="24"/>
          <w:szCs w:val="24"/>
        </w:rPr>
      </w:pPr>
      <w:r w:rsidRPr="00E63DF4">
        <w:rPr>
          <w:bCs/>
          <w:sz w:val="24"/>
          <w:szCs w:val="24"/>
        </w:rPr>
        <w:t>The treatment is expected to address a high and urgent unmet clinical need as the current medicines available for the treatment of patients with advanced HCC have limited efficacy and high toxicity;</w:t>
      </w:r>
    </w:p>
    <w:p w:rsidR="00F14E4E" w:rsidRPr="00E63DF4" w:rsidRDefault="00F14E4E" w:rsidP="00F14E4E">
      <w:pPr>
        <w:pStyle w:val="BodyText11"/>
        <w:numPr>
          <w:ilvl w:val="0"/>
          <w:numId w:val="33"/>
        </w:numPr>
        <w:ind w:left="1134" w:hanging="425"/>
        <w:rPr>
          <w:snapToGrid w:val="0"/>
          <w:sz w:val="24"/>
          <w:szCs w:val="24"/>
        </w:rPr>
      </w:pPr>
      <w:r w:rsidRPr="00E63DF4">
        <w:rPr>
          <w:bCs/>
          <w:sz w:val="24"/>
          <w:szCs w:val="24"/>
        </w:rPr>
        <w:t>It would be in the public interest for the subsequent pricing application to be progressed under Pricing Pathway A on the basis of the preceding findings.</w:t>
      </w:r>
    </w:p>
    <w:p w:rsidR="00FF1116" w:rsidRPr="00E63DF4" w:rsidRDefault="00FF1116" w:rsidP="004C57A4">
      <w:pPr>
        <w:pStyle w:val="3-BodyText"/>
      </w:pPr>
      <w:r w:rsidRPr="00E63DF4">
        <w:t>The PBAC noted that this submission is not eligible for an Independent Review as it received a positive recommendation.</w:t>
      </w:r>
    </w:p>
    <w:p w:rsidR="0001263B" w:rsidRPr="00E63DF4" w:rsidRDefault="0001263B" w:rsidP="006932A1">
      <w:pPr>
        <w:pStyle w:val="3-BodyText"/>
        <w:numPr>
          <w:ilvl w:val="0"/>
          <w:numId w:val="0"/>
        </w:numPr>
        <w:ind w:left="720"/>
      </w:pPr>
    </w:p>
    <w:p w:rsidR="003F75C3" w:rsidRPr="00E63DF4" w:rsidRDefault="003F75C3" w:rsidP="003F75C3">
      <w:pPr>
        <w:spacing w:before="240"/>
        <w:rPr>
          <w:rFonts w:asciiTheme="minorHAnsi" w:hAnsiTheme="minorHAnsi"/>
          <w:b/>
          <w:bCs/>
          <w:snapToGrid w:val="0"/>
        </w:rPr>
      </w:pPr>
      <w:r w:rsidRPr="00E63DF4">
        <w:rPr>
          <w:rFonts w:asciiTheme="minorHAnsi" w:hAnsiTheme="minorHAnsi"/>
          <w:b/>
          <w:bCs/>
          <w:snapToGrid w:val="0"/>
        </w:rPr>
        <w:t>Outcome:</w:t>
      </w:r>
    </w:p>
    <w:p w:rsidR="004C57A4" w:rsidRDefault="00C6349B" w:rsidP="004C57A4">
      <w:pPr>
        <w:rPr>
          <w:rFonts w:asciiTheme="minorHAnsi" w:hAnsiTheme="minorHAnsi"/>
          <w:bCs/>
          <w:snapToGrid w:val="0"/>
        </w:rPr>
      </w:pPr>
      <w:r w:rsidRPr="00E63DF4">
        <w:rPr>
          <w:rFonts w:asciiTheme="minorHAnsi" w:hAnsiTheme="minorHAnsi"/>
          <w:bCs/>
          <w:snapToGrid w:val="0"/>
        </w:rPr>
        <w:t>Recommended</w:t>
      </w:r>
    </w:p>
    <w:p w:rsidR="003F75C3" w:rsidRPr="00E63DF4" w:rsidRDefault="003F75C3" w:rsidP="004C57A4">
      <w:pPr>
        <w:pStyle w:val="2-SectionHeading"/>
      </w:pPr>
      <w:r w:rsidRPr="00E63DF4">
        <w:t>Recommended listing</w:t>
      </w:r>
    </w:p>
    <w:p w:rsidR="001434C5" w:rsidRPr="00E63DF4" w:rsidRDefault="003F75C3" w:rsidP="001434C5">
      <w:pPr>
        <w:widowControl w:val="0"/>
        <w:numPr>
          <w:ilvl w:val="1"/>
          <w:numId w:val="1"/>
        </w:numPr>
        <w:spacing w:after="120"/>
        <w:rPr>
          <w:rFonts w:asciiTheme="minorHAnsi" w:hAnsiTheme="minorHAnsi"/>
          <w:b/>
          <w:bCs/>
          <w:snapToGrid w:val="0"/>
        </w:rPr>
      </w:pPr>
      <w:r w:rsidRPr="00E63DF4">
        <w:rPr>
          <w:rFonts w:asciiTheme="minorHAnsi" w:hAnsiTheme="minorHAnsi"/>
          <w:bCs/>
          <w:snapToGrid w:val="0"/>
        </w:rPr>
        <w:t>Amend existing listing</w:t>
      </w:r>
      <w:r w:rsidR="00041343" w:rsidRPr="00E63DF4">
        <w:rPr>
          <w:rFonts w:asciiTheme="minorHAnsi" w:hAnsiTheme="minorHAnsi"/>
          <w:bCs/>
          <w:snapToGrid w:val="0"/>
        </w:rPr>
        <w:t>s for atezolizumab and bevacizumab</w:t>
      </w:r>
      <w:r w:rsidRPr="00E63DF4">
        <w:rPr>
          <w:rFonts w:asciiTheme="minorHAnsi" w:hAnsiTheme="minorHAnsi"/>
          <w:bCs/>
          <w:snapToGrid w:val="0"/>
        </w:rPr>
        <w:t xml:space="preserve"> as follows:</w:t>
      </w:r>
      <w:bookmarkStart w:id="33" w:name="_Toc37945098"/>
      <w:bookmarkStart w:id="34" w:name="_Toc407106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1808"/>
        <w:gridCol w:w="1114"/>
        <w:gridCol w:w="1114"/>
        <w:gridCol w:w="2365"/>
      </w:tblGrid>
      <w:tr w:rsidR="001434C5" w:rsidRPr="00E63DF4" w:rsidTr="004C57A4">
        <w:trPr>
          <w:cantSplit/>
          <w:trHeight w:val="471"/>
        </w:trPr>
        <w:tc>
          <w:tcPr>
            <w:tcW w:w="1460" w:type="pct"/>
          </w:tcPr>
          <w:p w:rsidR="001434C5" w:rsidRPr="004C57A4" w:rsidRDefault="001434C5" w:rsidP="001434C5">
            <w:pPr>
              <w:keepNext/>
              <w:ind w:left="-108"/>
              <w:rPr>
                <w:rFonts w:ascii="Arial Narrow" w:hAnsi="Arial Narrow"/>
                <w:b/>
                <w:sz w:val="18"/>
                <w:szCs w:val="18"/>
              </w:rPr>
            </w:pPr>
            <w:r w:rsidRPr="004C57A4">
              <w:rPr>
                <w:rFonts w:ascii="Arial Narrow" w:hAnsi="Arial Narrow"/>
                <w:b/>
                <w:sz w:val="18"/>
                <w:szCs w:val="18"/>
              </w:rPr>
              <w:t>Name, Restriction,</w:t>
            </w:r>
          </w:p>
          <w:p w:rsidR="001434C5" w:rsidRPr="004C57A4" w:rsidRDefault="001434C5" w:rsidP="001434C5">
            <w:pPr>
              <w:keepNext/>
              <w:ind w:left="-108"/>
              <w:rPr>
                <w:rFonts w:ascii="Arial Narrow" w:hAnsi="Arial Narrow"/>
                <w:b/>
                <w:sz w:val="18"/>
                <w:szCs w:val="18"/>
              </w:rPr>
            </w:pPr>
            <w:r w:rsidRPr="004C57A4">
              <w:rPr>
                <w:rFonts w:ascii="Arial Narrow" w:hAnsi="Arial Narrow"/>
                <w:b/>
                <w:sz w:val="18"/>
                <w:szCs w:val="18"/>
              </w:rPr>
              <w:t>Manner of administration and form</w:t>
            </w:r>
          </w:p>
        </w:tc>
        <w:tc>
          <w:tcPr>
            <w:tcW w:w="1000" w:type="pct"/>
          </w:tcPr>
          <w:p w:rsidR="001434C5" w:rsidRPr="004C57A4" w:rsidRDefault="001434C5" w:rsidP="001434C5">
            <w:pPr>
              <w:keepNext/>
              <w:ind w:left="-108"/>
              <w:jc w:val="center"/>
              <w:rPr>
                <w:rFonts w:ascii="Arial Narrow" w:hAnsi="Arial Narrow"/>
                <w:b/>
                <w:sz w:val="18"/>
                <w:szCs w:val="18"/>
              </w:rPr>
            </w:pPr>
            <w:r w:rsidRPr="004C57A4">
              <w:rPr>
                <w:rFonts w:ascii="Arial Narrow" w:hAnsi="Arial Narrow"/>
                <w:b/>
                <w:sz w:val="18"/>
                <w:szCs w:val="18"/>
              </w:rPr>
              <w:t>PBS item code</w:t>
            </w:r>
          </w:p>
        </w:tc>
        <w:tc>
          <w:tcPr>
            <w:tcW w:w="616" w:type="pct"/>
          </w:tcPr>
          <w:p w:rsidR="001434C5" w:rsidRPr="004C57A4" w:rsidRDefault="001434C5" w:rsidP="001434C5">
            <w:pPr>
              <w:keepNext/>
              <w:ind w:left="-108"/>
              <w:jc w:val="center"/>
              <w:rPr>
                <w:rFonts w:ascii="Arial Narrow" w:hAnsi="Arial Narrow"/>
                <w:b/>
                <w:sz w:val="18"/>
                <w:szCs w:val="18"/>
              </w:rPr>
            </w:pPr>
            <w:r w:rsidRPr="004C57A4">
              <w:rPr>
                <w:rFonts w:ascii="Arial Narrow" w:hAnsi="Arial Narrow"/>
                <w:b/>
                <w:sz w:val="18"/>
                <w:szCs w:val="18"/>
              </w:rPr>
              <w:t>Max.</w:t>
            </w:r>
          </w:p>
          <w:p w:rsidR="001434C5" w:rsidRPr="004C57A4" w:rsidRDefault="001434C5" w:rsidP="001434C5">
            <w:pPr>
              <w:keepNext/>
              <w:ind w:left="-108"/>
              <w:jc w:val="center"/>
              <w:rPr>
                <w:rFonts w:ascii="Arial Narrow" w:hAnsi="Arial Narrow"/>
                <w:b/>
                <w:sz w:val="18"/>
                <w:szCs w:val="18"/>
              </w:rPr>
            </w:pPr>
            <w:r w:rsidRPr="004C57A4">
              <w:rPr>
                <w:rFonts w:ascii="Arial Narrow" w:hAnsi="Arial Narrow"/>
                <w:b/>
                <w:sz w:val="18"/>
                <w:szCs w:val="18"/>
              </w:rPr>
              <w:t>Amount</w:t>
            </w:r>
          </w:p>
        </w:tc>
        <w:tc>
          <w:tcPr>
            <w:tcW w:w="616" w:type="pct"/>
          </w:tcPr>
          <w:p w:rsidR="001434C5" w:rsidRPr="004C57A4" w:rsidRDefault="001434C5" w:rsidP="001434C5">
            <w:pPr>
              <w:keepNext/>
              <w:ind w:left="-108"/>
              <w:jc w:val="center"/>
              <w:rPr>
                <w:rFonts w:ascii="Arial Narrow" w:hAnsi="Arial Narrow"/>
                <w:b/>
                <w:sz w:val="18"/>
                <w:szCs w:val="18"/>
              </w:rPr>
            </w:pPr>
            <w:r w:rsidRPr="004C57A4">
              <w:rPr>
                <w:rFonts w:ascii="Arial Narrow" w:hAnsi="Arial Narrow"/>
                <w:b/>
                <w:sz w:val="18"/>
                <w:szCs w:val="18"/>
              </w:rPr>
              <w:t>№.of</w:t>
            </w:r>
          </w:p>
          <w:p w:rsidR="001434C5" w:rsidRPr="004C57A4" w:rsidRDefault="001434C5" w:rsidP="001434C5">
            <w:pPr>
              <w:keepNext/>
              <w:ind w:left="-108"/>
              <w:jc w:val="center"/>
              <w:rPr>
                <w:rFonts w:ascii="Arial Narrow" w:hAnsi="Arial Narrow"/>
                <w:b/>
                <w:sz w:val="18"/>
                <w:szCs w:val="18"/>
              </w:rPr>
            </w:pPr>
            <w:r w:rsidRPr="004C57A4">
              <w:rPr>
                <w:rFonts w:ascii="Arial Narrow" w:hAnsi="Arial Narrow"/>
                <w:b/>
                <w:sz w:val="18"/>
                <w:szCs w:val="18"/>
              </w:rPr>
              <w:t>Rpts</w:t>
            </w:r>
          </w:p>
        </w:tc>
        <w:tc>
          <w:tcPr>
            <w:tcW w:w="1309" w:type="pct"/>
          </w:tcPr>
          <w:p w:rsidR="001434C5" w:rsidRPr="004C57A4" w:rsidRDefault="001434C5" w:rsidP="001434C5">
            <w:pPr>
              <w:keepNext/>
              <w:rPr>
                <w:rFonts w:ascii="Arial Narrow" w:hAnsi="Arial Narrow"/>
                <w:b/>
                <w:sz w:val="18"/>
                <w:szCs w:val="18"/>
              </w:rPr>
            </w:pPr>
            <w:r w:rsidRPr="004C57A4">
              <w:rPr>
                <w:rFonts w:ascii="Arial Narrow" w:hAnsi="Arial Narrow"/>
                <w:b/>
                <w:sz w:val="18"/>
                <w:szCs w:val="18"/>
              </w:rPr>
              <w:t>Manufacturer</w:t>
            </w:r>
          </w:p>
        </w:tc>
      </w:tr>
      <w:tr w:rsidR="001434C5" w:rsidRPr="00E63DF4" w:rsidTr="004C57A4">
        <w:trPr>
          <w:cantSplit/>
          <w:trHeight w:val="577"/>
        </w:trPr>
        <w:tc>
          <w:tcPr>
            <w:tcW w:w="1460" w:type="pct"/>
          </w:tcPr>
          <w:p w:rsidR="001434C5" w:rsidRPr="004C57A4" w:rsidRDefault="001434C5" w:rsidP="001434C5">
            <w:pPr>
              <w:keepNext/>
              <w:ind w:left="-108"/>
              <w:rPr>
                <w:rFonts w:ascii="Arial Narrow" w:hAnsi="Arial Narrow"/>
                <w:sz w:val="18"/>
                <w:szCs w:val="18"/>
              </w:rPr>
            </w:pPr>
            <w:r w:rsidRPr="004C57A4">
              <w:rPr>
                <w:rFonts w:ascii="Arial Narrow" w:hAnsi="Arial Narrow"/>
                <w:sz w:val="18"/>
                <w:szCs w:val="18"/>
              </w:rPr>
              <w:t xml:space="preserve">ATEZOLIZUMAB </w:t>
            </w:r>
          </w:p>
          <w:p w:rsidR="001434C5" w:rsidRPr="004C57A4" w:rsidRDefault="001434C5" w:rsidP="001434C5">
            <w:pPr>
              <w:keepNext/>
              <w:ind w:left="-108"/>
              <w:rPr>
                <w:rFonts w:ascii="Arial Narrow" w:hAnsi="Arial Narrow"/>
                <w:sz w:val="18"/>
                <w:szCs w:val="18"/>
              </w:rPr>
            </w:pPr>
            <w:r w:rsidRPr="004C57A4">
              <w:rPr>
                <w:rFonts w:ascii="Arial Narrow" w:hAnsi="Arial Narrow" w:cs="Arial Narrow"/>
                <w:sz w:val="18"/>
                <w:szCs w:val="18"/>
              </w:rPr>
              <w:t xml:space="preserve">Injection </w:t>
            </w:r>
          </w:p>
        </w:tc>
        <w:tc>
          <w:tcPr>
            <w:tcW w:w="1000" w:type="pct"/>
          </w:tcPr>
          <w:p w:rsidR="001434C5" w:rsidRPr="004C57A4" w:rsidRDefault="001434C5" w:rsidP="001434C5">
            <w:pPr>
              <w:keepNext/>
              <w:ind w:left="-108"/>
              <w:jc w:val="center"/>
              <w:rPr>
                <w:rFonts w:ascii="Arial Narrow" w:hAnsi="Arial Narrow"/>
                <w:sz w:val="18"/>
                <w:szCs w:val="18"/>
              </w:rPr>
            </w:pPr>
          </w:p>
          <w:p w:rsidR="001434C5" w:rsidRPr="004C57A4" w:rsidRDefault="001434C5" w:rsidP="001434C5">
            <w:pPr>
              <w:keepNext/>
              <w:ind w:left="-108"/>
              <w:jc w:val="center"/>
              <w:rPr>
                <w:rFonts w:ascii="Arial Narrow" w:hAnsi="Arial Narrow"/>
                <w:sz w:val="18"/>
                <w:szCs w:val="18"/>
              </w:rPr>
            </w:pPr>
            <w:r w:rsidRPr="004C57A4">
              <w:rPr>
                <w:rFonts w:ascii="Arial Narrow" w:hAnsi="Arial Narrow"/>
                <w:sz w:val="18"/>
                <w:szCs w:val="18"/>
              </w:rPr>
              <w:t>11926Q (Public)</w:t>
            </w:r>
          </w:p>
          <w:p w:rsidR="001434C5" w:rsidRPr="004C57A4" w:rsidRDefault="001434C5" w:rsidP="001434C5">
            <w:pPr>
              <w:keepNext/>
              <w:ind w:left="-108"/>
              <w:jc w:val="center"/>
              <w:rPr>
                <w:rFonts w:ascii="Arial Narrow" w:hAnsi="Arial Narrow"/>
                <w:sz w:val="18"/>
                <w:szCs w:val="18"/>
              </w:rPr>
            </w:pPr>
            <w:r w:rsidRPr="004C57A4">
              <w:rPr>
                <w:rFonts w:ascii="Arial Narrow" w:hAnsi="Arial Narrow"/>
                <w:sz w:val="18"/>
                <w:szCs w:val="18"/>
              </w:rPr>
              <w:t>11927R (Private)</w:t>
            </w:r>
          </w:p>
        </w:tc>
        <w:tc>
          <w:tcPr>
            <w:tcW w:w="616" w:type="pct"/>
          </w:tcPr>
          <w:p w:rsidR="001434C5" w:rsidRPr="004C57A4" w:rsidRDefault="001434C5" w:rsidP="001434C5">
            <w:pPr>
              <w:keepNext/>
              <w:ind w:left="-108"/>
              <w:jc w:val="center"/>
              <w:rPr>
                <w:rFonts w:ascii="Arial Narrow" w:hAnsi="Arial Narrow"/>
                <w:sz w:val="18"/>
                <w:szCs w:val="18"/>
              </w:rPr>
            </w:pPr>
          </w:p>
          <w:p w:rsidR="001434C5" w:rsidRPr="004C57A4" w:rsidRDefault="001434C5" w:rsidP="001434C5">
            <w:pPr>
              <w:keepNext/>
              <w:ind w:left="-108"/>
              <w:jc w:val="center"/>
              <w:rPr>
                <w:rFonts w:ascii="Arial Narrow" w:hAnsi="Arial Narrow"/>
                <w:sz w:val="18"/>
                <w:szCs w:val="18"/>
              </w:rPr>
            </w:pPr>
            <w:r w:rsidRPr="004C57A4">
              <w:rPr>
                <w:rFonts w:ascii="Arial Narrow" w:hAnsi="Arial Narrow"/>
                <w:sz w:val="18"/>
                <w:szCs w:val="18"/>
              </w:rPr>
              <w:t>1200 mg</w:t>
            </w:r>
          </w:p>
        </w:tc>
        <w:tc>
          <w:tcPr>
            <w:tcW w:w="616" w:type="pct"/>
          </w:tcPr>
          <w:p w:rsidR="001434C5" w:rsidRPr="004C57A4" w:rsidRDefault="001434C5" w:rsidP="001434C5">
            <w:pPr>
              <w:keepNext/>
              <w:ind w:left="-108"/>
              <w:jc w:val="center"/>
              <w:rPr>
                <w:rFonts w:ascii="Arial Narrow" w:hAnsi="Arial Narrow"/>
                <w:i/>
                <w:sz w:val="18"/>
                <w:szCs w:val="18"/>
              </w:rPr>
            </w:pPr>
          </w:p>
          <w:p w:rsidR="001434C5" w:rsidRPr="004C57A4" w:rsidRDefault="001434C5" w:rsidP="001434C5">
            <w:pPr>
              <w:keepNext/>
              <w:ind w:left="-108"/>
              <w:jc w:val="center"/>
              <w:rPr>
                <w:rFonts w:ascii="Arial Narrow" w:hAnsi="Arial Narrow"/>
                <w:sz w:val="18"/>
                <w:szCs w:val="18"/>
              </w:rPr>
            </w:pPr>
            <w:r w:rsidRPr="004C57A4">
              <w:rPr>
                <w:rFonts w:ascii="Arial Narrow" w:hAnsi="Arial Narrow"/>
                <w:sz w:val="18"/>
                <w:szCs w:val="18"/>
              </w:rPr>
              <w:t>3</w:t>
            </w:r>
          </w:p>
        </w:tc>
        <w:tc>
          <w:tcPr>
            <w:tcW w:w="1309" w:type="pct"/>
          </w:tcPr>
          <w:p w:rsidR="001434C5" w:rsidRPr="004C57A4" w:rsidRDefault="001434C5" w:rsidP="001434C5">
            <w:pPr>
              <w:keepNext/>
              <w:rPr>
                <w:rFonts w:ascii="Arial Narrow" w:hAnsi="Arial Narrow"/>
                <w:sz w:val="18"/>
                <w:szCs w:val="18"/>
              </w:rPr>
            </w:pPr>
          </w:p>
          <w:p w:rsidR="001434C5" w:rsidRPr="004C57A4" w:rsidRDefault="001434C5" w:rsidP="001434C5">
            <w:pPr>
              <w:keepNext/>
              <w:rPr>
                <w:rFonts w:ascii="Arial Narrow" w:hAnsi="Arial Narrow"/>
                <w:sz w:val="18"/>
                <w:szCs w:val="18"/>
              </w:rPr>
            </w:pPr>
            <w:r w:rsidRPr="004C57A4">
              <w:rPr>
                <w:rFonts w:ascii="Arial Narrow" w:hAnsi="Arial Narrow"/>
                <w:sz w:val="18"/>
                <w:szCs w:val="18"/>
              </w:rPr>
              <w:t>Roche Products Pty Ltd</w:t>
            </w:r>
          </w:p>
        </w:tc>
      </w:tr>
      <w:tr w:rsidR="001434C5" w:rsidRPr="00E63DF4" w:rsidTr="004C57A4">
        <w:trPr>
          <w:cantSplit/>
          <w:trHeight w:val="225"/>
        </w:trPr>
        <w:tc>
          <w:tcPr>
            <w:tcW w:w="5000" w:type="pct"/>
            <w:gridSpan w:val="5"/>
          </w:tcPr>
          <w:p w:rsidR="001434C5" w:rsidRPr="004C57A4" w:rsidRDefault="001434C5" w:rsidP="001434C5">
            <w:pPr>
              <w:keepNext/>
              <w:rPr>
                <w:rFonts w:ascii="Arial Narrow" w:hAnsi="Arial Narrow"/>
                <w:b/>
                <w:sz w:val="18"/>
                <w:szCs w:val="18"/>
              </w:rPr>
            </w:pPr>
            <w:r w:rsidRPr="004C57A4">
              <w:rPr>
                <w:rFonts w:ascii="Arial Narrow" w:hAnsi="Arial Narrow"/>
                <w:b/>
                <w:sz w:val="18"/>
                <w:szCs w:val="18"/>
              </w:rPr>
              <w:t>Available brands</w:t>
            </w:r>
          </w:p>
        </w:tc>
      </w:tr>
      <w:tr w:rsidR="001434C5" w:rsidRPr="00F45892" w:rsidTr="004C57A4">
        <w:trPr>
          <w:cantSplit/>
          <w:trHeight w:val="360"/>
        </w:trPr>
        <w:tc>
          <w:tcPr>
            <w:tcW w:w="5000" w:type="pct"/>
            <w:gridSpan w:val="5"/>
          </w:tcPr>
          <w:p w:rsidR="001434C5" w:rsidRPr="00F45892" w:rsidRDefault="001434C5" w:rsidP="001434C5">
            <w:pPr>
              <w:rPr>
                <w:rFonts w:ascii="Arial Narrow" w:hAnsi="Arial Narrow"/>
                <w:sz w:val="18"/>
                <w:szCs w:val="18"/>
                <w:lang w:val="fr-FR"/>
              </w:rPr>
            </w:pPr>
            <w:r w:rsidRPr="00F45892">
              <w:rPr>
                <w:rFonts w:ascii="Arial Narrow" w:hAnsi="Arial Narrow"/>
                <w:sz w:val="18"/>
                <w:szCs w:val="18"/>
                <w:lang w:val="fr-FR"/>
              </w:rPr>
              <w:t>Tecentriq</w:t>
            </w:r>
          </w:p>
          <w:p w:rsidR="001434C5" w:rsidRPr="00F45892" w:rsidRDefault="001434C5" w:rsidP="001434C5">
            <w:pPr>
              <w:rPr>
                <w:rFonts w:ascii="Arial Narrow" w:hAnsi="Arial Narrow"/>
                <w:sz w:val="18"/>
                <w:szCs w:val="18"/>
                <w:lang w:val="fr-FR"/>
              </w:rPr>
            </w:pPr>
            <w:r w:rsidRPr="00F45892">
              <w:rPr>
                <w:rFonts w:ascii="Arial Narrow" w:hAnsi="Arial Narrow"/>
                <w:sz w:val="18"/>
                <w:szCs w:val="18"/>
                <w:lang w:val="fr-FR"/>
              </w:rPr>
              <w:t>(atezolizumab 1.2 g/20 mL injection, 20 mL vial)</w:t>
            </w:r>
          </w:p>
        </w:tc>
      </w:tr>
    </w:tbl>
    <w:p w:rsidR="001434C5" w:rsidRPr="00E63DF4" w:rsidRDefault="001434C5" w:rsidP="001434C5">
      <w:pPr>
        <w:keepNext/>
        <w:keepLines/>
        <w:rPr>
          <w:rFonts w:ascii="Arial Narrow" w:hAnsi="Arial Narrow"/>
          <w:b/>
          <w:sz w:val="18"/>
          <w:szCs w:val="18"/>
        </w:rPr>
      </w:pPr>
      <w:r w:rsidRPr="00E63DF4">
        <w:rPr>
          <w:rFonts w:ascii="Arial Narrow" w:hAnsi="Arial Narrow"/>
          <w:b/>
          <w:sz w:val="18"/>
          <w:szCs w:val="18"/>
        </w:rPr>
        <w:lastRenderedPageBreak/>
        <w:t>Initial treatment Restriction summary [new]:</w:t>
      </w:r>
    </w:p>
    <w:tbl>
      <w:tblPr>
        <w:tblW w:w="4388" w:type="pct"/>
        <w:tblLook w:val="0000" w:firstRow="0" w:lastRow="0" w:firstColumn="0" w:lastColumn="0" w:noHBand="0" w:noVBand="0"/>
      </w:tblPr>
      <w:tblGrid>
        <w:gridCol w:w="7934"/>
      </w:tblGrid>
      <w:tr w:rsidR="00190A8B" w:rsidRPr="00E63DF4" w:rsidTr="00190A8B">
        <w:trPr>
          <w:cantSplit/>
          <w:trHeight w:val="290"/>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keepNext/>
              <w:keepLines/>
              <w:ind w:left="-106"/>
              <w:rPr>
                <w:rFonts w:ascii="Arial Narrow" w:hAnsi="Arial Narrow" w:cs="Calibri"/>
                <w:bCs/>
                <w:sz w:val="18"/>
                <w:szCs w:val="18"/>
                <w:lang w:eastAsia="zh-CN"/>
              </w:rPr>
            </w:pPr>
            <w:r w:rsidRPr="00E63DF4">
              <w:rPr>
                <w:rFonts w:ascii="Arial Narrow" w:hAnsi="Arial Narrow" w:cs="Calibri"/>
                <w:b/>
                <w:bCs/>
                <w:sz w:val="18"/>
                <w:szCs w:val="18"/>
                <w:lang w:eastAsia="zh-CN"/>
              </w:rPr>
              <w:t>Category / Program:</w:t>
            </w:r>
            <w:r w:rsidRPr="00E63DF4">
              <w:rPr>
                <w:rFonts w:ascii="Arial Narrow" w:hAnsi="Arial Narrow" w:cs="Calibri"/>
                <w:bCs/>
                <w:sz w:val="18"/>
                <w:szCs w:val="18"/>
                <w:lang w:eastAsia="zh-CN"/>
              </w:rPr>
              <w:t xml:space="preserve"> Section 100 – Efficient Funding of Chemotherapy (Public/Private hospital)</w:t>
            </w:r>
          </w:p>
        </w:tc>
      </w:tr>
      <w:tr w:rsidR="00190A8B" w:rsidRPr="00E63DF4" w:rsidTr="00190A8B">
        <w:trPr>
          <w:cantSplit/>
          <w:trHeight w:val="265"/>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4178CA">
            <w:pPr>
              <w:keepNext/>
              <w:keepLines/>
              <w:ind w:left="-106"/>
              <w:rPr>
                <w:rFonts w:ascii="Arial Narrow" w:hAnsi="Arial Narrow" w:cs="Calibri"/>
                <w:bCs/>
                <w:sz w:val="18"/>
                <w:szCs w:val="18"/>
                <w:lang w:eastAsia="zh-CN"/>
              </w:rPr>
            </w:pPr>
            <w:r w:rsidRPr="00E63DF4">
              <w:rPr>
                <w:rFonts w:ascii="Arial Narrow" w:hAnsi="Arial Narrow" w:cs="Calibri"/>
                <w:b/>
                <w:bCs/>
                <w:sz w:val="18"/>
                <w:szCs w:val="18"/>
                <w:lang w:eastAsia="zh-CN"/>
              </w:rPr>
              <w:t>Prescriber type:</w:t>
            </w:r>
            <w:r w:rsidRPr="00E63DF4">
              <w:rPr>
                <w:rFonts w:ascii="Arial Narrow" w:hAnsi="Arial Narrow" w:cs="Calibri"/>
                <w:bCs/>
                <w:sz w:val="18"/>
                <w:szCs w:val="18"/>
                <w:lang w:eastAsia="zh-CN"/>
              </w:rPr>
              <w:t xml:space="preserve">   </w:t>
            </w:r>
            <w:r w:rsidRPr="00E63DF4">
              <w:rPr>
                <w:rFonts w:ascii="Arial Narrow" w:hAnsi="Arial Narrow" w:cs="Calibri"/>
                <w:bCs/>
                <w:sz w:val="18"/>
                <w:szCs w:val="18"/>
                <w:lang w:eastAsia="zh-CN"/>
              </w:rPr>
              <w:fldChar w:fldCharType="begin">
                <w:ffData>
                  <w:name w:val="Check1"/>
                  <w:enabled/>
                  <w:calcOnExit w:val="0"/>
                  <w:checkBox>
                    <w:sizeAuto/>
                    <w:default w:val="0"/>
                  </w:checkBox>
                </w:ffData>
              </w:fldChar>
            </w:r>
            <w:r w:rsidRPr="00E63DF4">
              <w:rPr>
                <w:rFonts w:ascii="Arial Narrow" w:hAnsi="Arial Narrow" w:cs="Calibri"/>
                <w:bCs/>
                <w:sz w:val="18"/>
                <w:szCs w:val="18"/>
                <w:lang w:eastAsia="zh-CN"/>
              </w:rPr>
              <w:instrText xml:space="preserve"> FORMCHECKBOX </w:instrText>
            </w:r>
            <w:r w:rsidR="00E4568F">
              <w:rPr>
                <w:rFonts w:ascii="Arial Narrow" w:hAnsi="Arial Narrow" w:cs="Calibri"/>
                <w:bCs/>
                <w:sz w:val="18"/>
                <w:szCs w:val="18"/>
                <w:lang w:eastAsia="zh-CN"/>
              </w:rPr>
            </w:r>
            <w:r w:rsidR="00E4568F">
              <w:rPr>
                <w:rFonts w:ascii="Arial Narrow" w:hAnsi="Arial Narrow" w:cs="Calibri"/>
                <w:bCs/>
                <w:sz w:val="18"/>
                <w:szCs w:val="18"/>
                <w:lang w:eastAsia="zh-CN"/>
              </w:rPr>
              <w:fldChar w:fldCharType="separate"/>
            </w:r>
            <w:r w:rsidRPr="00E63DF4">
              <w:rPr>
                <w:rFonts w:ascii="Arial Narrow" w:hAnsi="Arial Narrow" w:cs="Calibri"/>
                <w:bCs/>
                <w:sz w:val="18"/>
                <w:szCs w:val="18"/>
                <w:lang w:eastAsia="zh-CN"/>
              </w:rPr>
              <w:fldChar w:fldCharType="end"/>
            </w:r>
            <w:r w:rsidRPr="00E63DF4">
              <w:rPr>
                <w:rFonts w:ascii="Arial Narrow" w:hAnsi="Arial Narrow" w:cs="Calibri"/>
                <w:bCs/>
                <w:sz w:val="18"/>
                <w:szCs w:val="18"/>
                <w:lang w:eastAsia="zh-CN"/>
              </w:rPr>
              <w:t xml:space="preserve">Dental   </w:t>
            </w:r>
            <w:r w:rsidRPr="00E63DF4">
              <w:rPr>
                <w:rFonts w:ascii="Arial Narrow" w:hAnsi="Arial Narrow" w:cs="Calibri"/>
                <w:bCs/>
                <w:sz w:val="18"/>
                <w:szCs w:val="18"/>
                <w:lang w:eastAsia="zh-CN"/>
              </w:rPr>
              <w:fldChar w:fldCharType="begin">
                <w:ffData>
                  <w:name w:val=""/>
                  <w:enabled/>
                  <w:calcOnExit w:val="0"/>
                  <w:checkBox>
                    <w:sizeAuto/>
                    <w:default w:val="1"/>
                  </w:checkBox>
                </w:ffData>
              </w:fldChar>
            </w:r>
            <w:r w:rsidRPr="00E63DF4">
              <w:rPr>
                <w:rFonts w:ascii="Arial Narrow" w:hAnsi="Arial Narrow" w:cs="Calibri"/>
                <w:bCs/>
                <w:sz w:val="18"/>
                <w:szCs w:val="18"/>
                <w:lang w:eastAsia="zh-CN"/>
              </w:rPr>
              <w:instrText xml:space="preserve"> FORMCHECKBOX </w:instrText>
            </w:r>
            <w:r w:rsidR="00E4568F">
              <w:rPr>
                <w:rFonts w:ascii="Arial Narrow" w:hAnsi="Arial Narrow" w:cs="Calibri"/>
                <w:bCs/>
                <w:sz w:val="18"/>
                <w:szCs w:val="18"/>
                <w:lang w:eastAsia="zh-CN"/>
              </w:rPr>
            </w:r>
            <w:r w:rsidR="00E4568F">
              <w:rPr>
                <w:rFonts w:ascii="Arial Narrow" w:hAnsi="Arial Narrow" w:cs="Calibri"/>
                <w:bCs/>
                <w:sz w:val="18"/>
                <w:szCs w:val="18"/>
                <w:lang w:eastAsia="zh-CN"/>
              </w:rPr>
              <w:fldChar w:fldCharType="separate"/>
            </w:r>
            <w:r w:rsidRPr="00E63DF4">
              <w:rPr>
                <w:rFonts w:ascii="Arial Narrow" w:hAnsi="Arial Narrow" w:cs="Calibri"/>
                <w:bCs/>
                <w:sz w:val="18"/>
                <w:szCs w:val="18"/>
                <w:lang w:eastAsia="zh-CN"/>
              </w:rPr>
              <w:fldChar w:fldCharType="end"/>
            </w:r>
            <w:r w:rsidRPr="00E63DF4">
              <w:rPr>
                <w:rFonts w:ascii="Arial Narrow" w:hAnsi="Arial Narrow" w:cs="Calibri"/>
                <w:bCs/>
                <w:sz w:val="18"/>
                <w:szCs w:val="18"/>
                <w:lang w:eastAsia="zh-CN"/>
              </w:rPr>
              <w:t xml:space="preserve">Medical Practitioners   </w:t>
            </w:r>
            <w:r w:rsidRPr="00E63DF4">
              <w:rPr>
                <w:rFonts w:ascii="Arial Narrow" w:hAnsi="Arial Narrow" w:cs="Calibri"/>
                <w:bCs/>
                <w:sz w:val="18"/>
                <w:szCs w:val="18"/>
                <w:lang w:eastAsia="zh-CN"/>
              </w:rPr>
              <w:fldChar w:fldCharType="begin">
                <w:ffData>
                  <w:name w:val="Check3"/>
                  <w:enabled/>
                  <w:calcOnExit w:val="0"/>
                  <w:checkBox>
                    <w:sizeAuto/>
                    <w:default w:val="0"/>
                  </w:checkBox>
                </w:ffData>
              </w:fldChar>
            </w:r>
            <w:r w:rsidRPr="00E63DF4">
              <w:rPr>
                <w:rFonts w:ascii="Arial Narrow" w:hAnsi="Arial Narrow" w:cs="Calibri"/>
                <w:bCs/>
                <w:sz w:val="18"/>
                <w:szCs w:val="18"/>
                <w:lang w:eastAsia="zh-CN"/>
              </w:rPr>
              <w:instrText xml:space="preserve"> FORMCHECKBOX </w:instrText>
            </w:r>
            <w:r w:rsidR="00E4568F">
              <w:rPr>
                <w:rFonts w:ascii="Arial Narrow" w:hAnsi="Arial Narrow" w:cs="Calibri"/>
                <w:bCs/>
                <w:sz w:val="18"/>
                <w:szCs w:val="18"/>
                <w:lang w:eastAsia="zh-CN"/>
              </w:rPr>
            </w:r>
            <w:r w:rsidR="00E4568F">
              <w:rPr>
                <w:rFonts w:ascii="Arial Narrow" w:hAnsi="Arial Narrow" w:cs="Calibri"/>
                <w:bCs/>
                <w:sz w:val="18"/>
                <w:szCs w:val="18"/>
                <w:lang w:eastAsia="zh-CN"/>
              </w:rPr>
              <w:fldChar w:fldCharType="separate"/>
            </w:r>
            <w:r w:rsidRPr="00E63DF4">
              <w:rPr>
                <w:rFonts w:ascii="Arial Narrow" w:hAnsi="Arial Narrow" w:cs="Calibri"/>
                <w:bCs/>
                <w:sz w:val="18"/>
                <w:szCs w:val="18"/>
                <w:lang w:eastAsia="zh-CN"/>
              </w:rPr>
              <w:fldChar w:fldCharType="end"/>
            </w:r>
            <w:r w:rsidRPr="00E63DF4">
              <w:rPr>
                <w:rFonts w:ascii="Arial Narrow" w:hAnsi="Arial Narrow" w:cs="Calibri"/>
                <w:bCs/>
                <w:sz w:val="18"/>
                <w:szCs w:val="18"/>
                <w:lang w:eastAsia="zh-CN"/>
              </w:rPr>
              <w:t xml:space="preserve">Nurse practitioners  </w:t>
            </w:r>
            <w:r w:rsidRPr="00E63DF4">
              <w:rPr>
                <w:rFonts w:ascii="Arial Narrow" w:hAnsi="Arial Narrow" w:cs="Calibri"/>
                <w:bCs/>
                <w:sz w:val="18"/>
                <w:szCs w:val="18"/>
                <w:lang w:eastAsia="zh-CN"/>
              </w:rPr>
              <w:fldChar w:fldCharType="begin">
                <w:ffData>
                  <w:name w:val=""/>
                  <w:enabled/>
                  <w:calcOnExit w:val="0"/>
                  <w:checkBox>
                    <w:sizeAuto/>
                    <w:default w:val="0"/>
                  </w:checkBox>
                </w:ffData>
              </w:fldChar>
            </w:r>
            <w:r w:rsidRPr="00E63DF4">
              <w:rPr>
                <w:rFonts w:ascii="Arial Narrow" w:hAnsi="Arial Narrow" w:cs="Calibri"/>
                <w:bCs/>
                <w:sz w:val="18"/>
                <w:szCs w:val="18"/>
                <w:lang w:eastAsia="zh-CN"/>
              </w:rPr>
              <w:instrText xml:space="preserve"> FORMCHECKBOX </w:instrText>
            </w:r>
            <w:r w:rsidR="00E4568F">
              <w:rPr>
                <w:rFonts w:ascii="Arial Narrow" w:hAnsi="Arial Narrow" w:cs="Calibri"/>
                <w:bCs/>
                <w:sz w:val="18"/>
                <w:szCs w:val="18"/>
                <w:lang w:eastAsia="zh-CN"/>
              </w:rPr>
            </w:r>
            <w:r w:rsidR="00E4568F">
              <w:rPr>
                <w:rFonts w:ascii="Arial Narrow" w:hAnsi="Arial Narrow" w:cs="Calibri"/>
                <w:bCs/>
                <w:sz w:val="18"/>
                <w:szCs w:val="18"/>
                <w:lang w:eastAsia="zh-CN"/>
              </w:rPr>
              <w:fldChar w:fldCharType="separate"/>
            </w:r>
            <w:r w:rsidRPr="00E63DF4">
              <w:rPr>
                <w:rFonts w:ascii="Arial Narrow" w:hAnsi="Arial Narrow" w:cs="Calibri"/>
                <w:bCs/>
                <w:sz w:val="18"/>
                <w:szCs w:val="18"/>
                <w:lang w:eastAsia="zh-CN"/>
              </w:rPr>
              <w:fldChar w:fldCharType="end"/>
            </w:r>
            <w:r w:rsidRPr="00E63DF4">
              <w:rPr>
                <w:rFonts w:ascii="Arial Narrow" w:hAnsi="Arial Narrow" w:cs="Calibri"/>
                <w:bCs/>
                <w:sz w:val="18"/>
                <w:szCs w:val="18"/>
                <w:lang w:eastAsia="zh-CN"/>
              </w:rPr>
              <w:t xml:space="preserve">Optometrists   </w:t>
            </w:r>
            <w:r w:rsidRPr="00E63DF4">
              <w:rPr>
                <w:rFonts w:ascii="Arial Narrow" w:hAnsi="Arial Narrow" w:cs="Calibri"/>
                <w:bCs/>
                <w:sz w:val="18"/>
                <w:szCs w:val="18"/>
                <w:lang w:eastAsia="zh-CN"/>
              </w:rPr>
              <w:fldChar w:fldCharType="begin">
                <w:ffData>
                  <w:name w:val="Check5"/>
                  <w:enabled/>
                  <w:calcOnExit w:val="0"/>
                  <w:checkBox>
                    <w:sizeAuto/>
                    <w:default w:val="0"/>
                  </w:checkBox>
                </w:ffData>
              </w:fldChar>
            </w:r>
            <w:r w:rsidRPr="00E63DF4">
              <w:rPr>
                <w:rFonts w:ascii="Arial Narrow" w:hAnsi="Arial Narrow" w:cs="Calibri"/>
                <w:bCs/>
                <w:sz w:val="18"/>
                <w:szCs w:val="18"/>
                <w:lang w:eastAsia="zh-CN"/>
              </w:rPr>
              <w:instrText xml:space="preserve"> FORMCHECKBOX </w:instrText>
            </w:r>
            <w:r w:rsidR="00E4568F">
              <w:rPr>
                <w:rFonts w:ascii="Arial Narrow" w:hAnsi="Arial Narrow" w:cs="Calibri"/>
                <w:bCs/>
                <w:sz w:val="18"/>
                <w:szCs w:val="18"/>
                <w:lang w:eastAsia="zh-CN"/>
              </w:rPr>
            </w:r>
            <w:r w:rsidR="00E4568F">
              <w:rPr>
                <w:rFonts w:ascii="Arial Narrow" w:hAnsi="Arial Narrow" w:cs="Calibri"/>
                <w:bCs/>
                <w:sz w:val="18"/>
                <w:szCs w:val="18"/>
                <w:lang w:eastAsia="zh-CN"/>
              </w:rPr>
              <w:fldChar w:fldCharType="separate"/>
            </w:r>
            <w:r w:rsidRPr="00E63DF4">
              <w:rPr>
                <w:rFonts w:ascii="Arial Narrow" w:hAnsi="Arial Narrow" w:cs="Calibri"/>
                <w:bCs/>
                <w:sz w:val="18"/>
                <w:szCs w:val="18"/>
                <w:lang w:eastAsia="zh-CN"/>
              </w:rPr>
              <w:fldChar w:fldCharType="end"/>
            </w:r>
            <w:r w:rsidRPr="00E63DF4">
              <w:rPr>
                <w:rFonts w:ascii="Arial Narrow" w:hAnsi="Arial Narrow" w:cs="Calibri"/>
                <w:bCs/>
                <w:sz w:val="18"/>
                <w:szCs w:val="18"/>
                <w:lang w:eastAsia="zh-CN"/>
              </w:rPr>
              <w:t>Midwives</w:t>
            </w:r>
          </w:p>
        </w:tc>
      </w:tr>
      <w:tr w:rsidR="00190A8B" w:rsidRPr="00E63DF4" w:rsidTr="00190A8B">
        <w:trPr>
          <w:cantSplit/>
          <w:trHeight w:val="142"/>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keepNext/>
              <w:keepLines/>
              <w:ind w:left="-106"/>
              <w:rPr>
                <w:rFonts w:ascii="Arial Narrow" w:hAnsi="Arial Narrow" w:cs="Calibri"/>
                <w:bCs/>
                <w:i/>
                <w:sz w:val="18"/>
                <w:szCs w:val="18"/>
                <w:lang w:eastAsia="zh-CN"/>
              </w:rPr>
            </w:pPr>
            <w:r w:rsidRPr="00E63DF4">
              <w:rPr>
                <w:rFonts w:ascii="Arial Narrow" w:hAnsi="Arial Narrow" w:cs="Calibri"/>
                <w:b/>
                <w:bCs/>
                <w:sz w:val="18"/>
                <w:szCs w:val="18"/>
                <w:lang w:eastAsia="zh-CN"/>
              </w:rPr>
              <w:t xml:space="preserve">Restriction </w:t>
            </w:r>
            <w:r>
              <w:rPr>
                <w:rFonts w:ascii="Arial Narrow" w:hAnsi="Arial Narrow" w:cs="Calibri"/>
                <w:b/>
                <w:bCs/>
                <w:sz w:val="18"/>
                <w:szCs w:val="18"/>
                <w:lang w:eastAsia="zh-CN"/>
              </w:rPr>
              <w:t>type</w:t>
            </w:r>
            <w:r w:rsidRPr="00E63DF4">
              <w:rPr>
                <w:rFonts w:ascii="Arial Narrow" w:hAnsi="Arial Narrow" w:cs="Calibri"/>
                <w:b/>
                <w:bCs/>
                <w:sz w:val="18"/>
                <w:szCs w:val="18"/>
                <w:lang w:eastAsia="zh-CN"/>
              </w:rPr>
              <w:t>/method</w:t>
            </w:r>
            <w:r w:rsidRPr="00E63DF4">
              <w:rPr>
                <w:rFonts w:ascii="Arial Narrow" w:hAnsi="Arial Narrow" w:cs="Calibri"/>
                <w:b/>
                <w:bCs/>
                <w:i/>
                <w:sz w:val="18"/>
                <w:szCs w:val="18"/>
                <w:lang w:eastAsia="zh-CN"/>
              </w:rPr>
              <w:t>:</w:t>
            </w:r>
            <w:r w:rsidRPr="00E63DF4">
              <w:rPr>
                <w:rFonts w:ascii="Arial Narrow" w:hAnsi="Arial Narrow" w:cs="Calibri"/>
                <w:bCs/>
                <w:sz w:val="18"/>
                <w:szCs w:val="18"/>
                <w:lang w:eastAsia="zh-CN"/>
              </w:rPr>
              <w:t xml:space="preserve"> </w:t>
            </w:r>
            <w:r w:rsidRPr="00E63DF4">
              <w:rPr>
                <w:rFonts w:ascii="Arial Narrow" w:hAnsi="Arial Narrow" w:cs="Calibri"/>
                <w:bCs/>
                <w:sz w:val="18"/>
                <w:szCs w:val="18"/>
                <w:lang w:eastAsia="zh-CN"/>
              </w:rPr>
              <w:fldChar w:fldCharType="begin">
                <w:ffData>
                  <w:name w:val=""/>
                  <w:enabled/>
                  <w:calcOnExit w:val="0"/>
                  <w:checkBox>
                    <w:sizeAuto/>
                    <w:default w:val="1"/>
                  </w:checkBox>
                </w:ffData>
              </w:fldChar>
            </w:r>
            <w:r w:rsidRPr="00E63DF4">
              <w:rPr>
                <w:rFonts w:ascii="Arial Narrow" w:hAnsi="Arial Narrow" w:cs="Calibri"/>
                <w:bCs/>
                <w:sz w:val="18"/>
                <w:szCs w:val="18"/>
                <w:lang w:eastAsia="zh-CN"/>
              </w:rPr>
              <w:instrText xml:space="preserve"> FORMCHECKBOX </w:instrText>
            </w:r>
            <w:r w:rsidR="00E4568F">
              <w:rPr>
                <w:rFonts w:ascii="Arial Narrow" w:hAnsi="Arial Narrow" w:cs="Calibri"/>
                <w:bCs/>
                <w:sz w:val="18"/>
                <w:szCs w:val="18"/>
                <w:lang w:eastAsia="zh-CN"/>
              </w:rPr>
            </w:r>
            <w:r w:rsidR="00E4568F">
              <w:rPr>
                <w:rFonts w:ascii="Arial Narrow" w:hAnsi="Arial Narrow" w:cs="Calibri"/>
                <w:bCs/>
                <w:sz w:val="18"/>
                <w:szCs w:val="18"/>
                <w:lang w:eastAsia="zh-CN"/>
              </w:rPr>
              <w:fldChar w:fldCharType="separate"/>
            </w:r>
            <w:r w:rsidRPr="00E63DF4">
              <w:rPr>
                <w:rFonts w:ascii="Arial Narrow" w:hAnsi="Arial Narrow" w:cs="Calibri"/>
                <w:bCs/>
                <w:sz w:val="18"/>
                <w:szCs w:val="18"/>
                <w:lang w:eastAsia="zh-CN"/>
              </w:rPr>
              <w:fldChar w:fldCharType="end"/>
            </w:r>
            <w:r w:rsidRPr="00E63DF4">
              <w:rPr>
                <w:rFonts w:ascii="Arial Narrow" w:hAnsi="Arial Narrow" w:cs="Calibri"/>
                <w:bCs/>
                <w:sz w:val="18"/>
                <w:szCs w:val="18"/>
                <w:lang w:eastAsia="zh-CN"/>
              </w:rPr>
              <w:t xml:space="preserve"> Authority Required – Streamlined [new code]</w:t>
            </w:r>
          </w:p>
        </w:tc>
      </w:tr>
      <w:tr w:rsidR="00190A8B" w:rsidRPr="00E63DF4" w:rsidTr="00190A8B">
        <w:trPr>
          <w:cantSplit/>
          <w:trHeight w:val="201"/>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keepNext/>
              <w:keepLines/>
              <w:ind w:left="-106"/>
              <w:rPr>
                <w:rFonts w:ascii="Arial Narrow" w:hAnsi="Arial Narrow" w:cs="Calibri"/>
                <w:bCs/>
                <w:iCs/>
                <w:sz w:val="18"/>
                <w:szCs w:val="18"/>
                <w:lang w:eastAsia="zh-CN"/>
              </w:rPr>
            </w:pPr>
            <w:r w:rsidRPr="00E63DF4">
              <w:rPr>
                <w:rFonts w:ascii="Arial Narrow" w:hAnsi="Arial Narrow" w:cs="Calibri"/>
                <w:b/>
                <w:bCs/>
                <w:sz w:val="18"/>
                <w:szCs w:val="18"/>
                <w:lang w:eastAsia="zh-CN"/>
              </w:rPr>
              <w:t>Episodicity:</w:t>
            </w:r>
            <w:r w:rsidRPr="00E63DF4">
              <w:rPr>
                <w:rFonts w:ascii="Arial Narrow" w:hAnsi="Arial Narrow" w:cs="Calibri"/>
                <w:bCs/>
                <w:sz w:val="18"/>
                <w:szCs w:val="18"/>
                <w:lang w:eastAsia="zh-CN"/>
              </w:rPr>
              <w:t xml:space="preserve"> [blank]</w:t>
            </w:r>
          </w:p>
        </w:tc>
      </w:tr>
      <w:tr w:rsidR="00190A8B" w:rsidRPr="00E63DF4" w:rsidTr="00190A8B">
        <w:trPr>
          <w:cantSplit/>
          <w:trHeight w:val="103"/>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keepNext/>
              <w:keepLines/>
              <w:ind w:left="-106"/>
              <w:rPr>
                <w:rFonts w:ascii="Arial Narrow" w:hAnsi="Arial Narrow" w:cs="Calibri"/>
                <w:bCs/>
                <w:iCs/>
                <w:sz w:val="18"/>
                <w:szCs w:val="18"/>
                <w:lang w:eastAsia="zh-CN"/>
              </w:rPr>
            </w:pPr>
            <w:r w:rsidRPr="00E63DF4">
              <w:rPr>
                <w:rFonts w:ascii="Arial Narrow" w:hAnsi="Arial Narrow" w:cs="Calibri"/>
                <w:b/>
                <w:bCs/>
                <w:sz w:val="18"/>
                <w:szCs w:val="18"/>
                <w:lang w:eastAsia="zh-CN"/>
              </w:rPr>
              <w:t xml:space="preserve">Severity: </w:t>
            </w:r>
            <w:r w:rsidRPr="00E63DF4">
              <w:rPr>
                <w:rFonts w:ascii="Arial Narrow" w:hAnsi="Arial Narrow" w:cs="Calibri"/>
                <w:bCs/>
                <w:iCs/>
                <w:sz w:val="18"/>
                <w:szCs w:val="18"/>
                <w:lang w:eastAsia="zh-CN"/>
              </w:rPr>
              <w:t xml:space="preserve">Advanced (unresectable) Barcelona Clinic Liver Cancer Stage B or Stage C </w:t>
            </w:r>
          </w:p>
        </w:tc>
      </w:tr>
      <w:tr w:rsidR="00190A8B" w:rsidRPr="00E63DF4" w:rsidTr="00190A8B">
        <w:trPr>
          <w:cantSplit/>
          <w:trHeight w:val="204"/>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keepNext/>
              <w:keepLines/>
              <w:ind w:left="-106"/>
              <w:rPr>
                <w:rFonts w:ascii="Arial Narrow" w:hAnsi="Arial Narrow" w:cs="Calibri"/>
                <w:bCs/>
                <w:i/>
                <w:iCs/>
                <w:sz w:val="18"/>
                <w:szCs w:val="18"/>
                <w:lang w:eastAsia="zh-CN"/>
              </w:rPr>
            </w:pPr>
            <w:r w:rsidRPr="00E63DF4">
              <w:rPr>
                <w:rFonts w:ascii="Arial Narrow" w:hAnsi="Arial Narrow" w:cs="Calibri"/>
                <w:b/>
                <w:bCs/>
                <w:sz w:val="18"/>
                <w:szCs w:val="18"/>
                <w:lang w:eastAsia="zh-CN"/>
              </w:rPr>
              <w:t xml:space="preserve">Condition: </w:t>
            </w:r>
            <w:r w:rsidRPr="00E63DF4">
              <w:rPr>
                <w:rFonts w:ascii="Arial Narrow" w:hAnsi="Arial Narrow" w:cs="Calibri"/>
                <w:bCs/>
                <w:sz w:val="18"/>
                <w:szCs w:val="18"/>
                <w:lang w:eastAsia="zh-CN"/>
              </w:rPr>
              <w:t>h</w:t>
            </w:r>
            <w:r w:rsidRPr="00E63DF4">
              <w:rPr>
                <w:rFonts w:ascii="Arial Narrow" w:hAnsi="Arial Narrow" w:cs="Calibri"/>
                <w:bCs/>
                <w:iCs/>
                <w:sz w:val="18"/>
                <w:szCs w:val="18"/>
                <w:lang w:eastAsia="zh-CN"/>
              </w:rPr>
              <w:t xml:space="preserve">epatocellular carcinoma </w:t>
            </w:r>
          </w:p>
        </w:tc>
      </w:tr>
      <w:tr w:rsidR="00190A8B" w:rsidRPr="00E63DF4" w:rsidTr="00190A8B">
        <w:trPr>
          <w:cantSplit/>
          <w:trHeight w:val="225"/>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keepNext/>
              <w:keepLines/>
              <w:ind w:left="-106"/>
              <w:rPr>
                <w:rFonts w:ascii="Arial Narrow" w:hAnsi="Arial Narrow" w:cs="Calibri"/>
                <w:bCs/>
                <w:iCs/>
                <w:sz w:val="18"/>
                <w:szCs w:val="18"/>
                <w:lang w:eastAsia="zh-CN"/>
              </w:rPr>
            </w:pPr>
            <w:r w:rsidRPr="00E63DF4">
              <w:rPr>
                <w:rFonts w:ascii="Arial Narrow" w:hAnsi="Arial Narrow" w:cs="Calibri"/>
                <w:b/>
                <w:bCs/>
                <w:sz w:val="18"/>
                <w:szCs w:val="18"/>
                <w:lang w:eastAsia="zh-CN"/>
              </w:rPr>
              <w:t>PBS Indication:</w:t>
            </w:r>
            <w:r w:rsidRPr="00E63DF4">
              <w:rPr>
                <w:rFonts w:ascii="Arial Narrow" w:hAnsi="Arial Narrow" w:cs="Calibri"/>
                <w:bCs/>
                <w:iCs/>
                <w:sz w:val="18"/>
                <w:szCs w:val="18"/>
                <w:lang w:eastAsia="zh-CN"/>
              </w:rPr>
              <w:t xml:space="preserve"> Advanced (unresectable) Barcelona Clinic Liver Cancer Stage B or Stage C hepatocellular carcinoma</w:t>
            </w:r>
          </w:p>
        </w:tc>
      </w:tr>
      <w:tr w:rsidR="00190A8B" w:rsidRPr="00E63DF4" w:rsidTr="00190A8B">
        <w:trPr>
          <w:cantSplit/>
          <w:trHeight w:val="257"/>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keepNext/>
              <w:keepLines/>
              <w:ind w:left="-106"/>
              <w:rPr>
                <w:rFonts w:ascii="Arial Narrow" w:hAnsi="Arial Narrow" w:cs="Calibri"/>
                <w:bCs/>
                <w:sz w:val="18"/>
                <w:szCs w:val="18"/>
                <w:lang w:eastAsia="zh-CN"/>
              </w:rPr>
            </w:pPr>
            <w:r w:rsidRPr="00E63DF4">
              <w:rPr>
                <w:rFonts w:ascii="Arial Narrow" w:hAnsi="Arial Narrow" w:cs="Calibri"/>
                <w:b/>
                <w:bCs/>
                <w:sz w:val="18"/>
                <w:szCs w:val="18"/>
                <w:lang w:eastAsia="zh-CN"/>
              </w:rPr>
              <w:t>Treatment phase:</w:t>
            </w:r>
            <w:r w:rsidRPr="00E63DF4">
              <w:rPr>
                <w:rFonts w:ascii="Arial Narrow" w:hAnsi="Arial Narrow" w:cs="Calibri"/>
                <w:bCs/>
                <w:sz w:val="18"/>
                <w:szCs w:val="18"/>
                <w:lang w:eastAsia="zh-CN"/>
              </w:rPr>
              <w:t xml:space="preserve"> </w:t>
            </w:r>
            <w:r w:rsidRPr="00E63DF4">
              <w:rPr>
                <w:rFonts w:ascii="Arial Narrow" w:hAnsi="Arial Narrow" w:cs="Calibri"/>
                <w:bCs/>
                <w:iCs/>
                <w:sz w:val="18"/>
                <w:szCs w:val="18"/>
                <w:lang w:eastAsia="zh-CN"/>
              </w:rPr>
              <w:t>Initial treatment</w:t>
            </w:r>
          </w:p>
        </w:tc>
      </w:tr>
      <w:tr w:rsidR="00190A8B" w:rsidRPr="00E63DF4" w:rsidTr="00190A8B">
        <w:trPr>
          <w:cantSplit/>
          <w:trHeight w:val="150"/>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keepNext/>
              <w:keepLines/>
              <w:ind w:left="-106"/>
              <w:rPr>
                <w:rFonts w:ascii="Arial Narrow" w:hAnsi="Arial Narrow" w:cs="Calibri"/>
                <w:b/>
                <w:bCs/>
                <w:sz w:val="18"/>
                <w:szCs w:val="18"/>
                <w:lang w:eastAsia="zh-CN"/>
              </w:rPr>
            </w:pPr>
            <w:r w:rsidRPr="00E63DF4">
              <w:rPr>
                <w:rFonts w:ascii="Arial Narrow" w:hAnsi="Arial Narrow" w:cs="Calibri"/>
                <w:b/>
                <w:bCs/>
                <w:sz w:val="18"/>
                <w:szCs w:val="18"/>
                <w:lang w:eastAsia="zh-CN"/>
              </w:rPr>
              <w:t xml:space="preserve">Clinical criteria: </w:t>
            </w:r>
          </w:p>
        </w:tc>
      </w:tr>
      <w:tr w:rsidR="00190A8B" w:rsidRPr="00E63DF4" w:rsidTr="00190A8B">
        <w:trPr>
          <w:cantSplit/>
          <w:trHeight w:val="209"/>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keepNext/>
              <w:keepLines/>
              <w:ind w:left="-106"/>
              <w:rPr>
                <w:rFonts w:ascii="Arial Narrow" w:hAnsi="Arial Narrow" w:cs="Calibri"/>
                <w:bCs/>
                <w:sz w:val="18"/>
                <w:szCs w:val="18"/>
                <w:lang w:eastAsia="zh-CN"/>
              </w:rPr>
            </w:pPr>
            <w:r w:rsidRPr="00E63DF4">
              <w:rPr>
                <w:rFonts w:ascii="Arial Narrow" w:hAnsi="Arial Narrow" w:cs="Calibri"/>
                <w:bCs/>
                <w:sz w:val="18"/>
                <w:szCs w:val="18"/>
                <w:lang w:eastAsia="zh-CN"/>
              </w:rPr>
              <w:t>Patient must be undergoing combination treatment with bevacizumab and atezolizumab until disease progression, unless not tolerated</w:t>
            </w:r>
          </w:p>
        </w:tc>
      </w:tr>
      <w:tr w:rsidR="00190A8B" w:rsidRPr="00E63DF4" w:rsidTr="00190A8B">
        <w:trPr>
          <w:cantSplit/>
          <w:trHeight w:val="132"/>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keepNext/>
              <w:keepLines/>
              <w:ind w:left="-106"/>
              <w:rPr>
                <w:rFonts w:ascii="Arial Narrow" w:hAnsi="Arial Narrow" w:cs="Calibri"/>
                <w:b/>
                <w:bCs/>
                <w:sz w:val="18"/>
                <w:szCs w:val="18"/>
                <w:lang w:eastAsia="zh-CN"/>
              </w:rPr>
            </w:pPr>
            <w:r w:rsidRPr="00E63DF4">
              <w:rPr>
                <w:rFonts w:ascii="Arial Narrow" w:hAnsi="Arial Narrow" w:cs="Calibri"/>
                <w:b/>
                <w:bCs/>
                <w:sz w:val="18"/>
                <w:szCs w:val="18"/>
                <w:lang w:eastAsia="zh-CN"/>
              </w:rPr>
              <w:t>AND</w:t>
            </w:r>
          </w:p>
        </w:tc>
      </w:tr>
      <w:tr w:rsidR="00190A8B" w:rsidRPr="00E63DF4" w:rsidTr="00190A8B">
        <w:trPr>
          <w:cantSplit/>
          <w:trHeight w:val="231"/>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keepNext/>
              <w:keepLines/>
              <w:ind w:left="-106"/>
              <w:rPr>
                <w:rFonts w:ascii="Arial Narrow" w:hAnsi="Arial Narrow" w:cs="Calibri"/>
                <w:bCs/>
                <w:sz w:val="18"/>
                <w:szCs w:val="18"/>
                <w:lang w:eastAsia="zh-CN"/>
              </w:rPr>
            </w:pPr>
            <w:r w:rsidRPr="00E63DF4">
              <w:rPr>
                <w:rFonts w:ascii="Arial Narrow" w:hAnsi="Arial Narrow" w:cs="Calibri"/>
                <w:bCs/>
                <w:sz w:val="18"/>
                <w:szCs w:val="18"/>
                <w:lang w:eastAsia="zh-CN"/>
              </w:rPr>
              <w:t>Patient must have a WHO performance status of 0 or 1</w:t>
            </w:r>
          </w:p>
        </w:tc>
      </w:tr>
      <w:tr w:rsidR="00190A8B" w:rsidRPr="00E63DF4" w:rsidTr="00190A8B">
        <w:trPr>
          <w:cantSplit/>
          <w:trHeight w:val="138"/>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keepNext/>
              <w:keepLines/>
              <w:ind w:left="-106"/>
              <w:rPr>
                <w:rFonts w:ascii="Arial Narrow" w:hAnsi="Arial Narrow" w:cs="Calibri"/>
                <w:b/>
                <w:bCs/>
                <w:sz w:val="18"/>
                <w:szCs w:val="18"/>
                <w:lang w:eastAsia="zh-CN"/>
              </w:rPr>
            </w:pPr>
            <w:r w:rsidRPr="00E63DF4">
              <w:rPr>
                <w:rFonts w:ascii="Arial Narrow" w:hAnsi="Arial Narrow" w:cs="Calibri"/>
                <w:b/>
                <w:bCs/>
                <w:sz w:val="18"/>
                <w:szCs w:val="18"/>
                <w:lang w:eastAsia="zh-CN"/>
              </w:rPr>
              <w:t>AND</w:t>
            </w:r>
          </w:p>
        </w:tc>
      </w:tr>
      <w:tr w:rsidR="00190A8B" w:rsidRPr="00E63DF4" w:rsidTr="00190A8B">
        <w:trPr>
          <w:cantSplit/>
          <w:trHeight w:val="211"/>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keepNext/>
              <w:keepLines/>
              <w:ind w:left="-106"/>
              <w:rPr>
                <w:rFonts w:ascii="Arial Narrow" w:hAnsi="Arial Narrow" w:cs="Calibri"/>
                <w:b/>
                <w:bCs/>
                <w:sz w:val="18"/>
                <w:szCs w:val="18"/>
                <w:lang w:eastAsia="zh-CN"/>
              </w:rPr>
            </w:pPr>
            <w:r w:rsidRPr="00E63DF4">
              <w:rPr>
                <w:rFonts w:ascii="Arial Narrow" w:hAnsi="Arial Narrow" w:cs="Calibri"/>
                <w:bCs/>
                <w:sz w:val="18"/>
                <w:szCs w:val="18"/>
                <w:lang w:eastAsia="zh-CN"/>
              </w:rPr>
              <w:t>Patient must not be suitable for transarterial chemoembolisation</w:t>
            </w:r>
          </w:p>
        </w:tc>
      </w:tr>
      <w:tr w:rsidR="00190A8B" w:rsidRPr="00E63DF4" w:rsidTr="00190A8B">
        <w:trPr>
          <w:cantSplit/>
          <w:trHeight w:val="211"/>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keepNext/>
              <w:keepLines/>
              <w:ind w:left="-106"/>
              <w:rPr>
                <w:rFonts w:ascii="Arial Narrow" w:hAnsi="Arial Narrow" w:cs="Calibri"/>
                <w:b/>
                <w:bCs/>
                <w:sz w:val="18"/>
                <w:szCs w:val="18"/>
                <w:lang w:eastAsia="zh-CN"/>
              </w:rPr>
            </w:pPr>
            <w:r w:rsidRPr="00E63DF4">
              <w:rPr>
                <w:rFonts w:ascii="Arial Narrow" w:hAnsi="Arial Narrow" w:cs="Calibri"/>
                <w:b/>
                <w:bCs/>
                <w:sz w:val="18"/>
                <w:szCs w:val="18"/>
                <w:lang w:eastAsia="zh-CN"/>
              </w:rPr>
              <w:t>AND</w:t>
            </w:r>
          </w:p>
        </w:tc>
      </w:tr>
      <w:tr w:rsidR="00190A8B" w:rsidRPr="00E63DF4" w:rsidTr="00190A8B">
        <w:trPr>
          <w:cantSplit/>
          <w:trHeight w:val="157"/>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2B0236">
            <w:pPr>
              <w:keepNext/>
              <w:keepLines/>
              <w:ind w:left="-106"/>
              <w:rPr>
                <w:rFonts w:ascii="Arial Narrow" w:hAnsi="Arial Narrow" w:cs="Calibri"/>
                <w:bCs/>
                <w:color w:val="FF00FF"/>
                <w:sz w:val="18"/>
                <w:szCs w:val="18"/>
                <w:lang w:eastAsia="zh-CN"/>
              </w:rPr>
            </w:pPr>
            <w:r w:rsidRPr="00E63DF4">
              <w:rPr>
                <w:rFonts w:ascii="Arial Narrow" w:hAnsi="Arial Narrow" w:cs="Calibri"/>
                <w:bCs/>
                <w:sz w:val="18"/>
                <w:szCs w:val="18"/>
                <w:lang w:eastAsia="zh-CN"/>
              </w:rPr>
              <w:t xml:space="preserve">Patient must have Child Pugh class A   </w:t>
            </w:r>
          </w:p>
        </w:tc>
      </w:tr>
      <w:tr w:rsidR="00190A8B" w:rsidRPr="00E63DF4" w:rsidTr="00190A8B">
        <w:trPr>
          <w:cantSplit/>
          <w:trHeight w:val="157"/>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keepNext/>
              <w:keepLines/>
              <w:ind w:left="-106"/>
              <w:rPr>
                <w:rFonts w:ascii="Arial Narrow" w:hAnsi="Arial Narrow" w:cs="Calibri"/>
                <w:b/>
                <w:bCs/>
                <w:sz w:val="18"/>
                <w:szCs w:val="18"/>
                <w:lang w:eastAsia="zh-CN"/>
              </w:rPr>
            </w:pPr>
            <w:r w:rsidRPr="00E63DF4">
              <w:rPr>
                <w:rFonts w:ascii="Arial Narrow" w:hAnsi="Arial Narrow" w:cs="Calibri"/>
                <w:b/>
                <w:bCs/>
                <w:sz w:val="18"/>
                <w:szCs w:val="18"/>
                <w:lang w:eastAsia="zh-CN"/>
              </w:rPr>
              <w:t>AND</w:t>
            </w:r>
          </w:p>
        </w:tc>
      </w:tr>
      <w:tr w:rsidR="00190A8B" w:rsidRPr="00E63DF4" w:rsidTr="00190A8B">
        <w:trPr>
          <w:cantSplit/>
          <w:trHeight w:val="233"/>
        </w:trPr>
        <w:tc>
          <w:tcPr>
            <w:tcW w:w="5000" w:type="pct"/>
            <w:tcBorders>
              <w:top w:val="single" w:sz="4" w:space="0" w:color="auto"/>
              <w:left w:val="single" w:sz="4" w:space="0" w:color="auto"/>
              <w:right w:val="single" w:sz="4" w:space="0" w:color="auto"/>
            </w:tcBorders>
          </w:tcPr>
          <w:p w:rsidR="00190A8B" w:rsidRPr="003F2178" w:rsidRDefault="00190A8B" w:rsidP="00F31EAF">
            <w:pPr>
              <w:keepNext/>
              <w:keepLines/>
              <w:ind w:left="-106"/>
              <w:rPr>
                <w:rFonts w:ascii="Arial Narrow" w:hAnsi="Arial Narrow" w:cs="Calibri"/>
                <w:bCs/>
                <w:sz w:val="18"/>
                <w:szCs w:val="18"/>
                <w:lang w:eastAsia="zh-CN"/>
              </w:rPr>
            </w:pPr>
            <w:r w:rsidRPr="003F2178">
              <w:rPr>
                <w:rFonts w:ascii="Arial Narrow" w:hAnsi="Arial Narrow" w:cs="Calibri"/>
                <w:bCs/>
                <w:sz w:val="18"/>
                <w:szCs w:val="18"/>
                <w:lang w:eastAsia="zh-CN"/>
              </w:rPr>
              <w:t xml:space="preserve">The condition must be untreated with systemic therapy </w:t>
            </w:r>
          </w:p>
        </w:tc>
      </w:tr>
      <w:tr w:rsidR="00190A8B" w:rsidRPr="00E63DF4" w:rsidTr="00190A8B">
        <w:trPr>
          <w:cantSplit/>
          <w:trHeight w:val="270"/>
        </w:trPr>
        <w:tc>
          <w:tcPr>
            <w:tcW w:w="5000" w:type="pct"/>
            <w:tcBorders>
              <w:top w:val="single" w:sz="4" w:space="0" w:color="auto"/>
              <w:left w:val="single" w:sz="4" w:space="0" w:color="auto"/>
              <w:right w:val="single" w:sz="4" w:space="0" w:color="auto"/>
            </w:tcBorders>
          </w:tcPr>
          <w:p w:rsidR="00190A8B" w:rsidRPr="003F2178" w:rsidRDefault="00190A8B" w:rsidP="001434C5">
            <w:pPr>
              <w:keepNext/>
              <w:keepLines/>
              <w:ind w:left="-106"/>
              <w:rPr>
                <w:rFonts w:ascii="Arial Narrow" w:hAnsi="Arial Narrow" w:cs="Calibri"/>
                <w:bCs/>
                <w:sz w:val="18"/>
                <w:szCs w:val="18"/>
                <w:lang w:eastAsia="zh-CN"/>
              </w:rPr>
            </w:pPr>
            <w:r w:rsidRPr="003F2178">
              <w:rPr>
                <w:rFonts w:ascii="Arial Narrow" w:hAnsi="Arial Narrow" w:cs="Calibri"/>
                <w:bCs/>
                <w:sz w:val="18"/>
                <w:szCs w:val="18"/>
                <w:lang w:eastAsia="zh-CN"/>
              </w:rPr>
              <w:t>OR</w:t>
            </w:r>
          </w:p>
        </w:tc>
      </w:tr>
      <w:tr w:rsidR="00190A8B" w:rsidRPr="00E63DF4" w:rsidTr="00190A8B">
        <w:trPr>
          <w:cantSplit/>
          <w:trHeight w:val="270"/>
        </w:trPr>
        <w:tc>
          <w:tcPr>
            <w:tcW w:w="5000" w:type="pct"/>
            <w:tcBorders>
              <w:top w:val="single" w:sz="4" w:space="0" w:color="auto"/>
              <w:left w:val="single" w:sz="4" w:space="0" w:color="auto"/>
              <w:right w:val="single" w:sz="4" w:space="0" w:color="auto"/>
            </w:tcBorders>
            <w:vAlign w:val="center"/>
          </w:tcPr>
          <w:p w:rsidR="00190A8B" w:rsidRPr="003F2178" w:rsidRDefault="00190A8B" w:rsidP="00E919A1">
            <w:pPr>
              <w:keepNext/>
              <w:keepLines/>
              <w:ind w:left="-106"/>
              <w:rPr>
                <w:rFonts w:ascii="Arial Narrow" w:hAnsi="Arial Narrow" w:cs="Calibri"/>
                <w:bCs/>
                <w:sz w:val="18"/>
                <w:szCs w:val="18"/>
                <w:highlight w:val="yellow"/>
                <w:lang w:eastAsia="zh-CN"/>
              </w:rPr>
            </w:pPr>
            <w:r w:rsidRPr="003F2178">
              <w:rPr>
                <w:rFonts w:ascii="Arial Narrow" w:hAnsi="Arial Narrow"/>
                <w:sz w:val="18"/>
                <w:szCs w:val="18"/>
              </w:rPr>
              <w:t>Patient must have developed intolerance to a vascular endothelial growth factor (VEGF) tyrosine kinase inhibitor (TKI) of a severity necessitating permanent treatment withdrawal</w:t>
            </w:r>
          </w:p>
        </w:tc>
      </w:tr>
      <w:tr w:rsidR="00190A8B" w:rsidRPr="00E63DF4" w:rsidTr="00190A8B">
        <w:trPr>
          <w:cantSplit/>
          <w:trHeight w:val="58"/>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E919A1">
            <w:pPr>
              <w:keepNext/>
              <w:keepLines/>
              <w:ind w:left="-106"/>
              <w:rPr>
                <w:rFonts w:ascii="Arial Narrow" w:hAnsi="Arial Narrow" w:cs="Calibri"/>
                <w:b/>
                <w:bCs/>
                <w:sz w:val="18"/>
                <w:szCs w:val="18"/>
                <w:lang w:eastAsia="zh-CN"/>
              </w:rPr>
            </w:pPr>
            <w:r w:rsidRPr="00E63DF4">
              <w:rPr>
                <w:rFonts w:ascii="Arial Narrow" w:hAnsi="Arial Narrow" w:cs="Calibri"/>
                <w:b/>
                <w:bCs/>
                <w:sz w:val="18"/>
                <w:szCs w:val="18"/>
                <w:lang w:eastAsia="zh-CN"/>
              </w:rPr>
              <w:t xml:space="preserve">Administrative advice: </w:t>
            </w:r>
            <w:r w:rsidRPr="00E63DF4">
              <w:rPr>
                <w:rFonts w:ascii="Arial Narrow" w:hAnsi="Arial Narrow" w:cs="Calibri"/>
                <w:bCs/>
                <w:sz w:val="18"/>
                <w:szCs w:val="18"/>
                <w:lang w:eastAsia="zh-CN"/>
              </w:rPr>
              <w:t>No increase in the maximum amount or number of units may be authorised</w:t>
            </w:r>
          </w:p>
        </w:tc>
      </w:tr>
      <w:tr w:rsidR="00190A8B" w:rsidRPr="00E63DF4" w:rsidTr="00190A8B">
        <w:trPr>
          <w:cantSplit/>
          <w:trHeight w:val="58"/>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E919A1">
            <w:pPr>
              <w:keepNext/>
              <w:keepLines/>
              <w:ind w:left="-106"/>
              <w:rPr>
                <w:rFonts w:ascii="Arial Narrow" w:hAnsi="Arial Narrow" w:cs="Calibri"/>
                <w:bCs/>
                <w:sz w:val="18"/>
                <w:szCs w:val="18"/>
                <w:lang w:eastAsia="zh-CN"/>
              </w:rPr>
            </w:pPr>
            <w:r w:rsidRPr="00E63DF4">
              <w:rPr>
                <w:rFonts w:ascii="Arial Narrow" w:hAnsi="Arial Narrow" w:cs="Calibri"/>
                <w:b/>
                <w:bCs/>
                <w:sz w:val="18"/>
                <w:szCs w:val="18"/>
                <w:lang w:eastAsia="zh-CN"/>
              </w:rPr>
              <w:t xml:space="preserve">Administrative advice: </w:t>
            </w:r>
            <w:r w:rsidRPr="00E63DF4">
              <w:rPr>
                <w:rFonts w:ascii="Arial Narrow" w:hAnsi="Arial Narrow" w:cs="Calibri"/>
                <w:bCs/>
                <w:sz w:val="18"/>
                <w:szCs w:val="18"/>
                <w:lang w:eastAsia="zh-CN"/>
              </w:rPr>
              <w:t>No increase in the maximum number of repeats may be authorised</w:t>
            </w:r>
          </w:p>
        </w:tc>
      </w:tr>
      <w:tr w:rsidR="00190A8B" w:rsidRPr="00E63DF4" w:rsidTr="00190A8B">
        <w:trPr>
          <w:cantSplit/>
          <w:trHeight w:val="58"/>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E919A1">
            <w:pPr>
              <w:keepNext/>
              <w:keepLines/>
              <w:ind w:left="-106"/>
              <w:rPr>
                <w:rFonts w:ascii="Arial Narrow" w:hAnsi="Arial Narrow" w:cs="Calibri"/>
                <w:bCs/>
                <w:sz w:val="18"/>
                <w:szCs w:val="18"/>
                <w:lang w:eastAsia="zh-CN"/>
              </w:rPr>
            </w:pPr>
            <w:r w:rsidRPr="00E63DF4">
              <w:rPr>
                <w:rFonts w:ascii="Arial Narrow" w:hAnsi="Arial Narrow" w:cs="Calibri"/>
                <w:b/>
                <w:bCs/>
                <w:sz w:val="18"/>
                <w:szCs w:val="18"/>
                <w:lang w:eastAsia="zh-CN"/>
              </w:rPr>
              <w:t>Administrative advice:</w:t>
            </w:r>
            <w:r w:rsidRPr="00E63DF4">
              <w:rPr>
                <w:rFonts w:ascii="Arial Narrow" w:hAnsi="Arial Narrow" w:cs="Calibri"/>
                <w:bCs/>
                <w:sz w:val="18"/>
                <w:szCs w:val="18"/>
                <w:lang w:eastAsia="zh-CN"/>
              </w:rPr>
              <w:t xml:space="preserve"> Special Pricing Arrangements apply</w:t>
            </w:r>
          </w:p>
        </w:tc>
      </w:tr>
      <w:tr w:rsidR="00190A8B" w:rsidRPr="00E63DF4" w:rsidTr="00190A8B">
        <w:trPr>
          <w:cantSplit/>
          <w:trHeight w:val="58"/>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E919A1">
            <w:pPr>
              <w:keepNext/>
              <w:keepLines/>
              <w:ind w:left="-106"/>
              <w:rPr>
                <w:rFonts w:ascii="Arial Narrow" w:hAnsi="Arial Narrow" w:cs="Calibri"/>
                <w:bCs/>
                <w:color w:val="FF00FF"/>
                <w:sz w:val="18"/>
                <w:szCs w:val="18"/>
                <w:lang w:eastAsia="zh-CN"/>
              </w:rPr>
            </w:pPr>
            <w:r w:rsidRPr="00E63DF4">
              <w:rPr>
                <w:rFonts w:ascii="Arial Narrow" w:hAnsi="Arial Narrow" w:cs="Calibri"/>
                <w:b/>
                <w:bCs/>
                <w:sz w:val="18"/>
                <w:szCs w:val="18"/>
                <w:lang w:eastAsia="zh-CN"/>
              </w:rPr>
              <w:t>Administrative advice:</w:t>
            </w:r>
            <w:r w:rsidRPr="00E63DF4">
              <w:rPr>
                <w:rFonts w:ascii="Arial Narrow" w:hAnsi="Arial Narrow" w:cs="Calibri"/>
                <w:bCs/>
                <w:sz w:val="18"/>
                <w:szCs w:val="18"/>
                <w:lang w:eastAsia="zh-CN"/>
              </w:rPr>
              <w:t xml:space="preserve"> </w:t>
            </w:r>
          </w:p>
          <w:p w:rsidR="00190A8B" w:rsidRPr="00E63DF4" w:rsidRDefault="00190A8B" w:rsidP="00E919A1">
            <w:pPr>
              <w:keepNext/>
              <w:keepLines/>
              <w:ind w:left="-106"/>
              <w:rPr>
                <w:rFonts w:ascii="Arial Narrow" w:hAnsi="Arial Narrow" w:cs="Calibri"/>
                <w:b/>
                <w:bCs/>
                <w:sz w:val="18"/>
                <w:szCs w:val="18"/>
                <w:lang w:eastAsia="zh-CN"/>
              </w:rPr>
            </w:pPr>
            <w:r w:rsidRPr="00E63DF4">
              <w:rPr>
                <w:rFonts w:ascii="Arial Narrow" w:hAnsi="Arial Narrow" w:cs="Calibri"/>
                <w:bCs/>
                <w:sz w:val="18"/>
                <w:szCs w:val="18"/>
                <w:lang w:eastAsia="zh-CN"/>
              </w:rPr>
              <w:t>In the first few months after start of immunotherapy, some patients can have a transient tumour flare with subsequent disease response. When progression is suspected, this should be confirmed through a confirmatory scan, taken at least four weeks later.</w:t>
            </w:r>
          </w:p>
        </w:tc>
      </w:tr>
      <w:tr w:rsidR="00190A8B" w:rsidRPr="00E63DF4" w:rsidTr="00190A8B">
        <w:trPr>
          <w:cantSplit/>
          <w:trHeight w:val="58"/>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E919A1">
            <w:pPr>
              <w:keepNext/>
              <w:keepLines/>
              <w:ind w:left="-106"/>
              <w:rPr>
                <w:rFonts w:ascii="Arial Narrow" w:hAnsi="Arial Narrow" w:cs="Calibri"/>
                <w:b/>
                <w:bCs/>
                <w:sz w:val="18"/>
                <w:szCs w:val="18"/>
                <w:lang w:eastAsia="zh-CN"/>
              </w:rPr>
            </w:pPr>
            <w:r w:rsidRPr="00E63DF4">
              <w:rPr>
                <w:rFonts w:ascii="Arial Narrow" w:hAnsi="Arial Narrow" w:cs="Calibri"/>
                <w:b/>
                <w:bCs/>
                <w:sz w:val="18"/>
                <w:szCs w:val="18"/>
                <w:lang w:eastAsia="zh-CN"/>
              </w:rPr>
              <w:t>Caution:</w:t>
            </w:r>
          </w:p>
          <w:p w:rsidR="00190A8B" w:rsidRPr="00E63DF4" w:rsidRDefault="00190A8B" w:rsidP="00E919A1">
            <w:pPr>
              <w:keepNext/>
              <w:keepLines/>
              <w:ind w:left="-106"/>
              <w:rPr>
                <w:rFonts w:ascii="Arial Narrow" w:hAnsi="Arial Narrow" w:cs="Calibri"/>
                <w:bCs/>
                <w:sz w:val="18"/>
                <w:szCs w:val="18"/>
                <w:lang w:eastAsia="zh-CN"/>
              </w:rPr>
            </w:pPr>
            <w:r w:rsidRPr="00F31EAF">
              <w:rPr>
                <w:rFonts w:ascii="Arial Narrow" w:hAnsi="Arial Narrow" w:cs="Calibri"/>
                <w:bCs/>
                <w:sz w:val="18"/>
                <w:szCs w:val="18"/>
                <w:lang w:eastAsia="zh-CN"/>
              </w:rPr>
              <w:t>The</w:t>
            </w:r>
            <w:r>
              <w:rPr>
                <w:rFonts w:ascii="Arial Narrow" w:hAnsi="Arial Narrow" w:cs="Calibri"/>
                <w:bCs/>
                <w:sz w:val="18"/>
                <w:szCs w:val="18"/>
                <w:lang w:eastAsia="zh-CN"/>
              </w:rPr>
              <w:t xml:space="preserve"> safety of atezolizumab in combination with bevacizumab</w:t>
            </w:r>
            <w:r w:rsidRPr="00F31EAF">
              <w:rPr>
                <w:rFonts w:ascii="Arial Narrow" w:hAnsi="Arial Narrow" w:cs="Calibri"/>
                <w:bCs/>
                <w:sz w:val="18"/>
                <w:szCs w:val="18"/>
                <w:lang w:eastAsia="zh-CN"/>
              </w:rPr>
              <w:t xml:space="preserve"> has not been e</w:t>
            </w:r>
            <w:r>
              <w:rPr>
                <w:rFonts w:ascii="Arial Narrow" w:hAnsi="Arial Narrow" w:cs="Calibri"/>
                <w:bCs/>
                <w:sz w:val="18"/>
                <w:szCs w:val="18"/>
                <w:lang w:eastAsia="zh-CN"/>
              </w:rPr>
              <w:t>stablished in patients who have i</w:t>
            </w:r>
            <w:r w:rsidRPr="00F31EAF">
              <w:rPr>
                <w:rFonts w:ascii="Arial Narrow" w:hAnsi="Arial Narrow" w:cs="Calibri"/>
                <w:bCs/>
                <w:sz w:val="18"/>
                <w:szCs w:val="18"/>
                <w:lang w:eastAsia="zh-CN"/>
              </w:rPr>
              <w:t xml:space="preserve">ncompletely treated varices, variceal bleeding within the previous 6 months </w:t>
            </w:r>
            <w:r>
              <w:rPr>
                <w:rFonts w:ascii="Arial Narrow" w:hAnsi="Arial Narrow" w:cs="Calibri"/>
                <w:bCs/>
                <w:sz w:val="18"/>
                <w:szCs w:val="18"/>
                <w:lang w:eastAsia="zh-CN"/>
              </w:rPr>
              <w:t xml:space="preserve">or who are </w:t>
            </w:r>
            <w:r w:rsidRPr="00F31EAF">
              <w:rPr>
                <w:rFonts w:ascii="Arial Narrow" w:hAnsi="Arial Narrow" w:cs="Calibri"/>
                <w:bCs/>
                <w:sz w:val="18"/>
                <w:szCs w:val="18"/>
                <w:lang w:eastAsia="zh-CN"/>
              </w:rPr>
              <w:t>at high risk of bleeding</w:t>
            </w:r>
            <w:r>
              <w:rPr>
                <w:rFonts w:ascii="Arial Narrow" w:hAnsi="Arial Narrow" w:cs="Calibri"/>
                <w:bCs/>
                <w:sz w:val="18"/>
                <w:szCs w:val="18"/>
                <w:lang w:eastAsia="zh-CN"/>
              </w:rPr>
              <w:t>. P</w:t>
            </w:r>
            <w:r w:rsidRPr="00F31EAF">
              <w:rPr>
                <w:rFonts w:ascii="Arial Narrow" w:hAnsi="Arial Narrow" w:cs="Calibri"/>
                <w:bCs/>
                <w:sz w:val="18"/>
                <w:szCs w:val="18"/>
                <w:lang w:eastAsia="zh-CN"/>
              </w:rPr>
              <w:t xml:space="preserve">atients should be assessed for risk of variceal bleeding prior to treatment with </w:t>
            </w:r>
            <w:r>
              <w:rPr>
                <w:rFonts w:ascii="Arial Narrow" w:hAnsi="Arial Narrow" w:cs="Calibri"/>
                <w:bCs/>
                <w:sz w:val="18"/>
                <w:szCs w:val="18"/>
                <w:lang w:eastAsia="zh-CN"/>
              </w:rPr>
              <w:t xml:space="preserve">this combination.  </w:t>
            </w:r>
          </w:p>
        </w:tc>
      </w:tr>
    </w:tbl>
    <w:p w:rsidR="001434C5" w:rsidRPr="00E63DF4" w:rsidRDefault="001434C5" w:rsidP="001434C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0"/>
        <w:gridCol w:w="2086"/>
        <w:gridCol w:w="1114"/>
        <w:gridCol w:w="835"/>
        <w:gridCol w:w="2365"/>
      </w:tblGrid>
      <w:tr w:rsidR="001434C5" w:rsidRPr="00E63DF4" w:rsidTr="004C57A4">
        <w:trPr>
          <w:cantSplit/>
          <w:trHeight w:val="471"/>
        </w:trPr>
        <w:tc>
          <w:tcPr>
            <w:tcW w:w="1460" w:type="pct"/>
          </w:tcPr>
          <w:p w:rsidR="001434C5" w:rsidRPr="00E63DF4" w:rsidRDefault="001434C5" w:rsidP="001434C5">
            <w:pPr>
              <w:keepNext/>
              <w:ind w:left="-108"/>
              <w:rPr>
                <w:rFonts w:ascii="Arial Narrow" w:hAnsi="Arial Narrow"/>
                <w:b/>
                <w:sz w:val="18"/>
                <w:szCs w:val="18"/>
              </w:rPr>
            </w:pPr>
            <w:r w:rsidRPr="00E63DF4">
              <w:rPr>
                <w:rFonts w:ascii="Arial Narrow" w:hAnsi="Arial Narrow"/>
                <w:b/>
                <w:sz w:val="18"/>
                <w:szCs w:val="18"/>
              </w:rPr>
              <w:t>Name, Restriction,</w:t>
            </w:r>
          </w:p>
          <w:p w:rsidR="001434C5" w:rsidRPr="00E63DF4" w:rsidRDefault="001434C5" w:rsidP="001434C5">
            <w:pPr>
              <w:keepNext/>
              <w:ind w:left="-108"/>
              <w:rPr>
                <w:rFonts w:ascii="Arial Narrow" w:hAnsi="Arial Narrow"/>
                <w:b/>
                <w:sz w:val="18"/>
                <w:szCs w:val="18"/>
              </w:rPr>
            </w:pPr>
            <w:r w:rsidRPr="00E63DF4">
              <w:rPr>
                <w:rFonts w:ascii="Arial Narrow" w:hAnsi="Arial Narrow"/>
                <w:b/>
                <w:sz w:val="18"/>
                <w:szCs w:val="18"/>
              </w:rPr>
              <w:t>Manner of administration and form</w:t>
            </w:r>
          </w:p>
        </w:tc>
        <w:tc>
          <w:tcPr>
            <w:tcW w:w="1154" w:type="pct"/>
          </w:tcPr>
          <w:p w:rsidR="001434C5" w:rsidRPr="00E63DF4" w:rsidRDefault="001434C5" w:rsidP="001434C5">
            <w:pPr>
              <w:keepNext/>
              <w:ind w:left="-108"/>
              <w:jc w:val="center"/>
              <w:rPr>
                <w:rFonts w:ascii="Arial Narrow" w:hAnsi="Arial Narrow"/>
                <w:b/>
                <w:sz w:val="18"/>
                <w:szCs w:val="18"/>
              </w:rPr>
            </w:pPr>
            <w:r w:rsidRPr="00E63DF4">
              <w:rPr>
                <w:rFonts w:ascii="Arial Narrow" w:hAnsi="Arial Narrow"/>
                <w:b/>
                <w:sz w:val="18"/>
                <w:szCs w:val="18"/>
              </w:rPr>
              <w:t>PBS item code</w:t>
            </w:r>
          </w:p>
        </w:tc>
        <w:tc>
          <w:tcPr>
            <w:tcW w:w="616" w:type="pct"/>
          </w:tcPr>
          <w:p w:rsidR="001434C5" w:rsidRPr="00E63DF4" w:rsidRDefault="001434C5" w:rsidP="001434C5">
            <w:pPr>
              <w:keepNext/>
              <w:ind w:left="-108"/>
              <w:jc w:val="center"/>
              <w:rPr>
                <w:rFonts w:ascii="Arial Narrow" w:hAnsi="Arial Narrow"/>
                <w:b/>
                <w:sz w:val="18"/>
                <w:szCs w:val="18"/>
              </w:rPr>
            </w:pPr>
            <w:r w:rsidRPr="00E63DF4">
              <w:rPr>
                <w:rFonts w:ascii="Arial Narrow" w:hAnsi="Arial Narrow"/>
                <w:b/>
                <w:sz w:val="18"/>
                <w:szCs w:val="18"/>
              </w:rPr>
              <w:t>Max.</w:t>
            </w:r>
          </w:p>
          <w:p w:rsidR="001434C5" w:rsidRPr="00E63DF4" w:rsidRDefault="001434C5" w:rsidP="001434C5">
            <w:pPr>
              <w:keepNext/>
              <w:ind w:left="-108"/>
              <w:jc w:val="center"/>
              <w:rPr>
                <w:rFonts w:ascii="Arial Narrow" w:hAnsi="Arial Narrow"/>
                <w:b/>
                <w:sz w:val="18"/>
                <w:szCs w:val="18"/>
              </w:rPr>
            </w:pPr>
            <w:r w:rsidRPr="00E63DF4">
              <w:rPr>
                <w:rFonts w:ascii="Arial Narrow" w:hAnsi="Arial Narrow"/>
                <w:b/>
                <w:sz w:val="18"/>
                <w:szCs w:val="18"/>
              </w:rPr>
              <w:t>Amount</w:t>
            </w:r>
          </w:p>
        </w:tc>
        <w:tc>
          <w:tcPr>
            <w:tcW w:w="462" w:type="pct"/>
          </w:tcPr>
          <w:p w:rsidR="001434C5" w:rsidRPr="00E63DF4" w:rsidRDefault="001434C5" w:rsidP="001434C5">
            <w:pPr>
              <w:keepNext/>
              <w:ind w:left="-108"/>
              <w:jc w:val="center"/>
              <w:rPr>
                <w:rFonts w:ascii="Arial Narrow" w:hAnsi="Arial Narrow"/>
                <w:b/>
                <w:sz w:val="18"/>
                <w:szCs w:val="18"/>
              </w:rPr>
            </w:pPr>
            <w:r w:rsidRPr="00E63DF4">
              <w:rPr>
                <w:rFonts w:ascii="Arial Narrow" w:hAnsi="Arial Narrow"/>
                <w:b/>
                <w:sz w:val="18"/>
                <w:szCs w:val="18"/>
              </w:rPr>
              <w:t>№.of</w:t>
            </w:r>
          </w:p>
          <w:p w:rsidR="001434C5" w:rsidRPr="00E63DF4" w:rsidRDefault="001434C5" w:rsidP="001434C5">
            <w:pPr>
              <w:keepNext/>
              <w:ind w:left="-108"/>
              <w:jc w:val="center"/>
              <w:rPr>
                <w:rFonts w:ascii="Arial Narrow" w:hAnsi="Arial Narrow"/>
                <w:b/>
                <w:sz w:val="18"/>
                <w:szCs w:val="18"/>
              </w:rPr>
            </w:pPr>
            <w:r w:rsidRPr="00E63DF4">
              <w:rPr>
                <w:rFonts w:ascii="Arial Narrow" w:hAnsi="Arial Narrow"/>
                <w:b/>
                <w:sz w:val="18"/>
                <w:szCs w:val="18"/>
              </w:rPr>
              <w:t>Rpts</w:t>
            </w:r>
          </w:p>
        </w:tc>
        <w:tc>
          <w:tcPr>
            <w:tcW w:w="1309" w:type="pct"/>
          </w:tcPr>
          <w:p w:rsidR="001434C5" w:rsidRPr="00E63DF4" w:rsidRDefault="001434C5" w:rsidP="001434C5">
            <w:pPr>
              <w:keepNext/>
              <w:rPr>
                <w:rFonts w:ascii="Arial Narrow" w:hAnsi="Arial Narrow"/>
                <w:b/>
                <w:sz w:val="18"/>
                <w:szCs w:val="18"/>
              </w:rPr>
            </w:pPr>
            <w:r w:rsidRPr="00E63DF4">
              <w:rPr>
                <w:rFonts w:ascii="Arial Narrow" w:hAnsi="Arial Narrow"/>
                <w:b/>
                <w:sz w:val="18"/>
                <w:szCs w:val="18"/>
              </w:rPr>
              <w:t>Manufacturer</w:t>
            </w:r>
          </w:p>
        </w:tc>
      </w:tr>
      <w:tr w:rsidR="001434C5" w:rsidRPr="00E63DF4" w:rsidTr="004C57A4">
        <w:trPr>
          <w:cantSplit/>
          <w:trHeight w:val="577"/>
        </w:trPr>
        <w:tc>
          <w:tcPr>
            <w:tcW w:w="1460" w:type="pct"/>
          </w:tcPr>
          <w:p w:rsidR="001434C5" w:rsidRPr="00E63DF4" w:rsidRDefault="001434C5" w:rsidP="001434C5">
            <w:pPr>
              <w:keepNext/>
              <w:ind w:left="-108"/>
              <w:rPr>
                <w:rFonts w:ascii="Arial Narrow" w:hAnsi="Arial Narrow"/>
                <w:sz w:val="18"/>
                <w:szCs w:val="18"/>
              </w:rPr>
            </w:pPr>
            <w:r w:rsidRPr="00E63DF4">
              <w:rPr>
                <w:rFonts w:ascii="Arial Narrow" w:hAnsi="Arial Narrow"/>
                <w:sz w:val="18"/>
                <w:szCs w:val="18"/>
              </w:rPr>
              <w:t xml:space="preserve">ATEZOLIZUMAB </w:t>
            </w:r>
          </w:p>
          <w:p w:rsidR="001434C5" w:rsidRPr="00E63DF4" w:rsidRDefault="001434C5" w:rsidP="001434C5">
            <w:pPr>
              <w:keepNext/>
              <w:ind w:left="-108"/>
              <w:rPr>
                <w:rFonts w:ascii="Arial Narrow" w:hAnsi="Arial Narrow"/>
                <w:sz w:val="18"/>
                <w:szCs w:val="18"/>
              </w:rPr>
            </w:pPr>
            <w:r w:rsidRPr="00E63DF4">
              <w:rPr>
                <w:rFonts w:ascii="Arial Narrow" w:hAnsi="Arial Narrow" w:cs="Arial Narrow"/>
                <w:sz w:val="20"/>
                <w:szCs w:val="20"/>
              </w:rPr>
              <w:t xml:space="preserve">Injection </w:t>
            </w:r>
          </w:p>
        </w:tc>
        <w:tc>
          <w:tcPr>
            <w:tcW w:w="1154" w:type="pct"/>
          </w:tcPr>
          <w:p w:rsidR="001434C5" w:rsidRPr="00E63DF4" w:rsidRDefault="001434C5" w:rsidP="001434C5">
            <w:pPr>
              <w:keepNext/>
              <w:ind w:left="-108"/>
              <w:jc w:val="center"/>
              <w:rPr>
                <w:rFonts w:ascii="Arial Narrow" w:hAnsi="Arial Narrow"/>
                <w:sz w:val="18"/>
                <w:szCs w:val="18"/>
              </w:rPr>
            </w:pPr>
          </w:p>
          <w:p w:rsidR="001434C5" w:rsidRPr="00E63DF4" w:rsidRDefault="001434C5" w:rsidP="001434C5">
            <w:pPr>
              <w:keepNext/>
              <w:ind w:left="-108"/>
              <w:jc w:val="center"/>
              <w:rPr>
                <w:rFonts w:ascii="Arial Narrow" w:hAnsi="Arial Narrow"/>
                <w:sz w:val="18"/>
                <w:szCs w:val="18"/>
              </w:rPr>
            </w:pPr>
            <w:r w:rsidRPr="00E63DF4">
              <w:rPr>
                <w:rFonts w:ascii="Arial Narrow" w:hAnsi="Arial Narrow"/>
                <w:sz w:val="18"/>
                <w:szCs w:val="18"/>
              </w:rPr>
              <w:t>NEW (Public)</w:t>
            </w:r>
          </w:p>
          <w:p w:rsidR="001434C5" w:rsidRPr="00E63DF4" w:rsidRDefault="001434C5" w:rsidP="001434C5">
            <w:pPr>
              <w:keepNext/>
              <w:ind w:left="-108"/>
              <w:jc w:val="center"/>
              <w:rPr>
                <w:rFonts w:ascii="Arial Narrow" w:hAnsi="Arial Narrow"/>
                <w:i/>
                <w:sz w:val="18"/>
                <w:szCs w:val="18"/>
              </w:rPr>
            </w:pPr>
            <w:r w:rsidRPr="00E63DF4">
              <w:rPr>
                <w:rFonts w:ascii="Arial Narrow" w:hAnsi="Arial Narrow"/>
                <w:sz w:val="18"/>
                <w:szCs w:val="18"/>
              </w:rPr>
              <w:t>NEW (Private)</w:t>
            </w:r>
          </w:p>
        </w:tc>
        <w:tc>
          <w:tcPr>
            <w:tcW w:w="616" w:type="pct"/>
          </w:tcPr>
          <w:p w:rsidR="001434C5" w:rsidRPr="00E63DF4" w:rsidRDefault="001434C5" w:rsidP="001434C5">
            <w:pPr>
              <w:keepNext/>
              <w:ind w:left="-108"/>
              <w:jc w:val="center"/>
              <w:rPr>
                <w:rFonts w:ascii="Arial Narrow" w:hAnsi="Arial Narrow"/>
                <w:sz w:val="18"/>
                <w:szCs w:val="18"/>
              </w:rPr>
            </w:pPr>
          </w:p>
          <w:p w:rsidR="001434C5" w:rsidRPr="00E63DF4" w:rsidRDefault="001434C5" w:rsidP="001434C5">
            <w:pPr>
              <w:keepNext/>
              <w:ind w:left="-108"/>
              <w:jc w:val="center"/>
              <w:rPr>
                <w:rFonts w:ascii="Arial Narrow" w:hAnsi="Arial Narrow"/>
                <w:sz w:val="18"/>
                <w:szCs w:val="18"/>
              </w:rPr>
            </w:pPr>
            <w:r w:rsidRPr="00E63DF4">
              <w:rPr>
                <w:rFonts w:ascii="Arial Narrow" w:hAnsi="Arial Narrow"/>
                <w:sz w:val="18"/>
                <w:szCs w:val="18"/>
              </w:rPr>
              <w:t>1200 mg</w:t>
            </w:r>
          </w:p>
        </w:tc>
        <w:tc>
          <w:tcPr>
            <w:tcW w:w="462" w:type="pct"/>
          </w:tcPr>
          <w:p w:rsidR="001434C5" w:rsidRPr="00E63DF4" w:rsidRDefault="001434C5" w:rsidP="001434C5">
            <w:pPr>
              <w:keepNext/>
              <w:ind w:left="-108"/>
              <w:jc w:val="center"/>
              <w:rPr>
                <w:rFonts w:ascii="Arial Narrow" w:hAnsi="Arial Narrow"/>
                <w:i/>
                <w:sz w:val="18"/>
                <w:szCs w:val="18"/>
              </w:rPr>
            </w:pPr>
          </w:p>
          <w:p w:rsidR="001434C5" w:rsidRPr="00E63DF4" w:rsidRDefault="001434C5" w:rsidP="001434C5">
            <w:pPr>
              <w:keepNext/>
              <w:ind w:left="-108"/>
              <w:jc w:val="center"/>
              <w:rPr>
                <w:rFonts w:ascii="Arial Narrow" w:hAnsi="Arial Narrow"/>
                <w:sz w:val="18"/>
                <w:szCs w:val="18"/>
              </w:rPr>
            </w:pPr>
            <w:r w:rsidRPr="00E63DF4">
              <w:rPr>
                <w:rFonts w:ascii="Arial Narrow" w:hAnsi="Arial Narrow"/>
                <w:sz w:val="18"/>
                <w:szCs w:val="18"/>
              </w:rPr>
              <w:t>8</w:t>
            </w:r>
          </w:p>
        </w:tc>
        <w:tc>
          <w:tcPr>
            <w:tcW w:w="1309" w:type="pct"/>
          </w:tcPr>
          <w:p w:rsidR="001434C5" w:rsidRPr="00E63DF4" w:rsidRDefault="001434C5" w:rsidP="001434C5">
            <w:pPr>
              <w:keepNext/>
              <w:rPr>
                <w:rFonts w:ascii="Arial Narrow" w:hAnsi="Arial Narrow"/>
                <w:sz w:val="18"/>
                <w:szCs w:val="18"/>
              </w:rPr>
            </w:pPr>
          </w:p>
          <w:p w:rsidR="001434C5" w:rsidRPr="00E63DF4" w:rsidRDefault="001434C5" w:rsidP="001434C5">
            <w:pPr>
              <w:keepNext/>
              <w:rPr>
                <w:rFonts w:ascii="Arial Narrow" w:hAnsi="Arial Narrow"/>
                <w:sz w:val="18"/>
                <w:szCs w:val="18"/>
              </w:rPr>
            </w:pPr>
            <w:r w:rsidRPr="00E63DF4">
              <w:rPr>
                <w:rFonts w:ascii="Arial Narrow" w:hAnsi="Arial Narrow"/>
                <w:sz w:val="18"/>
                <w:szCs w:val="18"/>
              </w:rPr>
              <w:t>Roche Products Pty Ltd</w:t>
            </w:r>
          </w:p>
        </w:tc>
      </w:tr>
      <w:tr w:rsidR="001434C5" w:rsidRPr="00E63DF4" w:rsidTr="004C57A4">
        <w:trPr>
          <w:cantSplit/>
          <w:trHeight w:val="225"/>
        </w:trPr>
        <w:tc>
          <w:tcPr>
            <w:tcW w:w="5000" w:type="pct"/>
            <w:gridSpan w:val="5"/>
          </w:tcPr>
          <w:p w:rsidR="001434C5" w:rsidRPr="00E63DF4" w:rsidRDefault="001434C5" w:rsidP="001434C5">
            <w:pPr>
              <w:keepNext/>
              <w:rPr>
                <w:rFonts w:ascii="Arial Narrow" w:hAnsi="Arial Narrow"/>
                <w:b/>
                <w:sz w:val="18"/>
                <w:szCs w:val="18"/>
              </w:rPr>
            </w:pPr>
            <w:r w:rsidRPr="00E63DF4">
              <w:rPr>
                <w:rFonts w:ascii="Arial Narrow" w:hAnsi="Arial Narrow"/>
                <w:b/>
                <w:sz w:val="18"/>
                <w:szCs w:val="18"/>
              </w:rPr>
              <w:t>Available brands</w:t>
            </w:r>
          </w:p>
        </w:tc>
      </w:tr>
      <w:tr w:rsidR="001434C5" w:rsidRPr="00F45892" w:rsidTr="004C57A4">
        <w:trPr>
          <w:cantSplit/>
          <w:trHeight w:val="360"/>
        </w:trPr>
        <w:tc>
          <w:tcPr>
            <w:tcW w:w="5000" w:type="pct"/>
            <w:gridSpan w:val="5"/>
          </w:tcPr>
          <w:p w:rsidR="001434C5" w:rsidRPr="00F45892" w:rsidRDefault="001434C5" w:rsidP="001434C5">
            <w:pPr>
              <w:rPr>
                <w:rFonts w:ascii="Arial Narrow" w:hAnsi="Arial Narrow"/>
                <w:sz w:val="18"/>
                <w:szCs w:val="18"/>
                <w:lang w:val="fr-FR"/>
              </w:rPr>
            </w:pPr>
            <w:r w:rsidRPr="00F45892">
              <w:rPr>
                <w:rFonts w:ascii="Arial Narrow" w:hAnsi="Arial Narrow"/>
                <w:sz w:val="18"/>
                <w:szCs w:val="18"/>
                <w:lang w:val="fr-FR"/>
              </w:rPr>
              <w:t>Tecentriq</w:t>
            </w:r>
          </w:p>
          <w:p w:rsidR="001434C5" w:rsidRPr="00F45892" w:rsidRDefault="001434C5" w:rsidP="001434C5">
            <w:pPr>
              <w:rPr>
                <w:rFonts w:ascii="Arial Narrow" w:hAnsi="Arial Narrow"/>
                <w:sz w:val="18"/>
                <w:szCs w:val="18"/>
                <w:lang w:val="fr-FR"/>
              </w:rPr>
            </w:pPr>
            <w:r w:rsidRPr="00F45892">
              <w:rPr>
                <w:rFonts w:ascii="Arial Narrow" w:hAnsi="Arial Narrow"/>
                <w:sz w:val="18"/>
                <w:szCs w:val="18"/>
                <w:lang w:val="fr-FR"/>
              </w:rPr>
              <w:t>(atezolizumab 1.2 g/20 mL injection, 20 mL vial)</w:t>
            </w:r>
          </w:p>
        </w:tc>
      </w:tr>
    </w:tbl>
    <w:p w:rsidR="001434C5" w:rsidRPr="00F45892" w:rsidRDefault="001434C5" w:rsidP="001434C5">
      <w:pPr>
        <w:rPr>
          <w:rFonts w:ascii="Arial Narrow" w:hAnsi="Arial Narrow"/>
          <w:b/>
          <w:sz w:val="18"/>
          <w:szCs w:val="18"/>
          <w:lang w:val="fr-FR"/>
        </w:rPr>
      </w:pPr>
    </w:p>
    <w:p w:rsidR="001434C5" w:rsidRDefault="001434C5" w:rsidP="001434C5">
      <w:pPr>
        <w:rPr>
          <w:rFonts w:ascii="Arial Narrow" w:hAnsi="Arial Narrow"/>
          <w:b/>
          <w:sz w:val="18"/>
          <w:szCs w:val="18"/>
        </w:rPr>
      </w:pPr>
      <w:r w:rsidRPr="00E63DF4">
        <w:rPr>
          <w:rFonts w:ascii="Arial Narrow" w:hAnsi="Arial Narrow"/>
          <w:b/>
          <w:sz w:val="18"/>
          <w:szCs w:val="18"/>
        </w:rPr>
        <w:t>Continuing treatment (3-weekly regimen) Restriction summary [new]:</w:t>
      </w:r>
    </w:p>
    <w:tbl>
      <w:tblPr>
        <w:tblW w:w="4388" w:type="pct"/>
        <w:tblLook w:val="0000" w:firstRow="0" w:lastRow="0" w:firstColumn="0" w:lastColumn="0" w:noHBand="0" w:noVBand="0"/>
      </w:tblPr>
      <w:tblGrid>
        <w:gridCol w:w="7934"/>
      </w:tblGrid>
      <w:tr w:rsidR="00190A8B" w:rsidRPr="00E63DF4" w:rsidTr="00190A8B">
        <w:trPr>
          <w:cantSplit/>
          <w:trHeight w:val="293"/>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ind w:left="-106"/>
              <w:rPr>
                <w:rFonts w:ascii="Arial Narrow" w:hAnsi="Arial Narrow" w:cs="Calibri"/>
                <w:bCs/>
                <w:sz w:val="18"/>
                <w:szCs w:val="18"/>
                <w:lang w:eastAsia="zh-CN"/>
              </w:rPr>
            </w:pPr>
            <w:r w:rsidRPr="00E63DF4">
              <w:rPr>
                <w:rFonts w:ascii="Arial Narrow" w:hAnsi="Arial Narrow" w:cs="Calibri"/>
                <w:b/>
                <w:bCs/>
                <w:sz w:val="18"/>
                <w:szCs w:val="18"/>
                <w:lang w:eastAsia="zh-CN"/>
              </w:rPr>
              <w:t xml:space="preserve">Category / Program: </w:t>
            </w:r>
            <w:r w:rsidRPr="00E63DF4">
              <w:rPr>
                <w:rFonts w:ascii="Arial Narrow" w:hAnsi="Arial Narrow" w:cs="Calibri"/>
                <w:bCs/>
                <w:sz w:val="18"/>
                <w:szCs w:val="18"/>
                <w:lang w:eastAsia="zh-CN"/>
              </w:rPr>
              <w:t>Section 100 – Efficient Funding of Chemotherapy (Public/Private hospital)</w:t>
            </w:r>
          </w:p>
        </w:tc>
      </w:tr>
      <w:tr w:rsidR="00190A8B" w:rsidRPr="00E63DF4" w:rsidTr="00190A8B">
        <w:trPr>
          <w:cantSplit/>
          <w:trHeight w:val="343"/>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ind w:left="-106"/>
              <w:rPr>
                <w:rFonts w:ascii="Arial Narrow" w:hAnsi="Arial Narrow" w:cs="Calibri"/>
                <w:bCs/>
                <w:sz w:val="18"/>
                <w:szCs w:val="18"/>
                <w:lang w:eastAsia="zh-CN"/>
              </w:rPr>
            </w:pPr>
            <w:r w:rsidRPr="00E63DF4">
              <w:rPr>
                <w:rFonts w:ascii="Arial Narrow" w:hAnsi="Arial Narrow" w:cs="Calibri"/>
                <w:b/>
                <w:bCs/>
                <w:sz w:val="18"/>
                <w:szCs w:val="18"/>
                <w:lang w:eastAsia="zh-CN"/>
              </w:rPr>
              <w:t>Prescriber type:</w:t>
            </w:r>
            <w:r w:rsidRPr="00E63DF4">
              <w:rPr>
                <w:rFonts w:ascii="Arial Narrow" w:hAnsi="Arial Narrow" w:cs="Calibri"/>
                <w:bCs/>
                <w:sz w:val="18"/>
                <w:szCs w:val="18"/>
                <w:lang w:eastAsia="zh-CN"/>
              </w:rPr>
              <w:t xml:space="preserve">   </w:t>
            </w:r>
            <w:r w:rsidRPr="00E63DF4">
              <w:rPr>
                <w:rFonts w:ascii="Arial Narrow" w:hAnsi="Arial Narrow" w:cs="Calibri"/>
                <w:bCs/>
                <w:sz w:val="18"/>
                <w:szCs w:val="18"/>
                <w:lang w:eastAsia="zh-CN"/>
              </w:rPr>
              <w:fldChar w:fldCharType="begin">
                <w:ffData>
                  <w:name w:val="Check1"/>
                  <w:enabled/>
                  <w:calcOnExit w:val="0"/>
                  <w:checkBox>
                    <w:sizeAuto/>
                    <w:default w:val="0"/>
                  </w:checkBox>
                </w:ffData>
              </w:fldChar>
            </w:r>
            <w:r w:rsidRPr="00E63DF4">
              <w:rPr>
                <w:rFonts w:ascii="Arial Narrow" w:hAnsi="Arial Narrow" w:cs="Calibri"/>
                <w:bCs/>
                <w:sz w:val="18"/>
                <w:szCs w:val="18"/>
                <w:lang w:eastAsia="zh-CN"/>
              </w:rPr>
              <w:instrText xml:space="preserve"> FORMCHECKBOX </w:instrText>
            </w:r>
            <w:r w:rsidR="00E4568F">
              <w:rPr>
                <w:rFonts w:ascii="Arial Narrow" w:hAnsi="Arial Narrow" w:cs="Calibri"/>
                <w:bCs/>
                <w:sz w:val="18"/>
                <w:szCs w:val="18"/>
                <w:lang w:eastAsia="zh-CN"/>
              </w:rPr>
            </w:r>
            <w:r w:rsidR="00E4568F">
              <w:rPr>
                <w:rFonts w:ascii="Arial Narrow" w:hAnsi="Arial Narrow" w:cs="Calibri"/>
                <w:bCs/>
                <w:sz w:val="18"/>
                <w:szCs w:val="18"/>
                <w:lang w:eastAsia="zh-CN"/>
              </w:rPr>
              <w:fldChar w:fldCharType="separate"/>
            </w:r>
            <w:r w:rsidRPr="00E63DF4">
              <w:rPr>
                <w:rFonts w:ascii="Arial Narrow" w:hAnsi="Arial Narrow" w:cs="Calibri"/>
                <w:bCs/>
                <w:sz w:val="18"/>
                <w:szCs w:val="18"/>
                <w:lang w:eastAsia="zh-CN"/>
              </w:rPr>
              <w:fldChar w:fldCharType="end"/>
            </w:r>
            <w:r w:rsidRPr="00E63DF4">
              <w:rPr>
                <w:rFonts w:ascii="Arial Narrow" w:hAnsi="Arial Narrow" w:cs="Calibri"/>
                <w:bCs/>
                <w:sz w:val="18"/>
                <w:szCs w:val="18"/>
                <w:lang w:eastAsia="zh-CN"/>
              </w:rPr>
              <w:t xml:space="preserve">Dental   </w:t>
            </w:r>
            <w:r w:rsidRPr="00E63DF4">
              <w:rPr>
                <w:rFonts w:ascii="Arial Narrow" w:hAnsi="Arial Narrow" w:cs="Calibri"/>
                <w:bCs/>
                <w:sz w:val="18"/>
                <w:szCs w:val="18"/>
                <w:lang w:eastAsia="zh-CN"/>
              </w:rPr>
              <w:fldChar w:fldCharType="begin">
                <w:ffData>
                  <w:name w:val=""/>
                  <w:enabled/>
                  <w:calcOnExit w:val="0"/>
                  <w:checkBox>
                    <w:sizeAuto/>
                    <w:default w:val="1"/>
                  </w:checkBox>
                </w:ffData>
              </w:fldChar>
            </w:r>
            <w:r w:rsidRPr="00E63DF4">
              <w:rPr>
                <w:rFonts w:ascii="Arial Narrow" w:hAnsi="Arial Narrow" w:cs="Calibri"/>
                <w:bCs/>
                <w:sz w:val="18"/>
                <w:szCs w:val="18"/>
                <w:lang w:eastAsia="zh-CN"/>
              </w:rPr>
              <w:instrText xml:space="preserve"> FORMCHECKBOX </w:instrText>
            </w:r>
            <w:r w:rsidR="00E4568F">
              <w:rPr>
                <w:rFonts w:ascii="Arial Narrow" w:hAnsi="Arial Narrow" w:cs="Calibri"/>
                <w:bCs/>
                <w:sz w:val="18"/>
                <w:szCs w:val="18"/>
                <w:lang w:eastAsia="zh-CN"/>
              </w:rPr>
            </w:r>
            <w:r w:rsidR="00E4568F">
              <w:rPr>
                <w:rFonts w:ascii="Arial Narrow" w:hAnsi="Arial Narrow" w:cs="Calibri"/>
                <w:bCs/>
                <w:sz w:val="18"/>
                <w:szCs w:val="18"/>
                <w:lang w:eastAsia="zh-CN"/>
              </w:rPr>
              <w:fldChar w:fldCharType="separate"/>
            </w:r>
            <w:r w:rsidRPr="00E63DF4">
              <w:rPr>
                <w:rFonts w:ascii="Arial Narrow" w:hAnsi="Arial Narrow" w:cs="Calibri"/>
                <w:bCs/>
                <w:sz w:val="18"/>
                <w:szCs w:val="18"/>
                <w:lang w:eastAsia="zh-CN"/>
              </w:rPr>
              <w:fldChar w:fldCharType="end"/>
            </w:r>
            <w:r w:rsidRPr="00E63DF4">
              <w:rPr>
                <w:rFonts w:ascii="Arial Narrow" w:hAnsi="Arial Narrow" w:cs="Calibri"/>
                <w:bCs/>
                <w:sz w:val="18"/>
                <w:szCs w:val="18"/>
                <w:lang w:eastAsia="zh-CN"/>
              </w:rPr>
              <w:t>Medical Practitioners</w:t>
            </w:r>
            <w:r w:rsidR="004178CA">
              <w:rPr>
                <w:rFonts w:ascii="Arial Narrow" w:hAnsi="Arial Narrow" w:cs="Calibri"/>
                <w:bCs/>
                <w:sz w:val="18"/>
                <w:szCs w:val="18"/>
                <w:lang w:eastAsia="zh-CN"/>
              </w:rPr>
              <w:t xml:space="preserve"> </w:t>
            </w:r>
            <w:r w:rsidRPr="00E63DF4">
              <w:rPr>
                <w:rFonts w:ascii="Arial Narrow" w:hAnsi="Arial Narrow" w:cs="Calibri"/>
                <w:bCs/>
                <w:sz w:val="18"/>
                <w:szCs w:val="18"/>
                <w:lang w:eastAsia="zh-CN"/>
              </w:rPr>
              <w:t xml:space="preserve">  </w:t>
            </w:r>
            <w:r w:rsidRPr="00E63DF4">
              <w:rPr>
                <w:rFonts w:ascii="Arial Narrow" w:hAnsi="Arial Narrow" w:cs="Calibri"/>
                <w:bCs/>
                <w:sz w:val="18"/>
                <w:szCs w:val="18"/>
                <w:lang w:eastAsia="zh-CN"/>
              </w:rPr>
              <w:fldChar w:fldCharType="begin">
                <w:ffData>
                  <w:name w:val="Check3"/>
                  <w:enabled/>
                  <w:calcOnExit w:val="0"/>
                  <w:checkBox>
                    <w:sizeAuto/>
                    <w:default w:val="0"/>
                  </w:checkBox>
                </w:ffData>
              </w:fldChar>
            </w:r>
            <w:r w:rsidRPr="00E63DF4">
              <w:rPr>
                <w:rFonts w:ascii="Arial Narrow" w:hAnsi="Arial Narrow" w:cs="Calibri"/>
                <w:bCs/>
                <w:sz w:val="18"/>
                <w:szCs w:val="18"/>
                <w:lang w:eastAsia="zh-CN"/>
              </w:rPr>
              <w:instrText xml:space="preserve"> FORMCHECKBOX </w:instrText>
            </w:r>
            <w:r w:rsidR="00E4568F">
              <w:rPr>
                <w:rFonts w:ascii="Arial Narrow" w:hAnsi="Arial Narrow" w:cs="Calibri"/>
                <w:bCs/>
                <w:sz w:val="18"/>
                <w:szCs w:val="18"/>
                <w:lang w:eastAsia="zh-CN"/>
              </w:rPr>
            </w:r>
            <w:r w:rsidR="00E4568F">
              <w:rPr>
                <w:rFonts w:ascii="Arial Narrow" w:hAnsi="Arial Narrow" w:cs="Calibri"/>
                <w:bCs/>
                <w:sz w:val="18"/>
                <w:szCs w:val="18"/>
                <w:lang w:eastAsia="zh-CN"/>
              </w:rPr>
              <w:fldChar w:fldCharType="separate"/>
            </w:r>
            <w:r w:rsidRPr="00E63DF4">
              <w:rPr>
                <w:rFonts w:ascii="Arial Narrow" w:hAnsi="Arial Narrow" w:cs="Calibri"/>
                <w:bCs/>
                <w:sz w:val="18"/>
                <w:szCs w:val="18"/>
                <w:lang w:eastAsia="zh-CN"/>
              </w:rPr>
              <w:fldChar w:fldCharType="end"/>
            </w:r>
            <w:r w:rsidRPr="00E63DF4">
              <w:rPr>
                <w:rFonts w:ascii="Arial Narrow" w:hAnsi="Arial Narrow" w:cs="Calibri"/>
                <w:bCs/>
                <w:sz w:val="18"/>
                <w:szCs w:val="18"/>
                <w:lang w:eastAsia="zh-CN"/>
              </w:rPr>
              <w:t xml:space="preserve">Nurse practitioners  </w:t>
            </w:r>
            <w:r w:rsidRPr="00E63DF4">
              <w:rPr>
                <w:rFonts w:ascii="Arial Narrow" w:hAnsi="Arial Narrow" w:cs="Calibri"/>
                <w:bCs/>
                <w:sz w:val="18"/>
                <w:szCs w:val="18"/>
                <w:lang w:eastAsia="zh-CN"/>
              </w:rPr>
              <w:fldChar w:fldCharType="begin">
                <w:ffData>
                  <w:name w:val=""/>
                  <w:enabled/>
                  <w:calcOnExit w:val="0"/>
                  <w:checkBox>
                    <w:sizeAuto/>
                    <w:default w:val="0"/>
                  </w:checkBox>
                </w:ffData>
              </w:fldChar>
            </w:r>
            <w:r w:rsidRPr="00E63DF4">
              <w:rPr>
                <w:rFonts w:ascii="Arial Narrow" w:hAnsi="Arial Narrow" w:cs="Calibri"/>
                <w:bCs/>
                <w:sz w:val="18"/>
                <w:szCs w:val="18"/>
                <w:lang w:eastAsia="zh-CN"/>
              </w:rPr>
              <w:instrText xml:space="preserve"> FORMCHECKBOX </w:instrText>
            </w:r>
            <w:r w:rsidR="00E4568F">
              <w:rPr>
                <w:rFonts w:ascii="Arial Narrow" w:hAnsi="Arial Narrow" w:cs="Calibri"/>
                <w:bCs/>
                <w:sz w:val="18"/>
                <w:szCs w:val="18"/>
                <w:lang w:eastAsia="zh-CN"/>
              </w:rPr>
            </w:r>
            <w:r w:rsidR="00E4568F">
              <w:rPr>
                <w:rFonts w:ascii="Arial Narrow" w:hAnsi="Arial Narrow" w:cs="Calibri"/>
                <w:bCs/>
                <w:sz w:val="18"/>
                <w:szCs w:val="18"/>
                <w:lang w:eastAsia="zh-CN"/>
              </w:rPr>
              <w:fldChar w:fldCharType="separate"/>
            </w:r>
            <w:r w:rsidRPr="00E63DF4">
              <w:rPr>
                <w:rFonts w:ascii="Arial Narrow" w:hAnsi="Arial Narrow" w:cs="Calibri"/>
                <w:bCs/>
                <w:sz w:val="18"/>
                <w:szCs w:val="18"/>
                <w:lang w:eastAsia="zh-CN"/>
              </w:rPr>
              <w:fldChar w:fldCharType="end"/>
            </w:r>
            <w:r w:rsidRPr="00E63DF4">
              <w:rPr>
                <w:rFonts w:ascii="Arial Narrow" w:hAnsi="Arial Narrow" w:cs="Calibri"/>
                <w:bCs/>
                <w:sz w:val="18"/>
                <w:szCs w:val="18"/>
                <w:lang w:eastAsia="zh-CN"/>
              </w:rPr>
              <w:t xml:space="preserve">Optometrists   </w:t>
            </w:r>
            <w:r w:rsidRPr="00E63DF4">
              <w:rPr>
                <w:rFonts w:ascii="Arial Narrow" w:hAnsi="Arial Narrow" w:cs="Calibri"/>
                <w:bCs/>
                <w:sz w:val="18"/>
                <w:szCs w:val="18"/>
                <w:lang w:eastAsia="zh-CN"/>
              </w:rPr>
              <w:fldChar w:fldCharType="begin">
                <w:ffData>
                  <w:name w:val="Check5"/>
                  <w:enabled/>
                  <w:calcOnExit w:val="0"/>
                  <w:checkBox>
                    <w:sizeAuto/>
                    <w:default w:val="0"/>
                  </w:checkBox>
                </w:ffData>
              </w:fldChar>
            </w:r>
            <w:r w:rsidRPr="00E63DF4">
              <w:rPr>
                <w:rFonts w:ascii="Arial Narrow" w:hAnsi="Arial Narrow" w:cs="Calibri"/>
                <w:bCs/>
                <w:sz w:val="18"/>
                <w:szCs w:val="18"/>
                <w:lang w:eastAsia="zh-CN"/>
              </w:rPr>
              <w:instrText xml:space="preserve"> FORMCHECKBOX </w:instrText>
            </w:r>
            <w:r w:rsidR="00E4568F">
              <w:rPr>
                <w:rFonts w:ascii="Arial Narrow" w:hAnsi="Arial Narrow" w:cs="Calibri"/>
                <w:bCs/>
                <w:sz w:val="18"/>
                <w:szCs w:val="18"/>
                <w:lang w:eastAsia="zh-CN"/>
              </w:rPr>
            </w:r>
            <w:r w:rsidR="00E4568F">
              <w:rPr>
                <w:rFonts w:ascii="Arial Narrow" w:hAnsi="Arial Narrow" w:cs="Calibri"/>
                <w:bCs/>
                <w:sz w:val="18"/>
                <w:szCs w:val="18"/>
                <w:lang w:eastAsia="zh-CN"/>
              </w:rPr>
              <w:fldChar w:fldCharType="separate"/>
            </w:r>
            <w:r w:rsidRPr="00E63DF4">
              <w:rPr>
                <w:rFonts w:ascii="Arial Narrow" w:hAnsi="Arial Narrow" w:cs="Calibri"/>
                <w:bCs/>
                <w:sz w:val="18"/>
                <w:szCs w:val="18"/>
                <w:lang w:eastAsia="zh-CN"/>
              </w:rPr>
              <w:fldChar w:fldCharType="end"/>
            </w:r>
            <w:r w:rsidRPr="00E63DF4">
              <w:rPr>
                <w:rFonts w:ascii="Arial Narrow" w:hAnsi="Arial Narrow" w:cs="Calibri"/>
                <w:bCs/>
                <w:sz w:val="18"/>
                <w:szCs w:val="18"/>
                <w:lang w:eastAsia="zh-CN"/>
              </w:rPr>
              <w:t>Midwives</w:t>
            </w:r>
          </w:p>
        </w:tc>
      </w:tr>
      <w:tr w:rsidR="00190A8B" w:rsidRPr="00E63DF4" w:rsidTr="00190A8B">
        <w:trPr>
          <w:cantSplit/>
          <w:trHeight w:val="262"/>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ind w:left="-106"/>
              <w:rPr>
                <w:rFonts w:ascii="Arial Narrow" w:hAnsi="Arial Narrow" w:cs="Calibri"/>
                <w:b/>
                <w:bCs/>
                <w:sz w:val="18"/>
                <w:szCs w:val="18"/>
                <w:lang w:eastAsia="zh-CN"/>
              </w:rPr>
            </w:pPr>
            <w:r w:rsidRPr="00E63DF4">
              <w:rPr>
                <w:rFonts w:ascii="Arial Narrow" w:hAnsi="Arial Narrow" w:cs="Calibri"/>
                <w:b/>
                <w:bCs/>
                <w:sz w:val="18"/>
                <w:szCs w:val="18"/>
                <w:lang w:eastAsia="zh-CN"/>
              </w:rPr>
              <w:t xml:space="preserve">Restriction type / method: </w:t>
            </w:r>
            <w:r w:rsidRPr="00E63DF4">
              <w:rPr>
                <w:rFonts w:ascii="Arial Narrow" w:hAnsi="Arial Narrow" w:cs="Calibri"/>
                <w:bCs/>
                <w:sz w:val="18"/>
                <w:szCs w:val="18"/>
                <w:lang w:eastAsia="zh-CN"/>
              </w:rPr>
              <w:fldChar w:fldCharType="begin">
                <w:ffData>
                  <w:name w:val=""/>
                  <w:enabled/>
                  <w:calcOnExit w:val="0"/>
                  <w:checkBox>
                    <w:sizeAuto/>
                    <w:default w:val="1"/>
                  </w:checkBox>
                </w:ffData>
              </w:fldChar>
            </w:r>
            <w:r w:rsidRPr="00E63DF4">
              <w:rPr>
                <w:rFonts w:ascii="Arial Narrow" w:hAnsi="Arial Narrow" w:cs="Calibri"/>
                <w:bCs/>
                <w:sz w:val="18"/>
                <w:szCs w:val="18"/>
                <w:lang w:eastAsia="zh-CN"/>
              </w:rPr>
              <w:instrText xml:space="preserve"> FORMCHECKBOX </w:instrText>
            </w:r>
            <w:r w:rsidR="00E4568F">
              <w:rPr>
                <w:rFonts w:ascii="Arial Narrow" w:hAnsi="Arial Narrow" w:cs="Calibri"/>
                <w:bCs/>
                <w:sz w:val="18"/>
                <w:szCs w:val="18"/>
                <w:lang w:eastAsia="zh-CN"/>
              </w:rPr>
            </w:r>
            <w:r w:rsidR="00E4568F">
              <w:rPr>
                <w:rFonts w:ascii="Arial Narrow" w:hAnsi="Arial Narrow" w:cs="Calibri"/>
                <w:bCs/>
                <w:sz w:val="18"/>
                <w:szCs w:val="18"/>
                <w:lang w:eastAsia="zh-CN"/>
              </w:rPr>
              <w:fldChar w:fldCharType="separate"/>
            </w:r>
            <w:r w:rsidRPr="00E63DF4">
              <w:rPr>
                <w:rFonts w:ascii="Arial Narrow" w:hAnsi="Arial Narrow" w:cs="Calibri"/>
                <w:bCs/>
                <w:sz w:val="18"/>
                <w:szCs w:val="18"/>
                <w:lang w:eastAsia="zh-CN"/>
              </w:rPr>
              <w:fldChar w:fldCharType="end"/>
            </w:r>
            <w:r w:rsidRPr="00E63DF4">
              <w:rPr>
                <w:rFonts w:ascii="Arial Narrow" w:hAnsi="Arial Narrow" w:cs="Calibri"/>
                <w:bCs/>
                <w:sz w:val="18"/>
                <w:szCs w:val="18"/>
                <w:lang w:eastAsia="zh-CN"/>
              </w:rPr>
              <w:t xml:space="preserve"> Authority Required – Streamlined (new code)</w:t>
            </w:r>
          </w:p>
        </w:tc>
      </w:tr>
      <w:tr w:rsidR="00190A8B" w:rsidRPr="00E63DF4" w:rsidTr="00190A8B">
        <w:trPr>
          <w:cantSplit/>
          <w:trHeight w:val="181"/>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ind w:left="-106"/>
              <w:rPr>
                <w:rFonts w:ascii="Arial Narrow" w:hAnsi="Arial Narrow" w:cs="Calibri"/>
                <w:bCs/>
                <w:sz w:val="18"/>
                <w:szCs w:val="18"/>
                <w:lang w:eastAsia="zh-CN"/>
              </w:rPr>
            </w:pPr>
            <w:r w:rsidRPr="00E63DF4">
              <w:rPr>
                <w:rFonts w:ascii="Arial Narrow" w:hAnsi="Arial Narrow" w:cs="Calibri"/>
                <w:b/>
                <w:bCs/>
                <w:sz w:val="18"/>
                <w:szCs w:val="18"/>
                <w:lang w:eastAsia="zh-CN"/>
              </w:rPr>
              <w:t xml:space="preserve">PBS Indication: </w:t>
            </w:r>
            <w:r w:rsidRPr="00E63DF4">
              <w:rPr>
                <w:rFonts w:ascii="Arial Narrow" w:hAnsi="Arial Narrow" w:cs="Calibri"/>
                <w:bCs/>
                <w:iCs/>
                <w:sz w:val="18"/>
                <w:szCs w:val="18"/>
                <w:lang w:eastAsia="zh-CN"/>
              </w:rPr>
              <w:t>Advanced (unresectable) Barcelona Clinic Liver Cancer Stage B or Stage C hepatocellular carcinoma</w:t>
            </w:r>
          </w:p>
        </w:tc>
      </w:tr>
      <w:tr w:rsidR="00190A8B" w:rsidRPr="00E63DF4" w:rsidTr="00190A8B">
        <w:trPr>
          <w:cantSplit/>
          <w:trHeight w:val="244"/>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ind w:left="-106"/>
              <w:rPr>
                <w:rFonts w:ascii="Arial Narrow" w:hAnsi="Arial Narrow" w:cs="Calibri"/>
                <w:bCs/>
                <w:iCs/>
                <w:sz w:val="18"/>
                <w:szCs w:val="18"/>
                <w:lang w:eastAsia="zh-CN"/>
              </w:rPr>
            </w:pPr>
            <w:r w:rsidRPr="00E63DF4">
              <w:rPr>
                <w:rFonts w:ascii="Arial Narrow" w:hAnsi="Arial Narrow" w:cs="Calibri"/>
                <w:b/>
                <w:bCs/>
                <w:sz w:val="18"/>
                <w:szCs w:val="18"/>
                <w:lang w:eastAsia="zh-CN"/>
              </w:rPr>
              <w:t>Treatment phase:</w:t>
            </w:r>
            <w:r w:rsidRPr="00E63DF4">
              <w:rPr>
                <w:rFonts w:ascii="Arial Narrow" w:hAnsi="Arial Narrow" w:cs="Calibri"/>
                <w:bCs/>
                <w:sz w:val="18"/>
                <w:szCs w:val="18"/>
                <w:lang w:eastAsia="zh-CN"/>
              </w:rPr>
              <w:t xml:space="preserve"> </w:t>
            </w:r>
            <w:r w:rsidRPr="00E63DF4">
              <w:rPr>
                <w:rFonts w:ascii="Arial Narrow" w:hAnsi="Arial Narrow" w:cs="Calibri"/>
                <w:bCs/>
                <w:iCs/>
                <w:sz w:val="18"/>
                <w:szCs w:val="18"/>
                <w:lang w:eastAsia="zh-CN"/>
              </w:rPr>
              <w:t xml:space="preserve">Continuing treatment of hepatocellular carcinoma </w:t>
            </w:r>
            <w:r>
              <w:rPr>
                <w:rFonts w:ascii="Arial Narrow" w:hAnsi="Arial Narrow" w:cs="Calibri"/>
                <w:bCs/>
                <w:iCs/>
                <w:sz w:val="18"/>
                <w:szCs w:val="18"/>
                <w:lang w:eastAsia="zh-CN"/>
              </w:rPr>
              <w:t>– 3 weekly treatment regimen</w:t>
            </w:r>
          </w:p>
        </w:tc>
      </w:tr>
      <w:tr w:rsidR="00190A8B" w:rsidRPr="00E63DF4" w:rsidTr="00190A8B">
        <w:trPr>
          <w:cantSplit/>
          <w:trHeight w:val="149"/>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ind w:left="-106"/>
              <w:rPr>
                <w:rFonts w:ascii="Arial Narrow" w:hAnsi="Arial Narrow" w:cs="Calibri"/>
                <w:b/>
                <w:bCs/>
                <w:sz w:val="18"/>
                <w:szCs w:val="18"/>
                <w:lang w:eastAsia="zh-CN"/>
              </w:rPr>
            </w:pPr>
            <w:r w:rsidRPr="00E63DF4">
              <w:rPr>
                <w:rFonts w:ascii="Arial Narrow" w:hAnsi="Arial Narrow" w:cs="Calibri"/>
                <w:b/>
                <w:bCs/>
                <w:sz w:val="18"/>
                <w:szCs w:val="18"/>
                <w:lang w:eastAsia="zh-CN"/>
              </w:rPr>
              <w:t>Clinical criteria:</w:t>
            </w:r>
          </w:p>
        </w:tc>
      </w:tr>
      <w:tr w:rsidR="00190A8B" w:rsidRPr="00E63DF4" w:rsidTr="00190A8B">
        <w:trPr>
          <w:cantSplit/>
          <w:trHeight w:val="247"/>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keepNext/>
              <w:keepLines/>
              <w:ind w:left="-106"/>
              <w:rPr>
                <w:rFonts w:ascii="Arial Narrow" w:hAnsi="Arial Narrow" w:cs="Calibri"/>
                <w:bCs/>
                <w:sz w:val="18"/>
                <w:szCs w:val="18"/>
                <w:lang w:eastAsia="zh-CN"/>
              </w:rPr>
            </w:pPr>
            <w:r w:rsidRPr="00E63DF4">
              <w:rPr>
                <w:rFonts w:ascii="Arial Narrow" w:hAnsi="Arial Narrow" w:cs="Calibri"/>
                <w:bCs/>
                <w:sz w:val="18"/>
                <w:szCs w:val="18"/>
                <w:lang w:eastAsia="zh-CN"/>
              </w:rPr>
              <w:t>Patient must be undergoing combination treatment with bevacizumab</w:t>
            </w:r>
            <w:r>
              <w:rPr>
                <w:rFonts w:ascii="Arial Narrow" w:hAnsi="Arial Narrow" w:cs="Calibri"/>
                <w:bCs/>
                <w:sz w:val="18"/>
                <w:szCs w:val="18"/>
                <w:lang w:eastAsia="zh-CN"/>
              </w:rPr>
              <w:t xml:space="preserve"> </w:t>
            </w:r>
            <w:r w:rsidRPr="00E63DF4">
              <w:rPr>
                <w:rFonts w:ascii="Arial Narrow" w:hAnsi="Arial Narrow" w:cs="Calibri"/>
                <w:bCs/>
                <w:sz w:val="18"/>
                <w:szCs w:val="18"/>
                <w:lang w:eastAsia="zh-CN"/>
              </w:rPr>
              <w:t>and atezolizumab until disease progression, unless not tolerated</w:t>
            </w:r>
          </w:p>
        </w:tc>
      </w:tr>
      <w:tr w:rsidR="00190A8B" w:rsidRPr="00E63DF4" w:rsidTr="00190A8B">
        <w:trPr>
          <w:cantSplit/>
          <w:trHeight w:val="129"/>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ind w:left="-106"/>
              <w:rPr>
                <w:rFonts w:ascii="Arial Narrow" w:hAnsi="Arial Narrow" w:cs="Calibri"/>
                <w:b/>
                <w:bCs/>
                <w:sz w:val="18"/>
                <w:szCs w:val="18"/>
                <w:lang w:eastAsia="zh-CN"/>
              </w:rPr>
            </w:pPr>
            <w:r w:rsidRPr="00E63DF4">
              <w:rPr>
                <w:rFonts w:ascii="Arial Narrow" w:hAnsi="Arial Narrow" w:cs="Calibri"/>
                <w:b/>
                <w:bCs/>
                <w:sz w:val="18"/>
                <w:szCs w:val="18"/>
                <w:lang w:eastAsia="zh-CN"/>
              </w:rPr>
              <w:t>AND</w:t>
            </w:r>
          </w:p>
        </w:tc>
      </w:tr>
      <w:tr w:rsidR="00190A8B" w:rsidRPr="00E63DF4" w:rsidTr="00190A8B">
        <w:trPr>
          <w:cantSplit/>
          <w:trHeight w:val="129"/>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ind w:left="-106"/>
              <w:rPr>
                <w:rFonts w:ascii="Arial Narrow" w:hAnsi="Arial Narrow" w:cs="Calibri"/>
                <w:b/>
                <w:bCs/>
                <w:sz w:val="18"/>
                <w:szCs w:val="18"/>
                <w:lang w:eastAsia="zh-CN"/>
              </w:rPr>
            </w:pPr>
            <w:r w:rsidRPr="00E63DF4">
              <w:rPr>
                <w:rFonts w:ascii="Arial Narrow" w:hAnsi="Arial Narrow" w:cs="Calibri"/>
                <w:b/>
                <w:bCs/>
                <w:sz w:val="18"/>
                <w:szCs w:val="18"/>
                <w:lang w:eastAsia="zh-CN"/>
              </w:rPr>
              <w:lastRenderedPageBreak/>
              <w:t>Clinical criteria:</w:t>
            </w:r>
          </w:p>
        </w:tc>
      </w:tr>
      <w:tr w:rsidR="00190A8B" w:rsidRPr="00E63DF4" w:rsidTr="00190A8B">
        <w:trPr>
          <w:cantSplit/>
          <w:trHeight w:val="185"/>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ind w:left="-106"/>
              <w:rPr>
                <w:rFonts w:ascii="Arial Narrow" w:hAnsi="Arial Narrow" w:cs="Calibri"/>
                <w:bCs/>
                <w:sz w:val="18"/>
                <w:szCs w:val="18"/>
                <w:lang w:eastAsia="zh-CN"/>
              </w:rPr>
            </w:pPr>
            <w:r w:rsidRPr="00E63DF4">
              <w:rPr>
                <w:rFonts w:ascii="Arial Narrow" w:hAnsi="Arial Narrow" w:cs="Calibri"/>
                <w:bCs/>
                <w:sz w:val="18"/>
                <w:szCs w:val="18"/>
                <w:lang w:eastAsia="zh-CN"/>
              </w:rPr>
              <w:t xml:space="preserve">Patient must have previously received PBS-subsidised treatment with this drug for this condition </w:t>
            </w:r>
          </w:p>
        </w:tc>
      </w:tr>
      <w:tr w:rsidR="00190A8B" w:rsidRPr="00E63DF4" w:rsidTr="00190A8B">
        <w:trPr>
          <w:cantSplit/>
          <w:trHeight w:val="124"/>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ind w:left="-106"/>
              <w:rPr>
                <w:rFonts w:ascii="Arial Narrow" w:hAnsi="Arial Narrow" w:cs="Calibri"/>
                <w:b/>
                <w:bCs/>
                <w:sz w:val="18"/>
                <w:szCs w:val="18"/>
                <w:lang w:eastAsia="zh-CN"/>
              </w:rPr>
            </w:pPr>
            <w:r w:rsidRPr="00E63DF4">
              <w:rPr>
                <w:rFonts w:ascii="Arial Narrow" w:hAnsi="Arial Narrow" w:cs="Calibri"/>
                <w:b/>
                <w:bCs/>
                <w:sz w:val="18"/>
                <w:szCs w:val="18"/>
                <w:lang w:eastAsia="zh-CN"/>
              </w:rPr>
              <w:t>AND</w:t>
            </w:r>
          </w:p>
        </w:tc>
      </w:tr>
      <w:tr w:rsidR="00190A8B" w:rsidRPr="00E63DF4" w:rsidTr="00190A8B">
        <w:trPr>
          <w:cantSplit/>
          <w:trHeight w:val="124"/>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ind w:left="-106"/>
              <w:rPr>
                <w:rFonts w:ascii="Arial Narrow" w:hAnsi="Arial Narrow" w:cs="Calibri"/>
                <w:b/>
                <w:bCs/>
                <w:sz w:val="18"/>
                <w:szCs w:val="18"/>
                <w:lang w:eastAsia="zh-CN"/>
              </w:rPr>
            </w:pPr>
            <w:r w:rsidRPr="00E63DF4">
              <w:rPr>
                <w:rFonts w:ascii="Arial Narrow" w:hAnsi="Arial Narrow" w:cs="Calibri"/>
                <w:b/>
                <w:bCs/>
                <w:sz w:val="18"/>
                <w:szCs w:val="18"/>
                <w:lang w:eastAsia="zh-CN"/>
              </w:rPr>
              <w:t>Clinical criteria:</w:t>
            </w:r>
          </w:p>
        </w:tc>
      </w:tr>
      <w:tr w:rsidR="00190A8B" w:rsidRPr="00E63DF4" w:rsidTr="00190A8B">
        <w:trPr>
          <w:cantSplit/>
          <w:trHeight w:val="235"/>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ind w:left="-106"/>
              <w:rPr>
                <w:rFonts w:ascii="Arial Narrow" w:hAnsi="Arial Narrow" w:cs="Calibri"/>
                <w:bCs/>
                <w:sz w:val="18"/>
                <w:szCs w:val="18"/>
                <w:lang w:eastAsia="zh-CN"/>
              </w:rPr>
            </w:pPr>
            <w:r w:rsidRPr="00E63DF4">
              <w:rPr>
                <w:rFonts w:ascii="Arial Narrow" w:hAnsi="Arial Narrow" w:cs="Calibri"/>
                <w:bCs/>
                <w:sz w:val="18"/>
                <w:szCs w:val="18"/>
                <w:lang w:eastAsia="zh-CN"/>
              </w:rPr>
              <w:t>Patient must not have developed disease progression while being treated with this drug for this condition</w:t>
            </w:r>
          </w:p>
        </w:tc>
      </w:tr>
      <w:tr w:rsidR="00190A8B" w:rsidRPr="00E63DF4" w:rsidTr="00190A8B">
        <w:trPr>
          <w:cantSplit/>
          <w:trHeight w:val="235"/>
        </w:trPr>
        <w:tc>
          <w:tcPr>
            <w:tcW w:w="5000" w:type="pct"/>
            <w:tcBorders>
              <w:top w:val="single" w:sz="4" w:space="0" w:color="auto"/>
              <w:left w:val="single" w:sz="4" w:space="0" w:color="auto"/>
              <w:bottom w:val="single" w:sz="4" w:space="0" w:color="auto"/>
              <w:right w:val="single" w:sz="4" w:space="0" w:color="auto"/>
            </w:tcBorders>
          </w:tcPr>
          <w:p w:rsidR="00190A8B" w:rsidRPr="00EE36C2" w:rsidRDefault="00190A8B" w:rsidP="001434C5">
            <w:pPr>
              <w:ind w:left="-106"/>
              <w:rPr>
                <w:rFonts w:ascii="Arial Narrow" w:hAnsi="Arial Narrow" w:cs="Calibri"/>
                <w:b/>
                <w:bCs/>
                <w:sz w:val="18"/>
                <w:szCs w:val="18"/>
                <w:lang w:eastAsia="zh-CN"/>
              </w:rPr>
            </w:pPr>
            <w:r w:rsidRPr="00EE36C2">
              <w:rPr>
                <w:rFonts w:ascii="Arial Narrow" w:hAnsi="Arial Narrow" w:cs="Calibri"/>
                <w:b/>
                <w:bCs/>
                <w:sz w:val="18"/>
                <w:szCs w:val="18"/>
                <w:lang w:eastAsia="zh-CN"/>
              </w:rPr>
              <w:t>Prescriber instructions:</w:t>
            </w:r>
          </w:p>
          <w:p w:rsidR="00190A8B" w:rsidRPr="00EE36C2" w:rsidRDefault="00190A8B" w:rsidP="00BF6CD2">
            <w:pPr>
              <w:ind w:left="-106"/>
              <w:rPr>
                <w:rFonts w:ascii="Arial Narrow" w:hAnsi="Arial Narrow" w:cs="Calibri"/>
                <w:bCs/>
                <w:sz w:val="18"/>
                <w:szCs w:val="18"/>
                <w:lang w:eastAsia="zh-CN"/>
              </w:rPr>
            </w:pPr>
            <w:r w:rsidRPr="00EE36C2">
              <w:rPr>
                <w:rFonts w:ascii="Arial Narrow" w:hAnsi="Arial Narrow" w:cs="Calibri"/>
                <w:bCs/>
                <w:sz w:val="18"/>
                <w:szCs w:val="18"/>
                <w:lang w:eastAsia="zh-CN"/>
              </w:rPr>
              <w:t>PBS supply of this drug must be through only one of the two continuing treatment regimens at any given time</w:t>
            </w:r>
          </w:p>
        </w:tc>
      </w:tr>
      <w:tr w:rsidR="00190A8B" w:rsidRPr="00E63DF4" w:rsidTr="00190A8B">
        <w:trPr>
          <w:cantSplit/>
          <w:trHeight w:val="193"/>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ind w:left="-106"/>
              <w:rPr>
                <w:rFonts w:ascii="Arial Narrow" w:hAnsi="Arial Narrow" w:cs="Calibri"/>
                <w:b/>
                <w:bCs/>
                <w:sz w:val="18"/>
                <w:szCs w:val="18"/>
                <w:lang w:eastAsia="zh-CN"/>
              </w:rPr>
            </w:pPr>
            <w:r w:rsidRPr="00E63DF4">
              <w:rPr>
                <w:rFonts w:ascii="Arial Narrow" w:hAnsi="Arial Narrow" w:cs="Calibri"/>
                <w:b/>
                <w:bCs/>
                <w:sz w:val="18"/>
                <w:szCs w:val="18"/>
                <w:lang w:eastAsia="zh-CN"/>
              </w:rPr>
              <w:t xml:space="preserve">Administrative advice: </w:t>
            </w:r>
            <w:r w:rsidRPr="00E63DF4">
              <w:rPr>
                <w:rFonts w:ascii="Arial Narrow" w:hAnsi="Arial Narrow" w:cs="Calibri"/>
                <w:bCs/>
                <w:sz w:val="18"/>
                <w:szCs w:val="18"/>
                <w:lang w:eastAsia="zh-CN"/>
              </w:rPr>
              <w:t>No increase in the maximum amount or number of units may be authorised</w:t>
            </w:r>
          </w:p>
        </w:tc>
      </w:tr>
      <w:tr w:rsidR="00190A8B" w:rsidRPr="00E63DF4" w:rsidTr="00190A8B">
        <w:trPr>
          <w:cantSplit/>
          <w:trHeight w:val="198"/>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ind w:left="-106"/>
              <w:rPr>
                <w:rFonts w:ascii="Arial Narrow" w:hAnsi="Arial Narrow" w:cs="Calibri"/>
                <w:bCs/>
                <w:sz w:val="18"/>
                <w:szCs w:val="18"/>
                <w:lang w:eastAsia="zh-CN"/>
              </w:rPr>
            </w:pPr>
            <w:r w:rsidRPr="00E63DF4">
              <w:rPr>
                <w:rFonts w:ascii="Arial Narrow" w:hAnsi="Arial Narrow" w:cs="Calibri"/>
                <w:b/>
                <w:bCs/>
                <w:sz w:val="18"/>
                <w:szCs w:val="18"/>
                <w:lang w:eastAsia="zh-CN"/>
              </w:rPr>
              <w:t xml:space="preserve">Administrative advice: </w:t>
            </w:r>
            <w:r w:rsidRPr="00E63DF4">
              <w:rPr>
                <w:rFonts w:ascii="Arial Narrow" w:hAnsi="Arial Narrow" w:cs="Calibri"/>
                <w:bCs/>
                <w:sz w:val="18"/>
                <w:szCs w:val="18"/>
                <w:lang w:eastAsia="zh-CN"/>
              </w:rPr>
              <w:t>No increase in the maximum number of repeats may be authorised</w:t>
            </w:r>
          </w:p>
        </w:tc>
      </w:tr>
      <w:tr w:rsidR="00190A8B" w:rsidRPr="00E63DF4" w:rsidTr="00190A8B">
        <w:trPr>
          <w:cantSplit/>
          <w:trHeight w:val="58"/>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434C5">
            <w:pPr>
              <w:ind w:left="-106"/>
              <w:rPr>
                <w:rFonts w:ascii="Arial Narrow" w:hAnsi="Arial Narrow" w:cs="Calibri"/>
                <w:bCs/>
                <w:sz w:val="18"/>
                <w:szCs w:val="18"/>
                <w:lang w:eastAsia="zh-CN"/>
              </w:rPr>
            </w:pPr>
            <w:r w:rsidRPr="00E63DF4">
              <w:rPr>
                <w:rFonts w:ascii="Arial Narrow" w:hAnsi="Arial Narrow" w:cs="Calibri"/>
                <w:b/>
                <w:bCs/>
                <w:sz w:val="18"/>
                <w:szCs w:val="18"/>
                <w:lang w:eastAsia="zh-CN"/>
              </w:rPr>
              <w:t xml:space="preserve">Administrative advice: </w:t>
            </w:r>
            <w:r w:rsidRPr="00E63DF4">
              <w:rPr>
                <w:rFonts w:ascii="Arial Narrow" w:hAnsi="Arial Narrow" w:cs="Calibri"/>
                <w:bCs/>
                <w:sz w:val="18"/>
                <w:szCs w:val="18"/>
                <w:lang w:eastAsia="zh-CN"/>
              </w:rPr>
              <w:t>Special Pricing Arrangements apply</w:t>
            </w:r>
          </w:p>
        </w:tc>
      </w:tr>
    </w:tbl>
    <w:p w:rsidR="00EB37FA" w:rsidRDefault="00EB37FA" w:rsidP="001434C5">
      <w:pPr>
        <w:keepNext/>
        <w:keepLines/>
        <w:rPr>
          <w:rFonts w:ascii="Arial Narrow" w:hAnsi="Arial Narrow"/>
          <w:b/>
          <w:sz w:val="18"/>
          <w:szCs w:val="18"/>
        </w:rPr>
      </w:pPr>
    </w:p>
    <w:p w:rsidR="001434C5" w:rsidRDefault="001434C5" w:rsidP="001434C5">
      <w:pPr>
        <w:keepNext/>
        <w:keepLines/>
        <w:rPr>
          <w:rFonts w:ascii="Arial Narrow" w:hAnsi="Arial Narrow"/>
          <w:b/>
          <w:sz w:val="18"/>
          <w:szCs w:val="18"/>
        </w:rPr>
      </w:pPr>
      <w:r w:rsidRPr="00E63DF4">
        <w:rPr>
          <w:rFonts w:ascii="Arial Narrow" w:hAnsi="Arial Narrow"/>
          <w:b/>
          <w:sz w:val="18"/>
          <w:szCs w:val="18"/>
        </w:rPr>
        <w:t>Grandfather treatment Restriction summary [new]:</w:t>
      </w:r>
    </w:p>
    <w:tbl>
      <w:tblPr>
        <w:tblStyle w:val="TableGrid"/>
        <w:tblW w:w="4387" w:type="pct"/>
        <w:tblLook w:val="0620" w:firstRow="1" w:lastRow="0" w:firstColumn="0" w:lastColumn="0" w:noHBand="1" w:noVBand="1"/>
        <w:tblCaption w:val="Grandfather treatment Restriction summary [new]:"/>
      </w:tblPr>
      <w:tblGrid>
        <w:gridCol w:w="7932"/>
      </w:tblGrid>
      <w:tr w:rsidR="00190A8B" w:rsidRPr="00E63DF4" w:rsidTr="004178CA">
        <w:trPr>
          <w:trHeight w:val="167"/>
          <w:tblHeader/>
        </w:trPr>
        <w:tc>
          <w:tcPr>
            <w:tcW w:w="5000" w:type="pct"/>
          </w:tcPr>
          <w:p w:rsidR="00190A8B" w:rsidRPr="00E63DF4" w:rsidRDefault="00190A8B" w:rsidP="001434C5">
            <w:pPr>
              <w:pStyle w:val="TableText1"/>
              <w:keepNext/>
              <w:keepLines/>
              <w:tabs>
                <w:tab w:val="left" w:pos="263"/>
              </w:tabs>
              <w:ind w:left="-106"/>
              <w:rPr>
                <w:rFonts w:ascii="Arial Narrow" w:hAnsi="Arial Narrow"/>
                <w:i/>
                <w:sz w:val="18"/>
                <w:szCs w:val="18"/>
              </w:rPr>
            </w:pPr>
            <w:r w:rsidRPr="00E63DF4">
              <w:rPr>
                <w:rFonts w:ascii="Arial Narrow" w:hAnsi="Arial Narrow"/>
                <w:b/>
                <w:sz w:val="18"/>
                <w:szCs w:val="18"/>
              </w:rPr>
              <w:t xml:space="preserve">Category / Program: </w:t>
            </w:r>
            <w:r w:rsidRPr="00E63DF4">
              <w:rPr>
                <w:rFonts w:ascii="Arial Narrow" w:hAnsi="Arial Narrow"/>
                <w:sz w:val="18"/>
                <w:szCs w:val="18"/>
              </w:rPr>
              <w:t xml:space="preserve">Section 100 </w:t>
            </w:r>
            <w:r w:rsidRPr="00E63DF4">
              <w:rPr>
                <w:rFonts w:ascii="Arial Narrow" w:hAnsi="Arial Narrow"/>
                <w:i/>
                <w:sz w:val="18"/>
                <w:szCs w:val="18"/>
              </w:rPr>
              <w:t xml:space="preserve">– </w:t>
            </w:r>
            <w:r w:rsidRPr="00E63DF4">
              <w:rPr>
                <w:rFonts w:ascii="Arial Narrow" w:hAnsi="Arial Narrow"/>
                <w:sz w:val="18"/>
                <w:szCs w:val="18"/>
              </w:rPr>
              <w:t>Efficient Funding of Chemotherapy (Public/Public hospital)</w:t>
            </w:r>
          </w:p>
        </w:tc>
      </w:tr>
      <w:tr w:rsidR="00190A8B" w:rsidRPr="00E63DF4" w:rsidTr="004178CA">
        <w:trPr>
          <w:trHeight w:val="166"/>
        </w:trPr>
        <w:tc>
          <w:tcPr>
            <w:tcW w:w="5000" w:type="pct"/>
          </w:tcPr>
          <w:p w:rsidR="00190A8B" w:rsidRPr="00E63DF4" w:rsidRDefault="00190A8B" w:rsidP="001434C5">
            <w:pPr>
              <w:pStyle w:val="Tabletextbold"/>
              <w:keepNext/>
              <w:keepLines/>
              <w:tabs>
                <w:tab w:val="left" w:pos="263"/>
              </w:tabs>
              <w:ind w:left="-106"/>
              <w:rPr>
                <w:rFonts w:ascii="Arial Narrow" w:hAnsi="Arial Narrow"/>
                <w:b w:val="0"/>
                <w:szCs w:val="18"/>
                <w:lang w:val="en-AU" w:bidi="en-US"/>
              </w:rPr>
            </w:pPr>
            <w:r w:rsidRPr="00E63DF4">
              <w:rPr>
                <w:rFonts w:ascii="Arial Narrow" w:hAnsi="Arial Narrow"/>
                <w:szCs w:val="18"/>
                <w:lang w:val="en-AU"/>
              </w:rPr>
              <w:t xml:space="preserve">Prescriber type:   </w:t>
            </w:r>
            <w:r w:rsidRPr="00E63DF4">
              <w:rPr>
                <w:rFonts w:ascii="Arial Narrow" w:hAnsi="Arial Narrow"/>
                <w:szCs w:val="18"/>
                <w:lang w:val="en-AU"/>
              </w:rPr>
              <w:fldChar w:fldCharType="begin">
                <w:ffData>
                  <w:name w:val="Check1"/>
                  <w:enabled/>
                  <w:calcOnExit w:val="0"/>
                  <w:checkBox>
                    <w:sizeAuto/>
                    <w:default w:val="0"/>
                  </w:checkBox>
                </w:ffData>
              </w:fldChar>
            </w:r>
            <w:r w:rsidRPr="00E63DF4">
              <w:rPr>
                <w:rFonts w:ascii="Arial Narrow" w:hAnsi="Arial Narrow"/>
                <w:szCs w:val="18"/>
                <w:lang w:val="en-AU"/>
              </w:rPr>
              <w:instrText xml:space="preserve"> FORMCHECKBOX </w:instrText>
            </w:r>
            <w:r w:rsidR="00E4568F">
              <w:rPr>
                <w:rFonts w:ascii="Arial Narrow" w:hAnsi="Arial Narrow"/>
                <w:szCs w:val="18"/>
                <w:lang w:val="en-AU"/>
              </w:rPr>
            </w:r>
            <w:r w:rsidR="00E4568F">
              <w:rPr>
                <w:rFonts w:ascii="Arial Narrow" w:hAnsi="Arial Narrow"/>
                <w:szCs w:val="18"/>
                <w:lang w:val="en-AU"/>
              </w:rPr>
              <w:fldChar w:fldCharType="separate"/>
            </w:r>
            <w:r w:rsidRPr="00E63DF4">
              <w:rPr>
                <w:rFonts w:ascii="Arial Narrow" w:hAnsi="Arial Narrow"/>
                <w:szCs w:val="18"/>
                <w:lang w:val="en-AU"/>
              </w:rPr>
              <w:fldChar w:fldCharType="end"/>
            </w:r>
            <w:r w:rsidRPr="00E63DF4">
              <w:rPr>
                <w:rFonts w:ascii="Arial Narrow" w:hAnsi="Arial Narrow"/>
                <w:b w:val="0"/>
                <w:szCs w:val="18"/>
                <w:lang w:val="en-AU"/>
              </w:rPr>
              <w:t xml:space="preserve">Dental   </w:t>
            </w:r>
            <w:r w:rsidRPr="00E63DF4">
              <w:rPr>
                <w:rFonts w:ascii="Arial Narrow" w:hAnsi="Arial Narrow"/>
                <w:b w:val="0"/>
                <w:szCs w:val="18"/>
                <w:lang w:val="en-AU"/>
              </w:rPr>
              <w:fldChar w:fldCharType="begin">
                <w:ffData>
                  <w:name w:val=""/>
                  <w:enabled/>
                  <w:calcOnExit w:val="0"/>
                  <w:checkBox>
                    <w:sizeAuto/>
                    <w:default w:val="1"/>
                  </w:checkBox>
                </w:ffData>
              </w:fldChar>
            </w:r>
            <w:r w:rsidRPr="00E63DF4">
              <w:rPr>
                <w:rFonts w:ascii="Arial Narrow" w:hAnsi="Arial Narrow"/>
                <w:b w:val="0"/>
                <w:szCs w:val="18"/>
                <w:lang w:val="en-AU"/>
              </w:rPr>
              <w:instrText xml:space="preserve"> FORMCHECKBOX </w:instrText>
            </w:r>
            <w:r w:rsidR="00E4568F">
              <w:rPr>
                <w:rFonts w:ascii="Arial Narrow" w:hAnsi="Arial Narrow"/>
                <w:b w:val="0"/>
                <w:szCs w:val="18"/>
                <w:lang w:val="en-AU"/>
              </w:rPr>
            </w:r>
            <w:r w:rsidR="00E4568F">
              <w:rPr>
                <w:rFonts w:ascii="Arial Narrow" w:hAnsi="Arial Narrow"/>
                <w:b w:val="0"/>
                <w:szCs w:val="18"/>
                <w:lang w:val="en-AU"/>
              </w:rPr>
              <w:fldChar w:fldCharType="separate"/>
            </w:r>
            <w:r w:rsidRPr="00E63DF4">
              <w:rPr>
                <w:rFonts w:ascii="Arial Narrow" w:hAnsi="Arial Narrow"/>
                <w:b w:val="0"/>
                <w:szCs w:val="18"/>
                <w:lang w:val="en-AU"/>
              </w:rPr>
              <w:fldChar w:fldCharType="end"/>
            </w:r>
            <w:r w:rsidRPr="00E63DF4">
              <w:rPr>
                <w:rFonts w:ascii="Arial Narrow" w:hAnsi="Arial Narrow"/>
                <w:b w:val="0"/>
                <w:szCs w:val="18"/>
                <w:lang w:val="en-AU"/>
              </w:rPr>
              <w:t xml:space="preserve">Medical Practitioners   </w:t>
            </w:r>
            <w:r w:rsidRPr="00E63DF4">
              <w:rPr>
                <w:rFonts w:ascii="Arial Narrow" w:hAnsi="Arial Narrow"/>
                <w:b w:val="0"/>
                <w:szCs w:val="18"/>
                <w:lang w:val="en-AU"/>
              </w:rPr>
              <w:fldChar w:fldCharType="begin">
                <w:ffData>
                  <w:name w:val="Check3"/>
                  <w:enabled/>
                  <w:calcOnExit w:val="0"/>
                  <w:checkBox>
                    <w:sizeAuto/>
                    <w:default w:val="0"/>
                  </w:checkBox>
                </w:ffData>
              </w:fldChar>
            </w:r>
            <w:r w:rsidRPr="00E63DF4">
              <w:rPr>
                <w:rFonts w:ascii="Arial Narrow" w:hAnsi="Arial Narrow"/>
                <w:b w:val="0"/>
                <w:szCs w:val="18"/>
                <w:lang w:val="en-AU"/>
              </w:rPr>
              <w:instrText xml:space="preserve"> FORMCHECKBOX </w:instrText>
            </w:r>
            <w:r w:rsidR="00E4568F">
              <w:rPr>
                <w:rFonts w:ascii="Arial Narrow" w:hAnsi="Arial Narrow"/>
                <w:b w:val="0"/>
                <w:szCs w:val="18"/>
                <w:lang w:val="en-AU"/>
              </w:rPr>
            </w:r>
            <w:r w:rsidR="00E4568F">
              <w:rPr>
                <w:rFonts w:ascii="Arial Narrow" w:hAnsi="Arial Narrow"/>
                <w:b w:val="0"/>
                <w:szCs w:val="18"/>
                <w:lang w:val="en-AU"/>
              </w:rPr>
              <w:fldChar w:fldCharType="separate"/>
            </w:r>
            <w:r w:rsidRPr="00E63DF4">
              <w:rPr>
                <w:rFonts w:ascii="Arial Narrow" w:hAnsi="Arial Narrow"/>
                <w:b w:val="0"/>
                <w:szCs w:val="18"/>
                <w:lang w:val="en-AU"/>
              </w:rPr>
              <w:fldChar w:fldCharType="end"/>
            </w:r>
            <w:r w:rsidRPr="00E63DF4">
              <w:rPr>
                <w:rFonts w:ascii="Arial Narrow" w:hAnsi="Arial Narrow"/>
                <w:b w:val="0"/>
                <w:szCs w:val="18"/>
                <w:lang w:val="en-AU"/>
              </w:rPr>
              <w:t xml:space="preserve">Nurse practitioners  </w:t>
            </w:r>
            <w:r w:rsidRPr="00E63DF4">
              <w:rPr>
                <w:rFonts w:ascii="Arial Narrow" w:hAnsi="Arial Narrow"/>
                <w:b w:val="0"/>
                <w:szCs w:val="18"/>
                <w:lang w:val="en-AU"/>
              </w:rPr>
              <w:fldChar w:fldCharType="begin">
                <w:ffData>
                  <w:name w:val=""/>
                  <w:enabled/>
                  <w:calcOnExit w:val="0"/>
                  <w:checkBox>
                    <w:sizeAuto/>
                    <w:default w:val="0"/>
                  </w:checkBox>
                </w:ffData>
              </w:fldChar>
            </w:r>
            <w:r w:rsidRPr="00E63DF4">
              <w:rPr>
                <w:rFonts w:ascii="Arial Narrow" w:hAnsi="Arial Narrow"/>
                <w:b w:val="0"/>
                <w:szCs w:val="18"/>
                <w:lang w:val="en-AU"/>
              </w:rPr>
              <w:instrText xml:space="preserve"> FORMCHECKBOX </w:instrText>
            </w:r>
            <w:r w:rsidR="00E4568F">
              <w:rPr>
                <w:rFonts w:ascii="Arial Narrow" w:hAnsi="Arial Narrow"/>
                <w:b w:val="0"/>
                <w:szCs w:val="18"/>
                <w:lang w:val="en-AU"/>
              </w:rPr>
            </w:r>
            <w:r w:rsidR="00E4568F">
              <w:rPr>
                <w:rFonts w:ascii="Arial Narrow" w:hAnsi="Arial Narrow"/>
                <w:b w:val="0"/>
                <w:szCs w:val="18"/>
                <w:lang w:val="en-AU"/>
              </w:rPr>
              <w:fldChar w:fldCharType="separate"/>
            </w:r>
            <w:r w:rsidRPr="00E63DF4">
              <w:rPr>
                <w:rFonts w:ascii="Arial Narrow" w:hAnsi="Arial Narrow"/>
                <w:b w:val="0"/>
                <w:szCs w:val="18"/>
                <w:lang w:val="en-AU"/>
              </w:rPr>
              <w:fldChar w:fldCharType="end"/>
            </w:r>
            <w:r w:rsidRPr="00E63DF4">
              <w:rPr>
                <w:rFonts w:ascii="Arial Narrow" w:hAnsi="Arial Narrow"/>
                <w:b w:val="0"/>
                <w:szCs w:val="18"/>
                <w:lang w:val="en-AU"/>
              </w:rPr>
              <w:t xml:space="preserve">Optometrists   </w:t>
            </w:r>
            <w:r w:rsidRPr="00E63DF4">
              <w:rPr>
                <w:rFonts w:ascii="Arial Narrow" w:hAnsi="Arial Narrow"/>
                <w:b w:val="0"/>
                <w:szCs w:val="18"/>
                <w:lang w:val="en-AU"/>
              </w:rPr>
              <w:fldChar w:fldCharType="begin">
                <w:ffData>
                  <w:name w:val="Check5"/>
                  <w:enabled/>
                  <w:calcOnExit w:val="0"/>
                  <w:checkBox>
                    <w:sizeAuto/>
                    <w:default w:val="0"/>
                  </w:checkBox>
                </w:ffData>
              </w:fldChar>
            </w:r>
            <w:r w:rsidRPr="00E63DF4">
              <w:rPr>
                <w:rFonts w:ascii="Arial Narrow" w:hAnsi="Arial Narrow"/>
                <w:b w:val="0"/>
                <w:szCs w:val="18"/>
                <w:lang w:val="en-AU"/>
              </w:rPr>
              <w:instrText xml:space="preserve"> FORMCHECKBOX </w:instrText>
            </w:r>
            <w:r w:rsidR="00E4568F">
              <w:rPr>
                <w:rFonts w:ascii="Arial Narrow" w:hAnsi="Arial Narrow"/>
                <w:b w:val="0"/>
                <w:szCs w:val="18"/>
                <w:lang w:val="en-AU"/>
              </w:rPr>
            </w:r>
            <w:r w:rsidR="00E4568F">
              <w:rPr>
                <w:rFonts w:ascii="Arial Narrow" w:hAnsi="Arial Narrow"/>
                <w:b w:val="0"/>
                <w:szCs w:val="18"/>
                <w:lang w:val="en-AU"/>
              </w:rPr>
              <w:fldChar w:fldCharType="separate"/>
            </w:r>
            <w:r w:rsidRPr="00E63DF4">
              <w:rPr>
                <w:rFonts w:ascii="Arial Narrow" w:hAnsi="Arial Narrow"/>
                <w:b w:val="0"/>
                <w:szCs w:val="18"/>
                <w:lang w:val="en-AU"/>
              </w:rPr>
              <w:fldChar w:fldCharType="end"/>
            </w:r>
            <w:r w:rsidRPr="00E63DF4">
              <w:rPr>
                <w:rFonts w:ascii="Arial Narrow" w:hAnsi="Arial Narrow"/>
                <w:b w:val="0"/>
                <w:szCs w:val="18"/>
                <w:lang w:val="en-AU"/>
              </w:rPr>
              <w:t>Midwives</w:t>
            </w:r>
          </w:p>
        </w:tc>
      </w:tr>
      <w:tr w:rsidR="00190A8B" w:rsidRPr="00E63DF4" w:rsidTr="004178CA">
        <w:trPr>
          <w:trHeight w:val="257"/>
        </w:trPr>
        <w:tc>
          <w:tcPr>
            <w:tcW w:w="5000" w:type="pct"/>
          </w:tcPr>
          <w:p w:rsidR="00190A8B" w:rsidRPr="00E63DF4" w:rsidRDefault="00190A8B" w:rsidP="001434C5">
            <w:pPr>
              <w:pStyle w:val="TableText1"/>
              <w:keepNext/>
              <w:keepLines/>
              <w:tabs>
                <w:tab w:val="left" w:pos="263"/>
              </w:tabs>
              <w:ind w:left="-106"/>
              <w:rPr>
                <w:rFonts w:ascii="Arial Narrow" w:hAnsi="Arial Narrow"/>
                <w:b/>
                <w:i/>
                <w:sz w:val="18"/>
                <w:szCs w:val="18"/>
              </w:rPr>
            </w:pPr>
            <w:r w:rsidRPr="00E63DF4">
              <w:rPr>
                <w:rFonts w:ascii="Arial Narrow" w:hAnsi="Arial Narrow"/>
                <w:b/>
                <w:sz w:val="18"/>
                <w:szCs w:val="18"/>
              </w:rPr>
              <w:t xml:space="preserve">Restriction type / method: </w:t>
            </w:r>
            <w:r w:rsidRPr="00E63DF4">
              <w:rPr>
                <w:rFonts w:ascii="Arial Narrow" w:hAnsi="Arial Narrow"/>
                <w:sz w:val="18"/>
                <w:szCs w:val="18"/>
              </w:rPr>
              <w:fldChar w:fldCharType="begin">
                <w:ffData>
                  <w:name w:val=""/>
                  <w:enabled/>
                  <w:calcOnExit w:val="0"/>
                  <w:checkBox>
                    <w:sizeAuto/>
                    <w:default w:val="1"/>
                  </w:checkBox>
                </w:ffData>
              </w:fldChar>
            </w:r>
            <w:r w:rsidRPr="00E63DF4">
              <w:rPr>
                <w:rFonts w:ascii="Arial Narrow" w:hAnsi="Arial Narrow"/>
                <w:sz w:val="18"/>
                <w:szCs w:val="18"/>
              </w:rPr>
              <w:instrText xml:space="preserve"> FORMCHECKBOX </w:instrText>
            </w:r>
            <w:r w:rsidR="00E4568F">
              <w:rPr>
                <w:rFonts w:ascii="Arial Narrow" w:hAnsi="Arial Narrow"/>
                <w:sz w:val="18"/>
                <w:szCs w:val="18"/>
              </w:rPr>
            </w:r>
            <w:r w:rsidR="00E4568F">
              <w:rPr>
                <w:rFonts w:ascii="Arial Narrow" w:hAnsi="Arial Narrow"/>
                <w:sz w:val="18"/>
                <w:szCs w:val="18"/>
              </w:rPr>
              <w:fldChar w:fldCharType="separate"/>
            </w:r>
            <w:r w:rsidRPr="00E63DF4">
              <w:rPr>
                <w:rFonts w:ascii="Arial Narrow" w:hAnsi="Arial Narrow"/>
                <w:sz w:val="18"/>
                <w:szCs w:val="18"/>
              </w:rPr>
              <w:fldChar w:fldCharType="end"/>
            </w:r>
            <w:r w:rsidRPr="00E63DF4">
              <w:rPr>
                <w:rFonts w:ascii="Arial Narrow" w:hAnsi="Arial Narrow"/>
                <w:sz w:val="18"/>
                <w:szCs w:val="18"/>
              </w:rPr>
              <w:t xml:space="preserve"> Authority Required – Streamlined (new code)</w:t>
            </w:r>
          </w:p>
        </w:tc>
      </w:tr>
      <w:tr w:rsidR="00190A8B" w:rsidRPr="00E63DF4" w:rsidTr="004178CA">
        <w:tc>
          <w:tcPr>
            <w:tcW w:w="5000" w:type="pct"/>
          </w:tcPr>
          <w:p w:rsidR="00190A8B" w:rsidRPr="00E63DF4" w:rsidRDefault="00190A8B" w:rsidP="001434C5">
            <w:pPr>
              <w:pStyle w:val="TableText1"/>
              <w:keepNext/>
              <w:keepLines/>
              <w:ind w:left="-106"/>
              <w:rPr>
                <w:rFonts w:ascii="Arial Narrow" w:hAnsi="Arial Narrow"/>
                <w:sz w:val="18"/>
                <w:szCs w:val="18"/>
              </w:rPr>
            </w:pPr>
            <w:r w:rsidRPr="00E63DF4">
              <w:rPr>
                <w:rFonts w:ascii="Arial Narrow" w:hAnsi="Arial Narrow"/>
                <w:b/>
                <w:sz w:val="18"/>
                <w:szCs w:val="18"/>
              </w:rPr>
              <w:t>PBS Indication:</w:t>
            </w:r>
            <w:r w:rsidRPr="00E63DF4">
              <w:rPr>
                <w:rFonts w:ascii="Arial Narrow" w:hAnsi="Arial Narrow"/>
                <w:sz w:val="18"/>
                <w:szCs w:val="18"/>
              </w:rPr>
              <w:t xml:space="preserve"> A</w:t>
            </w:r>
            <w:r w:rsidRPr="00E63DF4">
              <w:rPr>
                <w:rFonts w:ascii="Arial Narrow" w:hAnsi="Arial Narrow"/>
                <w:iCs/>
                <w:sz w:val="18"/>
                <w:szCs w:val="18"/>
              </w:rPr>
              <w:t>dvanced (unresectable) Barcelona Clinic Liver Cancer Stage B or Stage C hepatocellular carcinoma</w:t>
            </w:r>
          </w:p>
        </w:tc>
      </w:tr>
      <w:tr w:rsidR="00190A8B" w:rsidRPr="00E63DF4" w:rsidTr="004178CA">
        <w:tc>
          <w:tcPr>
            <w:tcW w:w="5000" w:type="pct"/>
          </w:tcPr>
          <w:p w:rsidR="00190A8B" w:rsidRPr="00E63DF4" w:rsidRDefault="00190A8B" w:rsidP="001434C5">
            <w:pPr>
              <w:pStyle w:val="Tabletextbold"/>
              <w:keepNext/>
              <w:keepLines/>
              <w:tabs>
                <w:tab w:val="left" w:pos="263"/>
              </w:tabs>
              <w:ind w:left="-106"/>
              <w:rPr>
                <w:rFonts w:ascii="Arial Narrow" w:hAnsi="Arial Narrow"/>
                <w:b w:val="0"/>
                <w:szCs w:val="18"/>
                <w:lang w:val="en-AU" w:bidi="en-US"/>
              </w:rPr>
            </w:pPr>
            <w:r w:rsidRPr="00E63DF4">
              <w:rPr>
                <w:rFonts w:ascii="Arial Narrow" w:hAnsi="Arial Narrow"/>
                <w:szCs w:val="18"/>
                <w:lang w:val="en-AU" w:bidi="en-US"/>
              </w:rPr>
              <w:t>Treatment phase:</w:t>
            </w:r>
            <w:r w:rsidRPr="00E63DF4">
              <w:rPr>
                <w:rFonts w:ascii="Arial Narrow" w:hAnsi="Arial Narrow"/>
                <w:b w:val="0"/>
                <w:szCs w:val="18"/>
                <w:lang w:val="en-AU" w:bidi="en-US"/>
              </w:rPr>
              <w:t xml:space="preserve"> Transitioning from non-PBS subsidised to PBS-subsidised supply – Grandfather treatment</w:t>
            </w:r>
          </w:p>
        </w:tc>
      </w:tr>
      <w:tr w:rsidR="00190A8B" w:rsidRPr="00E63DF4" w:rsidTr="004178CA">
        <w:tc>
          <w:tcPr>
            <w:tcW w:w="5000" w:type="pct"/>
          </w:tcPr>
          <w:p w:rsidR="00190A8B" w:rsidRPr="00E63DF4" w:rsidRDefault="00190A8B" w:rsidP="001434C5">
            <w:pPr>
              <w:pStyle w:val="Tabletextbold"/>
              <w:keepNext/>
              <w:keepLines/>
              <w:tabs>
                <w:tab w:val="left" w:pos="0"/>
              </w:tabs>
              <w:ind w:left="-106"/>
              <w:rPr>
                <w:rFonts w:ascii="Arial Narrow" w:hAnsi="Arial Narrow"/>
                <w:szCs w:val="18"/>
                <w:lang w:val="en-AU" w:bidi="en-US"/>
              </w:rPr>
            </w:pPr>
            <w:r w:rsidRPr="00E63DF4">
              <w:rPr>
                <w:rFonts w:ascii="Arial Narrow" w:hAnsi="Arial Narrow"/>
                <w:szCs w:val="18"/>
                <w:lang w:val="en-AU" w:bidi="en-US"/>
              </w:rPr>
              <w:t>Clinical criteria</w:t>
            </w:r>
          </w:p>
        </w:tc>
      </w:tr>
      <w:tr w:rsidR="00190A8B" w:rsidRPr="00E63DF4" w:rsidTr="004178CA">
        <w:tc>
          <w:tcPr>
            <w:tcW w:w="5000" w:type="pct"/>
          </w:tcPr>
          <w:p w:rsidR="00190A8B" w:rsidRPr="00E63DF4" w:rsidRDefault="00190A8B" w:rsidP="001434C5">
            <w:pPr>
              <w:pStyle w:val="Tabletextbold"/>
              <w:keepNext/>
              <w:keepLines/>
              <w:tabs>
                <w:tab w:val="left" w:pos="0"/>
              </w:tabs>
              <w:ind w:left="-106"/>
              <w:rPr>
                <w:rFonts w:ascii="Arial Narrow" w:hAnsi="Arial Narrow"/>
                <w:b w:val="0"/>
                <w:szCs w:val="18"/>
                <w:lang w:val="en-AU" w:bidi="en-US"/>
              </w:rPr>
            </w:pPr>
            <w:r w:rsidRPr="00E47017">
              <w:rPr>
                <w:rFonts w:ascii="Arial Narrow" w:hAnsi="Arial Narrow"/>
                <w:b w:val="0"/>
                <w:szCs w:val="18"/>
                <w:lang w:val="en-AU" w:bidi="en-US"/>
              </w:rPr>
              <w:t xml:space="preserve">Patient must have commenced non-PBS subsidised treatment with this drug for this PBS indication prior to [insert listing date here]  </w:t>
            </w:r>
          </w:p>
        </w:tc>
      </w:tr>
      <w:tr w:rsidR="00190A8B" w:rsidRPr="00E63DF4" w:rsidTr="004178CA">
        <w:tc>
          <w:tcPr>
            <w:tcW w:w="5000" w:type="pct"/>
          </w:tcPr>
          <w:p w:rsidR="00190A8B" w:rsidRPr="00E63DF4" w:rsidRDefault="00190A8B" w:rsidP="001434C5">
            <w:pPr>
              <w:pStyle w:val="Tabletextbold"/>
              <w:keepNext/>
              <w:keepLines/>
              <w:tabs>
                <w:tab w:val="left" w:pos="0"/>
              </w:tabs>
              <w:ind w:left="-106"/>
              <w:rPr>
                <w:rFonts w:ascii="Arial Narrow" w:hAnsi="Arial Narrow"/>
                <w:szCs w:val="18"/>
                <w:lang w:val="en-AU" w:bidi="en-US"/>
              </w:rPr>
            </w:pPr>
            <w:r w:rsidRPr="00E63DF4">
              <w:rPr>
                <w:rFonts w:ascii="Arial Narrow" w:hAnsi="Arial Narrow"/>
                <w:szCs w:val="18"/>
                <w:lang w:val="en-AU" w:bidi="en-US"/>
              </w:rPr>
              <w:t>AND</w:t>
            </w:r>
          </w:p>
        </w:tc>
      </w:tr>
      <w:tr w:rsidR="00190A8B" w:rsidRPr="00E63DF4" w:rsidTr="004178CA">
        <w:tc>
          <w:tcPr>
            <w:tcW w:w="5000" w:type="pct"/>
          </w:tcPr>
          <w:p w:rsidR="00190A8B" w:rsidRPr="00E63DF4" w:rsidRDefault="00190A8B" w:rsidP="001434C5">
            <w:pPr>
              <w:pStyle w:val="Tabletextbold"/>
              <w:keepNext/>
              <w:keepLines/>
              <w:tabs>
                <w:tab w:val="left" w:pos="263"/>
              </w:tabs>
              <w:ind w:left="-106"/>
              <w:rPr>
                <w:rFonts w:ascii="Arial Narrow" w:hAnsi="Arial Narrow"/>
                <w:b w:val="0"/>
                <w:i/>
                <w:szCs w:val="18"/>
                <w:lang w:val="en-AU" w:bidi="en-US"/>
              </w:rPr>
            </w:pPr>
            <w:r w:rsidRPr="00E63DF4">
              <w:rPr>
                <w:rFonts w:ascii="Arial Narrow" w:hAnsi="Arial Narrow"/>
                <w:szCs w:val="18"/>
                <w:lang w:val="en-AU" w:bidi="en-US"/>
              </w:rPr>
              <w:t>Clinical criteria</w:t>
            </w:r>
          </w:p>
        </w:tc>
      </w:tr>
      <w:tr w:rsidR="00190A8B" w:rsidRPr="00E63DF4" w:rsidTr="004178CA">
        <w:tc>
          <w:tcPr>
            <w:tcW w:w="5000" w:type="pct"/>
          </w:tcPr>
          <w:p w:rsidR="00190A8B" w:rsidRPr="00E63DF4" w:rsidRDefault="00190A8B" w:rsidP="001434C5">
            <w:pPr>
              <w:pStyle w:val="Tabletextbold"/>
              <w:keepNext/>
              <w:keepLines/>
              <w:tabs>
                <w:tab w:val="left" w:pos="0"/>
              </w:tabs>
              <w:ind w:left="-106"/>
              <w:rPr>
                <w:rFonts w:ascii="Arial Narrow" w:hAnsi="Arial Narrow"/>
                <w:b w:val="0"/>
                <w:szCs w:val="18"/>
                <w:lang w:val="en-AU" w:bidi="en-US"/>
              </w:rPr>
            </w:pPr>
            <w:r w:rsidRPr="00E63DF4">
              <w:rPr>
                <w:rFonts w:ascii="Arial Narrow" w:hAnsi="Arial Narrow"/>
                <w:b w:val="0"/>
                <w:szCs w:val="18"/>
                <w:lang w:val="en-AU" w:bidi="en-US"/>
              </w:rPr>
              <w:t>Patient must have met all the PBS eligibility criteria applying to a non-grandfather patient under the Initial treatment restriction for this PBS indication prior to having commenced non-PBS subsidised treatment with this drug</w:t>
            </w:r>
          </w:p>
        </w:tc>
      </w:tr>
      <w:tr w:rsidR="00190A8B" w:rsidRPr="00E63DF4" w:rsidTr="004178CA">
        <w:tc>
          <w:tcPr>
            <w:tcW w:w="5000" w:type="pct"/>
          </w:tcPr>
          <w:p w:rsidR="00190A8B" w:rsidRPr="00E63DF4" w:rsidRDefault="00190A8B" w:rsidP="001434C5">
            <w:pPr>
              <w:pStyle w:val="Tabletextbold"/>
              <w:keepNext/>
              <w:keepLines/>
              <w:tabs>
                <w:tab w:val="left" w:pos="263"/>
              </w:tabs>
              <w:ind w:left="-106"/>
              <w:rPr>
                <w:rFonts w:ascii="Arial Narrow" w:hAnsi="Arial Narrow"/>
                <w:szCs w:val="18"/>
                <w:lang w:val="en-AU" w:bidi="en-US"/>
              </w:rPr>
            </w:pPr>
            <w:r w:rsidRPr="00E63DF4">
              <w:rPr>
                <w:rFonts w:ascii="Arial Narrow" w:hAnsi="Arial Narrow"/>
                <w:szCs w:val="18"/>
                <w:lang w:val="en-AU" w:bidi="en-US"/>
              </w:rPr>
              <w:t>AND</w:t>
            </w:r>
          </w:p>
        </w:tc>
      </w:tr>
      <w:tr w:rsidR="00190A8B" w:rsidRPr="00E63DF4" w:rsidTr="004178CA">
        <w:tc>
          <w:tcPr>
            <w:tcW w:w="5000" w:type="pct"/>
          </w:tcPr>
          <w:p w:rsidR="00190A8B" w:rsidRPr="00E63DF4" w:rsidRDefault="00190A8B" w:rsidP="001434C5">
            <w:pPr>
              <w:pStyle w:val="Tabletextbold"/>
              <w:keepNext/>
              <w:keepLines/>
              <w:tabs>
                <w:tab w:val="left" w:pos="263"/>
              </w:tabs>
              <w:ind w:left="-106"/>
              <w:rPr>
                <w:rFonts w:ascii="Arial Narrow" w:hAnsi="Arial Narrow"/>
                <w:b w:val="0"/>
                <w:i/>
                <w:szCs w:val="18"/>
                <w:lang w:val="en-AU" w:bidi="en-US"/>
              </w:rPr>
            </w:pPr>
            <w:r w:rsidRPr="00E63DF4">
              <w:rPr>
                <w:rFonts w:ascii="Arial Narrow" w:hAnsi="Arial Narrow"/>
                <w:szCs w:val="18"/>
                <w:lang w:val="en-AU" w:bidi="en-US"/>
              </w:rPr>
              <w:t>Clinical criteria</w:t>
            </w:r>
          </w:p>
        </w:tc>
      </w:tr>
      <w:tr w:rsidR="00190A8B" w:rsidRPr="00E63DF4" w:rsidTr="004178CA">
        <w:tc>
          <w:tcPr>
            <w:tcW w:w="5000" w:type="pct"/>
          </w:tcPr>
          <w:p w:rsidR="00190A8B" w:rsidRPr="00E63DF4" w:rsidRDefault="00190A8B" w:rsidP="001434C5">
            <w:pPr>
              <w:pStyle w:val="Tabletextbold"/>
              <w:keepNext/>
              <w:keepLines/>
              <w:tabs>
                <w:tab w:val="left" w:pos="263"/>
              </w:tabs>
              <w:ind w:left="-106"/>
              <w:rPr>
                <w:rFonts w:ascii="Arial Narrow" w:hAnsi="Arial Narrow"/>
                <w:b w:val="0"/>
                <w:szCs w:val="18"/>
                <w:lang w:val="en-AU" w:bidi="en-US"/>
              </w:rPr>
            </w:pPr>
            <w:r w:rsidRPr="00E63DF4">
              <w:rPr>
                <w:rFonts w:ascii="Arial Narrow" w:hAnsi="Arial Narrow"/>
                <w:b w:val="0"/>
                <w:szCs w:val="18"/>
                <w:lang w:val="en-AU" w:bidi="en-US"/>
              </w:rPr>
              <w:t xml:space="preserve">Patient must have not developed disease progression while receiving treatment with this drug for this condition </w:t>
            </w:r>
          </w:p>
        </w:tc>
      </w:tr>
      <w:tr w:rsidR="00190A8B" w:rsidRPr="00E63DF4" w:rsidTr="004178CA">
        <w:tc>
          <w:tcPr>
            <w:tcW w:w="5000" w:type="pct"/>
          </w:tcPr>
          <w:p w:rsidR="00190A8B" w:rsidRPr="00E63DF4" w:rsidRDefault="00190A8B" w:rsidP="001434C5">
            <w:pPr>
              <w:pStyle w:val="Tabletextbold"/>
              <w:keepNext/>
              <w:keepLines/>
              <w:tabs>
                <w:tab w:val="left" w:pos="263"/>
              </w:tabs>
              <w:ind w:left="-106"/>
              <w:rPr>
                <w:rFonts w:ascii="Arial Narrow" w:hAnsi="Arial Narrow"/>
                <w:b w:val="0"/>
                <w:strike/>
                <w:szCs w:val="18"/>
                <w:lang w:val="en-AU" w:bidi="en-US"/>
              </w:rPr>
            </w:pPr>
            <w:r w:rsidRPr="00E63DF4">
              <w:rPr>
                <w:rFonts w:ascii="Arial Narrow" w:hAnsi="Arial Narrow"/>
                <w:color w:val="333333"/>
                <w:szCs w:val="18"/>
                <w:lang w:val="en-AU"/>
              </w:rPr>
              <w:t>Prescribing instructions:</w:t>
            </w:r>
          </w:p>
          <w:p w:rsidR="00190A8B" w:rsidRPr="00E63DF4" w:rsidRDefault="00190A8B" w:rsidP="001434C5">
            <w:pPr>
              <w:pStyle w:val="Tabletextbold"/>
              <w:keepNext/>
              <w:keepLines/>
              <w:tabs>
                <w:tab w:val="left" w:pos="263"/>
              </w:tabs>
              <w:ind w:left="-106"/>
              <w:rPr>
                <w:rFonts w:ascii="Arial Narrow" w:hAnsi="Arial Narrow"/>
                <w:b w:val="0"/>
                <w:i/>
                <w:szCs w:val="18"/>
                <w:lang w:val="en-AU" w:bidi="en-US"/>
              </w:rPr>
            </w:pPr>
            <w:r w:rsidRPr="00E63DF4">
              <w:rPr>
                <w:rFonts w:ascii="Arial Narrow" w:hAnsi="Arial Narrow"/>
                <w:b w:val="0"/>
                <w:color w:val="333333"/>
                <w:szCs w:val="18"/>
                <w:lang w:val="en-AU"/>
              </w:rPr>
              <w:t>A Grandfathered patient may qualify for PBS-subsidised treatment under this restriction once only. For continuing PBS-subsidised treatment, a Grandfathered patient must qualify under the continuing treatment criteria.</w:t>
            </w:r>
          </w:p>
        </w:tc>
      </w:tr>
      <w:tr w:rsidR="00190A8B" w:rsidRPr="00E63DF4" w:rsidTr="004178CA">
        <w:tc>
          <w:tcPr>
            <w:tcW w:w="5000" w:type="pct"/>
          </w:tcPr>
          <w:p w:rsidR="00190A8B" w:rsidRPr="00E63DF4" w:rsidRDefault="00190A8B" w:rsidP="001434C5">
            <w:pPr>
              <w:pStyle w:val="TableText0"/>
              <w:keepLines/>
              <w:ind w:left="-106"/>
              <w:rPr>
                <w:b/>
                <w:sz w:val="18"/>
                <w:szCs w:val="18"/>
              </w:rPr>
            </w:pPr>
            <w:r w:rsidRPr="00E63DF4">
              <w:rPr>
                <w:b/>
                <w:szCs w:val="18"/>
              </w:rPr>
              <w:t xml:space="preserve"> </w:t>
            </w:r>
            <w:r w:rsidRPr="00E63DF4">
              <w:rPr>
                <w:b/>
                <w:sz w:val="18"/>
                <w:szCs w:val="18"/>
              </w:rPr>
              <w:t>Administrative advice:</w:t>
            </w:r>
          </w:p>
          <w:p w:rsidR="00190A8B" w:rsidRPr="00E63DF4" w:rsidRDefault="00190A8B" w:rsidP="001434C5">
            <w:pPr>
              <w:pStyle w:val="Tabletextbold"/>
              <w:keepNext/>
              <w:keepLines/>
              <w:tabs>
                <w:tab w:val="left" w:pos="263"/>
              </w:tabs>
              <w:ind w:left="-106"/>
              <w:rPr>
                <w:rFonts w:ascii="Arial Narrow" w:hAnsi="Arial Narrow"/>
                <w:b w:val="0"/>
                <w:szCs w:val="18"/>
                <w:lang w:val="en-AU" w:bidi="en-US"/>
              </w:rPr>
            </w:pPr>
            <w:r w:rsidRPr="00E63DF4">
              <w:rPr>
                <w:rFonts w:ascii="Arial Narrow" w:hAnsi="Arial Narrow"/>
                <w:b w:val="0"/>
                <w:szCs w:val="18"/>
                <w:lang w:val="en-AU"/>
              </w:rPr>
              <w:t>This grandfather restriction will cease to operate from 12 months after the date specified in the Clinical criteria</w:t>
            </w:r>
          </w:p>
        </w:tc>
      </w:tr>
    </w:tbl>
    <w:p w:rsidR="004E1AD2" w:rsidRDefault="004E1AD2" w:rsidP="001434C5">
      <w:pPr>
        <w:rPr>
          <w:i/>
        </w:rPr>
      </w:pPr>
    </w:p>
    <w:p w:rsidR="00190A8B" w:rsidRDefault="00190A8B" w:rsidP="001434C5">
      <w:pPr>
        <w:rPr>
          <w:i/>
        </w:rPr>
      </w:pPr>
    </w:p>
    <w:p w:rsidR="00190A8B" w:rsidRDefault="00190A8B" w:rsidP="001434C5">
      <w:pPr>
        <w:rPr>
          <w:i/>
        </w:rPr>
      </w:pPr>
    </w:p>
    <w:p w:rsidR="00190A8B" w:rsidRDefault="00190A8B" w:rsidP="001434C5">
      <w:pPr>
        <w:rPr>
          <w:i/>
        </w:rPr>
      </w:pPr>
    </w:p>
    <w:p w:rsidR="00190A8B" w:rsidRDefault="00190A8B" w:rsidP="001434C5">
      <w:pPr>
        <w:rPr>
          <w:i/>
        </w:rPr>
      </w:pPr>
    </w:p>
    <w:p w:rsidR="00190A8B" w:rsidRDefault="00190A8B" w:rsidP="001434C5">
      <w:pPr>
        <w:rPr>
          <w:i/>
        </w:rPr>
      </w:pPr>
    </w:p>
    <w:p w:rsidR="00190A8B" w:rsidRDefault="00190A8B" w:rsidP="001434C5">
      <w:pPr>
        <w:rPr>
          <w:i/>
        </w:rPr>
      </w:pPr>
    </w:p>
    <w:p w:rsidR="00190A8B" w:rsidRDefault="00190A8B" w:rsidP="001434C5">
      <w:pPr>
        <w:rPr>
          <w:i/>
        </w:rPr>
      </w:pPr>
    </w:p>
    <w:p w:rsidR="00190A8B" w:rsidRDefault="00190A8B" w:rsidP="001434C5">
      <w:pPr>
        <w:rPr>
          <w:i/>
        </w:rPr>
      </w:pPr>
    </w:p>
    <w:p w:rsidR="00190A8B" w:rsidRDefault="00190A8B" w:rsidP="001434C5">
      <w:pPr>
        <w:rPr>
          <w:i/>
        </w:rPr>
      </w:pPr>
    </w:p>
    <w:p w:rsidR="00190A8B" w:rsidRDefault="00190A8B" w:rsidP="001434C5">
      <w:pPr>
        <w:rPr>
          <w:i/>
        </w:rPr>
      </w:pPr>
    </w:p>
    <w:p w:rsidR="00190A8B" w:rsidRDefault="00190A8B" w:rsidP="001434C5">
      <w:pPr>
        <w:rPr>
          <w:i/>
        </w:rPr>
      </w:pPr>
    </w:p>
    <w:p w:rsidR="00190A8B" w:rsidRDefault="00190A8B" w:rsidP="001434C5">
      <w:pPr>
        <w:rPr>
          <w:i/>
        </w:rPr>
      </w:pPr>
    </w:p>
    <w:p w:rsidR="00190A8B" w:rsidRDefault="00190A8B" w:rsidP="001434C5">
      <w:pPr>
        <w:rPr>
          <w:i/>
        </w:rPr>
      </w:pPr>
    </w:p>
    <w:p w:rsidR="00190A8B" w:rsidRDefault="00190A8B" w:rsidP="001434C5">
      <w:pPr>
        <w:rPr>
          <w:i/>
        </w:rPr>
      </w:pPr>
    </w:p>
    <w:p w:rsidR="00190A8B" w:rsidRDefault="00190A8B" w:rsidP="001434C5">
      <w:pPr>
        <w:rPr>
          <w:i/>
        </w:rPr>
      </w:pPr>
    </w:p>
    <w:p w:rsidR="00190A8B" w:rsidRDefault="00190A8B" w:rsidP="001434C5">
      <w:pPr>
        <w:rPr>
          <w:i/>
        </w:rPr>
      </w:pPr>
    </w:p>
    <w:tbl>
      <w:tblPr>
        <w:tblpPr w:leftFromText="180" w:rightFromText="180" w:vertAnchor="text" w:horzAnchor="margin" w:tblpY="1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3"/>
        <w:gridCol w:w="2119"/>
        <w:gridCol w:w="1130"/>
        <w:gridCol w:w="848"/>
        <w:gridCol w:w="2260"/>
      </w:tblGrid>
      <w:tr w:rsidR="004E1AD2" w:rsidRPr="00120A12" w:rsidTr="004C57A4">
        <w:trPr>
          <w:cantSplit/>
          <w:trHeight w:val="471"/>
        </w:trPr>
        <w:tc>
          <w:tcPr>
            <w:tcW w:w="1484" w:type="pct"/>
          </w:tcPr>
          <w:p w:rsidR="004E1AD2" w:rsidRPr="00120A12" w:rsidRDefault="004E1AD2" w:rsidP="00EE28E1">
            <w:pPr>
              <w:keepNext/>
              <w:keepLines/>
              <w:ind w:left="-108"/>
              <w:rPr>
                <w:rFonts w:ascii="Arial Narrow" w:hAnsi="Arial Narrow"/>
                <w:b/>
                <w:sz w:val="18"/>
                <w:szCs w:val="18"/>
              </w:rPr>
            </w:pPr>
            <w:r w:rsidRPr="00120A12">
              <w:rPr>
                <w:rFonts w:ascii="Arial Narrow" w:hAnsi="Arial Narrow"/>
                <w:b/>
                <w:sz w:val="18"/>
                <w:szCs w:val="18"/>
              </w:rPr>
              <w:lastRenderedPageBreak/>
              <w:t>Name, Restriction,</w:t>
            </w:r>
          </w:p>
          <w:p w:rsidR="004E1AD2" w:rsidRPr="00120A12" w:rsidRDefault="004E1AD2" w:rsidP="00EE28E1">
            <w:pPr>
              <w:keepNext/>
              <w:keepLines/>
              <w:ind w:left="-108"/>
              <w:rPr>
                <w:rFonts w:ascii="Arial Narrow" w:hAnsi="Arial Narrow"/>
                <w:b/>
                <w:sz w:val="18"/>
                <w:szCs w:val="18"/>
              </w:rPr>
            </w:pPr>
            <w:r w:rsidRPr="00120A12">
              <w:rPr>
                <w:rFonts w:ascii="Arial Narrow" w:hAnsi="Arial Narrow"/>
                <w:b/>
                <w:sz w:val="18"/>
                <w:szCs w:val="18"/>
              </w:rPr>
              <w:t>Manner of administration and form</w:t>
            </w:r>
          </w:p>
        </w:tc>
        <w:tc>
          <w:tcPr>
            <w:tcW w:w="1172" w:type="pct"/>
          </w:tcPr>
          <w:p w:rsidR="004E1AD2" w:rsidRPr="00507253" w:rsidRDefault="004E1AD2" w:rsidP="00EE28E1">
            <w:pPr>
              <w:keepNext/>
              <w:keepLines/>
              <w:ind w:left="-108"/>
              <w:jc w:val="center"/>
              <w:rPr>
                <w:rFonts w:ascii="Arial Narrow" w:hAnsi="Arial Narrow"/>
                <w:b/>
                <w:sz w:val="18"/>
                <w:szCs w:val="18"/>
              </w:rPr>
            </w:pPr>
            <w:r w:rsidRPr="00507253">
              <w:rPr>
                <w:rFonts w:ascii="Arial Narrow" w:hAnsi="Arial Narrow"/>
                <w:b/>
                <w:sz w:val="18"/>
                <w:szCs w:val="18"/>
              </w:rPr>
              <w:t>PBS item code</w:t>
            </w:r>
          </w:p>
        </w:tc>
        <w:tc>
          <w:tcPr>
            <w:tcW w:w="625" w:type="pct"/>
          </w:tcPr>
          <w:p w:rsidR="004E1AD2" w:rsidRPr="00120A12" w:rsidRDefault="004E1AD2" w:rsidP="00EE28E1">
            <w:pPr>
              <w:keepNext/>
              <w:keepLines/>
              <w:ind w:left="-108"/>
              <w:jc w:val="center"/>
              <w:rPr>
                <w:rFonts w:ascii="Arial Narrow" w:hAnsi="Arial Narrow"/>
                <w:b/>
                <w:sz w:val="18"/>
                <w:szCs w:val="18"/>
              </w:rPr>
            </w:pPr>
            <w:r w:rsidRPr="00120A12">
              <w:rPr>
                <w:rFonts w:ascii="Arial Narrow" w:hAnsi="Arial Narrow"/>
                <w:b/>
                <w:sz w:val="18"/>
                <w:szCs w:val="18"/>
              </w:rPr>
              <w:t>Max.</w:t>
            </w:r>
          </w:p>
          <w:p w:rsidR="004E1AD2" w:rsidRPr="00120A12" w:rsidRDefault="004E1AD2" w:rsidP="00EE28E1">
            <w:pPr>
              <w:keepNext/>
              <w:keepLines/>
              <w:ind w:left="-108"/>
              <w:jc w:val="center"/>
              <w:rPr>
                <w:rFonts w:ascii="Arial Narrow" w:hAnsi="Arial Narrow"/>
                <w:b/>
                <w:sz w:val="18"/>
                <w:szCs w:val="18"/>
              </w:rPr>
            </w:pPr>
            <w:r w:rsidRPr="00120A12">
              <w:rPr>
                <w:rFonts w:ascii="Arial Narrow" w:hAnsi="Arial Narrow"/>
                <w:b/>
                <w:sz w:val="18"/>
                <w:szCs w:val="18"/>
              </w:rPr>
              <w:t>Amount</w:t>
            </w:r>
          </w:p>
        </w:tc>
        <w:tc>
          <w:tcPr>
            <w:tcW w:w="469" w:type="pct"/>
          </w:tcPr>
          <w:p w:rsidR="004E1AD2" w:rsidRPr="00120A12" w:rsidRDefault="004E1AD2" w:rsidP="00EE28E1">
            <w:pPr>
              <w:keepNext/>
              <w:keepLines/>
              <w:ind w:left="-108"/>
              <w:jc w:val="center"/>
              <w:rPr>
                <w:rFonts w:ascii="Arial Narrow" w:hAnsi="Arial Narrow"/>
                <w:b/>
                <w:sz w:val="18"/>
                <w:szCs w:val="18"/>
              </w:rPr>
            </w:pPr>
            <w:r w:rsidRPr="00120A12">
              <w:rPr>
                <w:rFonts w:ascii="Arial Narrow" w:hAnsi="Arial Narrow"/>
                <w:b/>
                <w:sz w:val="18"/>
                <w:szCs w:val="18"/>
              </w:rPr>
              <w:t>№.of</w:t>
            </w:r>
          </w:p>
          <w:p w:rsidR="004E1AD2" w:rsidRPr="00120A12" w:rsidRDefault="004E1AD2" w:rsidP="00EE28E1">
            <w:pPr>
              <w:keepNext/>
              <w:keepLines/>
              <w:ind w:left="-108"/>
              <w:jc w:val="center"/>
              <w:rPr>
                <w:rFonts w:ascii="Arial Narrow" w:hAnsi="Arial Narrow"/>
                <w:b/>
                <w:sz w:val="18"/>
                <w:szCs w:val="18"/>
              </w:rPr>
            </w:pPr>
            <w:r w:rsidRPr="00120A12">
              <w:rPr>
                <w:rFonts w:ascii="Arial Narrow" w:hAnsi="Arial Narrow"/>
                <w:b/>
                <w:sz w:val="18"/>
                <w:szCs w:val="18"/>
              </w:rPr>
              <w:t>Rpts</w:t>
            </w:r>
          </w:p>
        </w:tc>
        <w:tc>
          <w:tcPr>
            <w:tcW w:w="1250" w:type="pct"/>
          </w:tcPr>
          <w:p w:rsidR="004E1AD2" w:rsidRPr="00120A12" w:rsidRDefault="004E1AD2" w:rsidP="00EE28E1">
            <w:pPr>
              <w:keepNext/>
              <w:keepLines/>
              <w:rPr>
                <w:rFonts w:ascii="Arial Narrow" w:hAnsi="Arial Narrow"/>
                <w:b/>
                <w:sz w:val="18"/>
                <w:szCs w:val="18"/>
                <w:lang w:val="fr-FR"/>
              </w:rPr>
            </w:pPr>
            <w:r w:rsidRPr="00120A12">
              <w:rPr>
                <w:rFonts w:ascii="Arial Narrow" w:hAnsi="Arial Narrow"/>
                <w:b/>
                <w:sz w:val="18"/>
                <w:szCs w:val="18"/>
              </w:rPr>
              <w:t>Manufacturer</w:t>
            </w:r>
          </w:p>
        </w:tc>
      </w:tr>
      <w:tr w:rsidR="004E1AD2" w:rsidRPr="00120A12" w:rsidTr="004C57A4">
        <w:trPr>
          <w:cantSplit/>
          <w:trHeight w:val="577"/>
        </w:trPr>
        <w:tc>
          <w:tcPr>
            <w:tcW w:w="1484" w:type="pct"/>
          </w:tcPr>
          <w:p w:rsidR="004E1AD2" w:rsidRPr="00120A12" w:rsidRDefault="004E1AD2" w:rsidP="00EE28E1">
            <w:pPr>
              <w:keepNext/>
              <w:keepLines/>
              <w:ind w:left="-108"/>
              <w:rPr>
                <w:rFonts w:ascii="Arial Narrow" w:hAnsi="Arial Narrow"/>
                <w:sz w:val="18"/>
                <w:szCs w:val="18"/>
              </w:rPr>
            </w:pPr>
            <w:r>
              <w:rPr>
                <w:rFonts w:ascii="Arial Narrow" w:hAnsi="Arial Narrow"/>
                <w:sz w:val="18"/>
                <w:szCs w:val="18"/>
              </w:rPr>
              <w:t xml:space="preserve">ATEZOLIZUMAB </w:t>
            </w:r>
          </w:p>
          <w:p w:rsidR="004E1AD2" w:rsidRPr="00120A12" w:rsidRDefault="004E1AD2" w:rsidP="00EE28E1">
            <w:pPr>
              <w:keepNext/>
              <w:keepLines/>
              <w:ind w:left="-108"/>
              <w:rPr>
                <w:rFonts w:ascii="Arial Narrow" w:hAnsi="Arial Narrow"/>
                <w:sz w:val="18"/>
                <w:szCs w:val="18"/>
              </w:rPr>
            </w:pPr>
            <w:r>
              <w:rPr>
                <w:rFonts w:ascii="Arial Narrow" w:hAnsi="Arial Narrow" w:cs="Arial Narrow"/>
                <w:sz w:val="20"/>
                <w:szCs w:val="20"/>
              </w:rPr>
              <w:t xml:space="preserve">Injection </w:t>
            </w:r>
          </w:p>
        </w:tc>
        <w:tc>
          <w:tcPr>
            <w:tcW w:w="1172" w:type="pct"/>
          </w:tcPr>
          <w:p w:rsidR="004E1AD2" w:rsidRDefault="004E1AD2" w:rsidP="00EE28E1">
            <w:pPr>
              <w:keepNext/>
              <w:keepLines/>
              <w:ind w:left="-108"/>
              <w:jc w:val="center"/>
              <w:rPr>
                <w:rFonts w:ascii="Arial Narrow" w:hAnsi="Arial Narrow"/>
                <w:sz w:val="18"/>
                <w:szCs w:val="18"/>
              </w:rPr>
            </w:pPr>
          </w:p>
          <w:p w:rsidR="004E1AD2" w:rsidRPr="00EB37FA" w:rsidRDefault="004E1AD2" w:rsidP="00EE28E1">
            <w:pPr>
              <w:keepNext/>
              <w:keepLines/>
              <w:ind w:left="-108"/>
              <w:jc w:val="center"/>
              <w:rPr>
                <w:rFonts w:ascii="Arial Narrow" w:hAnsi="Arial Narrow"/>
                <w:sz w:val="18"/>
                <w:szCs w:val="18"/>
              </w:rPr>
            </w:pPr>
            <w:r>
              <w:rPr>
                <w:rFonts w:ascii="Arial Narrow" w:hAnsi="Arial Narrow"/>
                <w:sz w:val="18"/>
                <w:szCs w:val="18"/>
              </w:rPr>
              <w:t>NEW</w:t>
            </w:r>
            <w:r w:rsidRPr="00EB37FA">
              <w:rPr>
                <w:rFonts w:ascii="Arial Narrow" w:hAnsi="Arial Narrow"/>
                <w:sz w:val="18"/>
                <w:szCs w:val="18"/>
              </w:rPr>
              <w:t xml:space="preserve"> (Public)</w:t>
            </w:r>
          </w:p>
          <w:p w:rsidR="004E1AD2" w:rsidRPr="00B52D18" w:rsidRDefault="004E1AD2" w:rsidP="00EE28E1">
            <w:pPr>
              <w:keepNext/>
              <w:keepLines/>
              <w:ind w:left="-108"/>
              <w:jc w:val="center"/>
              <w:rPr>
                <w:rFonts w:ascii="Arial Narrow" w:hAnsi="Arial Narrow"/>
                <w:i/>
                <w:sz w:val="18"/>
                <w:szCs w:val="18"/>
              </w:rPr>
            </w:pPr>
            <w:r>
              <w:rPr>
                <w:rFonts w:ascii="Arial Narrow" w:hAnsi="Arial Narrow"/>
                <w:sz w:val="18"/>
                <w:szCs w:val="18"/>
              </w:rPr>
              <w:t xml:space="preserve">NEW </w:t>
            </w:r>
            <w:r w:rsidRPr="00EB37FA">
              <w:rPr>
                <w:rFonts w:ascii="Arial Narrow" w:hAnsi="Arial Narrow"/>
                <w:sz w:val="18"/>
                <w:szCs w:val="18"/>
              </w:rPr>
              <w:t>(Private)</w:t>
            </w:r>
          </w:p>
        </w:tc>
        <w:tc>
          <w:tcPr>
            <w:tcW w:w="625" w:type="pct"/>
          </w:tcPr>
          <w:p w:rsidR="004E1AD2" w:rsidRDefault="004E1AD2" w:rsidP="00EE28E1">
            <w:pPr>
              <w:keepNext/>
              <w:keepLines/>
              <w:ind w:left="-108"/>
              <w:jc w:val="center"/>
              <w:rPr>
                <w:rFonts w:ascii="Arial Narrow" w:hAnsi="Arial Narrow"/>
                <w:sz w:val="18"/>
                <w:szCs w:val="18"/>
              </w:rPr>
            </w:pPr>
          </w:p>
          <w:p w:rsidR="004E1AD2" w:rsidRPr="006E0CAB" w:rsidRDefault="004E1AD2" w:rsidP="00EE28E1">
            <w:pPr>
              <w:keepNext/>
              <w:keepLines/>
              <w:ind w:left="-108"/>
              <w:jc w:val="center"/>
              <w:rPr>
                <w:rFonts w:ascii="Arial Narrow" w:hAnsi="Arial Narrow"/>
                <w:sz w:val="18"/>
                <w:szCs w:val="18"/>
              </w:rPr>
            </w:pPr>
            <w:r>
              <w:rPr>
                <w:rFonts w:ascii="Arial Narrow" w:hAnsi="Arial Narrow"/>
                <w:sz w:val="18"/>
                <w:szCs w:val="18"/>
              </w:rPr>
              <w:t>1680 mg</w:t>
            </w:r>
          </w:p>
        </w:tc>
        <w:tc>
          <w:tcPr>
            <w:tcW w:w="469" w:type="pct"/>
          </w:tcPr>
          <w:p w:rsidR="004E1AD2" w:rsidRPr="00507253" w:rsidRDefault="004E1AD2" w:rsidP="00EE28E1">
            <w:pPr>
              <w:keepNext/>
              <w:keepLines/>
              <w:ind w:left="-108"/>
              <w:jc w:val="center"/>
              <w:rPr>
                <w:rFonts w:ascii="Arial Narrow" w:hAnsi="Arial Narrow"/>
                <w:i/>
                <w:sz w:val="18"/>
                <w:szCs w:val="18"/>
              </w:rPr>
            </w:pPr>
          </w:p>
          <w:p w:rsidR="004E1AD2" w:rsidRPr="00120A12" w:rsidRDefault="004E1AD2" w:rsidP="00EE28E1">
            <w:pPr>
              <w:keepNext/>
              <w:keepLines/>
              <w:ind w:left="-108"/>
              <w:jc w:val="center"/>
              <w:rPr>
                <w:rFonts w:ascii="Arial Narrow" w:hAnsi="Arial Narrow"/>
                <w:sz w:val="18"/>
                <w:szCs w:val="18"/>
              </w:rPr>
            </w:pPr>
            <w:r w:rsidRPr="00B52D18">
              <w:rPr>
                <w:rFonts w:ascii="Arial Narrow" w:hAnsi="Arial Narrow"/>
                <w:i/>
                <w:sz w:val="18"/>
                <w:szCs w:val="18"/>
              </w:rPr>
              <w:t>5</w:t>
            </w:r>
          </w:p>
        </w:tc>
        <w:tc>
          <w:tcPr>
            <w:tcW w:w="1250" w:type="pct"/>
          </w:tcPr>
          <w:p w:rsidR="004E1AD2" w:rsidRDefault="004E1AD2" w:rsidP="00EE28E1">
            <w:pPr>
              <w:keepNext/>
              <w:keepLines/>
              <w:rPr>
                <w:rFonts w:ascii="Arial Narrow" w:hAnsi="Arial Narrow"/>
                <w:sz w:val="18"/>
                <w:szCs w:val="18"/>
              </w:rPr>
            </w:pPr>
          </w:p>
          <w:p w:rsidR="004E1AD2" w:rsidRPr="00120A12" w:rsidRDefault="004E1AD2" w:rsidP="00EE28E1">
            <w:pPr>
              <w:keepNext/>
              <w:keepLines/>
              <w:rPr>
                <w:rFonts w:ascii="Arial Narrow" w:hAnsi="Arial Narrow"/>
                <w:sz w:val="18"/>
                <w:szCs w:val="18"/>
              </w:rPr>
            </w:pPr>
            <w:r>
              <w:rPr>
                <w:rFonts w:ascii="Arial Narrow" w:hAnsi="Arial Narrow"/>
                <w:sz w:val="18"/>
                <w:szCs w:val="18"/>
              </w:rPr>
              <w:t>Roche Products</w:t>
            </w:r>
            <w:r w:rsidRPr="00507253">
              <w:rPr>
                <w:rFonts w:ascii="Arial Narrow" w:hAnsi="Arial Narrow"/>
                <w:sz w:val="18"/>
                <w:szCs w:val="18"/>
              </w:rPr>
              <w:t xml:space="preserve"> Pty Ltd</w:t>
            </w:r>
          </w:p>
        </w:tc>
      </w:tr>
      <w:tr w:rsidR="004E1AD2" w:rsidRPr="009A610D" w:rsidTr="004C57A4">
        <w:trPr>
          <w:cantSplit/>
          <w:trHeight w:val="225"/>
        </w:trPr>
        <w:tc>
          <w:tcPr>
            <w:tcW w:w="5000" w:type="pct"/>
            <w:gridSpan w:val="5"/>
          </w:tcPr>
          <w:p w:rsidR="004E1AD2" w:rsidRPr="009A610D" w:rsidRDefault="004E1AD2" w:rsidP="00EE28E1">
            <w:pPr>
              <w:keepNext/>
              <w:keepLines/>
              <w:rPr>
                <w:rFonts w:ascii="Arial Narrow" w:hAnsi="Arial Narrow"/>
                <w:b/>
                <w:sz w:val="18"/>
                <w:szCs w:val="18"/>
              </w:rPr>
            </w:pPr>
            <w:r w:rsidRPr="009A610D">
              <w:rPr>
                <w:rFonts w:ascii="Arial Narrow" w:hAnsi="Arial Narrow"/>
                <w:b/>
                <w:sz w:val="18"/>
                <w:szCs w:val="18"/>
              </w:rPr>
              <w:t>Available brands</w:t>
            </w:r>
          </w:p>
        </w:tc>
      </w:tr>
      <w:tr w:rsidR="004E1AD2" w:rsidRPr="00120A12" w:rsidTr="004C57A4">
        <w:trPr>
          <w:cantSplit/>
          <w:trHeight w:val="360"/>
        </w:trPr>
        <w:tc>
          <w:tcPr>
            <w:tcW w:w="5000" w:type="pct"/>
            <w:gridSpan w:val="5"/>
          </w:tcPr>
          <w:p w:rsidR="004E1AD2" w:rsidRPr="006E0CAB" w:rsidRDefault="004E1AD2" w:rsidP="00EE28E1">
            <w:pPr>
              <w:keepNext/>
              <w:keepLines/>
              <w:rPr>
                <w:rFonts w:ascii="Arial Narrow" w:hAnsi="Arial Narrow"/>
                <w:sz w:val="18"/>
                <w:szCs w:val="18"/>
              </w:rPr>
            </w:pPr>
            <w:r w:rsidRPr="006E0CAB">
              <w:rPr>
                <w:rFonts w:ascii="Arial Narrow" w:hAnsi="Arial Narrow"/>
                <w:sz w:val="18"/>
                <w:szCs w:val="18"/>
              </w:rPr>
              <w:t>Tecentriq</w:t>
            </w:r>
          </w:p>
          <w:p w:rsidR="004E1AD2" w:rsidRPr="00120A12" w:rsidRDefault="004E1AD2" w:rsidP="00EE28E1">
            <w:pPr>
              <w:keepNext/>
              <w:keepLines/>
              <w:rPr>
                <w:rFonts w:ascii="Arial Narrow" w:hAnsi="Arial Narrow"/>
                <w:sz w:val="18"/>
                <w:szCs w:val="18"/>
              </w:rPr>
            </w:pPr>
            <w:r w:rsidRPr="00157E43">
              <w:rPr>
                <w:rFonts w:ascii="Arial Narrow" w:hAnsi="Arial Narrow"/>
                <w:sz w:val="18"/>
                <w:szCs w:val="18"/>
              </w:rPr>
              <w:t>(atezolizumab 840 mg/14 mL injection, 14 mL vial)</w:t>
            </w:r>
          </w:p>
        </w:tc>
      </w:tr>
    </w:tbl>
    <w:p w:rsidR="00190A8B" w:rsidRDefault="00190A8B" w:rsidP="004E1AD2">
      <w:pPr>
        <w:rPr>
          <w:rFonts w:ascii="Arial Narrow" w:hAnsi="Arial Narrow"/>
          <w:b/>
          <w:sz w:val="18"/>
          <w:szCs w:val="18"/>
        </w:rPr>
      </w:pPr>
    </w:p>
    <w:p w:rsidR="00190A8B" w:rsidRDefault="00190A8B" w:rsidP="004E1AD2">
      <w:pPr>
        <w:rPr>
          <w:rFonts w:ascii="Arial Narrow" w:hAnsi="Arial Narrow"/>
          <w:b/>
          <w:sz w:val="18"/>
          <w:szCs w:val="18"/>
        </w:rPr>
      </w:pPr>
    </w:p>
    <w:p w:rsidR="004E1AD2" w:rsidRDefault="004E1AD2" w:rsidP="004E1AD2">
      <w:pPr>
        <w:rPr>
          <w:rFonts w:ascii="Arial Narrow" w:hAnsi="Arial Narrow"/>
          <w:b/>
          <w:sz w:val="18"/>
          <w:szCs w:val="18"/>
        </w:rPr>
      </w:pPr>
      <w:r>
        <w:rPr>
          <w:rFonts w:ascii="Arial Narrow" w:hAnsi="Arial Narrow"/>
          <w:b/>
          <w:sz w:val="18"/>
          <w:szCs w:val="18"/>
        </w:rPr>
        <w:t>Continuing</w:t>
      </w:r>
      <w:r w:rsidRPr="00831490">
        <w:rPr>
          <w:rFonts w:ascii="Arial Narrow" w:hAnsi="Arial Narrow"/>
          <w:b/>
          <w:sz w:val="18"/>
          <w:szCs w:val="18"/>
        </w:rPr>
        <w:t xml:space="preserve"> treatment</w:t>
      </w:r>
      <w:r>
        <w:rPr>
          <w:rFonts w:ascii="Arial Narrow" w:hAnsi="Arial Narrow"/>
          <w:b/>
          <w:sz w:val="18"/>
          <w:szCs w:val="18"/>
        </w:rPr>
        <w:t xml:space="preserve"> (4-weekly regimen)</w:t>
      </w:r>
      <w:r w:rsidRPr="00831490">
        <w:rPr>
          <w:rFonts w:ascii="Arial Narrow" w:hAnsi="Arial Narrow"/>
          <w:b/>
          <w:sz w:val="18"/>
          <w:szCs w:val="18"/>
        </w:rPr>
        <w:t xml:space="preserve"> Restriction summary [new]</w:t>
      </w:r>
      <w:r>
        <w:rPr>
          <w:rFonts w:ascii="Arial Narrow" w:hAnsi="Arial Narrow"/>
          <w:b/>
          <w:sz w:val="18"/>
          <w:szCs w:val="18"/>
        </w:rPr>
        <w:t>:</w:t>
      </w:r>
    </w:p>
    <w:tbl>
      <w:tblPr>
        <w:tblW w:w="4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2"/>
      </w:tblGrid>
      <w:tr w:rsidR="00190A8B" w:rsidRPr="00F638CF" w:rsidTr="00190A8B">
        <w:trPr>
          <w:trHeight w:val="20"/>
        </w:trPr>
        <w:tc>
          <w:tcPr>
            <w:tcW w:w="5000" w:type="pct"/>
            <w:shd w:val="clear" w:color="auto" w:fill="auto"/>
          </w:tcPr>
          <w:p w:rsidR="00190A8B" w:rsidRPr="00EB37FA" w:rsidRDefault="00190A8B" w:rsidP="008372A0">
            <w:pPr>
              <w:pStyle w:val="TableText1"/>
              <w:keepNext/>
              <w:keepLines/>
              <w:ind w:hanging="120"/>
              <w:rPr>
                <w:rFonts w:ascii="Arial Narrow" w:hAnsi="Arial Narrow"/>
                <w:sz w:val="18"/>
                <w:szCs w:val="18"/>
              </w:rPr>
            </w:pPr>
            <w:r w:rsidRPr="00EB37FA">
              <w:rPr>
                <w:rFonts w:ascii="Arial Narrow" w:hAnsi="Arial Narrow"/>
                <w:b/>
                <w:sz w:val="18"/>
                <w:szCs w:val="18"/>
              </w:rPr>
              <w:t xml:space="preserve">Category / Program: </w:t>
            </w:r>
            <w:r w:rsidRPr="00EB37FA">
              <w:rPr>
                <w:rFonts w:ascii="Arial Narrow" w:hAnsi="Arial Narrow"/>
                <w:sz w:val="18"/>
                <w:szCs w:val="18"/>
              </w:rPr>
              <w:t>Section 100 – Efficient Funding of Chemotherapy (Public/Private)</w:t>
            </w:r>
          </w:p>
        </w:tc>
      </w:tr>
      <w:tr w:rsidR="00190A8B" w:rsidRPr="00F638CF" w:rsidTr="00190A8B">
        <w:trPr>
          <w:trHeight w:val="20"/>
        </w:trPr>
        <w:tc>
          <w:tcPr>
            <w:tcW w:w="5000" w:type="pct"/>
            <w:shd w:val="clear" w:color="auto" w:fill="auto"/>
          </w:tcPr>
          <w:p w:rsidR="00190A8B" w:rsidRPr="00EB37FA" w:rsidRDefault="00190A8B" w:rsidP="008372A0">
            <w:pPr>
              <w:pStyle w:val="TableHeadingRow"/>
              <w:keepLines/>
              <w:ind w:hanging="120"/>
              <w:jc w:val="left"/>
              <w:rPr>
                <w:rFonts w:ascii="Arial Narrow" w:hAnsi="Arial Narrow" w:cstheme="minorHAnsi"/>
                <w:b w:val="0"/>
                <w:sz w:val="18"/>
                <w:szCs w:val="18"/>
              </w:rPr>
            </w:pPr>
            <w:r w:rsidRPr="00EB37FA">
              <w:rPr>
                <w:rFonts w:ascii="Arial Narrow" w:hAnsi="Arial Narrow"/>
                <w:sz w:val="18"/>
                <w:szCs w:val="18"/>
              </w:rPr>
              <w:t xml:space="preserve">Prescriber type:   </w:t>
            </w:r>
            <w:r w:rsidRPr="00EB37FA">
              <w:rPr>
                <w:rFonts w:ascii="Arial Narrow" w:hAnsi="Arial Narrow"/>
                <w:sz w:val="18"/>
                <w:szCs w:val="18"/>
              </w:rPr>
              <w:fldChar w:fldCharType="begin">
                <w:ffData>
                  <w:name w:val="Check1"/>
                  <w:enabled/>
                  <w:calcOnExit w:val="0"/>
                  <w:checkBox>
                    <w:sizeAuto/>
                    <w:default w:val="0"/>
                  </w:checkBox>
                </w:ffData>
              </w:fldChar>
            </w:r>
            <w:r w:rsidRPr="00EB37FA">
              <w:rPr>
                <w:rFonts w:ascii="Arial Narrow" w:hAnsi="Arial Narrow"/>
                <w:sz w:val="18"/>
                <w:szCs w:val="18"/>
              </w:rPr>
              <w:instrText xml:space="preserve"> FORMCHECKBOX </w:instrText>
            </w:r>
            <w:r w:rsidR="00E4568F">
              <w:rPr>
                <w:rFonts w:ascii="Arial Narrow" w:hAnsi="Arial Narrow"/>
                <w:sz w:val="18"/>
                <w:szCs w:val="18"/>
              </w:rPr>
            </w:r>
            <w:r w:rsidR="00E4568F">
              <w:rPr>
                <w:rFonts w:ascii="Arial Narrow" w:hAnsi="Arial Narrow"/>
                <w:sz w:val="18"/>
                <w:szCs w:val="18"/>
              </w:rPr>
              <w:fldChar w:fldCharType="separate"/>
            </w:r>
            <w:r w:rsidRPr="00EB37FA">
              <w:rPr>
                <w:rFonts w:ascii="Arial Narrow" w:hAnsi="Arial Narrow"/>
                <w:sz w:val="18"/>
                <w:szCs w:val="18"/>
              </w:rPr>
              <w:fldChar w:fldCharType="end"/>
            </w:r>
            <w:r w:rsidRPr="00EB37FA">
              <w:rPr>
                <w:rFonts w:ascii="Arial Narrow" w:hAnsi="Arial Narrow"/>
                <w:b w:val="0"/>
                <w:sz w:val="18"/>
                <w:szCs w:val="18"/>
              </w:rPr>
              <w:t xml:space="preserve">Dental   </w:t>
            </w:r>
            <w:r w:rsidRPr="00EB37FA">
              <w:rPr>
                <w:rFonts w:ascii="Arial Narrow" w:hAnsi="Arial Narrow"/>
                <w:b w:val="0"/>
                <w:sz w:val="18"/>
                <w:szCs w:val="18"/>
              </w:rPr>
              <w:fldChar w:fldCharType="begin">
                <w:ffData>
                  <w:name w:val=""/>
                  <w:enabled/>
                  <w:calcOnExit w:val="0"/>
                  <w:checkBox>
                    <w:sizeAuto/>
                    <w:default w:val="1"/>
                  </w:checkBox>
                </w:ffData>
              </w:fldChar>
            </w:r>
            <w:r w:rsidRPr="00EB37FA">
              <w:rPr>
                <w:rFonts w:ascii="Arial Narrow" w:hAnsi="Arial Narrow"/>
                <w:b w:val="0"/>
                <w:sz w:val="18"/>
                <w:szCs w:val="18"/>
              </w:rPr>
              <w:instrText xml:space="preserve"> FORMCHECKBOX </w:instrText>
            </w:r>
            <w:r w:rsidR="00E4568F">
              <w:rPr>
                <w:rFonts w:ascii="Arial Narrow" w:hAnsi="Arial Narrow"/>
                <w:b w:val="0"/>
                <w:sz w:val="18"/>
                <w:szCs w:val="18"/>
              </w:rPr>
            </w:r>
            <w:r w:rsidR="00E4568F">
              <w:rPr>
                <w:rFonts w:ascii="Arial Narrow" w:hAnsi="Arial Narrow"/>
                <w:b w:val="0"/>
                <w:sz w:val="18"/>
                <w:szCs w:val="18"/>
              </w:rPr>
              <w:fldChar w:fldCharType="separate"/>
            </w:r>
            <w:r w:rsidRPr="00EB37FA">
              <w:rPr>
                <w:rFonts w:ascii="Arial Narrow" w:hAnsi="Arial Narrow"/>
                <w:b w:val="0"/>
                <w:sz w:val="18"/>
                <w:szCs w:val="18"/>
              </w:rPr>
              <w:fldChar w:fldCharType="end"/>
            </w:r>
            <w:r w:rsidRPr="00EB37FA">
              <w:rPr>
                <w:rFonts w:ascii="Arial Narrow" w:hAnsi="Arial Narrow"/>
                <w:b w:val="0"/>
                <w:sz w:val="18"/>
                <w:szCs w:val="18"/>
              </w:rPr>
              <w:t>Medical Practitioners</w:t>
            </w:r>
            <w:r w:rsidR="004178CA">
              <w:rPr>
                <w:rFonts w:ascii="Arial Narrow" w:hAnsi="Arial Narrow"/>
                <w:b w:val="0"/>
                <w:sz w:val="18"/>
                <w:szCs w:val="18"/>
              </w:rPr>
              <w:t xml:space="preserve"> </w:t>
            </w:r>
            <w:r w:rsidRPr="00EB37FA">
              <w:rPr>
                <w:rFonts w:ascii="Arial Narrow" w:hAnsi="Arial Narrow"/>
                <w:b w:val="0"/>
                <w:sz w:val="18"/>
                <w:szCs w:val="18"/>
              </w:rPr>
              <w:t xml:space="preserve">  </w:t>
            </w:r>
            <w:r w:rsidRPr="00EB37FA">
              <w:rPr>
                <w:rFonts w:ascii="Arial Narrow" w:hAnsi="Arial Narrow"/>
                <w:b w:val="0"/>
                <w:sz w:val="18"/>
                <w:szCs w:val="18"/>
              </w:rPr>
              <w:fldChar w:fldCharType="begin">
                <w:ffData>
                  <w:name w:val="Check3"/>
                  <w:enabled/>
                  <w:calcOnExit w:val="0"/>
                  <w:checkBox>
                    <w:sizeAuto/>
                    <w:default w:val="0"/>
                  </w:checkBox>
                </w:ffData>
              </w:fldChar>
            </w:r>
            <w:r w:rsidRPr="00EB37FA">
              <w:rPr>
                <w:rFonts w:ascii="Arial Narrow" w:hAnsi="Arial Narrow"/>
                <w:b w:val="0"/>
                <w:sz w:val="18"/>
                <w:szCs w:val="18"/>
              </w:rPr>
              <w:instrText xml:space="preserve"> FORMCHECKBOX </w:instrText>
            </w:r>
            <w:r w:rsidR="00E4568F">
              <w:rPr>
                <w:rFonts w:ascii="Arial Narrow" w:hAnsi="Arial Narrow"/>
                <w:b w:val="0"/>
                <w:sz w:val="18"/>
                <w:szCs w:val="18"/>
              </w:rPr>
            </w:r>
            <w:r w:rsidR="00E4568F">
              <w:rPr>
                <w:rFonts w:ascii="Arial Narrow" w:hAnsi="Arial Narrow"/>
                <w:b w:val="0"/>
                <w:sz w:val="18"/>
                <w:szCs w:val="18"/>
              </w:rPr>
              <w:fldChar w:fldCharType="separate"/>
            </w:r>
            <w:r w:rsidRPr="00EB37FA">
              <w:rPr>
                <w:rFonts w:ascii="Arial Narrow" w:hAnsi="Arial Narrow"/>
                <w:b w:val="0"/>
                <w:sz w:val="18"/>
                <w:szCs w:val="18"/>
              </w:rPr>
              <w:fldChar w:fldCharType="end"/>
            </w:r>
            <w:r w:rsidRPr="00EB37FA">
              <w:rPr>
                <w:rFonts w:ascii="Arial Narrow" w:hAnsi="Arial Narrow"/>
                <w:b w:val="0"/>
                <w:sz w:val="18"/>
                <w:szCs w:val="18"/>
              </w:rPr>
              <w:t xml:space="preserve">Nurse practitioners  </w:t>
            </w:r>
            <w:r w:rsidRPr="00EB37FA">
              <w:rPr>
                <w:rFonts w:ascii="Arial Narrow" w:hAnsi="Arial Narrow"/>
                <w:b w:val="0"/>
                <w:sz w:val="18"/>
                <w:szCs w:val="18"/>
              </w:rPr>
              <w:fldChar w:fldCharType="begin">
                <w:ffData>
                  <w:name w:val=""/>
                  <w:enabled/>
                  <w:calcOnExit w:val="0"/>
                  <w:checkBox>
                    <w:sizeAuto/>
                    <w:default w:val="0"/>
                  </w:checkBox>
                </w:ffData>
              </w:fldChar>
            </w:r>
            <w:r w:rsidRPr="00EB37FA">
              <w:rPr>
                <w:rFonts w:ascii="Arial Narrow" w:hAnsi="Arial Narrow"/>
                <w:b w:val="0"/>
                <w:sz w:val="18"/>
                <w:szCs w:val="18"/>
              </w:rPr>
              <w:instrText xml:space="preserve"> FORMCHECKBOX </w:instrText>
            </w:r>
            <w:r w:rsidR="00E4568F">
              <w:rPr>
                <w:rFonts w:ascii="Arial Narrow" w:hAnsi="Arial Narrow"/>
                <w:b w:val="0"/>
                <w:sz w:val="18"/>
                <w:szCs w:val="18"/>
              </w:rPr>
            </w:r>
            <w:r w:rsidR="00E4568F">
              <w:rPr>
                <w:rFonts w:ascii="Arial Narrow" w:hAnsi="Arial Narrow"/>
                <w:b w:val="0"/>
                <w:sz w:val="18"/>
                <w:szCs w:val="18"/>
              </w:rPr>
              <w:fldChar w:fldCharType="separate"/>
            </w:r>
            <w:r w:rsidRPr="00EB37FA">
              <w:rPr>
                <w:rFonts w:ascii="Arial Narrow" w:hAnsi="Arial Narrow"/>
                <w:b w:val="0"/>
                <w:sz w:val="18"/>
                <w:szCs w:val="18"/>
              </w:rPr>
              <w:fldChar w:fldCharType="end"/>
            </w:r>
            <w:r w:rsidRPr="00EB37FA">
              <w:rPr>
                <w:rFonts w:ascii="Arial Narrow" w:hAnsi="Arial Narrow"/>
                <w:b w:val="0"/>
                <w:sz w:val="18"/>
                <w:szCs w:val="18"/>
              </w:rPr>
              <w:t xml:space="preserve">Optometrists   </w:t>
            </w:r>
            <w:r w:rsidRPr="00EB37FA">
              <w:rPr>
                <w:rFonts w:ascii="Arial Narrow" w:hAnsi="Arial Narrow"/>
                <w:b w:val="0"/>
                <w:sz w:val="18"/>
                <w:szCs w:val="18"/>
              </w:rPr>
              <w:fldChar w:fldCharType="begin">
                <w:ffData>
                  <w:name w:val="Check5"/>
                  <w:enabled/>
                  <w:calcOnExit w:val="0"/>
                  <w:checkBox>
                    <w:sizeAuto/>
                    <w:default w:val="0"/>
                  </w:checkBox>
                </w:ffData>
              </w:fldChar>
            </w:r>
            <w:r w:rsidRPr="00EB37FA">
              <w:rPr>
                <w:rFonts w:ascii="Arial Narrow" w:hAnsi="Arial Narrow"/>
                <w:b w:val="0"/>
                <w:sz w:val="18"/>
                <w:szCs w:val="18"/>
              </w:rPr>
              <w:instrText xml:space="preserve"> FORMCHECKBOX </w:instrText>
            </w:r>
            <w:r w:rsidR="00E4568F">
              <w:rPr>
                <w:rFonts w:ascii="Arial Narrow" w:hAnsi="Arial Narrow"/>
                <w:b w:val="0"/>
                <w:sz w:val="18"/>
                <w:szCs w:val="18"/>
              </w:rPr>
            </w:r>
            <w:r w:rsidR="00E4568F">
              <w:rPr>
                <w:rFonts w:ascii="Arial Narrow" w:hAnsi="Arial Narrow"/>
                <w:b w:val="0"/>
                <w:sz w:val="18"/>
                <w:szCs w:val="18"/>
              </w:rPr>
              <w:fldChar w:fldCharType="separate"/>
            </w:r>
            <w:r w:rsidRPr="00EB37FA">
              <w:rPr>
                <w:rFonts w:ascii="Arial Narrow" w:hAnsi="Arial Narrow"/>
                <w:b w:val="0"/>
                <w:sz w:val="18"/>
                <w:szCs w:val="18"/>
              </w:rPr>
              <w:fldChar w:fldCharType="end"/>
            </w:r>
            <w:r w:rsidRPr="00EB37FA">
              <w:rPr>
                <w:rFonts w:ascii="Arial Narrow" w:hAnsi="Arial Narrow"/>
                <w:b w:val="0"/>
                <w:sz w:val="18"/>
                <w:szCs w:val="18"/>
              </w:rPr>
              <w:t>Midwives</w:t>
            </w:r>
          </w:p>
        </w:tc>
      </w:tr>
      <w:tr w:rsidR="00190A8B" w:rsidRPr="00D86979" w:rsidTr="00190A8B">
        <w:trPr>
          <w:trHeight w:val="20"/>
        </w:trPr>
        <w:tc>
          <w:tcPr>
            <w:tcW w:w="5000" w:type="pct"/>
            <w:shd w:val="clear" w:color="auto" w:fill="auto"/>
          </w:tcPr>
          <w:p w:rsidR="00190A8B" w:rsidRPr="00D86979" w:rsidRDefault="00190A8B" w:rsidP="008372A0">
            <w:pPr>
              <w:pStyle w:val="TableText1"/>
              <w:keepNext/>
              <w:keepLines/>
              <w:ind w:hanging="120"/>
              <w:rPr>
                <w:rFonts w:ascii="Arial Narrow" w:hAnsi="Arial Narrow"/>
                <w:b/>
                <w:i/>
                <w:sz w:val="18"/>
                <w:szCs w:val="18"/>
              </w:rPr>
            </w:pPr>
            <w:r w:rsidRPr="00F638CF">
              <w:rPr>
                <w:rFonts w:ascii="Arial Narrow" w:hAnsi="Arial Narrow"/>
                <w:b/>
                <w:sz w:val="18"/>
                <w:szCs w:val="18"/>
              </w:rPr>
              <w:t>Restriction level/method:</w:t>
            </w:r>
            <w:r w:rsidRPr="00F638CF">
              <w:rPr>
                <w:rFonts w:ascii="Arial Narrow" w:hAnsi="Arial Narrow"/>
                <w:sz w:val="18"/>
                <w:szCs w:val="18"/>
              </w:rPr>
              <w:fldChar w:fldCharType="begin">
                <w:ffData>
                  <w:name w:val=""/>
                  <w:enabled/>
                  <w:calcOnExit w:val="0"/>
                  <w:checkBox>
                    <w:sizeAuto/>
                    <w:default w:val="1"/>
                  </w:checkBox>
                </w:ffData>
              </w:fldChar>
            </w:r>
            <w:r w:rsidRPr="00F638CF">
              <w:rPr>
                <w:rFonts w:ascii="Arial Narrow" w:hAnsi="Arial Narrow"/>
                <w:sz w:val="18"/>
                <w:szCs w:val="18"/>
              </w:rPr>
              <w:instrText xml:space="preserve"> FORMCHECKBOX </w:instrText>
            </w:r>
            <w:r w:rsidR="00E4568F">
              <w:rPr>
                <w:rFonts w:ascii="Arial Narrow" w:hAnsi="Arial Narrow"/>
                <w:sz w:val="18"/>
                <w:szCs w:val="18"/>
              </w:rPr>
            </w:r>
            <w:r w:rsidR="00E4568F">
              <w:rPr>
                <w:rFonts w:ascii="Arial Narrow" w:hAnsi="Arial Narrow"/>
                <w:sz w:val="18"/>
                <w:szCs w:val="18"/>
              </w:rPr>
              <w:fldChar w:fldCharType="separate"/>
            </w:r>
            <w:r w:rsidRPr="00F638CF">
              <w:rPr>
                <w:rFonts w:ascii="Arial Narrow" w:hAnsi="Arial Narrow"/>
                <w:sz w:val="18"/>
                <w:szCs w:val="18"/>
              </w:rPr>
              <w:fldChar w:fldCharType="end"/>
            </w:r>
            <w:r w:rsidRPr="00F638CF">
              <w:rPr>
                <w:rFonts w:ascii="Arial Narrow" w:hAnsi="Arial Narrow"/>
                <w:sz w:val="18"/>
                <w:szCs w:val="18"/>
              </w:rPr>
              <w:t xml:space="preserve"> Authority Required – Streamlined </w:t>
            </w:r>
            <w:r>
              <w:rPr>
                <w:rFonts w:ascii="Arial Narrow" w:hAnsi="Arial Narrow"/>
                <w:i/>
                <w:sz w:val="18"/>
                <w:szCs w:val="18"/>
              </w:rPr>
              <w:t>(</w:t>
            </w:r>
            <w:r w:rsidRPr="00EB37FA">
              <w:rPr>
                <w:rFonts w:ascii="Arial Narrow" w:hAnsi="Arial Narrow"/>
                <w:sz w:val="18"/>
                <w:szCs w:val="18"/>
              </w:rPr>
              <w:t>new code)</w:t>
            </w:r>
          </w:p>
        </w:tc>
      </w:tr>
      <w:tr w:rsidR="00190A8B" w:rsidRPr="00F638CF" w:rsidTr="00190A8B">
        <w:trPr>
          <w:trHeight w:val="20"/>
        </w:trPr>
        <w:tc>
          <w:tcPr>
            <w:tcW w:w="5000" w:type="pct"/>
            <w:shd w:val="clear" w:color="E5FFFF" w:fill="FFFFFF"/>
            <w:noWrap/>
          </w:tcPr>
          <w:p w:rsidR="00190A8B" w:rsidRPr="00F638CF" w:rsidRDefault="00190A8B" w:rsidP="008372A0">
            <w:pPr>
              <w:pStyle w:val="TableText1"/>
              <w:keepNext/>
              <w:keepLines/>
              <w:ind w:hanging="120"/>
              <w:rPr>
                <w:rFonts w:ascii="Arial Narrow" w:hAnsi="Arial Narrow" w:cstheme="minorHAnsi"/>
                <w:sz w:val="18"/>
                <w:szCs w:val="18"/>
              </w:rPr>
            </w:pPr>
            <w:r w:rsidRPr="00F638CF">
              <w:rPr>
                <w:rFonts w:ascii="Arial Narrow" w:hAnsi="Arial Narrow"/>
                <w:b/>
                <w:sz w:val="18"/>
                <w:szCs w:val="18"/>
              </w:rPr>
              <w:t>Severity:</w:t>
            </w:r>
            <w:r w:rsidRPr="00F638CF">
              <w:rPr>
                <w:rFonts w:ascii="Arial Narrow" w:hAnsi="Arial Narrow"/>
                <w:sz w:val="18"/>
                <w:szCs w:val="18"/>
              </w:rPr>
              <w:t xml:space="preserve"> </w:t>
            </w:r>
            <w:r w:rsidRPr="00EB37FA">
              <w:rPr>
                <w:rFonts w:ascii="Arial Narrow" w:hAnsi="Arial Narrow"/>
                <w:iCs/>
                <w:sz w:val="18"/>
                <w:szCs w:val="18"/>
              </w:rPr>
              <w:t>Advanced unresectable</w:t>
            </w:r>
            <w:r w:rsidRPr="00F638CF">
              <w:rPr>
                <w:rFonts w:ascii="Arial Narrow" w:hAnsi="Arial Narrow"/>
                <w:iCs/>
                <w:sz w:val="18"/>
                <w:szCs w:val="18"/>
              </w:rPr>
              <w:t xml:space="preserve"> Barcelona Clinic Liver Cancer (BCLC) Stage B or Stage C </w:t>
            </w:r>
          </w:p>
        </w:tc>
      </w:tr>
      <w:tr w:rsidR="00190A8B" w:rsidRPr="00F638CF" w:rsidTr="00190A8B">
        <w:trPr>
          <w:trHeight w:val="20"/>
        </w:trPr>
        <w:tc>
          <w:tcPr>
            <w:tcW w:w="5000" w:type="pct"/>
            <w:shd w:val="clear" w:color="E5FFFF" w:fill="FFFFFF"/>
            <w:noWrap/>
          </w:tcPr>
          <w:p w:rsidR="00190A8B" w:rsidRPr="00F638CF" w:rsidRDefault="00190A8B" w:rsidP="008372A0">
            <w:pPr>
              <w:pStyle w:val="TableText1"/>
              <w:keepNext/>
              <w:keepLines/>
              <w:ind w:hanging="120"/>
              <w:rPr>
                <w:rFonts w:ascii="Arial Narrow" w:hAnsi="Arial Narrow" w:cstheme="minorHAnsi"/>
                <w:strike/>
                <w:sz w:val="18"/>
                <w:szCs w:val="18"/>
              </w:rPr>
            </w:pPr>
            <w:r w:rsidRPr="00F638CF">
              <w:rPr>
                <w:rFonts w:ascii="Arial Narrow" w:hAnsi="Arial Narrow"/>
                <w:b/>
                <w:iCs/>
                <w:sz w:val="18"/>
                <w:szCs w:val="18"/>
              </w:rPr>
              <w:t>Condition:</w:t>
            </w:r>
            <w:r w:rsidRPr="00F638CF">
              <w:rPr>
                <w:rFonts w:ascii="Arial Narrow" w:hAnsi="Arial Narrow"/>
                <w:iCs/>
                <w:sz w:val="18"/>
                <w:szCs w:val="18"/>
              </w:rPr>
              <w:t xml:space="preserve"> Hepatocellular carcinoma</w:t>
            </w:r>
          </w:p>
        </w:tc>
      </w:tr>
      <w:tr w:rsidR="00190A8B" w:rsidRPr="00F638CF" w:rsidTr="00190A8B">
        <w:trPr>
          <w:trHeight w:val="20"/>
        </w:trPr>
        <w:tc>
          <w:tcPr>
            <w:tcW w:w="5000" w:type="pct"/>
            <w:tcBorders>
              <w:top w:val="single" w:sz="4" w:space="0" w:color="auto"/>
              <w:left w:val="single" w:sz="4" w:space="0" w:color="auto"/>
              <w:bottom w:val="single" w:sz="4" w:space="0" w:color="auto"/>
              <w:right w:val="single" w:sz="4" w:space="0" w:color="auto"/>
            </w:tcBorders>
            <w:shd w:val="clear" w:color="E5FFFF" w:fill="FFFFFF"/>
            <w:noWrap/>
          </w:tcPr>
          <w:p w:rsidR="00190A8B" w:rsidRPr="00F638CF" w:rsidRDefault="00190A8B" w:rsidP="008372A0">
            <w:pPr>
              <w:pStyle w:val="TableText1"/>
              <w:keepNext/>
              <w:keepLines/>
              <w:ind w:hanging="120"/>
              <w:rPr>
                <w:rFonts w:ascii="Arial Narrow" w:hAnsi="Arial Narrow"/>
                <w:iCs/>
                <w:sz w:val="18"/>
                <w:szCs w:val="18"/>
              </w:rPr>
            </w:pPr>
            <w:r w:rsidRPr="00F638CF">
              <w:rPr>
                <w:rFonts w:ascii="Arial Narrow" w:hAnsi="Arial Narrow"/>
                <w:b/>
                <w:iCs/>
                <w:sz w:val="18"/>
                <w:szCs w:val="18"/>
              </w:rPr>
              <w:t>PBS Indication:</w:t>
            </w:r>
            <w:r w:rsidRPr="00F638CF">
              <w:rPr>
                <w:rFonts w:ascii="Arial Narrow" w:hAnsi="Arial Narrow"/>
                <w:iCs/>
                <w:sz w:val="18"/>
                <w:szCs w:val="18"/>
              </w:rPr>
              <w:t xml:space="preserve"> Advanced (unresectable) Barcelona Clinic Liver Cancer Stage B or Stage C hepatocellular carcinoma</w:t>
            </w:r>
          </w:p>
        </w:tc>
      </w:tr>
      <w:tr w:rsidR="00190A8B" w:rsidRPr="00F638CF" w:rsidTr="00190A8B">
        <w:trPr>
          <w:trHeight w:val="20"/>
        </w:trPr>
        <w:tc>
          <w:tcPr>
            <w:tcW w:w="5000" w:type="pct"/>
            <w:shd w:val="clear" w:color="E5FFFF" w:fill="FFFFFF"/>
            <w:noWrap/>
          </w:tcPr>
          <w:p w:rsidR="00190A8B" w:rsidRPr="00F638CF" w:rsidRDefault="00190A8B" w:rsidP="008372A0">
            <w:pPr>
              <w:pStyle w:val="TableText1"/>
              <w:keepNext/>
              <w:keepLines/>
              <w:ind w:hanging="120"/>
              <w:rPr>
                <w:rFonts w:ascii="Arial Narrow" w:hAnsi="Arial Narrow" w:cstheme="minorHAnsi"/>
                <w:sz w:val="18"/>
                <w:szCs w:val="18"/>
              </w:rPr>
            </w:pPr>
            <w:r w:rsidRPr="00F638CF">
              <w:rPr>
                <w:rFonts w:ascii="Arial Narrow" w:hAnsi="Arial Narrow"/>
                <w:b/>
                <w:iCs/>
                <w:sz w:val="18"/>
                <w:szCs w:val="18"/>
              </w:rPr>
              <w:t>Treatment phase:</w:t>
            </w:r>
            <w:r w:rsidRPr="00F638CF">
              <w:rPr>
                <w:rFonts w:ascii="Arial Narrow" w:hAnsi="Arial Narrow"/>
                <w:iCs/>
                <w:sz w:val="18"/>
                <w:szCs w:val="18"/>
              </w:rPr>
              <w:t xml:space="preserve"> Continuing </w:t>
            </w:r>
            <w:r w:rsidRPr="00EB37FA">
              <w:rPr>
                <w:rFonts w:ascii="Arial Narrow" w:hAnsi="Arial Narrow"/>
                <w:iCs/>
                <w:sz w:val="18"/>
                <w:szCs w:val="18"/>
              </w:rPr>
              <w:t>treatment</w:t>
            </w:r>
            <w:r w:rsidRPr="00EB37FA">
              <w:rPr>
                <w:rFonts w:ascii="Arial Narrow" w:hAnsi="Arial Narrow" w:cs="Arial"/>
                <w:color w:val="222222"/>
                <w:sz w:val="18"/>
                <w:szCs w:val="18"/>
                <w:shd w:val="clear" w:color="auto" w:fill="FFFFFF"/>
              </w:rPr>
              <w:t xml:space="preserve"> – 4 weekly treatment regimen</w:t>
            </w:r>
          </w:p>
        </w:tc>
      </w:tr>
      <w:tr w:rsidR="00190A8B" w:rsidRPr="00F638CF" w:rsidTr="00190A8B">
        <w:trPr>
          <w:trHeight w:val="20"/>
        </w:trPr>
        <w:tc>
          <w:tcPr>
            <w:tcW w:w="5000" w:type="pct"/>
            <w:shd w:val="clear" w:color="E5FFFF" w:fill="FFFFFF"/>
            <w:noWrap/>
          </w:tcPr>
          <w:p w:rsidR="00190A8B" w:rsidRPr="00F638CF" w:rsidRDefault="00190A8B" w:rsidP="008372A0">
            <w:pPr>
              <w:pStyle w:val="TableText1"/>
              <w:keepNext/>
              <w:keepLines/>
              <w:ind w:hanging="120"/>
              <w:rPr>
                <w:rFonts w:ascii="Arial Narrow" w:hAnsi="Arial Narrow"/>
                <w:b/>
                <w:iCs/>
                <w:sz w:val="18"/>
                <w:szCs w:val="18"/>
              </w:rPr>
            </w:pPr>
            <w:r w:rsidRPr="00F638CF">
              <w:rPr>
                <w:rFonts w:ascii="Arial Narrow" w:hAnsi="Arial Narrow"/>
                <w:b/>
                <w:sz w:val="18"/>
                <w:szCs w:val="18"/>
              </w:rPr>
              <w:t>Clinical criteria:</w:t>
            </w:r>
          </w:p>
        </w:tc>
      </w:tr>
      <w:tr w:rsidR="00190A8B" w:rsidRPr="00B84D1A" w:rsidTr="0019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7"/>
        </w:trPr>
        <w:tc>
          <w:tcPr>
            <w:tcW w:w="5000" w:type="pct"/>
            <w:tcBorders>
              <w:top w:val="single" w:sz="4" w:space="0" w:color="auto"/>
              <w:left w:val="single" w:sz="4" w:space="0" w:color="auto"/>
              <w:bottom w:val="single" w:sz="4" w:space="0" w:color="auto"/>
              <w:right w:val="single" w:sz="4" w:space="0" w:color="auto"/>
            </w:tcBorders>
          </w:tcPr>
          <w:p w:rsidR="00190A8B" w:rsidRPr="00B84D1A" w:rsidRDefault="00190A8B" w:rsidP="008372A0">
            <w:pPr>
              <w:pStyle w:val="TableText1"/>
              <w:keepNext/>
              <w:keepLines/>
              <w:spacing w:before="40" w:after="40"/>
              <w:ind w:hanging="120"/>
              <w:rPr>
                <w:rFonts w:ascii="Arial Narrow" w:hAnsi="Arial Narrow"/>
                <w:sz w:val="18"/>
                <w:szCs w:val="18"/>
              </w:rPr>
            </w:pPr>
            <w:r w:rsidRPr="00831490">
              <w:rPr>
                <w:rFonts w:ascii="Arial Narrow" w:hAnsi="Arial Narrow"/>
                <w:sz w:val="18"/>
                <w:szCs w:val="18"/>
              </w:rPr>
              <w:t>Patient must be undergoing combination treatment with bevacizumab until disease progression, unless not tolerated</w:t>
            </w:r>
          </w:p>
        </w:tc>
      </w:tr>
      <w:tr w:rsidR="00190A8B" w:rsidRPr="00233135" w:rsidTr="0019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4"/>
        </w:trPr>
        <w:tc>
          <w:tcPr>
            <w:tcW w:w="5000" w:type="pct"/>
            <w:tcBorders>
              <w:top w:val="single" w:sz="4" w:space="0" w:color="auto"/>
              <w:left w:val="single" w:sz="4" w:space="0" w:color="auto"/>
              <w:bottom w:val="single" w:sz="4" w:space="0" w:color="auto"/>
              <w:right w:val="single" w:sz="4" w:space="0" w:color="auto"/>
            </w:tcBorders>
          </w:tcPr>
          <w:p w:rsidR="00190A8B" w:rsidRPr="00233135" w:rsidRDefault="00190A8B" w:rsidP="008372A0">
            <w:pPr>
              <w:pStyle w:val="TableText1"/>
              <w:keepNext/>
              <w:keepLines/>
              <w:spacing w:before="40" w:after="40"/>
              <w:ind w:hanging="120"/>
              <w:rPr>
                <w:rFonts w:ascii="Arial Narrow" w:hAnsi="Arial Narrow"/>
                <w:b/>
                <w:sz w:val="18"/>
                <w:szCs w:val="18"/>
              </w:rPr>
            </w:pPr>
            <w:r w:rsidRPr="00233135">
              <w:rPr>
                <w:rFonts w:ascii="Arial Narrow" w:hAnsi="Arial Narrow"/>
                <w:b/>
                <w:sz w:val="18"/>
                <w:szCs w:val="18"/>
              </w:rPr>
              <w:t>AND</w:t>
            </w:r>
          </w:p>
        </w:tc>
      </w:tr>
      <w:tr w:rsidR="00190A8B" w:rsidRPr="00F638CF" w:rsidTr="0019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84"/>
        </w:trPr>
        <w:tc>
          <w:tcPr>
            <w:tcW w:w="5000" w:type="pct"/>
            <w:tcBorders>
              <w:top w:val="single" w:sz="4" w:space="0" w:color="auto"/>
              <w:left w:val="single" w:sz="4" w:space="0" w:color="auto"/>
              <w:bottom w:val="single" w:sz="4" w:space="0" w:color="auto"/>
              <w:right w:val="single" w:sz="4" w:space="0" w:color="auto"/>
            </w:tcBorders>
          </w:tcPr>
          <w:p w:rsidR="00190A8B" w:rsidRPr="00F638CF" w:rsidRDefault="00190A8B" w:rsidP="008372A0">
            <w:pPr>
              <w:pStyle w:val="TableText1"/>
              <w:keepNext/>
              <w:keepLines/>
              <w:spacing w:before="40" w:after="40"/>
              <w:ind w:hanging="120"/>
              <w:rPr>
                <w:rFonts w:ascii="Arial Narrow" w:hAnsi="Arial Narrow"/>
                <w:sz w:val="18"/>
                <w:szCs w:val="18"/>
              </w:rPr>
            </w:pPr>
            <w:r w:rsidRPr="00F638CF">
              <w:rPr>
                <w:rFonts w:ascii="Arial Narrow" w:hAnsi="Arial Narrow"/>
                <w:sz w:val="18"/>
                <w:szCs w:val="18"/>
              </w:rPr>
              <w:t>Patient must have previously received PBS-subsidised treatment with this drug</w:t>
            </w:r>
            <w:r>
              <w:rPr>
                <w:rFonts w:ascii="Arial Narrow" w:hAnsi="Arial Narrow"/>
                <w:i/>
                <w:sz w:val="18"/>
                <w:szCs w:val="18"/>
              </w:rPr>
              <w:t xml:space="preserve"> </w:t>
            </w:r>
            <w:r w:rsidRPr="00EB37FA">
              <w:rPr>
                <w:rFonts w:ascii="Arial Narrow" w:hAnsi="Arial Narrow"/>
                <w:sz w:val="18"/>
                <w:szCs w:val="18"/>
              </w:rPr>
              <w:t>for this condition</w:t>
            </w:r>
            <w:r>
              <w:rPr>
                <w:rFonts w:ascii="Arial Narrow" w:hAnsi="Arial Narrow"/>
                <w:i/>
                <w:sz w:val="18"/>
                <w:szCs w:val="18"/>
              </w:rPr>
              <w:t xml:space="preserve"> </w:t>
            </w:r>
            <w:r w:rsidRPr="00F638CF">
              <w:rPr>
                <w:rFonts w:ascii="Arial Narrow" w:hAnsi="Arial Narrow"/>
                <w:i/>
                <w:sz w:val="18"/>
                <w:szCs w:val="18"/>
              </w:rPr>
              <w:t xml:space="preserve"> </w:t>
            </w:r>
          </w:p>
        </w:tc>
      </w:tr>
      <w:tr w:rsidR="00190A8B" w:rsidRPr="00233135" w:rsidTr="0019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5000" w:type="pct"/>
            <w:tcBorders>
              <w:top w:val="single" w:sz="4" w:space="0" w:color="auto"/>
              <w:left w:val="single" w:sz="4" w:space="0" w:color="auto"/>
              <w:bottom w:val="single" w:sz="4" w:space="0" w:color="auto"/>
              <w:right w:val="single" w:sz="4" w:space="0" w:color="auto"/>
            </w:tcBorders>
          </w:tcPr>
          <w:p w:rsidR="00190A8B" w:rsidRPr="00233135" w:rsidRDefault="00190A8B" w:rsidP="008372A0">
            <w:pPr>
              <w:pStyle w:val="TableText1"/>
              <w:keepNext/>
              <w:keepLines/>
              <w:spacing w:before="40" w:after="40"/>
              <w:ind w:hanging="120"/>
              <w:rPr>
                <w:rFonts w:ascii="Arial Narrow" w:hAnsi="Arial Narrow"/>
                <w:b/>
                <w:sz w:val="18"/>
                <w:szCs w:val="18"/>
              </w:rPr>
            </w:pPr>
            <w:r w:rsidRPr="00233135">
              <w:rPr>
                <w:rFonts w:ascii="Arial Narrow" w:hAnsi="Arial Narrow"/>
                <w:b/>
                <w:sz w:val="18"/>
                <w:szCs w:val="18"/>
              </w:rPr>
              <w:t>AND</w:t>
            </w:r>
          </w:p>
        </w:tc>
      </w:tr>
      <w:tr w:rsidR="00190A8B" w:rsidRPr="00867529" w:rsidTr="0019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5000" w:type="pct"/>
            <w:tcBorders>
              <w:top w:val="single" w:sz="4" w:space="0" w:color="auto"/>
              <w:left w:val="single" w:sz="4" w:space="0" w:color="auto"/>
              <w:bottom w:val="single" w:sz="4" w:space="0" w:color="auto"/>
              <w:right w:val="single" w:sz="4" w:space="0" w:color="auto"/>
            </w:tcBorders>
          </w:tcPr>
          <w:p w:rsidR="00190A8B" w:rsidRPr="00EB37FA" w:rsidRDefault="00190A8B" w:rsidP="008372A0">
            <w:pPr>
              <w:pStyle w:val="TableText1"/>
              <w:keepNext/>
              <w:keepLines/>
              <w:spacing w:before="40" w:after="40"/>
              <w:ind w:hanging="120"/>
              <w:rPr>
                <w:rFonts w:ascii="Arial Narrow" w:hAnsi="Arial Narrow"/>
                <w:sz w:val="18"/>
                <w:szCs w:val="18"/>
              </w:rPr>
            </w:pPr>
            <w:r w:rsidRPr="00EB37FA">
              <w:rPr>
                <w:rFonts w:ascii="Arial Narrow" w:hAnsi="Arial Narrow"/>
                <w:sz w:val="18"/>
                <w:szCs w:val="18"/>
              </w:rPr>
              <w:t>Patient must not have developed disease progression while being treated with this drug for this condition</w:t>
            </w:r>
          </w:p>
        </w:tc>
      </w:tr>
      <w:tr w:rsidR="00190A8B" w:rsidRPr="00F638CF" w:rsidTr="0019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8"/>
        </w:trPr>
        <w:tc>
          <w:tcPr>
            <w:tcW w:w="5000" w:type="pct"/>
            <w:tcBorders>
              <w:top w:val="single" w:sz="4" w:space="0" w:color="auto"/>
              <w:left w:val="single" w:sz="4" w:space="0" w:color="auto"/>
              <w:bottom w:val="single" w:sz="4" w:space="0" w:color="auto"/>
              <w:right w:val="single" w:sz="4" w:space="0" w:color="auto"/>
            </w:tcBorders>
          </w:tcPr>
          <w:p w:rsidR="00190A8B" w:rsidRPr="00F638CF" w:rsidRDefault="00190A8B" w:rsidP="008372A0">
            <w:pPr>
              <w:ind w:hanging="120"/>
              <w:rPr>
                <w:b/>
              </w:rPr>
            </w:pPr>
            <w:r w:rsidRPr="00EE36C2">
              <w:rPr>
                <w:rFonts w:ascii="Arial Narrow" w:hAnsi="Arial Narrow" w:cs="Calibri"/>
                <w:b/>
                <w:bCs/>
                <w:sz w:val="18"/>
                <w:szCs w:val="18"/>
                <w:lang w:eastAsia="zh-CN"/>
              </w:rPr>
              <w:t>Prescriber instructions:</w:t>
            </w:r>
            <w:r w:rsidRPr="00EE36C2">
              <w:rPr>
                <w:rFonts w:ascii="Arial Narrow" w:hAnsi="Arial Narrow" w:cs="Calibri"/>
                <w:bCs/>
                <w:sz w:val="18"/>
                <w:szCs w:val="18"/>
                <w:lang w:eastAsia="zh-CN"/>
              </w:rPr>
              <w:t xml:space="preserve"> PBS supply of this drug must be through only one of the two continuing treatment regimens at any given time</w:t>
            </w:r>
          </w:p>
        </w:tc>
      </w:tr>
      <w:tr w:rsidR="00190A8B" w:rsidRPr="00F638CF" w:rsidTr="0019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8"/>
        </w:trPr>
        <w:tc>
          <w:tcPr>
            <w:tcW w:w="5000" w:type="pct"/>
            <w:tcBorders>
              <w:top w:val="single" w:sz="4" w:space="0" w:color="auto"/>
              <w:left w:val="single" w:sz="4" w:space="0" w:color="auto"/>
              <w:bottom w:val="single" w:sz="4" w:space="0" w:color="auto"/>
              <w:right w:val="single" w:sz="4" w:space="0" w:color="auto"/>
            </w:tcBorders>
          </w:tcPr>
          <w:p w:rsidR="00190A8B" w:rsidRPr="00F638CF" w:rsidRDefault="00190A8B" w:rsidP="008372A0">
            <w:pPr>
              <w:pStyle w:val="TableText1"/>
              <w:keepNext/>
              <w:keepLines/>
              <w:spacing w:before="40" w:after="40"/>
              <w:ind w:hanging="120"/>
              <w:rPr>
                <w:rFonts w:ascii="Arial Narrow" w:hAnsi="Arial Narrow"/>
                <w:sz w:val="18"/>
                <w:szCs w:val="18"/>
              </w:rPr>
            </w:pPr>
            <w:r w:rsidRPr="00F638CF">
              <w:rPr>
                <w:rFonts w:ascii="Arial Narrow" w:hAnsi="Arial Narrow"/>
                <w:b/>
                <w:sz w:val="18"/>
                <w:szCs w:val="18"/>
              </w:rPr>
              <w:t>Administrative Advice:</w:t>
            </w:r>
            <w:r w:rsidRPr="00F638CF">
              <w:rPr>
                <w:rFonts w:ascii="Arial Narrow" w:hAnsi="Arial Narrow"/>
                <w:i/>
                <w:sz w:val="18"/>
                <w:szCs w:val="18"/>
              </w:rPr>
              <w:t xml:space="preserve"> </w:t>
            </w:r>
            <w:r w:rsidRPr="00EB37FA">
              <w:rPr>
                <w:rFonts w:ascii="Arial Narrow" w:hAnsi="Arial Narrow"/>
                <w:sz w:val="18"/>
                <w:szCs w:val="18"/>
              </w:rPr>
              <w:t>No increase in the maximum amount or number of units may be authorised.</w:t>
            </w:r>
          </w:p>
        </w:tc>
      </w:tr>
      <w:tr w:rsidR="00190A8B" w:rsidRPr="00464C0C" w:rsidTr="008372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
        </w:trPr>
        <w:tc>
          <w:tcPr>
            <w:tcW w:w="5000" w:type="pct"/>
            <w:tcBorders>
              <w:top w:val="single" w:sz="4" w:space="0" w:color="auto"/>
              <w:left w:val="single" w:sz="4" w:space="0" w:color="auto"/>
              <w:bottom w:val="single" w:sz="4" w:space="0" w:color="auto"/>
              <w:right w:val="single" w:sz="4" w:space="0" w:color="auto"/>
            </w:tcBorders>
          </w:tcPr>
          <w:p w:rsidR="00190A8B" w:rsidRPr="00464C0C" w:rsidRDefault="00190A8B" w:rsidP="008372A0">
            <w:pPr>
              <w:pStyle w:val="TableText1"/>
              <w:keepNext/>
              <w:keepLines/>
              <w:spacing w:before="40" w:after="40"/>
              <w:ind w:hanging="120"/>
              <w:rPr>
                <w:rFonts w:ascii="Arial Narrow" w:hAnsi="Arial Narrow"/>
                <w:sz w:val="18"/>
                <w:szCs w:val="18"/>
              </w:rPr>
            </w:pPr>
            <w:r w:rsidRPr="00F638CF">
              <w:rPr>
                <w:rFonts w:ascii="Arial Narrow" w:hAnsi="Arial Narrow"/>
                <w:b/>
                <w:sz w:val="18"/>
                <w:szCs w:val="18"/>
              </w:rPr>
              <w:t>Administrative Advice:</w:t>
            </w:r>
            <w:r w:rsidRPr="00F638CF">
              <w:rPr>
                <w:rFonts w:ascii="Arial Narrow" w:hAnsi="Arial Narrow"/>
                <w:sz w:val="18"/>
                <w:szCs w:val="18"/>
              </w:rPr>
              <w:t xml:space="preserve"> Special Pricing Arrangements apply</w:t>
            </w:r>
          </w:p>
        </w:tc>
      </w:tr>
    </w:tbl>
    <w:p w:rsidR="004E1AD2" w:rsidRDefault="001434C5" w:rsidP="001434C5">
      <w:pPr>
        <w:rPr>
          <w:i/>
        </w:rPr>
      </w:pPr>
      <w:r w:rsidRPr="00E63DF4">
        <w:rPr>
          <w:i/>
        </w:rPr>
        <w:br w:type="column"/>
      </w:r>
    </w:p>
    <w:p w:rsidR="004E1AD2" w:rsidRDefault="004E1AD2" w:rsidP="001434C5">
      <w:pPr>
        <w:rPr>
          <w:i/>
        </w:rPr>
      </w:pPr>
    </w:p>
    <w:p w:rsidR="004E1AD2" w:rsidRPr="00E63DF4" w:rsidRDefault="004E1AD2" w:rsidP="001434C5">
      <w:pPr>
        <w:rPr>
          <w:i/>
        </w:rPr>
      </w:pPr>
    </w:p>
    <w:tbl>
      <w:tblPr>
        <w:tblpPr w:leftFromText="180" w:rightFromText="180" w:vertAnchor="page" w:horzAnchor="margin" w:tblpY="4834"/>
        <w:tblW w:w="4388" w:type="pct"/>
        <w:tblLook w:val="0000" w:firstRow="0" w:lastRow="0" w:firstColumn="0" w:lastColumn="0" w:noHBand="0" w:noVBand="0"/>
      </w:tblPr>
      <w:tblGrid>
        <w:gridCol w:w="7934"/>
      </w:tblGrid>
      <w:tr w:rsidR="00190A8B" w:rsidRPr="00E63DF4" w:rsidTr="00190A8B">
        <w:trPr>
          <w:cantSplit/>
          <w:trHeight w:val="241"/>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90A8B">
            <w:pPr>
              <w:keepNext/>
              <w:spacing w:before="20" w:after="20"/>
              <w:ind w:hanging="117"/>
              <w:jc w:val="left"/>
              <w:rPr>
                <w:rFonts w:ascii="Arial Narrow" w:hAnsi="Arial Narrow" w:cs="Calibri"/>
                <w:b/>
                <w:bCs/>
                <w:sz w:val="18"/>
                <w:szCs w:val="18"/>
                <w:lang w:eastAsia="zh-CN"/>
              </w:rPr>
            </w:pPr>
            <w:r w:rsidRPr="00E63DF4">
              <w:rPr>
                <w:rFonts w:ascii="Arial Narrow" w:hAnsi="Arial Narrow" w:cs="Calibri"/>
                <w:b/>
                <w:bCs/>
                <w:sz w:val="18"/>
                <w:szCs w:val="18"/>
                <w:lang w:eastAsia="zh-CN"/>
              </w:rPr>
              <w:t>Combined Initial &amp; Continuing bevacizumab treatment Restriction summary [new]:</w:t>
            </w:r>
          </w:p>
        </w:tc>
      </w:tr>
      <w:tr w:rsidR="00190A8B" w:rsidRPr="00E63DF4" w:rsidTr="00190A8B">
        <w:trPr>
          <w:cantSplit/>
          <w:trHeight w:val="241"/>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90A8B">
            <w:pPr>
              <w:keepNext/>
              <w:spacing w:before="20" w:after="20"/>
              <w:ind w:left="-106"/>
              <w:rPr>
                <w:rFonts w:ascii="Arial Narrow" w:hAnsi="Arial Narrow" w:cs="Calibri"/>
                <w:bCs/>
                <w:i/>
                <w:sz w:val="18"/>
                <w:szCs w:val="18"/>
                <w:lang w:eastAsia="zh-CN"/>
              </w:rPr>
            </w:pPr>
            <w:r w:rsidRPr="00E63DF4">
              <w:rPr>
                <w:rFonts w:ascii="Arial Narrow" w:hAnsi="Arial Narrow" w:cs="Calibri"/>
                <w:b/>
                <w:bCs/>
                <w:sz w:val="18"/>
                <w:szCs w:val="18"/>
                <w:lang w:eastAsia="zh-CN"/>
              </w:rPr>
              <w:t xml:space="preserve">Category / Program: </w:t>
            </w:r>
            <w:r w:rsidRPr="00E63DF4">
              <w:rPr>
                <w:rFonts w:ascii="Arial Narrow" w:hAnsi="Arial Narrow" w:cs="Calibri"/>
                <w:bCs/>
                <w:sz w:val="18"/>
                <w:szCs w:val="18"/>
                <w:lang w:eastAsia="zh-CN"/>
              </w:rPr>
              <w:t>Section 100 – Efficient Funding of Chemotherapy (Public/Private hospital)</w:t>
            </w:r>
          </w:p>
        </w:tc>
      </w:tr>
      <w:tr w:rsidR="00190A8B" w:rsidRPr="00E63DF4" w:rsidTr="00190A8B">
        <w:trPr>
          <w:cantSplit/>
          <w:trHeight w:val="290"/>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90A8B">
            <w:pPr>
              <w:keepNext/>
              <w:spacing w:before="20" w:after="20"/>
              <w:ind w:left="-106"/>
              <w:rPr>
                <w:rFonts w:ascii="Arial Narrow" w:hAnsi="Arial Narrow" w:cs="Calibri"/>
                <w:bCs/>
                <w:sz w:val="18"/>
                <w:szCs w:val="18"/>
                <w:lang w:eastAsia="zh-CN"/>
              </w:rPr>
            </w:pPr>
            <w:r w:rsidRPr="00E63DF4">
              <w:rPr>
                <w:rFonts w:ascii="Arial Narrow" w:hAnsi="Arial Narrow" w:cs="Calibri"/>
                <w:b/>
                <w:bCs/>
                <w:sz w:val="18"/>
                <w:szCs w:val="18"/>
                <w:lang w:eastAsia="zh-CN"/>
              </w:rPr>
              <w:t>Prescriber type:</w:t>
            </w:r>
            <w:r w:rsidRPr="00E63DF4">
              <w:rPr>
                <w:rFonts w:ascii="Arial Narrow" w:hAnsi="Arial Narrow" w:cs="Calibri"/>
                <w:bCs/>
                <w:i/>
                <w:sz w:val="18"/>
                <w:szCs w:val="18"/>
                <w:lang w:eastAsia="zh-CN"/>
              </w:rPr>
              <w:t xml:space="preserve">   </w:t>
            </w:r>
            <w:r w:rsidRPr="00E63DF4">
              <w:rPr>
                <w:rFonts w:ascii="Arial Narrow" w:hAnsi="Arial Narrow" w:cs="Calibri"/>
                <w:bCs/>
                <w:sz w:val="18"/>
                <w:szCs w:val="18"/>
                <w:lang w:eastAsia="zh-CN"/>
              </w:rPr>
              <w:fldChar w:fldCharType="begin">
                <w:ffData>
                  <w:name w:val="Check1"/>
                  <w:enabled/>
                  <w:calcOnExit w:val="0"/>
                  <w:checkBox>
                    <w:sizeAuto/>
                    <w:default w:val="0"/>
                  </w:checkBox>
                </w:ffData>
              </w:fldChar>
            </w:r>
            <w:r w:rsidRPr="00E63DF4">
              <w:rPr>
                <w:rFonts w:ascii="Arial Narrow" w:hAnsi="Arial Narrow" w:cs="Calibri"/>
                <w:bCs/>
                <w:sz w:val="18"/>
                <w:szCs w:val="18"/>
                <w:lang w:eastAsia="zh-CN"/>
              </w:rPr>
              <w:instrText xml:space="preserve"> FORMCHECKBOX </w:instrText>
            </w:r>
            <w:r w:rsidR="00E4568F">
              <w:rPr>
                <w:rFonts w:ascii="Arial Narrow" w:hAnsi="Arial Narrow" w:cs="Calibri"/>
                <w:bCs/>
                <w:sz w:val="18"/>
                <w:szCs w:val="18"/>
                <w:lang w:eastAsia="zh-CN"/>
              </w:rPr>
            </w:r>
            <w:r w:rsidR="00E4568F">
              <w:rPr>
                <w:rFonts w:ascii="Arial Narrow" w:hAnsi="Arial Narrow" w:cs="Calibri"/>
                <w:bCs/>
                <w:sz w:val="18"/>
                <w:szCs w:val="18"/>
                <w:lang w:eastAsia="zh-CN"/>
              </w:rPr>
              <w:fldChar w:fldCharType="separate"/>
            </w:r>
            <w:r w:rsidRPr="00E63DF4">
              <w:rPr>
                <w:rFonts w:ascii="Arial Narrow" w:hAnsi="Arial Narrow" w:cs="Calibri"/>
                <w:bCs/>
                <w:sz w:val="18"/>
                <w:szCs w:val="18"/>
                <w:lang w:eastAsia="zh-CN"/>
              </w:rPr>
              <w:fldChar w:fldCharType="end"/>
            </w:r>
            <w:r w:rsidRPr="00E63DF4">
              <w:rPr>
                <w:rFonts w:ascii="Arial Narrow" w:hAnsi="Arial Narrow" w:cs="Calibri"/>
                <w:bCs/>
                <w:sz w:val="18"/>
                <w:szCs w:val="18"/>
                <w:lang w:eastAsia="zh-CN"/>
              </w:rPr>
              <w:t xml:space="preserve">Dental   </w:t>
            </w:r>
            <w:r w:rsidRPr="00E63DF4">
              <w:rPr>
                <w:rFonts w:ascii="Arial Narrow" w:hAnsi="Arial Narrow" w:cs="Calibri"/>
                <w:bCs/>
                <w:sz w:val="18"/>
                <w:szCs w:val="18"/>
                <w:lang w:eastAsia="zh-CN"/>
              </w:rPr>
              <w:fldChar w:fldCharType="begin">
                <w:ffData>
                  <w:name w:val=""/>
                  <w:enabled/>
                  <w:calcOnExit w:val="0"/>
                  <w:checkBox>
                    <w:sizeAuto/>
                    <w:default w:val="1"/>
                  </w:checkBox>
                </w:ffData>
              </w:fldChar>
            </w:r>
            <w:r w:rsidRPr="00E63DF4">
              <w:rPr>
                <w:rFonts w:ascii="Arial Narrow" w:hAnsi="Arial Narrow" w:cs="Calibri"/>
                <w:bCs/>
                <w:sz w:val="18"/>
                <w:szCs w:val="18"/>
                <w:lang w:eastAsia="zh-CN"/>
              </w:rPr>
              <w:instrText xml:space="preserve"> FORMCHECKBOX </w:instrText>
            </w:r>
            <w:r w:rsidR="00E4568F">
              <w:rPr>
                <w:rFonts w:ascii="Arial Narrow" w:hAnsi="Arial Narrow" w:cs="Calibri"/>
                <w:bCs/>
                <w:sz w:val="18"/>
                <w:szCs w:val="18"/>
                <w:lang w:eastAsia="zh-CN"/>
              </w:rPr>
            </w:r>
            <w:r w:rsidR="00E4568F">
              <w:rPr>
                <w:rFonts w:ascii="Arial Narrow" w:hAnsi="Arial Narrow" w:cs="Calibri"/>
                <w:bCs/>
                <w:sz w:val="18"/>
                <w:szCs w:val="18"/>
                <w:lang w:eastAsia="zh-CN"/>
              </w:rPr>
              <w:fldChar w:fldCharType="separate"/>
            </w:r>
            <w:r w:rsidRPr="00E63DF4">
              <w:rPr>
                <w:rFonts w:ascii="Arial Narrow" w:hAnsi="Arial Narrow" w:cs="Calibri"/>
                <w:bCs/>
                <w:sz w:val="18"/>
                <w:szCs w:val="18"/>
                <w:lang w:eastAsia="zh-CN"/>
              </w:rPr>
              <w:fldChar w:fldCharType="end"/>
            </w:r>
            <w:r w:rsidRPr="00E63DF4">
              <w:rPr>
                <w:rFonts w:ascii="Arial Narrow" w:hAnsi="Arial Narrow" w:cs="Calibri"/>
                <w:bCs/>
                <w:sz w:val="18"/>
                <w:szCs w:val="18"/>
                <w:lang w:eastAsia="zh-CN"/>
              </w:rPr>
              <w:t>Medical Practitioners</w:t>
            </w:r>
            <w:r w:rsidR="004178CA">
              <w:rPr>
                <w:rFonts w:ascii="Arial Narrow" w:hAnsi="Arial Narrow" w:cs="Calibri"/>
                <w:bCs/>
                <w:sz w:val="18"/>
                <w:szCs w:val="18"/>
                <w:lang w:eastAsia="zh-CN"/>
              </w:rPr>
              <w:t xml:space="preserve">  </w:t>
            </w:r>
            <w:r w:rsidRPr="00E63DF4">
              <w:rPr>
                <w:rFonts w:ascii="Arial Narrow" w:hAnsi="Arial Narrow" w:cs="Calibri"/>
                <w:bCs/>
                <w:sz w:val="18"/>
                <w:szCs w:val="18"/>
                <w:lang w:eastAsia="zh-CN"/>
              </w:rPr>
              <w:t xml:space="preserve"> </w:t>
            </w:r>
            <w:r w:rsidRPr="00E63DF4">
              <w:rPr>
                <w:rFonts w:ascii="Arial Narrow" w:hAnsi="Arial Narrow" w:cs="Calibri"/>
                <w:bCs/>
                <w:sz w:val="18"/>
                <w:szCs w:val="18"/>
                <w:lang w:eastAsia="zh-CN"/>
              </w:rPr>
              <w:fldChar w:fldCharType="begin">
                <w:ffData>
                  <w:name w:val="Check3"/>
                  <w:enabled/>
                  <w:calcOnExit w:val="0"/>
                  <w:checkBox>
                    <w:sizeAuto/>
                    <w:default w:val="0"/>
                  </w:checkBox>
                </w:ffData>
              </w:fldChar>
            </w:r>
            <w:r w:rsidRPr="00E63DF4">
              <w:rPr>
                <w:rFonts w:ascii="Arial Narrow" w:hAnsi="Arial Narrow" w:cs="Calibri"/>
                <w:bCs/>
                <w:sz w:val="18"/>
                <w:szCs w:val="18"/>
                <w:lang w:eastAsia="zh-CN"/>
              </w:rPr>
              <w:instrText xml:space="preserve"> FORMCHECKBOX </w:instrText>
            </w:r>
            <w:r w:rsidR="00E4568F">
              <w:rPr>
                <w:rFonts w:ascii="Arial Narrow" w:hAnsi="Arial Narrow" w:cs="Calibri"/>
                <w:bCs/>
                <w:sz w:val="18"/>
                <w:szCs w:val="18"/>
                <w:lang w:eastAsia="zh-CN"/>
              </w:rPr>
            </w:r>
            <w:r w:rsidR="00E4568F">
              <w:rPr>
                <w:rFonts w:ascii="Arial Narrow" w:hAnsi="Arial Narrow" w:cs="Calibri"/>
                <w:bCs/>
                <w:sz w:val="18"/>
                <w:szCs w:val="18"/>
                <w:lang w:eastAsia="zh-CN"/>
              </w:rPr>
              <w:fldChar w:fldCharType="separate"/>
            </w:r>
            <w:r w:rsidRPr="00E63DF4">
              <w:rPr>
                <w:rFonts w:ascii="Arial Narrow" w:hAnsi="Arial Narrow" w:cs="Calibri"/>
                <w:bCs/>
                <w:sz w:val="18"/>
                <w:szCs w:val="18"/>
                <w:lang w:eastAsia="zh-CN"/>
              </w:rPr>
              <w:fldChar w:fldCharType="end"/>
            </w:r>
            <w:r w:rsidRPr="00E63DF4">
              <w:rPr>
                <w:rFonts w:ascii="Arial Narrow" w:hAnsi="Arial Narrow" w:cs="Calibri"/>
                <w:bCs/>
                <w:sz w:val="18"/>
                <w:szCs w:val="18"/>
                <w:lang w:eastAsia="zh-CN"/>
              </w:rPr>
              <w:t xml:space="preserve">Nurse practitioners  </w:t>
            </w:r>
            <w:r w:rsidRPr="00E63DF4">
              <w:rPr>
                <w:rFonts w:ascii="Arial Narrow" w:hAnsi="Arial Narrow" w:cs="Calibri"/>
                <w:bCs/>
                <w:sz w:val="18"/>
                <w:szCs w:val="18"/>
                <w:lang w:eastAsia="zh-CN"/>
              </w:rPr>
              <w:fldChar w:fldCharType="begin">
                <w:ffData>
                  <w:name w:val=""/>
                  <w:enabled/>
                  <w:calcOnExit w:val="0"/>
                  <w:checkBox>
                    <w:sizeAuto/>
                    <w:default w:val="0"/>
                  </w:checkBox>
                </w:ffData>
              </w:fldChar>
            </w:r>
            <w:r w:rsidRPr="00E63DF4">
              <w:rPr>
                <w:rFonts w:ascii="Arial Narrow" w:hAnsi="Arial Narrow" w:cs="Calibri"/>
                <w:bCs/>
                <w:sz w:val="18"/>
                <w:szCs w:val="18"/>
                <w:lang w:eastAsia="zh-CN"/>
              </w:rPr>
              <w:instrText xml:space="preserve"> FORMCHECKBOX </w:instrText>
            </w:r>
            <w:r w:rsidR="00E4568F">
              <w:rPr>
                <w:rFonts w:ascii="Arial Narrow" w:hAnsi="Arial Narrow" w:cs="Calibri"/>
                <w:bCs/>
                <w:sz w:val="18"/>
                <w:szCs w:val="18"/>
                <w:lang w:eastAsia="zh-CN"/>
              </w:rPr>
            </w:r>
            <w:r w:rsidR="00E4568F">
              <w:rPr>
                <w:rFonts w:ascii="Arial Narrow" w:hAnsi="Arial Narrow" w:cs="Calibri"/>
                <w:bCs/>
                <w:sz w:val="18"/>
                <w:szCs w:val="18"/>
                <w:lang w:eastAsia="zh-CN"/>
              </w:rPr>
              <w:fldChar w:fldCharType="separate"/>
            </w:r>
            <w:r w:rsidRPr="00E63DF4">
              <w:rPr>
                <w:rFonts w:ascii="Arial Narrow" w:hAnsi="Arial Narrow" w:cs="Calibri"/>
                <w:bCs/>
                <w:sz w:val="18"/>
                <w:szCs w:val="18"/>
                <w:lang w:eastAsia="zh-CN"/>
              </w:rPr>
              <w:fldChar w:fldCharType="end"/>
            </w:r>
            <w:r w:rsidRPr="00E63DF4">
              <w:rPr>
                <w:rFonts w:ascii="Arial Narrow" w:hAnsi="Arial Narrow" w:cs="Calibri"/>
                <w:bCs/>
                <w:sz w:val="18"/>
                <w:szCs w:val="18"/>
                <w:lang w:eastAsia="zh-CN"/>
              </w:rPr>
              <w:t xml:space="preserve">Optometrists   </w:t>
            </w:r>
            <w:r w:rsidRPr="00E63DF4">
              <w:rPr>
                <w:rFonts w:ascii="Arial Narrow" w:hAnsi="Arial Narrow" w:cs="Calibri"/>
                <w:bCs/>
                <w:sz w:val="18"/>
                <w:szCs w:val="18"/>
                <w:lang w:eastAsia="zh-CN"/>
              </w:rPr>
              <w:fldChar w:fldCharType="begin">
                <w:ffData>
                  <w:name w:val="Check5"/>
                  <w:enabled/>
                  <w:calcOnExit w:val="0"/>
                  <w:checkBox>
                    <w:sizeAuto/>
                    <w:default w:val="0"/>
                  </w:checkBox>
                </w:ffData>
              </w:fldChar>
            </w:r>
            <w:r w:rsidRPr="00E63DF4">
              <w:rPr>
                <w:rFonts w:ascii="Arial Narrow" w:hAnsi="Arial Narrow" w:cs="Calibri"/>
                <w:bCs/>
                <w:sz w:val="18"/>
                <w:szCs w:val="18"/>
                <w:lang w:eastAsia="zh-CN"/>
              </w:rPr>
              <w:instrText xml:space="preserve"> FORMCHECKBOX </w:instrText>
            </w:r>
            <w:r w:rsidR="00E4568F">
              <w:rPr>
                <w:rFonts w:ascii="Arial Narrow" w:hAnsi="Arial Narrow" w:cs="Calibri"/>
                <w:bCs/>
                <w:sz w:val="18"/>
                <w:szCs w:val="18"/>
                <w:lang w:eastAsia="zh-CN"/>
              </w:rPr>
            </w:r>
            <w:r w:rsidR="00E4568F">
              <w:rPr>
                <w:rFonts w:ascii="Arial Narrow" w:hAnsi="Arial Narrow" w:cs="Calibri"/>
                <w:bCs/>
                <w:sz w:val="18"/>
                <w:szCs w:val="18"/>
                <w:lang w:eastAsia="zh-CN"/>
              </w:rPr>
              <w:fldChar w:fldCharType="separate"/>
            </w:r>
            <w:r w:rsidRPr="00E63DF4">
              <w:rPr>
                <w:rFonts w:ascii="Arial Narrow" w:hAnsi="Arial Narrow" w:cs="Calibri"/>
                <w:bCs/>
                <w:sz w:val="18"/>
                <w:szCs w:val="18"/>
                <w:lang w:eastAsia="zh-CN"/>
              </w:rPr>
              <w:fldChar w:fldCharType="end"/>
            </w:r>
            <w:r w:rsidRPr="00E63DF4">
              <w:rPr>
                <w:rFonts w:ascii="Arial Narrow" w:hAnsi="Arial Narrow" w:cs="Calibri"/>
                <w:bCs/>
                <w:sz w:val="18"/>
                <w:szCs w:val="18"/>
                <w:lang w:eastAsia="zh-CN"/>
              </w:rPr>
              <w:t>Midwives</w:t>
            </w:r>
          </w:p>
        </w:tc>
      </w:tr>
      <w:tr w:rsidR="00190A8B" w:rsidRPr="00E63DF4" w:rsidTr="00190A8B">
        <w:trPr>
          <w:cantSplit/>
          <w:trHeight w:val="332"/>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90A8B">
            <w:pPr>
              <w:keepNext/>
              <w:spacing w:before="20" w:after="20"/>
              <w:ind w:left="-106"/>
              <w:rPr>
                <w:rFonts w:ascii="Arial Narrow" w:hAnsi="Arial Narrow" w:cs="Calibri"/>
                <w:bCs/>
                <w:strike/>
                <w:sz w:val="18"/>
                <w:szCs w:val="18"/>
                <w:lang w:eastAsia="zh-CN"/>
              </w:rPr>
            </w:pPr>
            <w:r w:rsidRPr="00E63DF4">
              <w:rPr>
                <w:rFonts w:ascii="Arial Narrow" w:hAnsi="Arial Narrow" w:cs="Calibri"/>
                <w:b/>
                <w:bCs/>
                <w:sz w:val="18"/>
                <w:szCs w:val="18"/>
                <w:lang w:eastAsia="zh-CN"/>
              </w:rPr>
              <w:t>Restriction type / method:</w:t>
            </w:r>
            <w:r w:rsidRPr="00E63DF4">
              <w:rPr>
                <w:rFonts w:ascii="Arial Narrow" w:hAnsi="Arial Narrow" w:cs="Calibri"/>
                <w:bCs/>
                <w:sz w:val="18"/>
                <w:szCs w:val="18"/>
                <w:lang w:eastAsia="zh-CN"/>
              </w:rPr>
              <w:t xml:space="preserve"> </w:t>
            </w:r>
            <w:r w:rsidRPr="00E63DF4">
              <w:rPr>
                <w:rFonts w:ascii="Arial Narrow" w:hAnsi="Arial Narrow" w:cs="Calibri"/>
                <w:bCs/>
                <w:sz w:val="18"/>
                <w:szCs w:val="18"/>
                <w:lang w:eastAsia="zh-CN"/>
              </w:rPr>
              <w:fldChar w:fldCharType="begin">
                <w:ffData>
                  <w:name w:val=""/>
                  <w:enabled/>
                  <w:calcOnExit w:val="0"/>
                  <w:checkBox>
                    <w:sizeAuto/>
                    <w:default w:val="1"/>
                  </w:checkBox>
                </w:ffData>
              </w:fldChar>
            </w:r>
            <w:r w:rsidRPr="00E63DF4">
              <w:rPr>
                <w:rFonts w:ascii="Arial Narrow" w:hAnsi="Arial Narrow" w:cs="Calibri"/>
                <w:bCs/>
                <w:sz w:val="18"/>
                <w:szCs w:val="18"/>
                <w:lang w:eastAsia="zh-CN"/>
              </w:rPr>
              <w:instrText xml:space="preserve"> FORMCHECKBOX </w:instrText>
            </w:r>
            <w:r w:rsidR="00E4568F">
              <w:rPr>
                <w:rFonts w:ascii="Arial Narrow" w:hAnsi="Arial Narrow" w:cs="Calibri"/>
                <w:bCs/>
                <w:sz w:val="18"/>
                <w:szCs w:val="18"/>
                <w:lang w:eastAsia="zh-CN"/>
              </w:rPr>
            </w:r>
            <w:r w:rsidR="00E4568F">
              <w:rPr>
                <w:rFonts w:ascii="Arial Narrow" w:hAnsi="Arial Narrow" w:cs="Calibri"/>
                <w:bCs/>
                <w:sz w:val="18"/>
                <w:szCs w:val="18"/>
                <w:lang w:eastAsia="zh-CN"/>
              </w:rPr>
              <w:fldChar w:fldCharType="separate"/>
            </w:r>
            <w:r w:rsidRPr="00E63DF4">
              <w:rPr>
                <w:rFonts w:ascii="Arial Narrow" w:hAnsi="Arial Narrow" w:cs="Calibri"/>
                <w:bCs/>
                <w:sz w:val="18"/>
                <w:szCs w:val="18"/>
                <w:lang w:eastAsia="zh-CN"/>
              </w:rPr>
              <w:fldChar w:fldCharType="end"/>
            </w:r>
            <w:r w:rsidRPr="00E63DF4">
              <w:rPr>
                <w:rFonts w:ascii="Arial Narrow" w:hAnsi="Arial Narrow" w:cs="Calibri"/>
                <w:bCs/>
                <w:sz w:val="18"/>
                <w:szCs w:val="18"/>
                <w:lang w:eastAsia="zh-CN"/>
              </w:rPr>
              <w:t xml:space="preserve"> Authority Required – Streamlined (new code)</w:t>
            </w:r>
          </w:p>
        </w:tc>
      </w:tr>
      <w:tr w:rsidR="00190A8B" w:rsidRPr="00E63DF4" w:rsidTr="00190A8B">
        <w:trPr>
          <w:cantSplit/>
          <w:trHeight w:val="223"/>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90A8B">
            <w:pPr>
              <w:keepNext/>
              <w:spacing w:before="20" w:after="20"/>
              <w:ind w:left="-106"/>
              <w:rPr>
                <w:rFonts w:ascii="Arial Narrow" w:hAnsi="Arial Narrow" w:cs="Calibri"/>
                <w:b/>
                <w:bCs/>
                <w:sz w:val="18"/>
                <w:szCs w:val="18"/>
                <w:lang w:eastAsia="zh-CN"/>
              </w:rPr>
            </w:pPr>
            <w:r w:rsidRPr="00E63DF4">
              <w:rPr>
                <w:rFonts w:ascii="Arial Narrow" w:hAnsi="Arial Narrow" w:cs="Calibri"/>
                <w:b/>
                <w:bCs/>
                <w:sz w:val="18"/>
                <w:szCs w:val="18"/>
                <w:lang w:eastAsia="zh-CN"/>
              </w:rPr>
              <w:t>PBS Indication:</w:t>
            </w:r>
            <w:r w:rsidRPr="00E63DF4">
              <w:rPr>
                <w:rFonts w:ascii="Arial Narrow" w:hAnsi="Arial Narrow" w:cs="Calibri"/>
                <w:bCs/>
                <w:iCs/>
                <w:sz w:val="18"/>
                <w:szCs w:val="18"/>
                <w:lang w:eastAsia="zh-CN"/>
              </w:rPr>
              <w:t xml:space="preserve"> Advanced (unresectable) Barcelona Clinic Liver Cancer Stage B or Stage C hepatocellular carcinoma</w:t>
            </w:r>
          </w:p>
        </w:tc>
      </w:tr>
      <w:tr w:rsidR="00190A8B" w:rsidRPr="00E63DF4" w:rsidTr="00190A8B">
        <w:trPr>
          <w:cantSplit/>
          <w:trHeight w:val="289"/>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90A8B">
            <w:pPr>
              <w:keepNext/>
              <w:spacing w:before="20" w:after="20"/>
              <w:ind w:left="-106"/>
              <w:rPr>
                <w:rFonts w:ascii="Arial Narrow" w:hAnsi="Arial Narrow" w:cs="Calibri"/>
                <w:bCs/>
                <w:iCs/>
                <w:sz w:val="18"/>
                <w:szCs w:val="18"/>
                <w:lang w:eastAsia="zh-CN"/>
              </w:rPr>
            </w:pPr>
            <w:r w:rsidRPr="00E63DF4">
              <w:rPr>
                <w:rFonts w:ascii="Arial Narrow" w:hAnsi="Arial Narrow" w:cs="Calibri"/>
                <w:b/>
                <w:bCs/>
                <w:sz w:val="18"/>
                <w:szCs w:val="18"/>
                <w:lang w:eastAsia="zh-CN"/>
              </w:rPr>
              <w:t>Treatment phase:</w:t>
            </w:r>
            <w:r w:rsidRPr="00E63DF4">
              <w:rPr>
                <w:rFonts w:ascii="Arial Narrow" w:hAnsi="Arial Narrow" w:cs="Calibri"/>
                <w:bCs/>
                <w:i/>
                <w:iCs/>
                <w:sz w:val="18"/>
                <w:szCs w:val="18"/>
                <w:lang w:eastAsia="zh-CN"/>
              </w:rPr>
              <w:t xml:space="preserve"> </w:t>
            </w:r>
            <w:r w:rsidRPr="00E63DF4">
              <w:rPr>
                <w:rFonts w:ascii="Arial Narrow" w:hAnsi="Arial Narrow" w:cs="Calibri"/>
                <w:bCs/>
                <w:iCs/>
                <w:sz w:val="18"/>
                <w:szCs w:val="18"/>
                <w:lang w:eastAsia="zh-CN"/>
              </w:rPr>
              <w:t>Concurrent use with atezolizumab in hepatocellular carcinoma</w:t>
            </w:r>
          </w:p>
        </w:tc>
      </w:tr>
      <w:tr w:rsidR="00190A8B" w:rsidRPr="00E63DF4" w:rsidTr="00190A8B">
        <w:trPr>
          <w:cantSplit/>
          <w:trHeight w:val="201"/>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90A8B">
            <w:pPr>
              <w:keepNext/>
              <w:spacing w:before="20" w:after="20"/>
              <w:ind w:left="-106"/>
              <w:rPr>
                <w:rFonts w:ascii="Arial Narrow" w:hAnsi="Arial Narrow" w:cs="Calibri"/>
                <w:bCs/>
                <w:sz w:val="18"/>
                <w:szCs w:val="18"/>
                <w:lang w:eastAsia="zh-CN"/>
              </w:rPr>
            </w:pPr>
            <w:r w:rsidRPr="00E63DF4">
              <w:rPr>
                <w:rFonts w:ascii="Arial Narrow" w:hAnsi="Arial Narrow" w:cs="Calibri"/>
                <w:b/>
                <w:bCs/>
                <w:sz w:val="18"/>
                <w:szCs w:val="18"/>
                <w:lang w:eastAsia="zh-CN"/>
              </w:rPr>
              <w:t>Treatment criteria:</w:t>
            </w:r>
          </w:p>
        </w:tc>
      </w:tr>
      <w:tr w:rsidR="00190A8B" w:rsidRPr="00E63DF4" w:rsidTr="00190A8B">
        <w:trPr>
          <w:cantSplit/>
          <w:trHeight w:val="277"/>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90A8B">
            <w:pPr>
              <w:keepNext/>
              <w:ind w:left="-106"/>
              <w:rPr>
                <w:rFonts w:ascii="Arial Narrow" w:hAnsi="Arial Narrow" w:cs="Calibri"/>
                <w:b/>
                <w:bCs/>
                <w:sz w:val="18"/>
                <w:szCs w:val="18"/>
                <w:lang w:eastAsia="zh-CN"/>
              </w:rPr>
            </w:pPr>
            <w:r w:rsidRPr="00E63DF4">
              <w:rPr>
                <w:rFonts w:ascii="Arial Narrow" w:hAnsi="Arial Narrow" w:cs="Calibri"/>
                <w:bCs/>
                <w:sz w:val="18"/>
                <w:szCs w:val="18"/>
                <w:lang w:eastAsia="zh-CN"/>
              </w:rPr>
              <w:t>Patient must be undergoing combination treatment with PBS-subsidised atezolizumab for this PBS indication</w:t>
            </w:r>
          </w:p>
        </w:tc>
      </w:tr>
      <w:tr w:rsidR="00190A8B" w:rsidRPr="00E63DF4" w:rsidTr="00190A8B">
        <w:trPr>
          <w:cantSplit/>
          <w:trHeight w:val="58"/>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90A8B">
            <w:pPr>
              <w:keepNext/>
              <w:spacing w:before="20" w:after="20"/>
              <w:ind w:left="-106"/>
              <w:rPr>
                <w:rFonts w:ascii="Arial Narrow" w:hAnsi="Arial Narrow" w:cs="Calibri"/>
                <w:bCs/>
                <w:sz w:val="18"/>
                <w:szCs w:val="18"/>
                <w:lang w:eastAsia="zh-CN"/>
              </w:rPr>
            </w:pPr>
            <w:r w:rsidRPr="00E63DF4">
              <w:rPr>
                <w:rFonts w:ascii="Arial Narrow" w:hAnsi="Arial Narrow" w:cs="Calibri"/>
                <w:b/>
                <w:bCs/>
                <w:sz w:val="18"/>
                <w:szCs w:val="18"/>
                <w:lang w:eastAsia="zh-CN"/>
              </w:rPr>
              <w:t>Administrative Advice:</w:t>
            </w:r>
            <w:r w:rsidRPr="00E63DF4">
              <w:rPr>
                <w:rFonts w:ascii="Arial Narrow" w:hAnsi="Arial Narrow" w:cs="Calibri"/>
                <w:bCs/>
                <w:sz w:val="18"/>
                <w:szCs w:val="18"/>
                <w:lang w:eastAsia="zh-CN"/>
              </w:rPr>
              <w:t xml:space="preserve"> No increase in the maximum number of repeats may be authorised</w:t>
            </w:r>
          </w:p>
        </w:tc>
      </w:tr>
      <w:tr w:rsidR="00190A8B" w:rsidRPr="00E63DF4" w:rsidTr="00190A8B">
        <w:trPr>
          <w:cantSplit/>
          <w:trHeight w:val="58"/>
        </w:trPr>
        <w:tc>
          <w:tcPr>
            <w:tcW w:w="5000" w:type="pct"/>
            <w:tcBorders>
              <w:top w:val="single" w:sz="4" w:space="0" w:color="auto"/>
              <w:left w:val="single" w:sz="4" w:space="0" w:color="auto"/>
              <w:bottom w:val="single" w:sz="4" w:space="0" w:color="auto"/>
              <w:right w:val="single" w:sz="4" w:space="0" w:color="auto"/>
            </w:tcBorders>
          </w:tcPr>
          <w:p w:rsidR="00190A8B" w:rsidRPr="00E63DF4" w:rsidRDefault="00190A8B" w:rsidP="00190A8B">
            <w:pPr>
              <w:keepNext/>
              <w:keepLines/>
              <w:ind w:left="-106"/>
              <w:rPr>
                <w:rFonts w:ascii="Arial Narrow" w:hAnsi="Arial Narrow" w:cs="Calibri"/>
                <w:b/>
                <w:bCs/>
                <w:sz w:val="18"/>
                <w:szCs w:val="18"/>
                <w:lang w:eastAsia="zh-CN"/>
              </w:rPr>
            </w:pPr>
            <w:r w:rsidRPr="00E63DF4">
              <w:rPr>
                <w:rFonts w:ascii="Arial Narrow" w:hAnsi="Arial Narrow" w:cs="Calibri"/>
                <w:b/>
                <w:bCs/>
                <w:sz w:val="18"/>
                <w:szCs w:val="18"/>
                <w:lang w:eastAsia="zh-CN"/>
              </w:rPr>
              <w:t>Caution:</w:t>
            </w:r>
          </w:p>
          <w:p w:rsidR="00190A8B" w:rsidRPr="00E63DF4" w:rsidRDefault="00190A8B" w:rsidP="00190A8B">
            <w:pPr>
              <w:keepNext/>
              <w:spacing w:before="20" w:after="20"/>
              <w:ind w:left="-106"/>
              <w:rPr>
                <w:rFonts w:ascii="Arial Narrow" w:hAnsi="Arial Narrow" w:cs="Calibri"/>
                <w:b/>
                <w:bCs/>
                <w:sz w:val="18"/>
                <w:szCs w:val="18"/>
                <w:lang w:eastAsia="zh-CN"/>
              </w:rPr>
            </w:pPr>
            <w:r w:rsidRPr="00F31EAF">
              <w:rPr>
                <w:rFonts w:ascii="Arial Narrow" w:hAnsi="Arial Narrow" w:cs="Calibri"/>
                <w:bCs/>
                <w:sz w:val="18"/>
                <w:szCs w:val="18"/>
                <w:lang w:eastAsia="zh-CN"/>
              </w:rPr>
              <w:t>The</w:t>
            </w:r>
            <w:r>
              <w:rPr>
                <w:rFonts w:ascii="Arial Narrow" w:hAnsi="Arial Narrow" w:cs="Calibri"/>
                <w:bCs/>
                <w:sz w:val="18"/>
                <w:szCs w:val="18"/>
                <w:lang w:eastAsia="zh-CN"/>
              </w:rPr>
              <w:t xml:space="preserve"> safety of atezolizumab in combination with bevacizumab</w:t>
            </w:r>
            <w:r w:rsidRPr="00F31EAF">
              <w:rPr>
                <w:rFonts w:ascii="Arial Narrow" w:hAnsi="Arial Narrow" w:cs="Calibri"/>
                <w:bCs/>
                <w:sz w:val="18"/>
                <w:szCs w:val="18"/>
                <w:lang w:eastAsia="zh-CN"/>
              </w:rPr>
              <w:t xml:space="preserve"> has not been e</w:t>
            </w:r>
            <w:r>
              <w:rPr>
                <w:rFonts w:ascii="Arial Narrow" w:hAnsi="Arial Narrow" w:cs="Calibri"/>
                <w:bCs/>
                <w:sz w:val="18"/>
                <w:szCs w:val="18"/>
                <w:lang w:eastAsia="zh-CN"/>
              </w:rPr>
              <w:t>stablished in patients who have i</w:t>
            </w:r>
            <w:r w:rsidRPr="00F31EAF">
              <w:rPr>
                <w:rFonts w:ascii="Arial Narrow" w:hAnsi="Arial Narrow" w:cs="Calibri"/>
                <w:bCs/>
                <w:sz w:val="18"/>
                <w:szCs w:val="18"/>
                <w:lang w:eastAsia="zh-CN"/>
              </w:rPr>
              <w:t xml:space="preserve">ncompletely treated varices, variceal bleeding within the previous 6 months </w:t>
            </w:r>
            <w:r>
              <w:rPr>
                <w:rFonts w:ascii="Arial Narrow" w:hAnsi="Arial Narrow" w:cs="Calibri"/>
                <w:bCs/>
                <w:sz w:val="18"/>
                <w:szCs w:val="18"/>
                <w:lang w:eastAsia="zh-CN"/>
              </w:rPr>
              <w:t xml:space="preserve">or who are </w:t>
            </w:r>
            <w:r w:rsidRPr="00F31EAF">
              <w:rPr>
                <w:rFonts w:ascii="Arial Narrow" w:hAnsi="Arial Narrow" w:cs="Calibri"/>
                <w:bCs/>
                <w:sz w:val="18"/>
                <w:szCs w:val="18"/>
                <w:lang w:eastAsia="zh-CN"/>
              </w:rPr>
              <w:t>at high risk of bleeding</w:t>
            </w:r>
            <w:r>
              <w:rPr>
                <w:rFonts w:ascii="Arial Narrow" w:hAnsi="Arial Narrow" w:cs="Calibri"/>
                <w:bCs/>
                <w:sz w:val="18"/>
                <w:szCs w:val="18"/>
                <w:lang w:eastAsia="zh-CN"/>
              </w:rPr>
              <w:t>. P</w:t>
            </w:r>
            <w:r w:rsidRPr="00F31EAF">
              <w:rPr>
                <w:rFonts w:ascii="Arial Narrow" w:hAnsi="Arial Narrow" w:cs="Calibri"/>
                <w:bCs/>
                <w:sz w:val="18"/>
                <w:szCs w:val="18"/>
                <w:lang w:eastAsia="zh-CN"/>
              </w:rPr>
              <w:t xml:space="preserve">atients should be assessed for risk of variceal bleeding prior to treatment with </w:t>
            </w:r>
            <w:r>
              <w:rPr>
                <w:rFonts w:ascii="Arial Narrow" w:hAnsi="Arial Narrow" w:cs="Calibri"/>
                <w:bCs/>
                <w:sz w:val="18"/>
                <w:szCs w:val="18"/>
                <w:lang w:eastAsia="zh-CN"/>
              </w:rPr>
              <w:t xml:space="preserve">this combination.  </w:t>
            </w:r>
          </w:p>
        </w:tc>
      </w:tr>
    </w:tbl>
    <w:p w:rsidR="001434C5" w:rsidRPr="00E63DF4" w:rsidRDefault="001434C5" w:rsidP="001434C5">
      <w:pPr>
        <w:rPr>
          <w:i/>
        </w:rPr>
      </w:pPr>
    </w:p>
    <w:tbl>
      <w:tblPr>
        <w:tblpPr w:leftFromText="180" w:rightFromText="180" w:vertAnchor="page" w:horzAnchor="margin" w:tblpY="24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9"/>
        <w:gridCol w:w="2086"/>
        <w:gridCol w:w="975"/>
        <w:gridCol w:w="975"/>
        <w:gridCol w:w="2365"/>
      </w:tblGrid>
      <w:tr w:rsidR="001434C5" w:rsidRPr="00E63DF4" w:rsidTr="00D26846">
        <w:trPr>
          <w:cantSplit/>
          <w:trHeight w:val="471"/>
        </w:trPr>
        <w:tc>
          <w:tcPr>
            <w:tcW w:w="1460" w:type="pct"/>
          </w:tcPr>
          <w:p w:rsidR="001434C5" w:rsidRPr="00E63DF4" w:rsidRDefault="001434C5" w:rsidP="001434C5">
            <w:pPr>
              <w:keepNext/>
              <w:ind w:left="-108"/>
              <w:rPr>
                <w:rFonts w:ascii="Arial Narrow" w:hAnsi="Arial Narrow"/>
                <w:b/>
                <w:sz w:val="18"/>
                <w:szCs w:val="18"/>
              </w:rPr>
            </w:pPr>
            <w:r w:rsidRPr="00E63DF4">
              <w:rPr>
                <w:rFonts w:ascii="Arial Narrow" w:hAnsi="Arial Narrow"/>
                <w:b/>
                <w:sz w:val="18"/>
                <w:szCs w:val="18"/>
              </w:rPr>
              <w:t>Name, Restriction,</w:t>
            </w:r>
          </w:p>
          <w:p w:rsidR="001434C5" w:rsidRPr="00E63DF4" w:rsidRDefault="001434C5" w:rsidP="001434C5">
            <w:pPr>
              <w:keepNext/>
              <w:ind w:left="-108"/>
              <w:rPr>
                <w:rFonts w:ascii="Arial Narrow" w:hAnsi="Arial Narrow"/>
                <w:b/>
                <w:sz w:val="18"/>
                <w:szCs w:val="18"/>
              </w:rPr>
            </w:pPr>
            <w:r w:rsidRPr="00E63DF4">
              <w:rPr>
                <w:rFonts w:ascii="Arial Narrow" w:hAnsi="Arial Narrow"/>
                <w:b/>
                <w:sz w:val="18"/>
                <w:szCs w:val="18"/>
              </w:rPr>
              <w:t>Manner of administration and form</w:t>
            </w:r>
          </w:p>
        </w:tc>
        <w:tc>
          <w:tcPr>
            <w:tcW w:w="1154" w:type="pct"/>
          </w:tcPr>
          <w:p w:rsidR="001434C5" w:rsidRPr="00E63DF4" w:rsidRDefault="001434C5" w:rsidP="001434C5">
            <w:pPr>
              <w:keepNext/>
              <w:ind w:left="-108"/>
              <w:jc w:val="center"/>
              <w:rPr>
                <w:rFonts w:ascii="Arial Narrow" w:hAnsi="Arial Narrow"/>
                <w:b/>
                <w:sz w:val="18"/>
                <w:szCs w:val="18"/>
              </w:rPr>
            </w:pPr>
            <w:r w:rsidRPr="00E63DF4">
              <w:rPr>
                <w:rFonts w:ascii="Arial Narrow" w:hAnsi="Arial Narrow"/>
                <w:b/>
                <w:sz w:val="18"/>
                <w:szCs w:val="18"/>
              </w:rPr>
              <w:t>PBS item code</w:t>
            </w:r>
          </w:p>
        </w:tc>
        <w:tc>
          <w:tcPr>
            <w:tcW w:w="539" w:type="pct"/>
          </w:tcPr>
          <w:p w:rsidR="001434C5" w:rsidRPr="00E63DF4" w:rsidRDefault="001434C5" w:rsidP="001434C5">
            <w:pPr>
              <w:keepNext/>
              <w:ind w:left="-108"/>
              <w:jc w:val="center"/>
              <w:rPr>
                <w:rFonts w:ascii="Arial Narrow" w:hAnsi="Arial Narrow"/>
                <w:b/>
                <w:sz w:val="18"/>
                <w:szCs w:val="18"/>
              </w:rPr>
            </w:pPr>
            <w:r w:rsidRPr="00E63DF4">
              <w:rPr>
                <w:rFonts w:ascii="Arial Narrow" w:hAnsi="Arial Narrow"/>
                <w:b/>
                <w:sz w:val="18"/>
                <w:szCs w:val="18"/>
              </w:rPr>
              <w:t>Max.</w:t>
            </w:r>
          </w:p>
          <w:p w:rsidR="001434C5" w:rsidRPr="00E63DF4" w:rsidRDefault="001434C5" w:rsidP="001434C5">
            <w:pPr>
              <w:keepNext/>
              <w:ind w:left="-108"/>
              <w:jc w:val="center"/>
              <w:rPr>
                <w:rFonts w:ascii="Arial Narrow" w:hAnsi="Arial Narrow"/>
                <w:b/>
                <w:sz w:val="18"/>
                <w:szCs w:val="18"/>
              </w:rPr>
            </w:pPr>
            <w:r w:rsidRPr="00E63DF4">
              <w:rPr>
                <w:rFonts w:ascii="Arial Narrow" w:hAnsi="Arial Narrow"/>
                <w:b/>
                <w:sz w:val="18"/>
                <w:szCs w:val="18"/>
              </w:rPr>
              <w:t>Amount</w:t>
            </w:r>
          </w:p>
        </w:tc>
        <w:tc>
          <w:tcPr>
            <w:tcW w:w="539" w:type="pct"/>
          </w:tcPr>
          <w:p w:rsidR="001434C5" w:rsidRPr="00E63DF4" w:rsidRDefault="001434C5" w:rsidP="001434C5">
            <w:pPr>
              <w:keepNext/>
              <w:ind w:left="-108"/>
              <w:jc w:val="center"/>
              <w:rPr>
                <w:rFonts w:ascii="Arial Narrow" w:hAnsi="Arial Narrow"/>
                <w:b/>
                <w:sz w:val="18"/>
                <w:szCs w:val="18"/>
              </w:rPr>
            </w:pPr>
            <w:r w:rsidRPr="00E63DF4">
              <w:rPr>
                <w:rFonts w:ascii="Arial Narrow" w:hAnsi="Arial Narrow"/>
                <w:b/>
                <w:sz w:val="18"/>
                <w:szCs w:val="18"/>
              </w:rPr>
              <w:t>№.of</w:t>
            </w:r>
          </w:p>
          <w:p w:rsidR="001434C5" w:rsidRPr="00E63DF4" w:rsidRDefault="001434C5" w:rsidP="001434C5">
            <w:pPr>
              <w:keepNext/>
              <w:ind w:left="-108"/>
              <w:jc w:val="center"/>
              <w:rPr>
                <w:rFonts w:ascii="Arial Narrow" w:hAnsi="Arial Narrow"/>
                <w:b/>
                <w:sz w:val="18"/>
                <w:szCs w:val="18"/>
              </w:rPr>
            </w:pPr>
            <w:r w:rsidRPr="00E63DF4">
              <w:rPr>
                <w:rFonts w:ascii="Arial Narrow" w:hAnsi="Arial Narrow"/>
                <w:b/>
                <w:sz w:val="18"/>
                <w:szCs w:val="18"/>
              </w:rPr>
              <w:t>Rpts</w:t>
            </w:r>
          </w:p>
        </w:tc>
        <w:tc>
          <w:tcPr>
            <w:tcW w:w="1309" w:type="pct"/>
          </w:tcPr>
          <w:p w:rsidR="001434C5" w:rsidRPr="00E63DF4" w:rsidRDefault="001434C5" w:rsidP="001434C5">
            <w:pPr>
              <w:keepNext/>
              <w:rPr>
                <w:rFonts w:ascii="Arial Narrow" w:hAnsi="Arial Narrow"/>
                <w:b/>
                <w:sz w:val="18"/>
                <w:szCs w:val="18"/>
              </w:rPr>
            </w:pPr>
            <w:r w:rsidRPr="00E63DF4">
              <w:rPr>
                <w:rFonts w:ascii="Arial Narrow" w:hAnsi="Arial Narrow"/>
                <w:b/>
                <w:sz w:val="18"/>
                <w:szCs w:val="18"/>
              </w:rPr>
              <w:t>Manufacturer</w:t>
            </w:r>
          </w:p>
        </w:tc>
      </w:tr>
      <w:tr w:rsidR="001434C5" w:rsidRPr="00E63DF4" w:rsidTr="00D26846">
        <w:trPr>
          <w:cantSplit/>
          <w:trHeight w:val="503"/>
        </w:trPr>
        <w:tc>
          <w:tcPr>
            <w:tcW w:w="1460" w:type="pct"/>
          </w:tcPr>
          <w:p w:rsidR="001434C5" w:rsidRPr="00E63DF4" w:rsidRDefault="001434C5" w:rsidP="001434C5">
            <w:pPr>
              <w:keepNext/>
              <w:ind w:left="-108"/>
              <w:rPr>
                <w:rFonts w:ascii="Arial Narrow" w:hAnsi="Arial Narrow"/>
                <w:sz w:val="18"/>
                <w:szCs w:val="18"/>
              </w:rPr>
            </w:pPr>
            <w:r w:rsidRPr="00E63DF4">
              <w:rPr>
                <w:rFonts w:ascii="Arial Narrow" w:hAnsi="Arial Narrow"/>
                <w:sz w:val="18"/>
                <w:szCs w:val="18"/>
              </w:rPr>
              <w:t xml:space="preserve">BEVACIZUMAB </w:t>
            </w:r>
          </w:p>
          <w:p w:rsidR="001434C5" w:rsidRPr="00E63DF4" w:rsidRDefault="001434C5" w:rsidP="001434C5">
            <w:pPr>
              <w:keepNext/>
              <w:ind w:left="-108"/>
              <w:rPr>
                <w:rFonts w:ascii="Arial Narrow" w:hAnsi="Arial Narrow"/>
                <w:sz w:val="18"/>
                <w:szCs w:val="18"/>
              </w:rPr>
            </w:pPr>
            <w:r w:rsidRPr="00E63DF4">
              <w:rPr>
                <w:rFonts w:ascii="Arial Narrow" w:hAnsi="Arial Narrow" w:cs="Arial Narrow"/>
                <w:sz w:val="20"/>
                <w:szCs w:val="20"/>
              </w:rPr>
              <w:t xml:space="preserve">Injection </w:t>
            </w:r>
          </w:p>
        </w:tc>
        <w:tc>
          <w:tcPr>
            <w:tcW w:w="1154" w:type="pct"/>
          </w:tcPr>
          <w:p w:rsidR="001434C5" w:rsidRPr="00E63DF4" w:rsidRDefault="001434C5" w:rsidP="001434C5">
            <w:pPr>
              <w:keepNext/>
              <w:jc w:val="center"/>
              <w:rPr>
                <w:rFonts w:ascii="Arial Narrow" w:hAnsi="Arial Narrow"/>
                <w:sz w:val="18"/>
                <w:szCs w:val="18"/>
              </w:rPr>
            </w:pPr>
            <w:r w:rsidRPr="00E63DF4">
              <w:rPr>
                <w:rFonts w:ascii="Arial Narrow" w:hAnsi="Arial Narrow"/>
                <w:sz w:val="18"/>
                <w:szCs w:val="18"/>
              </w:rPr>
              <w:t>NEW (Public)</w:t>
            </w:r>
          </w:p>
          <w:p w:rsidR="001434C5" w:rsidRPr="00E63DF4" w:rsidRDefault="001434C5" w:rsidP="001434C5">
            <w:pPr>
              <w:keepNext/>
              <w:ind w:left="-108"/>
              <w:jc w:val="center"/>
              <w:rPr>
                <w:rFonts w:ascii="Arial Narrow" w:hAnsi="Arial Narrow"/>
                <w:sz w:val="18"/>
                <w:szCs w:val="18"/>
              </w:rPr>
            </w:pPr>
            <w:r w:rsidRPr="00E63DF4">
              <w:rPr>
                <w:rFonts w:ascii="Arial Narrow" w:hAnsi="Arial Narrow"/>
                <w:sz w:val="18"/>
                <w:szCs w:val="18"/>
              </w:rPr>
              <w:t>NEW (Private)</w:t>
            </w:r>
          </w:p>
        </w:tc>
        <w:tc>
          <w:tcPr>
            <w:tcW w:w="539" w:type="pct"/>
          </w:tcPr>
          <w:p w:rsidR="001434C5" w:rsidRPr="00E63DF4" w:rsidRDefault="001434C5" w:rsidP="001434C5">
            <w:pPr>
              <w:keepNext/>
              <w:ind w:left="-108"/>
              <w:jc w:val="center"/>
              <w:rPr>
                <w:rFonts w:ascii="Arial Narrow" w:hAnsi="Arial Narrow"/>
                <w:sz w:val="18"/>
                <w:szCs w:val="18"/>
              </w:rPr>
            </w:pPr>
          </w:p>
          <w:p w:rsidR="001434C5" w:rsidRPr="00E63DF4" w:rsidRDefault="001434C5" w:rsidP="001434C5">
            <w:pPr>
              <w:keepNext/>
              <w:ind w:left="-108"/>
              <w:jc w:val="center"/>
              <w:rPr>
                <w:rFonts w:ascii="Arial Narrow" w:hAnsi="Arial Narrow"/>
                <w:sz w:val="18"/>
                <w:szCs w:val="18"/>
              </w:rPr>
            </w:pPr>
            <w:r w:rsidRPr="00E63DF4">
              <w:rPr>
                <w:rFonts w:ascii="Arial Narrow" w:hAnsi="Arial Narrow"/>
                <w:sz w:val="18"/>
                <w:szCs w:val="18"/>
              </w:rPr>
              <w:t>1800 mg</w:t>
            </w:r>
          </w:p>
        </w:tc>
        <w:tc>
          <w:tcPr>
            <w:tcW w:w="539" w:type="pct"/>
          </w:tcPr>
          <w:p w:rsidR="001434C5" w:rsidRPr="00E63DF4" w:rsidRDefault="001434C5" w:rsidP="001434C5">
            <w:pPr>
              <w:keepNext/>
              <w:ind w:left="-108"/>
              <w:jc w:val="center"/>
              <w:rPr>
                <w:rFonts w:ascii="Arial Narrow" w:hAnsi="Arial Narrow"/>
                <w:i/>
                <w:sz w:val="18"/>
                <w:szCs w:val="18"/>
              </w:rPr>
            </w:pPr>
          </w:p>
          <w:p w:rsidR="001434C5" w:rsidRPr="00E63DF4" w:rsidRDefault="001434C5" w:rsidP="001434C5">
            <w:pPr>
              <w:keepNext/>
              <w:ind w:left="-108"/>
              <w:jc w:val="center"/>
              <w:rPr>
                <w:rFonts w:ascii="Arial Narrow" w:hAnsi="Arial Narrow"/>
                <w:sz w:val="18"/>
                <w:szCs w:val="18"/>
              </w:rPr>
            </w:pPr>
            <w:r w:rsidRPr="00E63DF4">
              <w:rPr>
                <w:rFonts w:ascii="Arial Narrow" w:hAnsi="Arial Narrow"/>
                <w:sz w:val="18"/>
                <w:szCs w:val="18"/>
              </w:rPr>
              <w:t>8</w:t>
            </w:r>
          </w:p>
        </w:tc>
        <w:tc>
          <w:tcPr>
            <w:tcW w:w="1309" w:type="pct"/>
          </w:tcPr>
          <w:p w:rsidR="001434C5" w:rsidRPr="00E63DF4" w:rsidRDefault="001434C5" w:rsidP="001434C5">
            <w:pPr>
              <w:keepNext/>
              <w:rPr>
                <w:rFonts w:ascii="Arial Narrow" w:hAnsi="Arial Narrow"/>
                <w:sz w:val="18"/>
                <w:szCs w:val="18"/>
              </w:rPr>
            </w:pPr>
          </w:p>
          <w:p w:rsidR="001434C5" w:rsidRPr="00E63DF4" w:rsidRDefault="001434C5" w:rsidP="001434C5">
            <w:pPr>
              <w:keepNext/>
              <w:rPr>
                <w:rFonts w:ascii="Arial Narrow" w:hAnsi="Arial Narrow"/>
                <w:sz w:val="18"/>
                <w:szCs w:val="18"/>
              </w:rPr>
            </w:pPr>
            <w:r w:rsidRPr="00E63DF4">
              <w:rPr>
                <w:rFonts w:ascii="Arial Narrow" w:hAnsi="Arial Narrow"/>
                <w:sz w:val="18"/>
                <w:szCs w:val="18"/>
              </w:rPr>
              <w:t>Roche Products Pty Ltd</w:t>
            </w:r>
          </w:p>
        </w:tc>
      </w:tr>
      <w:tr w:rsidR="001434C5" w:rsidRPr="00E63DF4" w:rsidTr="00D26846">
        <w:trPr>
          <w:cantSplit/>
          <w:trHeight w:val="225"/>
        </w:trPr>
        <w:tc>
          <w:tcPr>
            <w:tcW w:w="5000" w:type="pct"/>
            <w:gridSpan w:val="5"/>
          </w:tcPr>
          <w:p w:rsidR="001434C5" w:rsidRPr="00E63DF4" w:rsidRDefault="001434C5" w:rsidP="001434C5">
            <w:pPr>
              <w:keepNext/>
              <w:rPr>
                <w:rFonts w:ascii="Arial Narrow" w:hAnsi="Arial Narrow"/>
                <w:b/>
                <w:sz w:val="18"/>
                <w:szCs w:val="18"/>
              </w:rPr>
            </w:pPr>
            <w:r w:rsidRPr="00E63DF4">
              <w:rPr>
                <w:rFonts w:ascii="Arial Narrow" w:hAnsi="Arial Narrow"/>
                <w:b/>
                <w:sz w:val="18"/>
                <w:szCs w:val="18"/>
              </w:rPr>
              <w:t>Available brands</w:t>
            </w:r>
          </w:p>
        </w:tc>
      </w:tr>
      <w:tr w:rsidR="001434C5" w:rsidRPr="00E63DF4" w:rsidTr="00D26846">
        <w:trPr>
          <w:cantSplit/>
          <w:trHeight w:val="360"/>
        </w:trPr>
        <w:tc>
          <w:tcPr>
            <w:tcW w:w="5000" w:type="pct"/>
            <w:gridSpan w:val="5"/>
          </w:tcPr>
          <w:p w:rsidR="001434C5" w:rsidRPr="00E63DF4" w:rsidRDefault="001434C5" w:rsidP="001434C5">
            <w:pPr>
              <w:rPr>
                <w:rFonts w:ascii="Arial Narrow" w:hAnsi="Arial Narrow"/>
                <w:sz w:val="18"/>
                <w:szCs w:val="18"/>
              </w:rPr>
            </w:pPr>
            <w:r w:rsidRPr="00E63DF4">
              <w:rPr>
                <w:rFonts w:ascii="Arial Narrow" w:hAnsi="Arial Narrow"/>
                <w:sz w:val="18"/>
                <w:szCs w:val="18"/>
              </w:rPr>
              <w:t>Avastin</w:t>
            </w:r>
          </w:p>
          <w:p w:rsidR="001434C5" w:rsidRPr="00E63DF4" w:rsidRDefault="001434C5" w:rsidP="001434C5">
            <w:pPr>
              <w:rPr>
                <w:rFonts w:ascii="Arial Narrow" w:hAnsi="Arial Narrow"/>
                <w:sz w:val="18"/>
                <w:szCs w:val="18"/>
              </w:rPr>
            </w:pPr>
            <w:r w:rsidRPr="00E63DF4">
              <w:rPr>
                <w:rFonts w:ascii="Arial Narrow" w:hAnsi="Arial Narrow"/>
                <w:sz w:val="18"/>
                <w:szCs w:val="18"/>
              </w:rPr>
              <w:t>(bevacizumab 400 mg/16 mL injection, 16 mL vial)</w:t>
            </w:r>
          </w:p>
        </w:tc>
      </w:tr>
      <w:tr w:rsidR="001434C5" w:rsidRPr="00E63DF4" w:rsidTr="00D26846">
        <w:trPr>
          <w:cantSplit/>
          <w:trHeight w:val="360"/>
        </w:trPr>
        <w:tc>
          <w:tcPr>
            <w:tcW w:w="5000" w:type="pct"/>
            <w:gridSpan w:val="5"/>
          </w:tcPr>
          <w:p w:rsidR="001434C5" w:rsidRPr="00E63DF4" w:rsidRDefault="001434C5" w:rsidP="001434C5">
            <w:pPr>
              <w:rPr>
                <w:rFonts w:ascii="Arial Narrow" w:hAnsi="Arial Narrow"/>
                <w:sz w:val="18"/>
                <w:szCs w:val="18"/>
              </w:rPr>
            </w:pPr>
            <w:r w:rsidRPr="00E63DF4">
              <w:rPr>
                <w:rFonts w:ascii="Arial Narrow" w:hAnsi="Arial Narrow"/>
                <w:sz w:val="18"/>
                <w:szCs w:val="18"/>
              </w:rPr>
              <w:t>Avastin</w:t>
            </w:r>
          </w:p>
          <w:p w:rsidR="001434C5" w:rsidRPr="00E63DF4" w:rsidRDefault="001434C5" w:rsidP="001434C5">
            <w:pPr>
              <w:rPr>
                <w:rFonts w:ascii="Arial Narrow" w:hAnsi="Arial Narrow"/>
                <w:sz w:val="18"/>
                <w:szCs w:val="18"/>
              </w:rPr>
            </w:pPr>
            <w:r w:rsidRPr="00E63DF4">
              <w:rPr>
                <w:rFonts w:ascii="Arial Narrow" w:hAnsi="Arial Narrow"/>
                <w:sz w:val="18"/>
                <w:szCs w:val="18"/>
              </w:rPr>
              <w:t>(bevacizumab 100 mg/4 mL injection, 4 mL vial)</w:t>
            </w:r>
          </w:p>
        </w:tc>
      </w:tr>
    </w:tbl>
    <w:p w:rsidR="001434C5" w:rsidRPr="00E63DF4" w:rsidRDefault="001434C5" w:rsidP="001434C5">
      <w:pPr>
        <w:rPr>
          <w:i/>
        </w:rPr>
      </w:pPr>
    </w:p>
    <w:p w:rsidR="001434C5" w:rsidRPr="00E63DF4" w:rsidRDefault="001434C5" w:rsidP="001434C5"/>
    <w:p w:rsidR="001434C5" w:rsidRPr="00E63DF4" w:rsidRDefault="001434C5" w:rsidP="001434C5">
      <w:pPr>
        <w:rPr>
          <w:i/>
        </w:rPr>
      </w:pPr>
      <w:r w:rsidRPr="00E63DF4">
        <w:rPr>
          <w:i/>
        </w:rPr>
        <w:br w:type="column"/>
      </w:r>
    </w:p>
    <w:p w:rsidR="001434C5" w:rsidRPr="00E63DF4" w:rsidRDefault="001434C5" w:rsidP="001434C5">
      <w:pPr>
        <w:rPr>
          <w:i/>
        </w:rPr>
      </w:pPr>
      <w:r w:rsidRPr="00E63DF4">
        <w:rPr>
          <w:i/>
        </w:rPr>
        <w:t>Flow on changes to existing first line V</w:t>
      </w:r>
      <w:r w:rsidR="00C940A5" w:rsidRPr="00E63DF4">
        <w:rPr>
          <w:i/>
        </w:rPr>
        <w:t>EG</w:t>
      </w:r>
      <w:r w:rsidRPr="00E63DF4">
        <w:rPr>
          <w:i/>
        </w:rPr>
        <w:t>F TKI inhibitors:</w:t>
      </w:r>
    </w:p>
    <w:p w:rsidR="001434C5" w:rsidRPr="00E63DF4" w:rsidRDefault="001434C5" w:rsidP="001434C5"/>
    <w:p w:rsidR="001434C5" w:rsidRPr="00E63DF4" w:rsidRDefault="001434C5" w:rsidP="001434C5">
      <w:pPr>
        <w:rPr>
          <w:i/>
        </w:rPr>
      </w:pPr>
      <w:r w:rsidRPr="00E63DF4">
        <w:rPr>
          <w:i/>
        </w:rPr>
        <w:t>9380Q sorafenib</w:t>
      </w:r>
    </w:p>
    <w:p w:rsidR="001434C5" w:rsidRPr="00E63DF4" w:rsidRDefault="001434C5" w:rsidP="001434C5">
      <w:pPr>
        <w:rPr>
          <w:rFonts w:ascii="Arial Narrow" w:hAnsi="Arial Narrow"/>
          <w:b/>
          <w:sz w:val="18"/>
          <w:szCs w:val="18"/>
        </w:rPr>
      </w:pPr>
    </w:p>
    <w:p w:rsidR="001434C5" w:rsidRPr="00D26846" w:rsidRDefault="001434C5" w:rsidP="001434C5">
      <w:pPr>
        <w:rPr>
          <w:rFonts w:ascii="Arial Narrow" w:hAnsi="Arial Narrow"/>
          <w:b/>
          <w:sz w:val="18"/>
          <w:szCs w:val="18"/>
        </w:rPr>
      </w:pPr>
      <w:r w:rsidRPr="00E63DF4">
        <w:rPr>
          <w:rFonts w:ascii="Arial Narrow" w:hAnsi="Arial Narrow"/>
          <w:b/>
          <w:sz w:val="18"/>
          <w:szCs w:val="18"/>
        </w:rPr>
        <w:t xml:space="preserve">Restriction </w:t>
      </w:r>
      <w:r w:rsidRPr="00D26846">
        <w:rPr>
          <w:rFonts w:ascii="Arial Narrow" w:hAnsi="Arial Narrow"/>
          <w:b/>
          <w:sz w:val="18"/>
          <w:szCs w:val="18"/>
        </w:rPr>
        <w:t>Summary 8540 / ToC: 8616: Authority Required: Streamlined</w:t>
      </w:r>
    </w:p>
    <w:tbl>
      <w:tblPr>
        <w:tblW w:w="43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14"/>
      </w:tblGrid>
      <w:tr w:rsidR="00190A8B" w:rsidRPr="00D26846" w:rsidTr="00190A8B">
        <w:tc>
          <w:tcPr>
            <w:tcW w:w="5000" w:type="pct"/>
            <w:vAlign w:val="center"/>
            <w:hideMark/>
          </w:tcPr>
          <w:p w:rsidR="00190A8B" w:rsidRPr="00D26846" w:rsidRDefault="00190A8B" w:rsidP="001434C5">
            <w:pPr>
              <w:rPr>
                <w:rFonts w:ascii="Arial Narrow" w:hAnsi="Arial Narrow"/>
                <w:sz w:val="18"/>
                <w:szCs w:val="18"/>
              </w:rPr>
            </w:pPr>
            <w:r w:rsidRPr="00D26846">
              <w:rPr>
                <w:rFonts w:ascii="Arial Narrow" w:hAnsi="Arial Narrow"/>
                <w:b/>
                <w:bCs/>
                <w:sz w:val="18"/>
                <w:szCs w:val="18"/>
              </w:rPr>
              <w:t>Administrative Advice:</w:t>
            </w:r>
          </w:p>
          <w:p w:rsidR="00190A8B" w:rsidRPr="00D26846" w:rsidRDefault="00190A8B" w:rsidP="001434C5">
            <w:pPr>
              <w:rPr>
                <w:rFonts w:ascii="Arial Narrow" w:hAnsi="Arial Narrow"/>
                <w:sz w:val="18"/>
                <w:szCs w:val="18"/>
              </w:rPr>
            </w:pPr>
            <w:r w:rsidRPr="00D26846">
              <w:rPr>
                <w:rFonts w:ascii="Arial Narrow" w:hAnsi="Arial Narrow"/>
                <w:sz w:val="18"/>
                <w:szCs w:val="18"/>
              </w:rPr>
              <w:t>Sorafenib is not PBS-subsidised for adjunctive treatment after resection, ablation or chemoembolization.</w:t>
            </w:r>
          </w:p>
          <w:p w:rsidR="00190A8B" w:rsidRPr="00D26846" w:rsidRDefault="00190A8B" w:rsidP="001434C5">
            <w:pPr>
              <w:rPr>
                <w:rFonts w:ascii="Arial Narrow" w:hAnsi="Arial Narrow"/>
                <w:sz w:val="18"/>
                <w:szCs w:val="18"/>
              </w:rPr>
            </w:pPr>
            <w:r w:rsidRPr="00D26846">
              <w:rPr>
                <w:rFonts w:ascii="Arial Narrow" w:hAnsi="Arial Narrow"/>
                <w:sz w:val="18"/>
                <w:szCs w:val="18"/>
              </w:rPr>
              <w:t>Sorafenib is not PBS-subsidised for maintenance therapy after disease progression.</w:t>
            </w:r>
          </w:p>
        </w:tc>
      </w:tr>
      <w:tr w:rsidR="00190A8B" w:rsidRPr="00D26846" w:rsidTr="00190A8B">
        <w:tc>
          <w:tcPr>
            <w:tcW w:w="5000" w:type="pct"/>
            <w:vAlign w:val="center"/>
            <w:hideMark/>
          </w:tcPr>
          <w:p w:rsidR="00190A8B" w:rsidRPr="00D26846" w:rsidRDefault="00190A8B" w:rsidP="001434C5">
            <w:pPr>
              <w:rPr>
                <w:rFonts w:ascii="Arial Narrow" w:hAnsi="Arial Narrow"/>
                <w:sz w:val="18"/>
                <w:szCs w:val="18"/>
              </w:rPr>
            </w:pPr>
            <w:r w:rsidRPr="00D26846">
              <w:rPr>
                <w:rFonts w:ascii="Arial Narrow" w:hAnsi="Arial Narrow"/>
                <w:b/>
                <w:bCs/>
                <w:sz w:val="18"/>
                <w:szCs w:val="18"/>
              </w:rPr>
              <w:t>Administrative Advice:</w:t>
            </w:r>
            <w:r w:rsidRPr="00D26846">
              <w:rPr>
                <w:rFonts w:ascii="Arial Narrow" w:hAnsi="Arial Narrow"/>
                <w:sz w:val="18"/>
                <w:szCs w:val="18"/>
              </w:rPr>
              <w:t xml:space="preserve"> No increase in the maximum quantity or number of units may be authorised.</w:t>
            </w:r>
          </w:p>
        </w:tc>
      </w:tr>
      <w:tr w:rsidR="00190A8B" w:rsidRPr="00D26846" w:rsidTr="00190A8B">
        <w:tc>
          <w:tcPr>
            <w:tcW w:w="5000" w:type="pct"/>
            <w:vAlign w:val="center"/>
            <w:hideMark/>
          </w:tcPr>
          <w:p w:rsidR="00190A8B" w:rsidRPr="00D26846" w:rsidRDefault="00190A8B" w:rsidP="001434C5">
            <w:pPr>
              <w:rPr>
                <w:rFonts w:ascii="Arial Narrow" w:hAnsi="Arial Narrow"/>
                <w:sz w:val="18"/>
                <w:szCs w:val="18"/>
              </w:rPr>
            </w:pPr>
            <w:r w:rsidRPr="00D26846">
              <w:rPr>
                <w:rFonts w:ascii="Arial Narrow" w:hAnsi="Arial Narrow"/>
                <w:b/>
                <w:bCs/>
                <w:sz w:val="18"/>
                <w:szCs w:val="18"/>
              </w:rPr>
              <w:t>Administrative Advice:</w:t>
            </w:r>
            <w:r w:rsidRPr="00D26846">
              <w:rPr>
                <w:rFonts w:ascii="Arial Narrow" w:hAnsi="Arial Narrow"/>
                <w:sz w:val="18"/>
                <w:szCs w:val="18"/>
              </w:rPr>
              <w:t xml:space="preserve"> No increase in the maximum number of repeats may be authorised.</w:t>
            </w:r>
          </w:p>
        </w:tc>
      </w:tr>
      <w:tr w:rsidR="00190A8B" w:rsidRPr="00D26846" w:rsidTr="00190A8B">
        <w:tc>
          <w:tcPr>
            <w:tcW w:w="5000" w:type="pct"/>
            <w:vAlign w:val="center"/>
            <w:hideMark/>
          </w:tcPr>
          <w:p w:rsidR="00190A8B" w:rsidRPr="00D26846" w:rsidRDefault="00190A8B" w:rsidP="001434C5">
            <w:pPr>
              <w:rPr>
                <w:rFonts w:ascii="Arial Narrow" w:hAnsi="Arial Narrow"/>
                <w:sz w:val="18"/>
                <w:szCs w:val="18"/>
              </w:rPr>
            </w:pPr>
            <w:r w:rsidRPr="00D26846">
              <w:rPr>
                <w:rFonts w:ascii="Arial Narrow" w:hAnsi="Arial Narrow"/>
                <w:b/>
                <w:bCs/>
                <w:sz w:val="18"/>
                <w:szCs w:val="18"/>
              </w:rPr>
              <w:t>Administrative Advice:</w:t>
            </w:r>
            <w:r w:rsidRPr="00D26846">
              <w:rPr>
                <w:rFonts w:ascii="Arial Narrow" w:hAnsi="Arial Narrow"/>
                <w:sz w:val="18"/>
                <w:szCs w:val="18"/>
              </w:rPr>
              <w:t xml:space="preserve"> Special Pricing Arrangements apply</w:t>
            </w:r>
          </w:p>
        </w:tc>
      </w:tr>
      <w:tr w:rsidR="00190A8B" w:rsidRPr="00D26846" w:rsidTr="00190A8B">
        <w:tc>
          <w:tcPr>
            <w:tcW w:w="5000" w:type="pct"/>
            <w:vAlign w:val="center"/>
            <w:hideMark/>
          </w:tcPr>
          <w:p w:rsidR="00190A8B" w:rsidRPr="00D26846" w:rsidRDefault="00190A8B" w:rsidP="003339DD">
            <w:pPr>
              <w:rPr>
                <w:rFonts w:ascii="Arial Narrow" w:hAnsi="Arial Narrow"/>
                <w:sz w:val="18"/>
                <w:szCs w:val="18"/>
              </w:rPr>
            </w:pPr>
            <w:r w:rsidRPr="00D26846">
              <w:rPr>
                <w:rFonts w:ascii="Arial Narrow" w:hAnsi="Arial Narrow"/>
                <w:b/>
                <w:bCs/>
                <w:sz w:val="18"/>
                <w:szCs w:val="18"/>
              </w:rPr>
              <w:t>Indication:</w:t>
            </w:r>
            <w:r w:rsidRPr="00D26846">
              <w:rPr>
                <w:rFonts w:ascii="Arial Narrow" w:hAnsi="Arial Narrow"/>
                <w:sz w:val="18"/>
                <w:szCs w:val="18"/>
              </w:rPr>
              <w:t xml:space="preserve"> Advanced (unresectable) Barcelona Clinic Liver Cancer Stage B or Stage C hepatocellular carcinoma </w:t>
            </w:r>
          </w:p>
        </w:tc>
      </w:tr>
      <w:tr w:rsidR="00190A8B" w:rsidRPr="00D26846" w:rsidTr="00190A8B">
        <w:tc>
          <w:tcPr>
            <w:tcW w:w="5000" w:type="pct"/>
            <w:vAlign w:val="center"/>
            <w:hideMark/>
          </w:tcPr>
          <w:p w:rsidR="00190A8B" w:rsidRPr="00D26846" w:rsidRDefault="00190A8B" w:rsidP="001434C5">
            <w:pPr>
              <w:rPr>
                <w:rFonts w:ascii="Arial Narrow" w:hAnsi="Arial Narrow"/>
                <w:sz w:val="18"/>
                <w:szCs w:val="18"/>
              </w:rPr>
            </w:pPr>
            <w:r w:rsidRPr="00D26846">
              <w:rPr>
                <w:rFonts w:ascii="Arial Narrow" w:hAnsi="Arial Narrow"/>
                <w:b/>
                <w:bCs/>
                <w:sz w:val="18"/>
                <w:szCs w:val="18"/>
              </w:rPr>
              <w:t>Treatment Phase:</w:t>
            </w:r>
            <w:r w:rsidRPr="00D26846">
              <w:rPr>
                <w:rFonts w:ascii="Arial Narrow" w:hAnsi="Arial Narrow"/>
                <w:sz w:val="18"/>
                <w:szCs w:val="18"/>
              </w:rPr>
              <w:t xml:space="preserve"> Initial treatment</w:t>
            </w:r>
          </w:p>
        </w:tc>
      </w:tr>
      <w:tr w:rsidR="00190A8B" w:rsidRPr="00D26846" w:rsidTr="00190A8B">
        <w:tc>
          <w:tcPr>
            <w:tcW w:w="5000" w:type="pct"/>
            <w:vAlign w:val="center"/>
            <w:hideMark/>
          </w:tcPr>
          <w:p w:rsidR="00190A8B" w:rsidRPr="00D26846" w:rsidRDefault="00190A8B" w:rsidP="001434C5">
            <w:pPr>
              <w:rPr>
                <w:rFonts w:ascii="Arial Narrow" w:hAnsi="Arial Narrow"/>
                <w:sz w:val="18"/>
                <w:szCs w:val="18"/>
              </w:rPr>
            </w:pPr>
            <w:r w:rsidRPr="00D26846">
              <w:rPr>
                <w:rFonts w:ascii="Arial Narrow" w:hAnsi="Arial Narrow"/>
                <w:b/>
                <w:bCs/>
                <w:sz w:val="18"/>
                <w:szCs w:val="18"/>
              </w:rPr>
              <w:t>Clinical criteria:</w:t>
            </w:r>
          </w:p>
        </w:tc>
      </w:tr>
      <w:tr w:rsidR="00190A8B" w:rsidRPr="00D26846" w:rsidTr="00190A8B">
        <w:tc>
          <w:tcPr>
            <w:tcW w:w="5000" w:type="pct"/>
            <w:vAlign w:val="center"/>
            <w:hideMark/>
          </w:tcPr>
          <w:p w:rsidR="00190A8B" w:rsidRPr="00D26846" w:rsidRDefault="00190A8B" w:rsidP="001434C5">
            <w:pPr>
              <w:rPr>
                <w:rFonts w:ascii="Arial Narrow" w:hAnsi="Arial Narrow"/>
                <w:sz w:val="18"/>
                <w:szCs w:val="18"/>
              </w:rPr>
            </w:pPr>
            <w:r w:rsidRPr="00D26846">
              <w:rPr>
                <w:rFonts w:ascii="Arial Narrow" w:hAnsi="Arial Narrow"/>
                <w:sz w:val="18"/>
                <w:szCs w:val="18"/>
              </w:rPr>
              <w:t>The treatment must be the sole PBS-subsidised therapy for this condition</w:t>
            </w:r>
          </w:p>
        </w:tc>
      </w:tr>
      <w:tr w:rsidR="00190A8B" w:rsidRPr="00D26846" w:rsidTr="00190A8B">
        <w:tc>
          <w:tcPr>
            <w:tcW w:w="5000" w:type="pct"/>
            <w:vAlign w:val="center"/>
            <w:hideMark/>
          </w:tcPr>
          <w:p w:rsidR="00190A8B" w:rsidRPr="00D26846" w:rsidRDefault="00190A8B" w:rsidP="001434C5">
            <w:pPr>
              <w:rPr>
                <w:rFonts w:ascii="Arial Narrow" w:hAnsi="Arial Narrow"/>
                <w:sz w:val="18"/>
                <w:szCs w:val="18"/>
              </w:rPr>
            </w:pPr>
            <w:r w:rsidRPr="00D26846">
              <w:rPr>
                <w:rFonts w:ascii="Arial Narrow" w:hAnsi="Arial Narrow"/>
                <w:b/>
                <w:bCs/>
                <w:sz w:val="18"/>
                <w:szCs w:val="18"/>
              </w:rPr>
              <w:t>AND</w:t>
            </w:r>
          </w:p>
        </w:tc>
      </w:tr>
      <w:tr w:rsidR="00190A8B" w:rsidRPr="00D26846" w:rsidTr="00190A8B">
        <w:tc>
          <w:tcPr>
            <w:tcW w:w="5000" w:type="pct"/>
            <w:vAlign w:val="center"/>
            <w:hideMark/>
          </w:tcPr>
          <w:p w:rsidR="00190A8B" w:rsidRPr="00D26846" w:rsidRDefault="00190A8B" w:rsidP="001434C5">
            <w:pPr>
              <w:rPr>
                <w:rFonts w:ascii="Arial Narrow" w:hAnsi="Arial Narrow"/>
                <w:sz w:val="18"/>
                <w:szCs w:val="18"/>
              </w:rPr>
            </w:pPr>
            <w:r w:rsidRPr="00D26846">
              <w:rPr>
                <w:rFonts w:ascii="Arial Narrow" w:hAnsi="Arial Narrow"/>
                <w:b/>
                <w:bCs/>
                <w:sz w:val="18"/>
                <w:szCs w:val="18"/>
              </w:rPr>
              <w:t>Clinical criteria:</w:t>
            </w:r>
          </w:p>
        </w:tc>
      </w:tr>
      <w:tr w:rsidR="00190A8B" w:rsidRPr="00D26846" w:rsidTr="00190A8B">
        <w:tc>
          <w:tcPr>
            <w:tcW w:w="5000" w:type="pct"/>
            <w:vAlign w:val="center"/>
            <w:hideMark/>
          </w:tcPr>
          <w:p w:rsidR="00190A8B" w:rsidRPr="00D26846" w:rsidRDefault="00190A8B" w:rsidP="001434C5">
            <w:pPr>
              <w:rPr>
                <w:rFonts w:ascii="Arial Narrow" w:hAnsi="Arial Narrow"/>
                <w:sz w:val="18"/>
                <w:szCs w:val="18"/>
              </w:rPr>
            </w:pPr>
            <w:r w:rsidRPr="00D26846">
              <w:rPr>
                <w:rFonts w:ascii="Arial Narrow" w:hAnsi="Arial Narrow"/>
                <w:sz w:val="18"/>
                <w:szCs w:val="18"/>
              </w:rPr>
              <w:t>Patient must have a WHO performance status of 2 or less</w:t>
            </w:r>
          </w:p>
        </w:tc>
      </w:tr>
      <w:tr w:rsidR="00190A8B" w:rsidRPr="00D26846" w:rsidTr="00190A8B">
        <w:tc>
          <w:tcPr>
            <w:tcW w:w="5000" w:type="pct"/>
            <w:vAlign w:val="center"/>
            <w:hideMark/>
          </w:tcPr>
          <w:p w:rsidR="00190A8B" w:rsidRPr="00D26846" w:rsidRDefault="00190A8B" w:rsidP="001434C5">
            <w:pPr>
              <w:rPr>
                <w:rFonts w:ascii="Arial Narrow" w:hAnsi="Arial Narrow"/>
                <w:sz w:val="18"/>
                <w:szCs w:val="18"/>
              </w:rPr>
            </w:pPr>
            <w:r w:rsidRPr="00D26846">
              <w:rPr>
                <w:rFonts w:ascii="Arial Narrow" w:hAnsi="Arial Narrow"/>
                <w:b/>
                <w:bCs/>
                <w:sz w:val="18"/>
                <w:szCs w:val="18"/>
              </w:rPr>
              <w:t>AND</w:t>
            </w:r>
          </w:p>
        </w:tc>
      </w:tr>
      <w:tr w:rsidR="00190A8B" w:rsidRPr="00D26846" w:rsidTr="00190A8B">
        <w:tc>
          <w:tcPr>
            <w:tcW w:w="5000" w:type="pct"/>
            <w:vAlign w:val="center"/>
            <w:hideMark/>
          </w:tcPr>
          <w:p w:rsidR="00190A8B" w:rsidRPr="00D26846" w:rsidRDefault="00190A8B" w:rsidP="001434C5">
            <w:pPr>
              <w:rPr>
                <w:rFonts w:ascii="Arial Narrow" w:hAnsi="Arial Narrow"/>
                <w:sz w:val="18"/>
                <w:szCs w:val="18"/>
              </w:rPr>
            </w:pPr>
            <w:r w:rsidRPr="00D26846">
              <w:rPr>
                <w:rFonts w:ascii="Arial Narrow" w:hAnsi="Arial Narrow"/>
                <w:b/>
                <w:bCs/>
                <w:sz w:val="18"/>
                <w:szCs w:val="18"/>
              </w:rPr>
              <w:t>Clinical criteria:</w:t>
            </w:r>
          </w:p>
        </w:tc>
      </w:tr>
      <w:tr w:rsidR="00190A8B" w:rsidRPr="00D26846" w:rsidTr="00190A8B">
        <w:tc>
          <w:tcPr>
            <w:tcW w:w="5000" w:type="pct"/>
            <w:vAlign w:val="center"/>
            <w:hideMark/>
          </w:tcPr>
          <w:p w:rsidR="00190A8B" w:rsidRPr="00D26846" w:rsidRDefault="00190A8B" w:rsidP="001434C5">
            <w:pPr>
              <w:rPr>
                <w:rFonts w:ascii="Arial Narrow" w:hAnsi="Arial Narrow"/>
                <w:sz w:val="18"/>
                <w:szCs w:val="18"/>
              </w:rPr>
            </w:pPr>
            <w:r w:rsidRPr="00D26846">
              <w:rPr>
                <w:rFonts w:ascii="Arial Narrow" w:hAnsi="Arial Narrow"/>
                <w:sz w:val="18"/>
                <w:szCs w:val="18"/>
              </w:rPr>
              <w:t>Patient must have Child Pugh class A</w:t>
            </w:r>
          </w:p>
        </w:tc>
      </w:tr>
      <w:tr w:rsidR="00190A8B" w:rsidRPr="00D26846" w:rsidTr="00190A8B">
        <w:tc>
          <w:tcPr>
            <w:tcW w:w="5000" w:type="pct"/>
            <w:vAlign w:val="center"/>
            <w:hideMark/>
          </w:tcPr>
          <w:p w:rsidR="00190A8B" w:rsidRPr="00D26846" w:rsidRDefault="00190A8B" w:rsidP="001434C5">
            <w:pPr>
              <w:rPr>
                <w:rFonts w:ascii="Arial Narrow" w:hAnsi="Arial Narrow"/>
                <w:sz w:val="18"/>
                <w:szCs w:val="18"/>
              </w:rPr>
            </w:pPr>
            <w:r w:rsidRPr="00D26846">
              <w:rPr>
                <w:rFonts w:ascii="Arial Narrow" w:hAnsi="Arial Narrow"/>
                <w:b/>
                <w:bCs/>
                <w:sz w:val="18"/>
                <w:szCs w:val="18"/>
              </w:rPr>
              <w:t>AND</w:t>
            </w:r>
          </w:p>
        </w:tc>
      </w:tr>
      <w:tr w:rsidR="00190A8B" w:rsidRPr="00D26846" w:rsidTr="00190A8B">
        <w:tc>
          <w:tcPr>
            <w:tcW w:w="5000" w:type="pct"/>
            <w:vAlign w:val="center"/>
            <w:hideMark/>
          </w:tcPr>
          <w:p w:rsidR="00190A8B" w:rsidRPr="00D26846" w:rsidRDefault="00190A8B" w:rsidP="001434C5">
            <w:pPr>
              <w:rPr>
                <w:rFonts w:ascii="Arial Narrow" w:hAnsi="Arial Narrow"/>
                <w:sz w:val="18"/>
                <w:szCs w:val="18"/>
              </w:rPr>
            </w:pPr>
            <w:r w:rsidRPr="00D26846">
              <w:rPr>
                <w:rFonts w:ascii="Arial Narrow" w:hAnsi="Arial Narrow"/>
                <w:b/>
                <w:bCs/>
                <w:sz w:val="18"/>
                <w:szCs w:val="18"/>
              </w:rPr>
              <w:t>Clinical criteria:</w:t>
            </w:r>
          </w:p>
        </w:tc>
      </w:tr>
      <w:tr w:rsidR="00190A8B" w:rsidRPr="00D26846" w:rsidTr="00190A8B">
        <w:tc>
          <w:tcPr>
            <w:tcW w:w="5000" w:type="pct"/>
            <w:tcBorders>
              <w:top w:val="single" w:sz="4" w:space="0" w:color="auto"/>
              <w:left w:val="single" w:sz="4" w:space="0" w:color="auto"/>
              <w:right w:val="single" w:sz="4" w:space="0" w:color="auto"/>
            </w:tcBorders>
          </w:tcPr>
          <w:p w:rsidR="00190A8B" w:rsidRPr="00D26846" w:rsidRDefault="00190A8B" w:rsidP="001434C5">
            <w:pPr>
              <w:keepNext/>
              <w:keepLines/>
              <w:rPr>
                <w:rFonts w:ascii="Arial Narrow" w:hAnsi="Arial Narrow" w:cs="Calibri"/>
                <w:bCs/>
                <w:sz w:val="18"/>
                <w:szCs w:val="18"/>
                <w:lang w:eastAsia="zh-CN"/>
              </w:rPr>
            </w:pPr>
            <w:r w:rsidRPr="00D26846">
              <w:rPr>
                <w:rFonts w:ascii="Arial Narrow" w:hAnsi="Arial Narrow" w:cs="Calibri"/>
                <w:bCs/>
                <w:sz w:val="18"/>
                <w:szCs w:val="18"/>
                <w:lang w:eastAsia="zh-CN"/>
              </w:rPr>
              <w:t>The condition must be untreated with systemic therapy; OR</w:t>
            </w:r>
          </w:p>
        </w:tc>
      </w:tr>
      <w:tr w:rsidR="00190A8B" w:rsidRPr="00D26846" w:rsidTr="00190A8B">
        <w:tc>
          <w:tcPr>
            <w:tcW w:w="5000" w:type="pct"/>
            <w:vAlign w:val="center"/>
            <w:hideMark/>
          </w:tcPr>
          <w:p w:rsidR="00190A8B" w:rsidRPr="00D26846" w:rsidRDefault="00DC4405" w:rsidP="001434C5">
            <w:pPr>
              <w:rPr>
                <w:rFonts w:ascii="Arial Narrow" w:hAnsi="Arial Narrow"/>
                <w:sz w:val="18"/>
                <w:szCs w:val="18"/>
              </w:rPr>
            </w:pPr>
            <w:r w:rsidRPr="00DC4405">
              <w:rPr>
                <w:rFonts w:ascii="Arial Narrow" w:hAnsi="Arial Narrow"/>
                <w:sz w:val="18"/>
                <w:szCs w:val="18"/>
              </w:rPr>
              <w:t>Patient must have developed intolerance of a severity necessitating permanent treatment withdrawal, in the absence of disease progression, to any of the following: (i) a vascular endothelial growth factor tyrosine kinase inhibitor, (ii) atezolizumab/bevacizumab combination therapy.</w:t>
            </w:r>
          </w:p>
        </w:tc>
      </w:tr>
    </w:tbl>
    <w:p w:rsidR="001434C5" w:rsidRPr="00E63DF4" w:rsidRDefault="001434C5" w:rsidP="001434C5"/>
    <w:p w:rsidR="001434C5" w:rsidRPr="00E63DF4" w:rsidRDefault="001434C5" w:rsidP="001434C5">
      <w:pPr>
        <w:rPr>
          <w:rFonts w:ascii="Arial Narrow" w:hAnsi="Arial Narrow"/>
          <w:b/>
          <w:sz w:val="18"/>
          <w:szCs w:val="18"/>
        </w:rPr>
      </w:pPr>
      <w:r w:rsidRPr="00E63DF4">
        <w:rPr>
          <w:rFonts w:ascii="Arial Narrow" w:hAnsi="Arial Narrow"/>
          <w:b/>
          <w:sz w:val="18"/>
          <w:szCs w:val="18"/>
        </w:rPr>
        <w:t>Restriction Summary 8615 / ToC: 8617: Authority Required: Streamlined</w:t>
      </w:r>
    </w:p>
    <w:p w:rsidR="001434C5" w:rsidRPr="00190A8B" w:rsidRDefault="001434C5" w:rsidP="001434C5">
      <w:pPr>
        <w:rPr>
          <w:rFonts w:ascii="Arial Narrow" w:hAnsi="Arial Narrow"/>
          <w:sz w:val="18"/>
          <w:szCs w:val="18"/>
        </w:rPr>
      </w:pPr>
      <w:r w:rsidRPr="00190A8B">
        <w:rPr>
          <w:rFonts w:ascii="Arial Narrow" w:hAnsi="Arial Narrow"/>
          <w:sz w:val="18"/>
          <w:szCs w:val="18"/>
        </w:rPr>
        <w:t>No changes</w:t>
      </w:r>
    </w:p>
    <w:tbl>
      <w:tblPr>
        <w:tblW w:w="43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14"/>
      </w:tblGrid>
      <w:tr w:rsidR="00190A8B" w:rsidRPr="00E63DF4" w:rsidTr="00190A8B">
        <w:tc>
          <w:tcPr>
            <w:tcW w:w="5000" w:type="pct"/>
            <w:vAlign w:val="center"/>
            <w:hideMark/>
          </w:tcPr>
          <w:p w:rsidR="00190A8B" w:rsidRPr="003F2178" w:rsidRDefault="00190A8B" w:rsidP="001434C5">
            <w:pPr>
              <w:rPr>
                <w:rFonts w:ascii="Arial Narrow" w:hAnsi="Arial Narrow"/>
                <w:sz w:val="18"/>
                <w:szCs w:val="18"/>
              </w:rPr>
            </w:pPr>
            <w:r w:rsidRPr="003F2178">
              <w:rPr>
                <w:rFonts w:ascii="Arial Narrow" w:hAnsi="Arial Narrow"/>
                <w:b/>
                <w:bCs/>
                <w:sz w:val="18"/>
                <w:szCs w:val="18"/>
              </w:rPr>
              <w:t>Administrative Advice:</w:t>
            </w:r>
          </w:p>
          <w:p w:rsidR="00190A8B" w:rsidRPr="003F2178" w:rsidRDefault="00190A8B" w:rsidP="001434C5">
            <w:pPr>
              <w:rPr>
                <w:rFonts w:ascii="Arial Narrow" w:hAnsi="Arial Narrow"/>
                <w:sz w:val="18"/>
                <w:szCs w:val="18"/>
              </w:rPr>
            </w:pPr>
            <w:r w:rsidRPr="003F2178">
              <w:rPr>
                <w:rFonts w:ascii="Arial Narrow" w:hAnsi="Arial Narrow"/>
                <w:sz w:val="18"/>
                <w:szCs w:val="18"/>
              </w:rPr>
              <w:t>Sorafenib is not PBS-subsidised for adjunctive treatment after resection, ablation or chemoembolization.</w:t>
            </w:r>
          </w:p>
          <w:p w:rsidR="00190A8B" w:rsidRPr="003F2178" w:rsidRDefault="00190A8B" w:rsidP="001434C5">
            <w:pPr>
              <w:rPr>
                <w:rFonts w:ascii="Arial Narrow" w:hAnsi="Arial Narrow"/>
                <w:sz w:val="18"/>
                <w:szCs w:val="18"/>
              </w:rPr>
            </w:pPr>
            <w:r w:rsidRPr="003F2178">
              <w:rPr>
                <w:rFonts w:ascii="Arial Narrow" w:hAnsi="Arial Narrow"/>
                <w:sz w:val="18"/>
                <w:szCs w:val="18"/>
              </w:rPr>
              <w:t>Sorafenib is not PBS-subsidised for maintenance therapy after disease progression.</w:t>
            </w:r>
          </w:p>
        </w:tc>
      </w:tr>
      <w:tr w:rsidR="00190A8B" w:rsidRPr="00E63DF4" w:rsidTr="00190A8B">
        <w:tc>
          <w:tcPr>
            <w:tcW w:w="5000" w:type="pct"/>
            <w:vAlign w:val="center"/>
            <w:hideMark/>
          </w:tcPr>
          <w:p w:rsidR="00190A8B" w:rsidRPr="003F2178" w:rsidRDefault="00190A8B" w:rsidP="001434C5">
            <w:pPr>
              <w:rPr>
                <w:rFonts w:ascii="Arial Narrow" w:hAnsi="Arial Narrow"/>
                <w:sz w:val="18"/>
                <w:szCs w:val="18"/>
              </w:rPr>
            </w:pPr>
            <w:r w:rsidRPr="003F2178">
              <w:rPr>
                <w:rFonts w:ascii="Arial Narrow" w:hAnsi="Arial Narrow"/>
                <w:b/>
                <w:bCs/>
                <w:sz w:val="18"/>
                <w:szCs w:val="18"/>
              </w:rPr>
              <w:t>Administrative Advice:</w:t>
            </w:r>
            <w:r w:rsidRPr="003F2178">
              <w:rPr>
                <w:rFonts w:ascii="Arial Narrow" w:hAnsi="Arial Narrow"/>
                <w:sz w:val="18"/>
                <w:szCs w:val="18"/>
              </w:rPr>
              <w:t xml:space="preserve"> No increase in the maximum quantity or number of units may be authorised.</w:t>
            </w:r>
          </w:p>
        </w:tc>
      </w:tr>
      <w:tr w:rsidR="00190A8B" w:rsidRPr="00E63DF4" w:rsidTr="00190A8B">
        <w:tc>
          <w:tcPr>
            <w:tcW w:w="5000" w:type="pct"/>
            <w:vAlign w:val="center"/>
            <w:hideMark/>
          </w:tcPr>
          <w:p w:rsidR="00190A8B" w:rsidRPr="003F2178" w:rsidRDefault="00190A8B" w:rsidP="001434C5">
            <w:pPr>
              <w:rPr>
                <w:rFonts w:ascii="Arial Narrow" w:hAnsi="Arial Narrow"/>
                <w:sz w:val="18"/>
                <w:szCs w:val="18"/>
              </w:rPr>
            </w:pPr>
            <w:r w:rsidRPr="003F2178">
              <w:rPr>
                <w:rFonts w:ascii="Arial Narrow" w:hAnsi="Arial Narrow"/>
                <w:b/>
                <w:bCs/>
                <w:sz w:val="18"/>
                <w:szCs w:val="18"/>
              </w:rPr>
              <w:t>Administrative Advice:</w:t>
            </w:r>
            <w:r w:rsidRPr="003F2178">
              <w:rPr>
                <w:rFonts w:ascii="Arial Narrow" w:hAnsi="Arial Narrow"/>
                <w:sz w:val="18"/>
                <w:szCs w:val="18"/>
              </w:rPr>
              <w:t xml:space="preserve"> No increase in the maximum number of repeats may be authorised.</w:t>
            </w:r>
          </w:p>
        </w:tc>
      </w:tr>
      <w:tr w:rsidR="00190A8B" w:rsidRPr="00E63DF4" w:rsidTr="00190A8B">
        <w:tc>
          <w:tcPr>
            <w:tcW w:w="5000" w:type="pct"/>
            <w:vAlign w:val="center"/>
            <w:hideMark/>
          </w:tcPr>
          <w:p w:rsidR="00190A8B" w:rsidRPr="003F2178" w:rsidRDefault="00190A8B" w:rsidP="001434C5">
            <w:pPr>
              <w:rPr>
                <w:rFonts w:ascii="Arial Narrow" w:hAnsi="Arial Narrow"/>
                <w:sz w:val="18"/>
                <w:szCs w:val="18"/>
              </w:rPr>
            </w:pPr>
            <w:r w:rsidRPr="003F2178">
              <w:rPr>
                <w:rFonts w:ascii="Arial Narrow" w:hAnsi="Arial Narrow"/>
                <w:b/>
                <w:bCs/>
                <w:sz w:val="18"/>
                <w:szCs w:val="18"/>
              </w:rPr>
              <w:t>Administrative Advice:</w:t>
            </w:r>
            <w:r w:rsidRPr="003F2178">
              <w:rPr>
                <w:rFonts w:ascii="Arial Narrow" w:hAnsi="Arial Narrow"/>
                <w:sz w:val="18"/>
                <w:szCs w:val="18"/>
              </w:rPr>
              <w:t xml:space="preserve"> Special Pricing Arrangements apply.</w:t>
            </w:r>
          </w:p>
        </w:tc>
      </w:tr>
      <w:tr w:rsidR="00190A8B" w:rsidRPr="00E63DF4" w:rsidTr="00190A8B">
        <w:tc>
          <w:tcPr>
            <w:tcW w:w="5000" w:type="pct"/>
            <w:vAlign w:val="center"/>
            <w:hideMark/>
          </w:tcPr>
          <w:p w:rsidR="00190A8B" w:rsidRPr="003F2178" w:rsidRDefault="00190A8B" w:rsidP="001434C5">
            <w:pPr>
              <w:rPr>
                <w:rFonts w:ascii="Arial Narrow" w:hAnsi="Arial Narrow"/>
                <w:sz w:val="18"/>
                <w:szCs w:val="18"/>
              </w:rPr>
            </w:pPr>
            <w:r w:rsidRPr="003F2178">
              <w:rPr>
                <w:rFonts w:ascii="Arial Narrow" w:hAnsi="Arial Narrow"/>
                <w:b/>
                <w:bCs/>
                <w:sz w:val="18"/>
                <w:szCs w:val="18"/>
              </w:rPr>
              <w:t>Indication:</w:t>
            </w:r>
            <w:r w:rsidRPr="003F2178">
              <w:rPr>
                <w:rFonts w:ascii="Arial Narrow" w:hAnsi="Arial Narrow"/>
                <w:sz w:val="18"/>
                <w:szCs w:val="18"/>
              </w:rPr>
              <w:t xml:space="preserve"> Advanced Barcelona Clinic Liver Cancer Stage B or Stage C hepatocellular carcinoma</w:t>
            </w:r>
          </w:p>
        </w:tc>
      </w:tr>
      <w:tr w:rsidR="00190A8B" w:rsidRPr="00E63DF4" w:rsidTr="00190A8B">
        <w:tc>
          <w:tcPr>
            <w:tcW w:w="5000" w:type="pct"/>
            <w:vAlign w:val="center"/>
            <w:hideMark/>
          </w:tcPr>
          <w:p w:rsidR="00190A8B" w:rsidRPr="003F2178" w:rsidRDefault="00190A8B" w:rsidP="001434C5">
            <w:pPr>
              <w:rPr>
                <w:rFonts w:ascii="Arial Narrow" w:hAnsi="Arial Narrow"/>
                <w:sz w:val="18"/>
                <w:szCs w:val="18"/>
              </w:rPr>
            </w:pPr>
            <w:r w:rsidRPr="003F2178">
              <w:rPr>
                <w:rFonts w:ascii="Arial Narrow" w:hAnsi="Arial Narrow"/>
                <w:b/>
                <w:bCs/>
                <w:sz w:val="18"/>
                <w:szCs w:val="18"/>
              </w:rPr>
              <w:t>Treatment Phase:</w:t>
            </w:r>
            <w:r w:rsidRPr="003F2178">
              <w:rPr>
                <w:rFonts w:ascii="Arial Narrow" w:hAnsi="Arial Narrow"/>
                <w:sz w:val="18"/>
                <w:szCs w:val="18"/>
              </w:rPr>
              <w:t xml:space="preserve"> Continuing treatment</w:t>
            </w:r>
          </w:p>
        </w:tc>
      </w:tr>
      <w:tr w:rsidR="00190A8B" w:rsidRPr="00E63DF4" w:rsidTr="00190A8B">
        <w:tc>
          <w:tcPr>
            <w:tcW w:w="5000" w:type="pct"/>
            <w:vAlign w:val="center"/>
            <w:hideMark/>
          </w:tcPr>
          <w:p w:rsidR="00190A8B" w:rsidRPr="003F2178" w:rsidRDefault="00190A8B" w:rsidP="001434C5">
            <w:pPr>
              <w:rPr>
                <w:rFonts w:ascii="Arial Narrow" w:hAnsi="Arial Narrow"/>
                <w:sz w:val="18"/>
                <w:szCs w:val="18"/>
              </w:rPr>
            </w:pPr>
            <w:r w:rsidRPr="003F2178">
              <w:rPr>
                <w:rFonts w:ascii="Arial Narrow" w:hAnsi="Arial Narrow"/>
                <w:b/>
                <w:bCs/>
                <w:sz w:val="18"/>
                <w:szCs w:val="18"/>
              </w:rPr>
              <w:t>Clinical criteria:</w:t>
            </w:r>
          </w:p>
        </w:tc>
      </w:tr>
      <w:tr w:rsidR="00190A8B" w:rsidRPr="00E63DF4" w:rsidTr="00190A8B">
        <w:tc>
          <w:tcPr>
            <w:tcW w:w="5000" w:type="pct"/>
            <w:vAlign w:val="center"/>
            <w:hideMark/>
          </w:tcPr>
          <w:p w:rsidR="00190A8B" w:rsidRPr="003F2178" w:rsidRDefault="00190A8B" w:rsidP="001434C5">
            <w:pPr>
              <w:rPr>
                <w:rFonts w:ascii="Arial Narrow" w:hAnsi="Arial Narrow"/>
                <w:sz w:val="18"/>
                <w:szCs w:val="18"/>
              </w:rPr>
            </w:pPr>
            <w:r w:rsidRPr="003F2178">
              <w:rPr>
                <w:rFonts w:ascii="Arial Narrow" w:hAnsi="Arial Narrow"/>
                <w:sz w:val="18"/>
                <w:szCs w:val="18"/>
              </w:rPr>
              <w:t>The treatment must be the sole PBS-subsidised therapy for this condition</w:t>
            </w:r>
          </w:p>
        </w:tc>
      </w:tr>
      <w:tr w:rsidR="00190A8B" w:rsidRPr="00E63DF4" w:rsidTr="00190A8B">
        <w:tc>
          <w:tcPr>
            <w:tcW w:w="5000" w:type="pct"/>
            <w:vAlign w:val="center"/>
            <w:hideMark/>
          </w:tcPr>
          <w:p w:rsidR="00190A8B" w:rsidRPr="003F2178" w:rsidRDefault="00190A8B" w:rsidP="001434C5">
            <w:pPr>
              <w:rPr>
                <w:rFonts w:ascii="Arial Narrow" w:hAnsi="Arial Narrow"/>
                <w:sz w:val="18"/>
                <w:szCs w:val="18"/>
              </w:rPr>
            </w:pPr>
            <w:r w:rsidRPr="003F2178">
              <w:rPr>
                <w:rFonts w:ascii="Arial Narrow" w:hAnsi="Arial Narrow"/>
                <w:b/>
                <w:bCs/>
                <w:sz w:val="18"/>
                <w:szCs w:val="18"/>
              </w:rPr>
              <w:t>AND</w:t>
            </w:r>
          </w:p>
        </w:tc>
      </w:tr>
      <w:tr w:rsidR="00190A8B" w:rsidRPr="00E63DF4" w:rsidTr="00190A8B">
        <w:tc>
          <w:tcPr>
            <w:tcW w:w="5000" w:type="pct"/>
            <w:vAlign w:val="center"/>
            <w:hideMark/>
          </w:tcPr>
          <w:p w:rsidR="00190A8B" w:rsidRPr="003F2178" w:rsidRDefault="00190A8B" w:rsidP="001434C5">
            <w:pPr>
              <w:rPr>
                <w:rFonts w:ascii="Arial Narrow" w:hAnsi="Arial Narrow"/>
                <w:sz w:val="18"/>
                <w:szCs w:val="18"/>
              </w:rPr>
            </w:pPr>
            <w:r w:rsidRPr="003F2178">
              <w:rPr>
                <w:rFonts w:ascii="Arial Narrow" w:hAnsi="Arial Narrow"/>
                <w:b/>
                <w:bCs/>
                <w:sz w:val="18"/>
                <w:szCs w:val="18"/>
              </w:rPr>
              <w:t>Clinical criteria:</w:t>
            </w:r>
          </w:p>
        </w:tc>
      </w:tr>
      <w:tr w:rsidR="00190A8B" w:rsidRPr="00E63DF4" w:rsidTr="00190A8B">
        <w:tc>
          <w:tcPr>
            <w:tcW w:w="5000" w:type="pct"/>
            <w:vAlign w:val="center"/>
            <w:hideMark/>
          </w:tcPr>
          <w:p w:rsidR="00190A8B" w:rsidRPr="003F2178" w:rsidRDefault="00190A8B" w:rsidP="001434C5">
            <w:pPr>
              <w:rPr>
                <w:rFonts w:ascii="Arial Narrow" w:hAnsi="Arial Narrow"/>
                <w:sz w:val="18"/>
                <w:szCs w:val="18"/>
              </w:rPr>
            </w:pPr>
            <w:r w:rsidRPr="003F2178">
              <w:rPr>
                <w:rFonts w:ascii="Arial Narrow" w:hAnsi="Arial Narrow"/>
                <w:sz w:val="18"/>
                <w:szCs w:val="18"/>
              </w:rPr>
              <w:t>Patient must have previously received PBS-subsidised treatment with this drug for this condition</w:t>
            </w:r>
          </w:p>
        </w:tc>
      </w:tr>
      <w:tr w:rsidR="00190A8B" w:rsidRPr="00E63DF4" w:rsidTr="00190A8B">
        <w:tc>
          <w:tcPr>
            <w:tcW w:w="5000" w:type="pct"/>
            <w:vAlign w:val="center"/>
            <w:hideMark/>
          </w:tcPr>
          <w:p w:rsidR="00190A8B" w:rsidRPr="003F2178" w:rsidRDefault="00190A8B" w:rsidP="001434C5">
            <w:pPr>
              <w:rPr>
                <w:rFonts w:ascii="Arial Narrow" w:hAnsi="Arial Narrow"/>
                <w:sz w:val="18"/>
                <w:szCs w:val="18"/>
              </w:rPr>
            </w:pPr>
            <w:r w:rsidRPr="003F2178">
              <w:rPr>
                <w:rFonts w:ascii="Arial Narrow" w:hAnsi="Arial Narrow"/>
                <w:b/>
                <w:bCs/>
                <w:sz w:val="18"/>
                <w:szCs w:val="18"/>
              </w:rPr>
              <w:t>AND</w:t>
            </w:r>
          </w:p>
        </w:tc>
      </w:tr>
      <w:tr w:rsidR="00190A8B" w:rsidRPr="00E63DF4" w:rsidTr="00190A8B">
        <w:tc>
          <w:tcPr>
            <w:tcW w:w="5000" w:type="pct"/>
            <w:vAlign w:val="center"/>
            <w:hideMark/>
          </w:tcPr>
          <w:p w:rsidR="00190A8B" w:rsidRPr="003F2178" w:rsidRDefault="00190A8B" w:rsidP="001434C5">
            <w:pPr>
              <w:rPr>
                <w:rFonts w:ascii="Arial Narrow" w:hAnsi="Arial Narrow"/>
                <w:sz w:val="18"/>
                <w:szCs w:val="18"/>
              </w:rPr>
            </w:pPr>
            <w:r w:rsidRPr="003F2178">
              <w:rPr>
                <w:rFonts w:ascii="Arial Narrow" w:hAnsi="Arial Narrow"/>
                <w:b/>
                <w:bCs/>
                <w:sz w:val="18"/>
                <w:szCs w:val="18"/>
              </w:rPr>
              <w:t>Clinical criteria:</w:t>
            </w:r>
          </w:p>
        </w:tc>
      </w:tr>
      <w:tr w:rsidR="00190A8B" w:rsidRPr="00E63DF4" w:rsidTr="00190A8B">
        <w:tc>
          <w:tcPr>
            <w:tcW w:w="5000" w:type="pct"/>
            <w:vAlign w:val="center"/>
            <w:hideMark/>
          </w:tcPr>
          <w:p w:rsidR="00190A8B" w:rsidRPr="003F2178" w:rsidRDefault="00190A8B" w:rsidP="001434C5">
            <w:pPr>
              <w:rPr>
                <w:rFonts w:ascii="Arial Narrow" w:hAnsi="Arial Narrow"/>
                <w:sz w:val="18"/>
                <w:szCs w:val="18"/>
              </w:rPr>
            </w:pPr>
            <w:r w:rsidRPr="003F2178">
              <w:rPr>
                <w:rFonts w:ascii="Arial Narrow" w:hAnsi="Arial Narrow"/>
                <w:sz w:val="18"/>
                <w:szCs w:val="18"/>
              </w:rPr>
              <w:t>Patient must not develop disease progression while receiving treatment with this drug for this condition</w:t>
            </w:r>
          </w:p>
        </w:tc>
      </w:tr>
    </w:tbl>
    <w:p w:rsidR="001434C5" w:rsidRPr="00E63DF4" w:rsidRDefault="001434C5" w:rsidP="001434C5"/>
    <w:p w:rsidR="001434C5" w:rsidRPr="00E63DF4" w:rsidRDefault="001434C5" w:rsidP="00D26846">
      <w:pPr>
        <w:keepNext/>
        <w:keepLines/>
      </w:pPr>
      <w:r w:rsidRPr="00E63DF4">
        <w:t>11638M lenvatinib:</w:t>
      </w:r>
    </w:p>
    <w:p w:rsidR="001434C5" w:rsidRPr="00E63DF4" w:rsidRDefault="001434C5" w:rsidP="00D26846">
      <w:pPr>
        <w:keepNext/>
        <w:keepLines/>
      </w:pPr>
    </w:p>
    <w:p w:rsidR="001434C5" w:rsidRPr="00D26846" w:rsidRDefault="001434C5" w:rsidP="00D26846">
      <w:pPr>
        <w:keepNext/>
        <w:keepLines/>
        <w:rPr>
          <w:rFonts w:ascii="Arial Narrow" w:hAnsi="Arial Narrow"/>
          <w:b/>
          <w:sz w:val="18"/>
          <w:szCs w:val="18"/>
        </w:rPr>
      </w:pPr>
      <w:r w:rsidRPr="00D26846">
        <w:rPr>
          <w:rFonts w:ascii="Arial Narrow" w:hAnsi="Arial Narrow"/>
          <w:b/>
          <w:sz w:val="18"/>
          <w:szCs w:val="18"/>
        </w:rPr>
        <w:t>Restriction Summary 8593 / ToC: 8593: Authority Required: Streamlined</w:t>
      </w:r>
    </w:p>
    <w:tbl>
      <w:tblPr>
        <w:tblW w:w="43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14"/>
      </w:tblGrid>
      <w:tr w:rsidR="00190A8B" w:rsidRPr="00D26846" w:rsidTr="00190A8B">
        <w:tc>
          <w:tcPr>
            <w:tcW w:w="5000" w:type="pct"/>
            <w:vAlign w:val="center"/>
            <w:hideMark/>
          </w:tcPr>
          <w:p w:rsidR="00190A8B" w:rsidRPr="00D26846" w:rsidRDefault="00190A8B" w:rsidP="00D26846">
            <w:pPr>
              <w:keepNext/>
              <w:keepLines/>
              <w:rPr>
                <w:rFonts w:ascii="Arial Narrow" w:hAnsi="Arial Narrow"/>
                <w:color w:val="333333"/>
                <w:sz w:val="18"/>
                <w:szCs w:val="18"/>
              </w:rPr>
            </w:pPr>
            <w:r w:rsidRPr="00D26846">
              <w:rPr>
                <w:rFonts w:ascii="Arial Narrow" w:hAnsi="Arial Narrow"/>
                <w:b/>
                <w:bCs/>
                <w:color w:val="333333"/>
                <w:sz w:val="18"/>
                <w:szCs w:val="18"/>
              </w:rPr>
              <w:t>Administrative Advice:</w:t>
            </w:r>
            <w:r w:rsidRPr="00D26846">
              <w:rPr>
                <w:rFonts w:ascii="Arial Narrow" w:hAnsi="Arial Narrow"/>
                <w:color w:val="333333"/>
                <w:sz w:val="18"/>
                <w:szCs w:val="18"/>
              </w:rPr>
              <w:t xml:space="preserve"> No increase in the maximum number of repeats may be authorised.</w:t>
            </w:r>
          </w:p>
        </w:tc>
      </w:tr>
      <w:tr w:rsidR="00190A8B" w:rsidRPr="00D26846" w:rsidTr="00190A8B">
        <w:tc>
          <w:tcPr>
            <w:tcW w:w="5000" w:type="pct"/>
            <w:vAlign w:val="center"/>
            <w:hideMark/>
          </w:tcPr>
          <w:p w:rsidR="00190A8B" w:rsidRPr="00D26846" w:rsidRDefault="00190A8B" w:rsidP="00D26846">
            <w:pPr>
              <w:keepNext/>
              <w:keepLines/>
              <w:rPr>
                <w:rFonts w:ascii="Arial Narrow" w:hAnsi="Arial Narrow"/>
                <w:color w:val="333333"/>
                <w:sz w:val="18"/>
                <w:szCs w:val="18"/>
              </w:rPr>
            </w:pPr>
            <w:r w:rsidRPr="00D26846">
              <w:rPr>
                <w:rFonts w:ascii="Arial Narrow" w:hAnsi="Arial Narrow"/>
                <w:b/>
                <w:bCs/>
                <w:color w:val="333333"/>
                <w:sz w:val="18"/>
                <w:szCs w:val="18"/>
              </w:rPr>
              <w:t>Administrative Advice:</w:t>
            </w:r>
            <w:r w:rsidRPr="00D26846">
              <w:rPr>
                <w:rFonts w:ascii="Arial Narrow" w:hAnsi="Arial Narrow"/>
                <w:color w:val="333333"/>
                <w:sz w:val="18"/>
                <w:szCs w:val="18"/>
              </w:rPr>
              <w:t xml:space="preserve"> Special Pricing Arrangements apply.</w:t>
            </w:r>
          </w:p>
        </w:tc>
      </w:tr>
      <w:tr w:rsidR="00190A8B" w:rsidRPr="00D26846" w:rsidTr="00190A8B">
        <w:tc>
          <w:tcPr>
            <w:tcW w:w="5000" w:type="pct"/>
            <w:vAlign w:val="center"/>
            <w:hideMark/>
          </w:tcPr>
          <w:p w:rsidR="00190A8B" w:rsidRPr="00D26846" w:rsidRDefault="00190A8B" w:rsidP="00D26846">
            <w:pPr>
              <w:keepNext/>
              <w:keepLines/>
              <w:rPr>
                <w:rFonts w:ascii="Arial Narrow" w:hAnsi="Arial Narrow"/>
                <w:color w:val="333333"/>
                <w:sz w:val="18"/>
                <w:szCs w:val="18"/>
              </w:rPr>
            </w:pPr>
            <w:r w:rsidRPr="00D26846">
              <w:rPr>
                <w:rFonts w:ascii="Arial Narrow" w:hAnsi="Arial Narrow"/>
                <w:b/>
                <w:bCs/>
                <w:color w:val="333333"/>
                <w:sz w:val="18"/>
                <w:szCs w:val="18"/>
              </w:rPr>
              <w:t>Indication:</w:t>
            </w:r>
            <w:r w:rsidRPr="00D26846">
              <w:rPr>
                <w:rFonts w:ascii="Arial Narrow" w:hAnsi="Arial Narrow"/>
                <w:color w:val="333333"/>
                <w:sz w:val="18"/>
                <w:szCs w:val="18"/>
              </w:rPr>
              <w:t xml:space="preserve"> Advanced (unresectable) Barcelona Clinic Liver Cancer Stage B or Stage C hepatocellular carcinoma</w:t>
            </w:r>
          </w:p>
        </w:tc>
      </w:tr>
      <w:tr w:rsidR="00190A8B" w:rsidRPr="00D26846" w:rsidTr="00190A8B">
        <w:tc>
          <w:tcPr>
            <w:tcW w:w="5000" w:type="pct"/>
            <w:vAlign w:val="center"/>
            <w:hideMark/>
          </w:tcPr>
          <w:p w:rsidR="00190A8B" w:rsidRPr="00D26846" w:rsidRDefault="00190A8B" w:rsidP="00D26846">
            <w:pPr>
              <w:keepNext/>
              <w:keepLines/>
              <w:rPr>
                <w:rFonts w:ascii="Arial Narrow" w:hAnsi="Arial Narrow"/>
                <w:color w:val="333333"/>
                <w:sz w:val="18"/>
                <w:szCs w:val="18"/>
              </w:rPr>
            </w:pPr>
            <w:r w:rsidRPr="00D26846">
              <w:rPr>
                <w:rFonts w:ascii="Arial Narrow" w:hAnsi="Arial Narrow"/>
                <w:b/>
                <w:bCs/>
                <w:color w:val="333333"/>
                <w:sz w:val="18"/>
                <w:szCs w:val="18"/>
              </w:rPr>
              <w:t>Treatment Phase:</w:t>
            </w:r>
            <w:r w:rsidRPr="00D26846">
              <w:rPr>
                <w:rFonts w:ascii="Arial Narrow" w:hAnsi="Arial Narrow"/>
                <w:color w:val="333333"/>
                <w:sz w:val="18"/>
                <w:szCs w:val="18"/>
              </w:rPr>
              <w:t xml:space="preserve"> Initial treatment</w:t>
            </w:r>
          </w:p>
        </w:tc>
      </w:tr>
      <w:tr w:rsidR="00190A8B" w:rsidRPr="00D26846" w:rsidTr="00190A8B">
        <w:tc>
          <w:tcPr>
            <w:tcW w:w="5000" w:type="pct"/>
            <w:vAlign w:val="center"/>
            <w:hideMark/>
          </w:tcPr>
          <w:p w:rsidR="00190A8B" w:rsidRPr="00D26846" w:rsidRDefault="00190A8B" w:rsidP="00D26846">
            <w:pPr>
              <w:keepNext/>
              <w:keepLines/>
              <w:rPr>
                <w:rFonts w:ascii="Arial Narrow" w:hAnsi="Arial Narrow"/>
                <w:color w:val="333333"/>
                <w:sz w:val="18"/>
                <w:szCs w:val="18"/>
              </w:rPr>
            </w:pPr>
            <w:r w:rsidRPr="00D26846">
              <w:rPr>
                <w:rFonts w:ascii="Arial Narrow" w:hAnsi="Arial Narrow"/>
                <w:b/>
                <w:bCs/>
                <w:color w:val="333333"/>
                <w:sz w:val="18"/>
                <w:szCs w:val="18"/>
              </w:rPr>
              <w:t>Clinical criteria:</w:t>
            </w:r>
          </w:p>
        </w:tc>
      </w:tr>
      <w:tr w:rsidR="00190A8B" w:rsidRPr="00D26846" w:rsidTr="00190A8B">
        <w:tc>
          <w:tcPr>
            <w:tcW w:w="5000" w:type="pct"/>
            <w:vAlign w:val="center"/>
            <w:hideMark/>
          </w:tcPr>
          <w:p w:rsidR="00190A8B" w:rsidRPr="00D26846" w:rsidRDefault="00190A8B" w:rsidP="00D26846">
            <w:pPr>
              <w:keepNext/>
              <w:keepLines/>
              <w:rPr>
                <w:rFonts w:ascii="Arial Narrow" w:hAnsi="Arial Narrow"/>
                <w:color w:val="333333"/>
                <w:sz w:val="18"/>
                <w:szCs w:val="18"/>
              </w:rPr>
            </w:pPr>
            <w:r w:rsidRPr="00D26846">
              <w:rPr>
                <w:rFonts w:ascii="Arial Narrow" w:hAnsi="Arial Narrow"/>
                <w:color w:val="333333"/>
                <w:sz w:val="18"/>
                <w:szCs w:val="18"/>
              </w:rPr>
              <w:t>The treatment must be the sole PBS-subsidised therapy for this condition</w:t>
            </w:r>
          </w:p>
        </w:tc>
      </w:tr>
      <w:tr w:rsidR="00190A8B" w:rsidRPr="00D26846" w:rsidTr="00190A8B">
        <w:tc>
          <w:tcPr>
            <w:tcW w:w="5000" w:type="pct"/>
            <w:vAlign w:val="center"/>
            <w:hideMark/>
          </w:tcPr>
          <w:p w:rsidR="00190A8B" w:rsidRPr="00D26846" w:rsidRDefault="00190A8B" w:rsidP="00D26846">
            <w:pPr>
              <w:keepNext/>
              <w:keepLines/>
              <w:rPr>
                <w:rFonts w:ascii="Arial Narrow" w:hAnsi="Arial Narrow"/>
                <w:color w:val="333333"/>
                <w:sz w:val="18"/>
                <w:szCs w:val="18"/>
              </w:rPr>
            </w:pPr>
            <w:r w:rsidRPr="00D26846">
              <w:rPr>
                <w:rFonts w:ascii="Arial Narrow" w:hAnsi="Arial Narrow"/>
                <w:b/>
                <w:bCs/>
                <w:color w:val="333333"/>
                <w:sz w:val="18"/>
                <w:szCs w:val="18"/>
              </w:rPr>
              <w:t>AND</w:t>
            </w:r>
          </w:p>
        </w:tc>
      </w:tr>
      <w:tr w:rsidR="00190A8B" w:rsidRPr="00D26846" w:rsidTr="00190A8B">
        <w:tc>
          <w:tcPr>
            <w:tcW w:w="5000" w:type="pct"/>
            <w:vAlign w:val="center"/>
            <w:hideMark/>
          </w:tcPr>
          <w:p w:rsidR="00190A8B" w:rsidRPr="00D26846" w:rsidRDefault="00190A8B" w:rsidP="00D26846">
            <w:pPr>
              <w:keepNext/>
              <w:keepLines/>
              <w:rPr>
                <w:rFonts w:ascii="Arial Narrow" w:hAnsi="Arial Narrow"/>
                <w:color w:val="333333"/>
                <w:sz w:val="18"/>
                <w:szCs w:val="18"/>
              </w:rPr>
            </w:pPr>
            <w:r w:rsidRPr="00D26846">
              <w:rPr>
                <w:rFonts w:ascii="Arial Narrow" w:hAnsi="Arial Narrow"/>
                <w:b/>
                <w:bCs/>
                <w:color w:val="333333"/>
                <w:sz w:val="18"/>
                <w:szCs w:val="18"/>
              </w:rPr>
              <w:t>Clinical criteria:</w:t>
            </w:r>
          </w:p>
        </w:tc>
      </w:tr>
      <w:tr w:rsidR="00190A8B" w:rsidRPr="00D26846" w:rsidTr="00190A8B">
        <w:tc>
          <w:tcPr>
            <w:tcW w:w="5000" w:type="pct"/>
            <w:vAlign w:val="center"/>
            <w:hideMark/>
          </w:tcPr>
          <w:p w:rsidR="00190A8B" w:rsidRPr="00D26846" w:rsidRDefault="00190A8B" w:rsidP="00D26846">
            <w:pPr>
              <w:keepNext/>
              <w:keepLines/>
              <w:rPr>
                <w:rFonts w:ascii="Arial Narrow" w:hAnsi="Arial Narrow"/>
                <w:color w:val="333333"/>
                <w:sz w:val="18"/>
                <w:szCs w:val="18"/>
              </w:rPr>
            </w:pPr>
            <w:r w:rsidRPr="00D26846">
              <w:rPr>
                <w:rFonts w:ascii="Arial Narrow" w:hAnsi="Arial Narrow"/>
                <w:color w:val="333333"/>
                <w:sz w:val="18"/>
                <w:szCs w:val="18"/>
              </w:rPr>
              <w:t>Patient must not be suitable for transarterial chemoembolisation</w:t>
            </w:r>
          </w:p>
        </w:tc>
      </w:tr>
      <w:tr w:rsidR="00190A8B" w:rsidRPr="00D26846" w:rsidTr="00190A8B">
        <w:tc>
          <w:tcPr>
            <w:tcW w:w="5000" w:type="pct"/>
            <w:vAlign w:val="center"/>
            <w:hideMark/>
          </w:tcPr>
          <w:p w:rsidR="00190A8B" w:rsidRPr="00D26846" w:rsidRDefault="00190A8B" w:rsidP="001434C5">
            <w:pPr>
              <w:rPr>
                <w:rFonts w:ascii="Arial Narrow" w:hAnsi="Arial Narrow"/>
                <w:color w:val="333333"/>
                <w:sz w:val="18"/>
                <w:szCs w:val="18"/>
              </w:rPr>
            </w:pPr>
            <w:r w:rsidRPr="00D26846">
              <w:rPr>
                <w:rFonts w:ascii="Arial Narrow" w:hAnsi="Arial Narrow"/>
                <w:b/>
                <w:bCs/>
                <w:color w:val="333333"/>
                <w:sz w:val="18"/>
                <w:szCs w:val="18"/>
              </w:rPr>
              <w:t>AND</w:t>
            </w:r>
          </w:p>
        </w:tc>
      </w:tr>
      <w:tr w:rsidR="00190A8B" w:rsidRPr="00D26846" w:rsidTr="00190A8B">
        <w:tc>
          <w:tcPr>
            <w:tcW w:w="5000" w:type="pct"/>
            <w:vAlign w:val="center"/>
            <w:hideMark/>
          </w:tcPr>
          <w:p w:rsidR="00190A8B" w:rsidRPr="00D26846" w:rsidRDefault="00190A8B" w:rsidP="001434C5">
            <w:pPr>
              <w:rPr>
                <w:rFonts w:ascii="Arial Narrow" w:hAnsi="Arial Narrow"/>
                <w:color w:val="333333"/>
                <w:sz w:val="18"/>
                <w:szCs w:val="18"/>
              </w:rPr>
            </w:pPr>
            <w:r w:rsidRPr="00D26846">
              <w:rPr>
                <w:rFonts w:ascii="Arial Narrow" w:hAnsi="Arial Narrow"/>
                <w:b/>
                <w:bCs/>
                <w:color w:val="333333"/>
                <w:sz w:val="18"/>
                <w:szCs w:val="18"/>
              </w:rPr>
              <w:t>Clinical criteria:</w:t>
            </w:r>
          </w:p>
        </w:tc>
      </w:tr>
      <w:tr w:rsidR="00190A8B" w:rsidRPr="00D26846" w:rsidTr="00190A8B">
        <w:tc>
          <w:tcPr>
            <w:tcW w:w="5000" w:type="pct"/>
            <w:vAlign w:val="center"/>
            <w:hideMark/>
          </w:tcPr>
          <w:p w:rsidR="00190A8B" w:rsidRPr="00D26846" w:rsidRDefault="00190A8B" w:rsidP="001434C5">
            <w:pPr>
              <w:rPr>
                <w:rFonts w:ascii="Arial Narrow" w:hAnsi="Arial Narrow"/>
                <w:color w:val="333333"/>
                <w:sz w:val="18"/>
                <w:szCs w:val="18"/>
              </w:rPr>
            </w:pPr>
            <w:r w:rsidRPr="00D26846">
              <w:rPr>
                <w:rFonts w:ascii="Arial Narrow" w:hAnsi="Arial Narrow"/>
                <w:color w:val="333333"/>
                <w:sz w:val="18"/>
                <w:szCs w:val="18"/>
              </w:rPr>
              <w:t>Patient must have a WHO performance status of 2 or less</w:t>
            </w:r>
          </w:p>
        </w:tc>
      </w:tr>
      <w:tr w:rsidR="00190A8B" w:rsidRPr="00D26846" w:rsidTr="00190A8B">
        <w:tc>
          <w:tcPr>
            <w:tcW w:w="5000" w:type="pct"/>
            <w:vAlign w:val="center"/>
            <w:hideMark/>
          </w:tcPr>
          <w:p w:rsidR="00190A8B" w:rsidRPr="00D26846" w:rsidRDefault="00190A8B" w:rsidP="001434C5">
            <w:pPr>
              <w:rPr>
                <w:rFonts w:ascii="Arial Narrow" w:hAnsi="Arial Narrow"/>
                <w:color w:val="333333"/>
                <w:sz w:val="18"/>
                <w:szCs w:val="18"/>
              </w:rPr>
            </w:pPr>
            <w:r w:rsidRPr="00D26846">
              <w:rPr>
                <w:rFonts w:ascii="Arial Narrow" w:hAnsi="Arial Narrow"/>
                <w:b/>
                <w:bCs/>
                <w:color w:val="333333"/>
                <w:sz w:val="18"/>
                <w:szCs w:val="18"/>
              </w:rPr>
              <w:t>AND</w:t>
            </w:r>
          </w:p>
        </w:tc>
      </w:tr>
      <w:tr w:rsidR="00190A8B" w:rsidRPr="00D26846" w:rsidTr="00190A8B">
        <w:tc>
          <w:tcPr>
            <w:tcW w:w="5000" w:type="pct"/>
            <w:vAlign w:val="center"/>
            <w:hideMark/>
          </w:tcPr>
          <w:p w:rsidR="00190A8B" w:rsidRPr="00D26846" w:rsidRDefault="00190A8B" w:rsidP="001434C5">
            <w:pPr>
              <w:rPr>
                <w:rFonts w:ascii="Arial Narrow" w:hAnsi="Arial Narrow"/>
                <w:color w:val="333333"/>
                <w:sz w:val="18"/>
                <w:szCs w:val="18"/>
              </w:rPr>
            </w:pPr>
            <w:r w:rsidRPr="00D26846">
              <w:rPr>
                <w:rFonts w:ascii="Arial Narrow" w:hAnsi="Arial Narrow"/>
                <w:b/>
                <w:bCs/>
                <w:color w:val="333333"/>
                <w:sz w:val="18"/>
                <w:szCs w:val="18"/>
              </w:rPr>
              <w:t>Clinical criteria:</w:t>
            </w:r>
          </w:p>
        </w:tc>
      </w:tr>
      <w:tr w:rsidR="00190A8B" w:rsidRPr="00D26846" w:rsidTr="00190A8B">
        <w:tc>
          <w:tcPr>
            <w:tcW w:w="5000" w:type="pct"/>
            <w:vAlign w:val="center"/>
            <w:hideMark/>
          </w:tcPr>
          <w:p w:rsidR="00190A8B" w:rsidRPr="00D26846" w:rsidRDefault="00190A8B" w:rsidP="001434C5">
            <w:pPr>
              <w:rPr>
                <w:rFonts w:ascii="Arial Narrow" w:hAnsi="Arial Narrow"/>
                <w:color w:val="333333"/>
                <w:sz w:val="18"/>
                <w:szCs w:val="18"/>
              </w:rPr>
            </w:pPr>
            <w:r w:rsidRPr="00D26846">
              <w:rPr>
                <w:rFonts w:ascii="Arial Narrow" w:hAnsi="Arial Narrow"/>
                <w:color w:val="333333"/>
                <w:sz w:val="18"/>
                <w:szCs w:val="18"/>
              </w:rPr>
              <w:t>Patient must have Child Pugh class A</w:t>
            </w:r>
          </w:p>
        </w:tc>
      </w:tr>
      <w:tr w:rsidR="00190A8B" w:rsidRPr="00D26846" w:rsidTr="00190A8B">
        <w:tc>
          <w:tcPr>
            <w:tcW w:w="5000" w:type="pct"/>
            <w:vAlign w:val="center"/>
            <w:hideMark/>
          </w:tcPr>
          <w:p w:rsidR="00190A8B" w:rsidRPr="00D26846" w:rsidRDefault="00190A8B" w:rsidP="001434C5">
            <w:pPr>
              <w:rPr>
                <w:rFonts w:ascii="Arial Narrow" w:hAnsi="Arial Narrow"/>
                <w:color w:val="333333"/>
                <w:sz w:val="18"/>
                <w:szCs w:val="18"/>
              </w:rPr>
            </w:pPr>
            <w:r w:rsidRPr="00D26846">
              <w:rPr>
                <w:rFonts w:ascii="Arial Narrow" w:hAnsi="Arial Narrow"/>
                <w:b/>
                <w:bCs/>
                <w:color w:val="333333"/>
                <w:sz w:val="18"/>
                <w:szCs w:val="18"/>
              </w:rPr>
              <w:t>AND</w:t>
            </w:r>
          </w:p>
        </w:tc>
      </w:tr>
      <w:tr w:rsidR="00190A8B" w:rsidRPr="00D26846" w:rsidTr="00190A8B">
        <w:tc>
          <w:tcPr>
            <w:tcW w:w="5000" w:type="pct"/>
            <w:vAlign w:val="center"/>
            <w:hideMark/>
          </w:tcPr>
          <w:p w:rsidR="00190A8B" w:rsidRPr="00D26846" w:rsidRDefault="00190A8B" w:rsidP="001434C5">
            <w:pPr>
              <w:rPr>
                <w:rFonts w:ascii="Arial Narrow" w:hAnsi="Arial Narrow"/>
                <w:color w:val="333333"/>
                <w:sz w:val="18"/>
                <w:szCs w:val="18"/>
              </w:rPr>
            </w:pPr>
            <w:r w:rsidRPr="00D26846">
              <w:rPr>
                <w:rFonts w:ascii="Arial Narrow" w:hAnsi="Arial Narrow"/>
                <w:b/>
                <w:bCs/>
                <w:color w:val="333333"/>
                <w:sz w:val="18"/>
                <w:szCs w:val="18"/>
              </w:rPr>
              <w:t>Clinical criteria:</w:t>
            </w:r>
          </w:p>
        </w:tc>
      </w:tr>
      <w:tr w:rsidR="00190A8B" w:rsidRPr="00D26846" w:rsidTr="00190A8B">
        <w:tc>
          <w:tcPr>
            <w:tcW w:w="5000" w:type="pct"/>
            <w:tcBorders>
              <w:top w:val="single" w:sz="4" w:space="0" w:color="auto"/>
              <w:left w:val="single" w:sz="4" w:space="0" w:color="auto"/>
              <w:right w:val="single" w:sz="4" w:space="0" w:color="auto"/>
            </w:tcBorders>
          </w:tcPr>
          <w:p w:rsidR="00190A8B" w:rsidRPr="00D26846" w:rsidRDefault="00190A8B" w:rsidP="001434C5">
            <w:pPr>
              <w:keepNext/>
              <w:keepLines/>
              <w:rPr>
                <w:rFonts w:ascii="Arial Narrow" w:hAnsi="Arial Narrow" w:cs="Calibri"/>
                <w:bCs/>
                <w:sz w:val="18"/>
                <w:szCs w:val="18"/>
                <w:lang w:eastAsia="zh-CN"/>
              </w:rPr>
            </w:pPr>
            <w:r w:rsidRPr="00D26846">
              <w:rPr>
                <w:rFonts w:ascii="Arial Narrow" w:hAnsi="Arial Narrow" w:cs="Calibri"/>
                <w:bCs/>
                <w:sz w:val="18"/>
                <w:szCs w:val="18"/>
                <w:lang w:eastAsia="zh-CN"/>
              </w:rPr>
              <w:t>The condition must be untreated with systemic therapy; OR</w:t>
            </w:r>
          </w:p>
        </w:tc>
      </w:tr>
      <w:tr w:rsidR="00190A8B" w:rsidRPr="00D26846" w:rsidTr="00190A8B">
        <w:tc>
          <w:tcPr>
            <w:tcW w:w="5000" w:type="pct"/>
            <w:vAlign w:val="center"/>
            <w:hideMark/>
          </w:tcPr>
          <w:p w:rsidR="00190A8B" w:rsidRPr="00D26846" w:rsidRDefault="00DC4405" w:rsidP="001434C5">
            <w:pPr>
              <w:rPr>
                <w:rFonts w:ascii="Arial Narrow" w:hAnsi="Arial Narrow"/>
                <w:color w:val="333333"/>
                <w:sz w:val="18"/>
                <w:szCs w:val="18"/>
              </w:rPr>
            </w:pPr>
            <w:r w:rsidRPr="00DC4405">
              <w:rPr>
                <w:rFonts w:ascii="Arial Narrow" w:hAnsi="Arial Narrow"/>
                <w:sz w:val="18"/>
                <w:szCs w:val="18"/>
              </w:rPr>
              <w:t>Patient must have developed intolerance of a severity necessitating permanent treatment withdrawal, in the absence of disease progression, to any of the following: (i) a vascular endothelial growth factor tyrosine kinase inhibitor, (ii) atezolizumab/bevacizumab combination therapy.</w:t>
            </w:r>
          </w:p>
        </w:tc>
      </w:tr>
    </w:tbl>
    <w:p w:rsidR="001434C5" w:rsidRPr="00E63DF4" w:rsidRDefault="001434C5" w:rsidP="001434C5"/>
    <w:p w:rsidR="001434C5" w:rsidRPr="00190A8B" w:rsidRDefault="001434C5" w:rsidP="001434C5">
      <w:pPr>
        <w:rPr>
          <w:i/>
        </w:rPr>
      </w:pPr>
      <w:r w:rsidRPr="00190A8B">
        <w:rPr>
          <w:i/>
        </w:rPr>
        <w:t>Delete the following Grandfather listing that is now more than 12 months old:</w:t>
      </w:r>
    </w:p>
    <w:p w:rsidR="001434C5" w:rsidRPr="00E63DF4" w:rsidRDefault="001434C5" w:rsidP="001434C5"/>
    <w:p w:rsidR="001434C5" w:rsidRPr="00E63DF4" w:rsidRDefault="001434C5" w:rsidP="001434C5">
      <w:pPr>
        <w:rPr>
          <w:rFonts w:ascii="Arial Narrow" w:hAnsi="Arial Narrow"/>
          <w:b/>
          <w:sz w:val="18"/>
          <w:szCs w:val="18"/>
        </w:rPr>
      </w:pPr>
      <w:r w:rsidRPr="00E63DF4">
        <w:rPr>
          <w:rFonts w:ascii="Arial Narrow" w:hAnsi="Arial Narrow"/>
          <w:b/>
          <w:sz w:val="18"/>
          <w:szCs w:val="18"/>
        </w:rPr>
        <w:t>Restriction Summary 8618 / ToC: 8618: Authority Required: Streamlined</w:t>
      </w:r>
    </w:p>
    <w:tbl>
      <w:tblPr>
        <w:tblW w:w="43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14"/>
      </w:tblGrid>
      <w:tr w:rsidR="00190A8B" w:rsidRPr="00E63DF4" w:rsidTr="00190A8B">
        <w:tc>
          <w:tcPr>
            <w:tcW w:w="5000" w:type="pct"/>
            <w:vAlign w:val="center"/>
            <w:hideMark/>
          </w:tcPr>
          <w:p w:rsidR="00190A8B" w:rsidRPr="00E63DF4" w:rsidRDefault="00190A8B" w:rsidP="001434C5">
            <w:pPr>
              <w:rPr>
                <w:rFonts w:ascii="Arial Narrow" w:hAnsi="Arial Narrow"/>
                <w:strike/>
                <w:color w:val="333333"/>
                <w:sz w:val="18"/>
                <w:szCs w:val="18"/>
              </w:rPr>
            </w:pPr>
            <w:r w:rsidRPr="00E63DF4">
              <w:rPr>
                <w:rFonts w:ascii="Arial Narrow" w:hAnsi="Arial Narrow"/>
                <w:b/>
                <w:bCs/>
                <w:strike/>
                <w:color w:val="333333"/>
                <w:sz w:val="18"/>
                <w:szCs w:val="18"/>
              </w:rPr>
              <w:t>Administrative Advice:</w:t>
            </w:r>
            <w:r w:rsidRPr="00E63DF4">
              <w:rPr>
                <w:rFonts w:ascii="Arial Narrow" w:hAnsi="Arial Narrow"/>
                <w:strike/>
                <w:color w:val="333333"/>
                <w:sz w:val="18"/>
                <w:szCs w:val="18"/>
              </w:rPr>
              <w:t xml:space="preserve"> No increase in the maximum number of repeats may be authorised.</w:t>
            </w:r>
          </w:p>
        </w:tc>
      </w:tr>
      <w:tr w:rsidR="00190A8B" w:rsidRPr="00E63DF4" w:rsidTr="00190A8B">
        <w:tc>
          <w:tcPr>
            <w:tcW w:w="5000" w:type="pct"/>
            <w:vAlign w:val="center"/>
            <w:hideMark/>
          </w:tcPr>
          <w:p w:rsidR="00190A8B" w:rsidRPr="00E63DF4" w:rsidRDefault="00190A8B" w:rsidP="001434C5">
            <w:pPr>
              <w:rPr>
                <w:rFonts w:ascii="Arial Narrow" w:hAnsi="Arial Narrow"/>
                <w:strike/>
                <w:color w:val="333333"/>
                <w:sz w:val="18"/>
                <w:szCs w:val="18"/>
              </w:rPr>
            </w:pPr>
            <w:r w:rsidRPr="00E63DF4">
              <w:rPr>
                <w:rFonts w:ascii="Arial Narrow" w:hAnsi="Arial Narrow"/>
                <w:b/>
                <w:bCs/>
                <w:strike/>
                <w:color w:val="333333"/>
                <w:sz w:val="18"/>
                <w:szCs w:val="18"/>
              </w:rPr>
              <w:t>Administrative Advice:</w:t>
            </w:r>
            <w:r w:rsidRPr="00E63DF4">
              <w:rPr>
                <w:rFonts w:ascii="Arial Narrow" w:hAnsi="Arial Narrow"/>
                <w:strike/>
                <w:color w:val="333333"/>
                <w:sz w:val="18"/>
                <w:szCs w:val="18"/>
              </w:rPr>
              <w:t xml:space="preserve"> Special Pricing Arrangements apply.</w:t>
            </w:r>
          </w:p>
        </w:tc>
      </w:tr>
      <w:tr w:rsidR="00190A8B" w:rsidRPr="00E63DF4" w:rsidTr="00190A8B">
        <w:tc>
          <w:tcPr>
            <w:tcW w:w="5000" w:type="pct"/>
            <w:vAlign w:val="center"/>
            <w:hideMark/>
          </w:tcPr>
          <w:p w:rsidR="00190A8B" w:rsidRPr="00E63DF4" w:rsidRDefault="00190A8B" w:rsidP="001434C5">
            <w:pPr>
              <w:rPr>
                <w:rFonts w:ascii="Arial Narrow" w:hAnsi="Arial Narrow"/>
                <w:strike/>
                <w:color w:val="333333"/>
                <w:sz w:val="18"/>
                <w:szCs w:val="18"/>
              </w:rPr>
            </w:pPr>
            <w:r w:rsidRPr="00E63DF4">
              <w:rPr>
                <w:rFonts w:ascii="Arial Narrow" w:hAnsi="Arial Narrow"/>
                <w:b/>
                <w:bCs/>
                <w:strike/>
                <w:color w:val="333333"/>
                <w:sz w:val="18"/>
                <w:szCs w:val="18"/>
              </w:rPr>
              <w:t>Indication:</w:t>
            </w:r>
            <w:r w:rsidRPr="00E63DF4">
              <w:rPr>
                <w:rFonts w:ascii="Arial Narrow" w:hAnsi="Arial Narrow"/>
                <w:strike/>
                <w:color w:val="333333"/>
                <w:sz w:val="18"/>
                <w:szCs w:val="18"/>
              </w:rPr>
              <w:t xml:space="preserve"> Advanced (unresectable) Barcelona Clinic Liver Cancer Stage B or Stage C hepatocellular carcinoma</w:t>
            </w:r>
          </w:p>
        </w:tc>
      </w:tr>
      <w:tr w:rsidR="00190A8B" w:rsidRPr="00E63DF4" w:rsidTr="00190A8B">
        <w:tc>
          <w:tcPr>
            <w:tcW w:w="5000" w:type="pct"/>
            <w:vAlign w:val="center"/>
            <w:hideMark/>
          </w:tcPr>
          <w:p w:rsidR="00190A8B" w:rsidRPr="00E63DF4" w:rsidRDefault="00190A8B" w:rsidP="001434C5">
            <w:pPr>
              <w:rPr>
                <w:rFonts w:ascii="Arial Narrow" w:hAnsi="Arial Narrow"/>
                <w:strike/>
                <w:color w:val="333333"/>
                <w:sz w:val="18"/>
                <w:szCs w:val="18"/>
              </w:rPr>
            </w:pPr>
            <w:r w:rsidRPr="00E63DF4">
              <w:rPr>
                <w:rFonts w:ascii="Arial Narrow" w:hAnsi="Arial Narrow"/>
                <w:b/>
                <w:bCs/>
                <w:strike/>
                <w:color w:val="333333"/>
                <w:sz w:val="18"/>
                <w:szCs w:val="18"/>
              </w:rPr>
              <w:t>Treatment Phase:</w:t>
            </w:r>
            <w:r w:rsidRPr="00E63DF4">
              <w:rPr>
                <w:rFonts w:ascii="Arial Narrow" w:hAnsi="Arial Narrow"/>
                <w:strike/>
                <w:color w:val="333333"/>
                <w:sz w:val="18"/>
                <w:szCs w:val="18"/>
              </w:rPr>
              <w:t xml:space="preserve"> Initial treatment - grandfathered patients</w:t>
            </w:r>
          </w:p>
        </w:tc>
      </w:tr>
      <w:tr w:rsidR="00190A8B" w:rsidRPr="00E63DF4" w:rsidTr="00190A8B">
        <w:tc>
          <w:tcPr>
            <w:tcW w:w="5000" w:type="pct"/>
            <w:vAlign w:val="center"/>
            <w:hideMark/>
          </w:tcPr>
          <w:p w:rsidR="00190A8B" w:rsidRPr="00E63DF4" w:rsidRDefault="00190A8B" w:rsidP="001434C5">
            <w:pPr>
              <w:rPr>
                <w:rFonts w:ascii="Arial Narrow" w:hAnsi="Arial Narrow"/>
                <w:strike/>
                <w:color w:val="333333"/>
                <w:sz w:val="18"/>
                <w:szCs w:val="18"/>
              </w:rPr>
            </w:pPr>
            <w:r w:rsidRPr="00E63DF4">
              <w:rPr>
                <w:rFonts w:ascii="Arial Narrow" w:hAnsi="Arial Narrow"/>
                <w:b/>
                <w:bCs/>
                <w:strike/>
                <w:color w:val="333333"/>
                <w:sz w:val="18"/>
                <w:szCs w:val="18"/>
              </w:rPr>
              <w:t>Clinical criteria:</w:t>
            </w:r>
          </w:p>
        </w:tc>
      </w:tr>
      <w:tr w:rsidR="00190A8B" w:rsidRPr="00E63DF4" w:rsidTr="00190A8B">
        <w:tc>
          <w:tcPr>
            <w:tcW w:w="5000" w:type="pct"/>
            <w:vAlign w:val="center"/>
            <w:hideMark/>
          </w:tcPr>
          <w:p w:rsidR="00190A8B" w:rsidRPr="00E63DF4" w:rsidRDefault="00190A8B" w:rsidP="001434C5">
            <w:pPr>
              <w:rPr>
                <w:rFonts w:ascii="Arial Narrow" w:hAnsi="Arial Narrow"/>
                <w:strike/>
                <w:color w:val="333333"/>
                <w:sz w:val="18"/>
                <w:szCs w:val="18"/>
              </w:rPr>
            </w:pPr>
            <w:r w:rsidRPr="00E63DF4">
              <w:rPr>
                <w:rFonts w:ascii="Arial Narrow" w:hAnsi="Arial Narrow"/>
                <w:strike/>
                <w:color w:val="333333"/>
                <w:sz w:val="18"/>
                <w:szCs w:val="18"/>
              </w:rPr>
              <w:t xml:space="preserve"> Patient must have received non-PBS subsidised treatment with this drug for this condition prior to 1 March 2019</w:t>
            </w:r>
          </w:p>
        </w:tc>
      </w:tr>
      <w:tr w:rsidR="00190A8B" w:rsidRPr="00E63DF4" w:rsidTr="00190A8B">
        <w:tc>
          <w:tcPr>
            <w:tcW w:w="5000" w:type="pct"/>
            <w:vAlign w:val="center"/>
            <w:hideMark/>
          </w:tcPr>
          <w:p w:rsidR="00190A8B" w:rsidRPr="00E63DF4" w:rsidRDefault="00190A8B" w:rsidP="001434C5">
            <w:pPr>
              <w:rPr>
                <w:rFonts w:ascii="Arial Narrow" w:hAnsi="Arial Narrow"/>
                <w:strike/>
                <w:color w:val="333333"/>
                <w:sz w:val="18"/>
                <w:szCs w:val="18"/>
              </w:rPr>
            </w:pPr>
            <w:r w:rsidRPr="00E63DF4">
              <w:rPr>
                <w:rFonts w:ascii="Arial Narrow" w:hAnsi="Arial Narrow"/>
                <w:b/>
                <w:bCs/>
                <w:strike/>
                <w:color w:val="333333"/>
                <w:sz w:val="18"/>
                <w:szCs w:val="18"/>
              </w:rPr>
              <w:t>AND</w:t>
            </w:r>
          </w:p>
        </w:tc>
      </w:tr>
      <w:tr w:rsidR="00190A8B" w:rsidRPr="00E63DF4" w:rsidTr="00190A8B">
        <w:tc>
          <w:tcPr>
            <w:tcW w:w="5000" w:type="pct"/>
            <w:vAlign w:val="center"/>
            <w:hideMark/>
          </w:tcPr>
          <w:p w:rsidR="00190A8B" w:rsidRPr="00E63DF4" w:rsidRDefault="00190A8B" w:rsidP="001434C5">
            <w:pPr>
              <w:rPr>
                <w:rFonts w:ascii="Arial Narrow" w:hAnsi="Arial Narrow"/>
                <w:strike/>
                <w:color w:val="333333"/>
                <w:sz w:val="18"/>
                <w:szCs w:val="18"/>
              </w:rPr>
            </w:pPr>
            <w:r w:rsidRPr="00E63DF4">
              <w:rPr>
                <w:rFonts w:ascii="Arial Narrow" w:hAnsi="Arial Narrow"/>
                <w:b/>
                <w:bCs/>
                <w:strike/>
                <w:color w:val="333333"/>
                <w:sz w:val="18"/>
                <w:szCs w:val="18"/>
              </w:rPr>
              <w:t>Clinical criteria:</w:t>
            </w:r>
          </w:p>
        </w:tc>
      </w:tr>
      <w:tr w:rsidR="00190A8B" w:rsidRPr="00E63DF4" w:rsidTr="00190A8B">
        <w:tc>
          <w:tcPr>
            <w:tcW w:w="5000" w:type="pct"/>
            <w:vAlign w:val="center"/>
            <w:hideMark/>
          </w:tcPr>
          <w:p w:rsidR="00190A8B" w:rsidRPr="00E63DF4" w:rsidRDefault="00190A8B" w:rsidP="001434C5">
            <w:pPr>
              <w:rPr>
                <w:rFonts w:ascii="Arial Narrow" w:hAnsi="Arial Narrow"/>
                <w:strike/>
                <w:color w:val="333333"/>
                <w:sz w:val="18"/>
                <w:szCs w:val="18"/>
              </w:rPr>
            </w:pPr>
            <w:r w:rsidRPr="00E63DF4">
              <w:rPr>
                <w:rFonts w:ascii="Arial Narrow" w:hAnsi="Arial Narrow"/>
                <w:strike/>
                <w:color w:val="333333"/>
                <w:sz w:val="18"/>
                <w:szCs w:val="18"/>
              </w:rPr>
              <w:t>The treatment must be the sole PBS-subsidised therapy for this condition</w:t>
            </w:r>
          </w:p>
        </w:tc>
      </w:tr>
      <w:tr w:rsidR="00190A8B" w:rsidRPr="00E63DF4" w:rsidTr="00190A8B">
        <w:tc>
          <w:tcPr>
            <w:tcW w:w="5000" w:type="pct"/>
            <w:vAlign w:val="center"/>
            <w:hideMark/>
          </w:tcPr>
          <w:p w:rsidR="00190A8B" w:rsidRPr="00E63DF4" w:rsidRDefault="00190A8B" w:rsidP="001434C5">
            <w:pPr>
              <w:rPr>
                <w:rFonts w:ascii="Arial Narrow" w:hAnsi="Arial Narrow"/>
                <w:strike/>
                <w:color w:val="333333"/>
                <w:sz w:val="18"/>
                <w:szCs w:val="18"/>
              </w:rPr>
            </w:pPr>
            <w:r w:rsidRPr="00E63DF4">
              <w:rPr>
                <w:rFonts w:ascii="Arial Narrow" w:hAnsi="Arial Narrow"/>
                <w:b/>
                <w:bCs/>
                <w:strike/>
                <w:color w:val="333333"/>
                <w:sz w:val="18"/>
                <w:szCs w:val="18"/>
              </w:rPr>
              <w:t>AND</w:t>
            </w:r>
          </w:p>
        </w:tc>
      </w:tr>
      <w:tr w:rsidR="00190A8B" w:rsidRPr="00E63DF4" w:rsidTr="00190A8B">
        <w:tc>
          <w:tcPr>
            <w:tcW w:w="5000" w:type="pct"/>
            <w:vAlign w:val="center"/>
            <w:hideMark/>
          </w:tcPr>
          <w:p w:rsidR="00190A8B" w:rsidRPr="00E63DF4" w:rsidRDefault="00190A8B" w:rsidP="001434C5">
            <w:pPr>
              <w:rPr>
                <w:rFonts w:ascii="Arial Narrow" w:hAnsi="Arial Narrow"/>
                <w:strike/>
                <w:color w:val="333333"/>
                <w:sz w:val="18"/>
                <w:szCs w:val="18"/>
              </w:rPr>
            </w:pPr>
            <w:r w:rsidRPr="00E63DF4">
              <w:rPr>
                <w:rFonts w:ascii="Arial Narrow" w:hAnsi="Arial Narrow"/>
                <w:b/>
                <w:bCs/>
                <w:strike/>
                <w:color w:val="333333"/>
                <w:sz w:val="18"/>
                <w:szCs w:val="18"/>
              </w:rPr>
              <w:t>Clinical criteria:</w:t>
            </w:r>
          </w:p>
        </w:tc>
      </w:tr>
      <w:tr w:rsidR="00190A8B" w:rsidRPr="00E63DF4" w:rsidTr="00190A8B">
        <w:tc>
          <w:tcPr>
            <w:tcW w:w="5000" w:type="pct"/>
            <w:vAlign w:val="center"/>
            <w:hideMark/>
          </w:tcPr>
          <w:p w:rsidR="00190A8B" w:rsidRPr="00E63DF4" w:rsidRDefault="00190A8B" w:rsidP="001434C5">
            <w:pPr>
              <w:rPr>
                <w:rFonts w:ascii="Arial Narrow" w:hAnsi="Arial Narrow"/>
                <w:strike/>
                <w:color w:val="333333"/>
                <w:sz w:val="18"/>
                <w:szCs w:val="18"/>
              </w:rPr>
            </w:pPr>
            <w:r w:rsidRPr="00E63DF4">
              <w:rPr>
                <w:rFonts w:ascii="Arial Narrow" w:hAnsi="Arial Narrow"/>
                <w:strike/>
                <w:color w:val="333333"/>
                <w:sz w:val="18"/>
                <w:szCs w:val="18"/>
              </w:rPr>
              <w:t>Patient must not be suitable for transarterial chemoembolisation</w:t>
            </w:r>
          </w:p>
        </w:tc>
      </w:tr>
      <w:tr w:rsidR="00190A8B" w:rsidRPr="00E63DF4" w:rsidTr="00190A8B">
        <w:tc>
          <w:tcPr>
            <w:tcW w:w="5000" w:type="pct"/>
            <w:vAlign w:val="center"/>
            <w:hideMark/>
          </w:tcPr>
          <w:p w:rsidR="00190A8B" w:rsidRPr="00E63DF4" w:rsidRDefault="00190A8B" w:rsidP="001434C5">
            <w:pPr>
              <w:rPr>
                <w:rFonts w:ascii="Arial Narrow" w:hAnsi="Arial Narrow"/>
                <w:strike/>
                <w:color w:val="333333"/>
                <w:sz w:val="18"/>
                <w:szCs w:val="18"/>
              </w:rPr>
            </w:pPr>
            <w:r w:rsidRPr="00E63DF4">
              <w:rPr>
                <w:rFonts w:ascii="Arial Narrow" w:hAnsi="Arial Narrow"/>
                <w:b/>
                <w:bCs/>
                <w:strike/>
                <w:color w:val="333333"/>
                <w:sz w:val="18"/>
                <w:szCs w:val="18"/>
              </w:rPr>
              <w:t>AND</w:t>
            </w:r>
          </w:p>
        </w:tc>
      </w:tr>
      <w:tr w:rsidR="00190A8B" w:rsidRPr="00E63DF4" w:rsidTr="00190A8B">
        <w:tc>
          <w:tcPr>
            <w:tcW w:w="5000" w:type="pct"/>
            <w:vAlign w:val="center"/>
            <w:hideMark/>
          </w:tcPr>
          <w:p w:rsidR="00190A8B" w:rsidRPr="00E63DF4" w:rsidRDefault="00190A8B" w:rsidP="001434C5">
            <w:pPr>
              <w:rPr>
                <w:rFonts w:ascii="Arial Narrow" w:hAnsi="Arial Narrow"/>
                <w:strike/>
                <w:color w:val="333333"/>
                <w:sz w:val="18"/>
                <w:szCs w:val="18"/>
              </w:rPr>
            </w:pPr>
            <w:r w:rsidRPr="00E63DF4">
              <w:rPr>
                <w:rFonts w:ascii="Arial Narrow" w:hAnsi="Arial Narrow"/>
                <w:b/>
                <w:bCs/>
                <w:strike/>
                <w:color w:val="333333"/>
                <w:sz w:val="18"/>
                <w:szCs w:val="18"/>
              </w:rPr>
              <w:t>Clinical criteria:</w:t>
            </w:r>
          </w:p>
        </w:tc>
      </w:tr>
      <w:tr w:rsidR="00190A8B" w:rsidRPr="00E63DF4" w:rsidTr="00190A8B">
        <w:tc>
          <w:tcPr>
            <w:tcW w:w="5000" w:type="pct"/>
            <w:vAlign w:val="center"/>
            <w:hideMark/>
          </w:tcPr>
          <w:p w:rsidR="00190A8B" w:rsidRPr="00E63DF4" w:rsidRDefault="00190A8B" w:rsidP="001434C5">
            <w:pPr>
              <w:rPr>
                <w:rFonts w:ascii="Arial Narrow" w:hAnsi="Arial Narrow"/>
                <w:strike/>
                <w:color w:val="333333"/>
                <w:sz w:val="18"/>
                <w:szCs w:val="18"/>
              </w:rPr>
            </w:pPr>
            <w:r w:rsidRPr="00E63DF4">
              <w:rPr>
                <w:rFonts w:ascii="Arial Narrow" w:hAnsi="Arial Narrow"/>
                <w:strike/>
                <w:color w:val="333333"/>
                <w:sz w:val="18"/>
                <w:szCs w:val="18"/>
              </w:rPr>
              <w:t>Patient must have a WHO performance status of 2 or less</w:t>
            </w:r>
          </w:p>
        </w:tc>
      </w:tr>
      <w:tr w:rsidR="00190A8B" w:rsidRPr="00E63DF4" w:rsidTr="00190A8B">
        <w:tc>
          <w:tcPr>
            <w:tcW w:w="5000" w:type="pct"/>
            <w:vAlign w:val="center"/>
            <w:hideMark/>
          </w:tcPr>
          <w:p w:rsidR="00190A8B" w:rsidRPr="00E63DF4" w:rsidRDefault="00190A8B" w:rsidP="001434C5">
            <w:pPr>
              <w:rPr>
                <w:rFonts w:ascii="Arial Narrow" w:hAnsi="Arial Narrow"/>
                <w:strike/>
                <w:color w:val="333333"/>
                <w:sz w:val="18"/>
                <w:szCs w:val="18"/>
              </w:rPr>
            </w:pPr>
            <w:r w:rsidRPr="00E63DF4">
              <w:rPr>
                <w:rFonts w:ascii="Arial Narrow" w:hAnsi="Arial Narrow"/>
                <w:b/>
                <w:bCs/>
                <w:strike/>
                <w:color w:val="333333"/>
                <w:sz w:val="18"/>
                <w:szCs w:val="18"/>
              </w:rPr>
              <w:t>AND</w:t>
            </w:r>
          </w:p>
        </w:tc>
      </w:tr>
      <w:tr w:rsidR="00190A8B" w:rsidRPr="00E63DF4" w:rsidTr="00190A8B">
        <w:tc>
          <w:tcPr>
            <w:tcW w:w="5000" w:type="pct"/>
            <w:vAlign w:val="center"/>
            <w:hideMark/>
          </w:tcPr>
          <w:p w:rsidR="00190A8B" w:rsidRPr="00E63DF4" w:rsidRDefault="00190A8B" w:rsidP="001434C5">
            <w:pPr>
              <w:rPr>
                <w:rFonts w:ascii="Arial Narrow" w:hAnsi="Arial Narrow"/>
                <w:strike/>
                <w:color w:val="333333"/>
                <w:sz w:val="18"/>
                <w:szCs w:val="18"/>
              </w:rPr>
            </w:pPr>
            <w:r w:rsidRPr="00E63DF4">
              <w:rPr>
                <w:rFonts w:ascii="Arial Narrow" w:hAnsi="Arial Narrow"/>
                <w:b/>
                <w:bCs/>
                <w:strike/>
                <w:color w:val="333333"/>
                <w:sz w:val="18"/>
                <w:szCs w:val="18"/>
              </w:rPr>
              <w:t>Clinical criteria:</w:t>
            </w:r>
          </w:p>
        </w:tc>
      </w:tr>
      <w:tr w:rsidR="00190A8B" w:rsidRPr="00E63DF4" w:rsidTr="00190A8B">
        <w:tc>
          <w:tcPr>
            <w:tcW w:w="5000" w:type="pct"/>
            <w:vAlign w:val="center"/>
            <w:hideMark/>
          </w:tcPr>
          <w:p w:rsidR="00190A8B" w:rsidRPr="00E63DF4" w:rsidRDefault="00190A8B" w:rsidP="001434C5">
            <w:pPr>
              <w:rPr>
                <w:rFonts w:ascii="Arial Narrow" w:hAnsi="Arial Narrow"/>
                <w:strike/>
                <w:color w:val="333333"/>
                <w:sz w:val="18"/>
                <w:szCs w:val="18"/>
              </w:rPr>
            </w:pPr>
            <w:r w:rsidRPr="00E63DF4">
              <w:rPr>
                <w:rFonts w:ascii="Arial Narrow" w:hAnsi="Arial Narrow"/>
                <w:strike/>
                <w:color w:val="333333"/>
                <w:sz w:val="18"/>
                <w:szCs w:val="18"/>
              </w:rPr>
              <w:t>Patient must have Child Pugh class A</w:t>
            </w:r>
          </w:p>
        </w:tc>
      </w:tr>
      <w:tr w:rsidR="00190A8B" w:rsidRPr="00E63DF4" w:rsidTr="00190A8B">
        <w:tc>
          <w:tcPr>
            <w:tcW w:w="5000" w:type="pct"/>
            <w:vAlign w:val="center"/>
            <w:hideMark/>
          </w:tcPr>
          <w:p w:rsidR="00190A8B" w:rsidRPr="00E63DF4" w:rsidRDefault="00190A8B" w:rsidP="001434C5">
            <w:pPr>
              <w:rPr>
                <w:rFonts w:ascii="Arial Narrow" w:hAnsi="Arial Narrow"/>
                <w:strike/>
                <w:color w:val="333333"/>
                <w:sz w:val="18"/>
                <w:szCs w:val="18"/>
              </w:rPr>
            </w:pPr>
            <w:r w:rsidRPr="00E63DF4">
              <w:rPr>
                <w:rFonts w:ascii="Arial Narrow" w:hAnsi="Arial Narrow"/>
                <w:b/>
                <w:bCs/>
                <w:strike/>
                <w:color w:val="333333"/>
                <w:sz w:val="18"/>
                <w:szCs w:val="18"/>
              </w:rPr>
              <w:t>Prescribing Instructions:</w:t>
            </w:r>
          </w:p>
          <w:p w:rsidR="00190A8B" w:rsidRPr="00E63DF4" w:rsidRDefault="00190A8B" w:rsidP="001434C5">
            <w:pPr>
              <w:rPr>
                <w:rFonts w:ascii="Arial Narrow" w:hAnsi="Arial Narrow"/>
                <w:strike/>
                <w:color w:val="333333"/>
                <w:sz w:val="18"/>
                <w:szCs w:val="18"/>
              </w:rPr>
            </w:pPr>
            <w:r w:rsidRPr="00E63DF4">
              <w:rPr>
                <w:rFonts w:ascii="Arial Narrow" w:hAnsi="Arial Narrow"/>
                <w:strike/>
                <w:color w:val="333333"/>
                <w:sz w:val="18"/>
                <w:szCs w:val="18"/>
              </w:rPr>
              <w:t xml:space="preserve">A patient may qualify for PBS-subsidised treatment under this restriction once only. </w:t>
            </w:r>
            <w:r w:rsidRPr="00E63DF4">
              <w:rPr>
                <w:rFonts w:ascii="Arial Narrow" w:hAnsi="Arial Narrow"/>
                <w:strike/>
                <w:color w:val="333333"/>
                <w:sz w:val="18"/>
                <w:szCs w:val="18"/>
              </w:rPr>
              <w:br/>
              <w:t>For continuing PBS-subsidised treatment, a Grandfathered patient must qualify under the Continuing treatment criteria.</w:t>
            </w:r>
          </w:p>
        </w:tc>
      </w:tr>
    </w:tbl>
    <w:p w:rsidR="001434C5" w:rsidRPr="00E63DF4" w:rsidRDefault="001434C5" w:rsidP="001434C5"/>
    <w:p w:rsidR="00190A8B" w:rsidRDefault="00190A8B" w:rsidP="001434C5">
      <w:pPr>
        <w:rPr>
          <w:rFonts w:ascii="Arial Narrow" w:hAnsi="Arial Narrow"/>
          <w:b/>
          <w:sz w:val="18"/>
          <w:szCs w:val="18"/>
        </w:rPr>
      </w:pPr>
    </w:p>
    <w:p w:rsidR="00190A8B" w:rsidRDefault="00190A8B" w:rsidP="001434C5">
      <w:pPr>
        <w:rPr>
          <w:rFonts w:ascii="Arial Narrow" w:hAnsi="Arial Narrow"/>
          <w:b/>
          <w:sz w:val="18"/>
          <w:szCs w:val="18"/>
        </w:rPr>
      </w:pPr>
    </w:p>
    <w:p w:rsidR="00190A8B" w:rsidRDefault="00190A8B" w:rsidP="001434C5">
      <w:pPr>
        <w:rPr>
          <w:rFonts w:ascii="Arial Narrow" w:hAnsi="Arial Narrow"/>
          <w:b/>
          <w:sz w:val="18"/>
          <w:szCs w:val="18"/>
        </w:rPr>
      </w:pPr>
    </w:p>
    <w:p w:rsidR="001434C5" w:rsidRPr="00E63DF4" w:rsidRDefault="001434C5" w:rsidP="001434C5">
      <w:pPr>
        <w:rPr>
          <w:rFonts w:ascii="Arial Narrow" w:hAnsi="Arial Narrow"/>
          <w:b/>
          <w:sz w:val="18"/>
          <w:szCs w:val="18"/>
        </w:rPr>
      </w:pPr>
      <w:r w:rsidRPr="00E63DF4">
        <w:rPr>
          <w:rFonts w:ascii="Arial Narrow" w:hAnsi="Arial Narrow"/>
          <w:b/>
          <w:sz w:val="18"/>
          <w:szCs w:val="18"/>
        </w:rPr>
        <w:t>Restriction Summary 8619 / ToC: 8584: Authority Required: Streamlined</w:t>
      </w:r>
    </w:p>
    <w:p w:rsidR="001434C5" w:rsidRPr="00190A8B" w:rsidRDefault="001434C5" w:rsidP="001434C5">
      <w:pPr>
        <w:rPr>
          <w:rFonts w:ascii="Arial Narrow" w:hAnsi="Arial Narrow"/>
          <w:sz w:val="18"/>
          <w:szCs w:val="18"/>
        </w:rPr>
      </w:pPr>
      <w:r w:rsidRPr="00190A8B">
        <w:rPr>
          <w:rFonts w:ascii="Arial Narrow" w:hAnsi="Arial Narrow"/>
          <w:sz w:val="18"/>
          <w:szCs w:val="18"/>
        </w:rPr>
        <w:t>No changes</w:t>
      </w:r>
    </w:p>
    <w:tbl>
      <w:tblPr>
        <w:tblW w:w="43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14"/>
      </w:tblGrid>
      <w:tr w:rsidR="00190A8B" w:rsidRPr="00E63DF4" w:rsidTr="00190A8B">
        <w:tc>
          <w:tcPr>
            <w:tcW w:w="5000" w:type="pct"/>
            <w:vAlign w:val="center"/>
            <w:hideMark/>
          </w:tcPr>
          <w:p w:rsidR="00190A8B" w:rsidRPr="00E63DF4" w:rsidRDefault="00190A8B" w:rsidP="001434C5">
            <w:pPr>
              <w:rPr>
                <w:rFonts w:ascii="Arial Narrow" w:hAnsi="Arial Narrow"/>
                <w:color w:val="333333"/>
                <w:sz w:val="18"/>
                <w:szCs w:val="18"/>
              </w:rPr>
            </w:pPr>
            <w:r w:rsidRPr="00E63DF4">
              <w:rPr>
                <w:rFonts w:ascii="Arial Narrow" w:hAnsi="Arial Narrow"/>
                <w:b/>
                <w:bCs/>
                <w:color w:val="333333"/>
                <w:sz w:val="18"/>
                <w:szCs w:val="18"/>
              </w:rPr>
              <w:t>Administrative Advice:</w:t>
            </w:r>
            <w:r w:rsidRPr="00E63DF4">
              <w:rPr>
                <w:rFonts w:ascii="Arial Narrow" w:hAnsi="Arial Narrow"/>
                <w:color w:val="333333"/>
                <w:sz w:val="18"/>
                <w:szCs w:val="18"/>
              </w:rPr>
              <w:t xml:space="preserve"> No increase in the maximum number of repeats may be authorised.</w:t>
            </w:r>
          </w:p>
        </w:tc>
      </w:tr>
      <w:tr w:rsidR="00190A8B" w:rsidRPr="00E63DF4" w:rsidTr="00190A8B">
        <w:tc>
          <w:tcPr>
            <w:tcW w:w="5000" w:type="pct"/>
            <w:vAlign w:val="center"/>
            <w:hideMark/>
          </w:tcPr>
          <w:p w:rsidR="00190A8B" w:rsidRPr="00E63DF4" w:rsidRDefault="00190A8B" w:rsidP="001434C5">
            <w:pPr>
              <w:rPr>
                <w:rFonts w:ascii="Arial Narrow" w:hAnsi="Arial Narrow"/>
                <w:color w:val="333333"/>
                <w:sz w:val="18"/>
                <w:szCs w:val="18"/>
              </w:rPr>
            </w:pPr>
            <w:r w:rsidRPr="00E63DF4">
              <w:rPr>
                <w:rFonts w:ascii="Arial Narrow" w:hAnsi="Arial Narrow"/>
                <w:b/>
                <w:bCs/>
                <w:color w:val="333333"/>
                <w:sz w:val="18"/>
                <w:szCs w:val="18"/>
              </w:rPr>
              <w:t>Administrative Advice:</w:t>
            </w:r>
            <w:r w:rsidRPr="00E63DF4">
              <w:rPr>
                <w:rFonts w:ascii="Arial Narrow" w:hAnsi="Arial Narrow"/>
                <w:color w:val="333333"/>
                <w:sz w:val="18"/>
                <w:szCs w:val="18"/>
              </w:rPr>
              <w:t xml:space="preserve"> Special Pricing Arrangements apply.</w:t>
            </w:r>
          </w:p>
        </w:tc>
      </w:tr>
      <w:tr w:rsidR="00190A8B" w:rsidRPr="00E63DF4" w:rsidTr="00190A8B">
        <w:tc>
          <w:tcPr>
            <w:tcW w:w="5000" w:type="pct"/>
            <w:vAlign w:val="center"/>
            <w:hideMark/>
          </w:tcPr>
          <w:p w:rsidR="00190A8B" w:rsidRPr="00E63DF4" w:rsidRDefault="00190A8B" w:rsidP="001434C5">
            <w:pPr>
              <w:rPr>
                <w:rFonts w:ascii="Arial Narrow" w:hAnsi="Arial Narrow"/>
                <w:color w:val="333333"/>
                <w:sz w:val="18"/>
                <w:szCs w:val="18"/>
              </w:rPr>
            </w:pPr>
            <w:r w:rsidRPr="00E63DF4">
              <w:rPr>
                <w:rFonts w:ascii="Arial Narrow" w:hAnsi="Arial Narrow"/>
                <w:b/>
                <w:bCs/>
                <w:color w:val="333333"/>
                <w:sz w:val="18"/>
                <w:szCs w:val="18"/>
              </w:rPr>
              <w:t>Indication:</w:t>
            </w:r>
            <w:r w:rsidRPr="00E63DF4">
              <w:rPr>
                <w:rFonts w:ascii="Arial Narrow" w:hAnsi="Arial Narrow"/>
                <w:color w:val="333333"/>
                <w:sz w:val="18"/>
                <w:szCs w:val="18"/>
              </w:rPr>
              <w:t xml:space="preserve"> Advanced (unresectable) Barcelona Clinic Liver Cancer Stage B or Stage C hepatocellular carcinoma</w:t>
            </w:r>
          </w:p>
        </w:tc>
      </w:tr>
      <w:tr w:rsidR="00190A8B" w:rsidRPr="00E63DF4" w:rsidTr="00190A8B">
        <w:tc>
          <w:tcPr>
            <w:tcW w:w="5000" w:type="pct"/>
            <w:vAlign w:val="center"/>
            <w:hideMark/>
          </w:tcPr>
          <w:p w:rsidR="00190A8B" w:rsidRPr="00E63DF4" w:rsidRDefault="00190A8B" w:rsidP="001434C5">
            <w:pPr>
              <w:rPr>
                <w:rFonts w:ascii="Arial Narrow" w:hAnsi="Arial Narrow"/>
                <w:color w:val="333333"/>
                <w:sz w:val="18"/>
                <w:szCs w:val="18"/>
              </w:rPr>
            </w:pPr>
            <w:r w:rsidRPr="00E63DF4">
              <w:rPr>
                <w:rFonts w:ascii="Arial Narrow" w:hAnsi="Arial Narrow"/>
                <w:b/>
                <w:bCs/>
                <w:color w:val="333333"/>
                <w:sz w:val="18"/>
                <w:szCs w:val="18"/>
              </w:rPr>
              <w:t>Treatment Phase:</w:t>
            </w:r>
            <w:r w:rsidRPr="00E63DF4">
              <w:rPr>
                <w:rFonts w:ascii="Arial Narrow" w:hAnsi="Arial Narrow"/>
                <w:color w:val="333333"/>
                <w:sz w:val="18"/>
                <w:szCs w:val="18"/>
              </w:rPr>
              <w:t xml:space="preserve"> Continuing treatment</w:t>
            </w:r>
          </w:p>
        </w:tc>
      </w:tr>
      <w:tr w:rsidR="00190A8B" w:rsidRPr="00E63DF4" w:rsidTr="00190A8B">
        <w:tc>
          <w:tcPr>
            <w:tcW w:w="5000" w:type="pct"/>
            <w:vAlign w:val="center"/>
            <w:hideMark/>
          </w:tcPr>
          <w:p w:rsidR="00190A8B" w:rsidRPr="00E63DF4" w:rsidRDefault="00190A8B" w:rsidP="001434C5">
            <w:pPr>
              <w:rPr>
                <w:rFonts w:ascii="Arial Narrow" w:hAnsi="Arial Narrow"/>
                <w:color w:val="333333"/>
                <w:sz w:val="18"/>
                <w:szCs w:val="18"/>
              </w:rPr>
            </w:pPr>
            <w:r w:rsidRPr="00E63DF4">
              <w:rPr>
                <w:rFonts w:ascii="Arial Narrow" w:hAnsi="Arial Narrow"/>
                <w:b/>
                <w:bCs/>
                <w:color w:val="333333"/>
                <w:sz w:val="18"/>
                <w:szCs w:val="18"/>
              </w:rPr>
              <w:t>Clinical criteria:</w:t>
            </w:r>
          </w:p>
        </w:tc>
      </w:tr>
      <w:tr w:rsidR="00190A8B" w:rsidRPr="00E63DF4" w:rsidTr="00190A8B">
        <w:tc>
          <w:tcPr>
            <w:tcW w:w="5000" w:type="pct"/>
            <w:vAlign w:val="center"/>
            <w:hideMark/>
          </w:tcPr>
          <w:p w:rsidR="00190A8B" w:rsidRPr="00E63DF4" w:rsidRDefault="00190A8B" w:rsidP="001434C5">
            <w:pPr>
              <w:rPr>
                <w:rFonts w:ascii="Arial Narrow" w:hAnsi="Arial Narrow"/>
                <w:color w:val="333333"/>
                <w:sz w:val="18"/>
                <w:szCs w:val="18"/>
              </w:rPr>
            </w:pPr>
            <w:r w:rsidRPr="00E63DF4">
              <w:rPr>
                <w:rFonts w:ascii="Arial Narrow" w:hAnsi="Arial Narrow"/>
                <w:color w:val="333333"/>
                <w:sz w:val="18"/>
                <w:szCs w:val="18"/>
              </w:rPr>
              <w:t>The treatment must be the sole PBS-subsidised therapy for this condition</w:t>
            </w:r>
          </w:p>
        </w:tc>
      </w:tr>
      <w:tr w:rsidR="00190A8B" w:rsidRPr="00E63DF4" w:rsidTr="00190A8B">
        <w:tc>
          <w:tcPr>
            <w:tcW w:w="5000" w:type="pct"/>
            <w:vAlign w:val="center"/>
            <w:hideMark/>
          </w:tcPr>
          <w:p w:rsidR="00190A8B" w:rsidRPr="00E63DF4" w:rsidRDefault="00190A8B" w:rsidP="001434C5">
            <w:pPr>
              <w:rPr>
                <w:rFonts w:ascii="Arial Narrow" w:hAnsi="Arial Narrow"/>
                <w:color w:val="333333"/>
                <w:sz w:val="18"/>
                <w:szCs w:val="18"/>
              </w:rPr>
            </w:pPr>
            <w:r w:rsidRPr="00E63DF4">
              <w:rPr>
                <w:rFonts w:ascii="Arial Narrow" w:hAnsi="Arial Narrow"/>
                <w:b/>
                <w:bCs/>
                <w:color w:val="333333"/>
                <w:sz w:val="18"/>
                <w:szCs w:val="18"/>
              </w:rPr>
              <w:t>AND</w:t>
            </w:r>
          </w:p>
        </w:tc>
      </w:tr>
      <w:tr w:rsidR="00190A8B" w:rsidRPr="00E63DF4" w:rsidTr="00190A8B">
        <w:tc>
          <w:tcPr>
            <w:tcW w:w="5000" w:type="pct"/>
            <w:vAlign w:val="center"/>
            <w:hideMark/>
          </w:tcPr>
          <w:p w:rsidR="00190A8B" w:rsidRPr="00E63DF4" w:rsidRDefault="00190A8B" w:rsidP="001434C5">
            <w:pPr>
              <w:rPr>
                <w:rFonts w:ascii="Arial Narrow" w:hAnsi="Arial Narrow"/>
                <w:color w:val="333333"/>
                <w:sz w:val="18"/>
                <w:szCs w:val="18"/>
              </w:rPr>
            </w:pPr>
            <w:r w:rsidRPr="00E63DF4">
              <w:rPr>
                <w:rFonts w:ascii="Arial Narrow" w:hAnsi="Arial Narrow"/>
                <w:b/>
                <w:bCs/>
                <w:color w:val="333333"/>
                <w:sz w:val="18"/>
                <w:szCs w:val="18"/>
              </w:rPr>
              <w:t>Clinical criteria:</w:t>
            </w:r>
          </w:p>
        </w:tc>
      </w:tr>
      <w:tr w:rsidR="00190A8B" w:rsidRPr="00E63DF4" w:rsidTr="00190A8B">
        <w:tc>
          <w:tcPr>
            <w:tcW w:w="5000" w:type="pct"/>
            <w:vAlign w:val="center"/>
            <w:hideMark/>
          </w:tcPr>
          <w:p w:rsidR="00190A8B" w:rsidRPr="00E63DF4" w:rsidRDefault="00190A8B" w:rsidP="001434C5">
            <w:pPr>
              <w:rPr>
                <w:rFonts w:ascii="Arial Narrow" w:hAnsi="Arial Narrow"/>
                <w:color w:val="333333"/>
                <w:sz w:val="18"/>
                <w:szCs w:val="18"/>
              </w:rPr>
            </w:pPr>
            <w:r w:rsidRPr="00E63DF4">
              <w:rPr>
                <w:rFonts w:ascii="Arial Narrow" w:hAnsi="Arial Narrow"/>
                <w:color w:val="333333"/>
                <w:sz w:val="18"/>
                <w:szCs w:val="18"/>
              </w:rPr>
              <w:t>Patient must have previously received PBS-subsidised treatment with this drug for this condition</w:t>
            </w:r>
          </w:p>
        </w:tc>
      </w:tr>
      <w:tr w:rsidR="00190A8B" w:rsidRPr="00E63DF4" w:rsidTr="00190A8B">
        <w:tc>
          <w:tcPr>
            <w:tcW w:w="5000" w:type="pct"/>
            <w:vAlign w:val="center"/>
            <w:hideMark/>
          </w:tcPr>
          <w:p w:rsidR="00190A8B" w:rsidRPr="00E63DF4" w:rsidRDefault="00190A8B" w:rsidP="001434C5">
            <w:pPr>
              <w:rPr>
                <w:rFonts w:ascii="Arial Narrow" w:hAnsi="Arial Narrow"/>
                <w:color w:val="333333"/>
                <w:sz w:val="18"/>
                <w:szCs w:val="18"/>
              </w:rPr>
            </w:pPr>
            <w:r w:rsidRPr="00E63DF4">
              <w:rPr>
                <w:rFonts w:ascii="Arial Narrow" w:hAnsi="Arial Narrow"/>
                <w:b/>
                <w:bCs/>
                <w:color w:val="333333"/>
                <w:sz w:val="18"/>
                <w:szCs w:val="18"/>
              </w:rPr>
              <w:t>AND</w:t>
            </w:r>
          </w:p>
        </w:tc>
      </w:tr>
      <w:tr w:rsidR="00190A8B" w:rsidRPr="00E63DF4" w:rsidTr="00190A8B">
        <w:tc>
          <w:tcPr>
            <w:tcW w:w="5000" w:type="pct"/>
            <w:vAlign w:val="center"/>
            <w:hideMark/>
          </w:tcPr>
          <w:p w:rsidR="00190A8B" w:rsidRPr="00E63DF4" w:rsidRDefault="00190A8B" w:rsidP="001434C5">
            <w:pPr>
              <w:rPr>
                <w:rFonts w:ascii="Arial Narrow" w:hAnsi="Arial Narrow"/>
                <w:color w:val="333333"/>
                <w:sz w:val="18"/>
                <w:szCs w:val="18"/>
              </w:rPr>
            </w:pPr>
            <w:r w:rsidRPr="00E63DF4">
              <w:rPr>
                <w:rFonts w:ascii="Arial Narrow" w:hAnsi="Arial Narrow"/>
                <w:b/>
                <w:bCs/>
                <w:color w:val="333333"/>
                <w:sz w:val="18"/>
                <w:szCs w:val="18"/>
              </w:rPr>
              <w:t>Clinical criteria:</w:t>
            </w:r>
          </w:p>
        </w:tc>
      </w:tr>
      <w:tr w:rsidR="00190A8B" w:rsidRPr="00E63DF4" w:rsidTr="00190A8B">
        <w:tc>
          <w:tcPr>
            <w:tcW w:w="5000" w:type="pct"/>
            <w:vAlign w:val="center"/>
            <w:hideMark/>
          </w:tcPr>
          <w:p w:rsidR="00190A8B" w:rsidRPr="00E63DF4" w:rsidRDefault="00190A8B" w:rsidP="001434C5">
            <w:pPr>
              <w:rPr>
                <w:rFonts w:ascii="Arial Narrow" w:hAnsi="Arial Narrow"/>
                <w:color w:val="333333"/>
                <w:sz w:val="18"/>
                <w:szCs w:val="18"/>
              </w:rPr>
            </w:pPr>
            <w:r w:rsidRPr="00E63DF4">
              <w:rPr>
                <w:rFonts w:ascii="Arial Narrow" w:hAnsi="Arial Narrow"/>
                <w:color w:val="333333"/>
                <w:sz w:val="18"/>
                <w:szCs w:val="18"/>
              </w:rPr>
              <w:t>Patient must not develop disease progression while receiving treatment with this drug for this condition</w:t>
            </w:r>
          </w:p>
        </w:tc>
      </w:tr>
    </w:tbl>
    <w:p w:rsidR="001434C5" w:rsidRPr="00E63DF4" w:rsidRDefault="001434C5" w:rsidP="001434C5">
      <w:pPr>
        <w:rPr>
          <w:rFonts w:ascii="Arial Narrow" w:hAnsi="Arial Narrow"/>
          <w:b/>
          <w:sz w:val="18"/>
          <w:szCs w:val="18"/>
        </w:rPr>
      </w:pPr>
    </w:p>
    <w:p w:rsidR="00E074A5" w:rsidRDefault="004E555C" w:rsidP="0073227F">
      <w:pPr>
        <w:rPr>
          <w:rFonts w:cs="Calibri"/>
          <w:b/>
          <w:i/>
        </w:rPr>
      </w:pPr>
      <w:r w:rsidRPr="00E63DF4">
        <w:rPr>
          <w:rFonts w:cs="Calibri"/>
          <w:b/>
          <w:i/>
        </w:rPr>
        <w:t>This restriction may be subject to further review. Should there be any changes made to the restriction the Sponsor will be informed.</w:t>
      </w:r>
      <w:bookmarkEnd w:id="33"/>
      <w:bookmarkEnd w:id="34"/>
    </w:p>
    <w:p w:rsidR="00190A8B" w:rsidRDefault="00190A8B" w:rsidP="0073227F">
      <w:pPr>
        <w:rPr>
          <w:rFonts w:cs="Calibri"/>
          <w:b/>
          <w:i/>
        </w:rPr>
      </w:pPr>
    </w:p>
    <w:p w:rsidR="00190A8B" w:rsidRDefault="00190A8B" w:rsidP="00190A8B">
      <w:pPr>
        <w:pStyle w:val="2Sections"/>
        <w:numPr>
          <w:ilvl w:val="0"/>
          <w:numId w:val="1"/>
        </w:numPr>
        <w:rPr>
          <w:color w:val="1F497D"/>
        </w:rPr>
      </w:pPr>
      <w:r w:rsidRPr="00C07617">
        <w:t>Context for Decision</w:t>
      </w:r>
    </w:p>
    <w:p w:rsidR="00190A8B" w:rsidRDefault="00190A8B" w:rsidP="00190A8B">
      <w:pPr>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bCs/>
          <w:lang w:val="en-GB"/>
        </w:rPr>
        <w:t>medicines</w:t>
      </w:r>
      <w:r w:rsidRPr="007129F2">
        <w:rPr>
          <w:rFonts w:asciiTheme="minorHAnsi" w:hAnsiTheme="minorHAnsi"/>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90A8B" w:rsidRPr="007129F2" w:rsidRDefault="00190A8B" w:rsidP="00190A8B">
      <w:pPr>
        <w:rPr>
          <w:rFonts w:asciiTheme="minorHAnsi" w:hAnsiTheme="minorHAnsi"/>
          <w:bCs/>
          <w:lang w:val="en-GB"/>
        </w:rPr>
      </w:pPr>
    </w:p>
    <w:p w:rsidR="00190A8B" w:rsidRPr="00C07617" w:rsidRDefault="00190A8B" w:rsidP="00190A8B">
      <w:pPr>
        <w:pStyle w:val="2Sections"/>
        <w:numPr>
          <w:ilvl w:val="0"/>
          <w:numId w:val="1"/>
        </w:numPr>
        <w:rPr>
          <w:b w:val="0"/>
        </w:rPr>
      </w:pPr>
      <w:r>
        <w:t>Sponsor’s Comment</w:t>
      </w:r>
    </w:p>
    <w:p w:rsidR="0022742F" w:rsidRDefault="0022742F" w:rsidP="0022742F">
      <w:pPr>
        <w:rPr>
          <w:rFonts w:asciiTheme="minorHAnsi" w:hAnsiTheme="minorHAnsi"/>
          <w:bCs/>
        </w:rPr>
      </w:pPr>
      <w:r w:rsidRPr="008F4B96">
        <w:rPr>
          <w:rFonts w:asciiTheme="minorHAnsi" w:hAnsiTheme="minorHAnsi"/>
          <w:bCs/>
        </w:rPr>
        <w:t xml:space="preserve">Roche welcomes the PBAC’s decision to recommend atezolizumab and bevacizumab, for the treatment of patients with unresectable locally advanced or metastatic Barcelona Clinic Liver Cancer (BCLC) stage B or stage C hepatocellular carcinoma (HCC) who have not received prior systemic treatment. </w:t>
      </w:r>
    </w:p>
    <w:p w:rsidR="0022742F" w:rsidRDefault="0022742F" w:rsidP="0022742F">
      <w:pPr>
        <w:rPr>
          <w:rFonts w:asciiTheme="minorHAnsi" w:hAnsiTheme="minorHAnsi"/>
          <w:bCs/>
        </w:rPr>
      </w:pPr>
    </w:p>
    <w:p w:rsidR="0022742F" w:rsidRPr="0073227F" w:rsidRDefault="0022742F" w:rsidP="0022742F">
      <w:pPr>
        <w:rPr>
          <w:rFonts w:cs="Calibri"/>
          <w:b/>
          <w:i/>
        </w:rPr>
      </w:pPr>
      <w:r w:rsidRPr="008F4B96">
        <w:rPr>
          <w:rFonts w:asciiTheme="minorHAnsi" w:hAnsiTheme="minorHAnsi"/>
          <w:bCs/>
        </w:rPr>
        <w:t>Roche are working with the Department of Health towards a PBS listing at the earliest opportunity.</w:t>
      </w:r>
    </w:p>
    <w:p w:rsidR="00190A8B" w:rsidRPr="0073227F" w:rsidRDefault="00190A8B" w:rsidP="0073227F">
      <w:pPr>
        <w:rPr>
          <w:rFonts w:cs="Calibri"/>
          <w:b/>
          <w:i/>
        </w:rPr>
      </w:pPr>
    </w:p>
    <w:sectPr w:rsidR="00190A8B" w:rsidRPr="0073227F" w:rsidSect="004A7C44">
      <w:headerReference w:type="even" r:id="rId13"/>
      <w:headerReference w:type="default" r:id="rId14"/>
      <w:footerReference w:type="even" r:id="rId15"/>
      <w:footerReference w:type="default" r:id="rId16"/>
      <w:headerReference w:type="first" r:id="rId17"/>
      <w:footerReference w:type="first" r:id="rId18"/>
      <w:pgSz w:w="11906" w:h="16838" w:code="9"/>
      <w:pgMar w:top="1440" w:right="1416" w:bottom="1440" w:left="1440" w:header="1440" w:footer="14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84B20" w16cex:dateUtc="2020-07-26T08:34:00Z"/>
  <w16cex:commentExtensible w16cex:durableId="22C84BB5" w16cex:dateUtc="2020-07-26T08:36:00Z"/>
  <w16cex:commentExtensible w16cex:durableId="22C84C9D" w16cex:dateUtc="2020-07-26T08:40:00Z"/>
  <w16cex:commentExtensible w16cex:durableId="22C85C03" w16cex:dateUtc="2020-07-26T09:46:00Z"/>
  <w16cex:commentExtensible w16cex:durableId="22C85D9B" w16cex:dateUtc="2020-07-26T09:52:00Z"/>
  <w16cex:commentExtensible w16cex:durableId="22C85F18" w16cex:dateUtc="2020-07-26T09:59:00Z"/>
  <w16cex:commentExtensible w16cex:durableId="22C85F77" w16cex:dateUtc="2020-07-26T10:00:00Z"/>
  <w16cex:commentExtensible w16cex:durableId="22C85FCF" w16cex:dateUtc="2020-07-26T10:02:00Z"/>
  <w16cex:commentExtensible w16cex:durableId="22C86078" w16cex:dateUtc="2020-07-26T10:05:00Z"/>
  <w16cex:commentExtensible w16cex:durableId="22C86087" w16cex:dateUtc="2020-07-26T10:05:00Z"/>
  <w16cex:commentExtensible w16cex:durableId="22C8615A" w16cex:dateUtc="2020-07-26T10:08:00Z"/>
  <w16cex:commentExtensible w16cex:durableId="22C8617B" w16cex:dateUtc="2020-07-26T10:09:00Z"/>
  <w16cex:commentExtensible w16cex:durableId="22C861A4" w16cex:dateUtc="2020-07-26T10:10:00Z"/>
  <w16cex:commentExtensible w16cex:durableId="22C861CD" w16cex:dateUtc="2020-07-26T10:10:00Z"/>
  <w16cex:commentExtensible w16cex:durableId="22C8623C" w16cex:dateUtc="2020-07-26T10:12:00Z"/>
  <w16cex:commentExtensible w16cex:durableId="22C8628C" w16cex:dateUtc="2020-07-26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8E703B" w16cid:durableId="22C79B12"/>
  <w16cid:commentId w16cid:paraId="505C7A7D" w16cid:durableId="22C79BA1"/>
  <w16cid:commentId w16cid:paraId="79A34876" w16cid:durableId="22C84B20"/>
  <w16cid:commentId w16cid:paraId="3923AAB4" w16cid:durableId="22C79B13"/>
  <w16cid:commentId w16cid:paraId="466AC6A7" w16cid:durableId="22C79CB7"/>
  <w16cid:commentId w16cid:paraId="78903852" w16cid:durableId="22C84BB5"/>
  <w16cid:commentId w16cid:paraId="139ACA40" w16cid:durableId="22C79B14"/>
  <w16cid:commentId w16cid:paraId="3F00FC82" w16cid:durableId="22C79B15"/>
  <w16cid:commentId w16cid:paraId="031CA2E8" w16cid:durableId="22C84C9D"/>
  <w16cid:commentId w16cid:paraId="12FBD47A" w16cid:durableId="22C85C03"/>
  <w16cid:commentId w16cid:paraId="69370342" w16cid:durableId="22C79FCD"/>
  <w16cid:commentId w16cid:paraId="5687D9EB" w16cid:durableId="22C85D9B"/>
  <w16cid:commentId w16cid:paraId="342F8E5E" w16cid:durableId="22C79B16"/>
  <w16cid:commentId w16cid:paraId="237F888E" w16cid:durableId="22C7A19E"/>
  <w16cid:commentId w16cid:paraId="2E56D119" w16cid:durableId="22C85F18"/>
  <w16cid:commentId w16cid:paraId="47BFE739" w16cid:durableId="22C79B17"/>
  <w16cid:commentId w16cid:paraId="7D446409" w16cid:durableId="22C79B18"/>
  <w16cid:commentId w16cid:paraId="0EB9C9AD" w16cid:durableId="22C85F77"/>
  <w16cid:commentId w16cid:paraId="774C9D8E" w16cid:durableId="22C79B19"/>
  <w16cid:commentId w16cid:paraId="7E746CA4" w16cid:durableId="22C85FCF"/>
  <w16cid:commentId w16cid:paraId="30720874" w16cid:durableId="22C79B1A"/>
  <w16cid:commentId w16cid:paraId="4CF4F65D" w16cid:durableId="22C7A3EF"/>
  <w16cid:commentId w16cid:paraId="42D31D77" w16cid:durableId="22C86078"/>
  <w16cid:commentId w16cid:paraId="2EEE55BC" w16cid:durableId="22C79B1B"/>
  <w16cid:commentId w16cid:paraId="7FB2C40C" w16cid:durableId="22C86087"/>
  <w16cid:commentId w16cid:paraId="000198A0" w16cid:durableId="22C79B1C"/>
  <w16cid:commentId w16cid:paraId="7826DEB1" w16cid:durableId="22C7A582"/>
  <w16cid:commentId w16cid:paraId="642EF50E" w16cid:durableId="22C8615A"/>
  <w16cid:commentId w16cid:paraId="26578372" w16cid:durableId="22C7A598"/>
  <w16cid:commentId w16cid:paraId="019E3D38" w16cid:durableId="22C8617B"/>
  <w16cid:commentId w16cid:paraId="57EFBDA8" w16cid:durableId="22C79B1D"/>
  <w16cid:commentId w16cid:paraId="4A212A2F" w16cid:durableId="22C79B1E"/>
  <w16cid:commentId w16cid:paraId="0178E2C5" w16cid:durableId="22C7A5DB"/>
  <w16cid:commentId w16cid:paraId="60FD1F3B" w16cid:durableId="22C79B1F"/>
  <w16cid:commentId w16cid:paraId="72952B5F" w16cid:durableId="22C79B20"/>
  <w16cid:commentId w16cid:paraId="2C170B9C" w16cid:durableId="22C861A4"/>
  <w16cid:commentId w16cid:paraId="26591A91" w16cid:durableId="22C79B21"/>
  <w16cid:commentId w16cid:paraId="3B9572C9" w16cid:durableId="22C861CD"/>
  <w16cid:commentId w16cid:paraId="73CCF52B" w16cid:durableId="22C79B22"/>
  <w16cid:commentId w16cid:paraId="5904468B" w16cid:durableId="22C7A639"/>
  <w16cid:commentId w16cid:paraId="26AE05B6" w16cid:durableId="22C8623C"/>
  <w16cid:commentId w16cid:paraId="5D664529" w16cid:durableId="22C862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68F" w:rsidRDefault="00E4568F" w:rsidP="00124A51">
      <w:r>
        <w:separator/>
      </w:r>
    </w:p>
    <w:p w:rsidR="00E4568F" w:rsidRDefault="00E4568F"/>
  </w:endnote>
  <w:endnote w:type="continuationSeparator" w:id="0">
    <w:p w:rsidR="00E4568F" w:rsidRDefault="00E4568F" w:rsidP="00124A51">
      <w:r>
        <w:continuationSeparator/>
      </w:r>
    </w:p>
    <w:p w:rsidR="00E4568F" w:rsidRDefault="00E45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Imago">
    <w:charset w:val="00"/>
    <w:family w:val="auto"/>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0F" w:rsidRDefault="00D56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8F" w:rsidRDefault="00E4568F" w:rsidP="00B237EC">
    <w:pPr>
      <w:ind w:right="360"/>
      <w:jc w:val="center"/>
    </w:pPr>
  </w:p>
  <w:p w:rsidR="00E4568F" w:rsidRPr="006410F7" w:rsidRDefault="00E4568F" w:rsidP="00637327">
    <w:pPr>
      <w:ind w:right="360"/>
      <w:jc w:val="center"/>
      <w:rPr>
        <w:b/>
      </w:rPr>
    </w:pPr>
    <w:r w:rsidRPr="006410F7">
      <w:rPr>
        <w:b/>
      </w:rPr>
      <w:fldChar w:fldCharType="begin"/>
    </w:r>
    <w:r w:rsidRPr="006410F7">
      <w:rPr>
        <w:b/>
      </w:rPr>
      <w:instrText xml:space="preserve"> PAGE   \* MERGEFORMAT </w:instrText>
    </w:r>
    <w:r w:rsidRPr="006410F7">
      <w:rPr>
        <w:b/>
      </w:rPr>
      <w:fldChar w:fldCharType="separate"/>
    </w:r>
    <w:r w:rsidR="004178CA">
      <w:rPr>
        <w:b/>
        <w:noProof/>
      </w:rPr>
      <w:t>28</w:t>
    </w:r>
    <w:r w:rsidRPr="006410F7">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0F" w:rsidRDefault="00D56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68F" w:rsidRDefault="00E4568F" w:rsidP="00124A51">
      <w:r>
        <w:separator/>
      </w:r>
    </w:p>
    <w:p w:rsidR="00E4568F" w:rsidRDefault="00E4568F"/>
  </w:footnote>
  <w:footnote w:type="continuationSeparator" w:id="0">
    <w:p w:rsidR="00E4568F" w:rsidRDefault="00E4568F" w:rsidP="00124A51">
      <w:r>
        <w:continuationSeparator/>
      </w:r>
    </w:p>
    <w:p w:rsidR="00E4568F" w:rsidRDefault="00E4568F"/>
  </w:footnote>
  <w:footnote w:id="1">
    <w:p w:rsidR="00E4568F" w:rsidRPr="00C36479" w:rsidRDefault="00E4568F" w:rsidP="00DE3974">
      <w:pPr>
        <w:pStyle w:val="FootnoteText"/>
        <w:rPr>
          <w:rFonts w:ascii="Arial Narrow" w:hAnsi="Arial Narrow"/>
          <w:sz w:val="18"/>
          <w:szCs w:val="18"/>
        </w:rPr>
      </w:pPr>
      <w:r w:rsidRPr="00C36479">
        <w:rPr>
          <w:rStyle w:val="FootnoteReference"/>
          <w:rFonts w:ascii="Arial Narrow" w:hAnsi="Arial Narrow"/>
          <w:sz w:val="18"/>
          <w:szCs w:val="18"/>
        </w:rPr>
        <w:footnoteRef/>
      </w:r>
      <w:r w:rsidRPr="00C36479">
        <w:rPr>
          <w:rFonts w:ascii="Arial Narrow" w:hAnsi="Arial Narrow"/>
          <w:sz w:val="18"/>
          <w:szCs w:val="18"/>
        </w:rPr>
        <w:t xml:space="preserve"> </w:t>
      </w:r>
      <w:r w:rsidRPr="00C36479">
        <w:rPr>
          <w:rFonts w:ascii="Arial Narrow" w:hAnsi="Arial Narrow"/>
          <w:bCs/>
          <w:sz w:val="18"/>
          <w:szCs w:val="18"/>
        </w:rPr>
        <w:t>Cherny NI, Dafni U, Bogaerts J, et al: ESMO-Magnitude of Clinical Benefit Scale version 1.1. Annals of Oncology 28:2340-2366, 2017.</w:t>
      </w:r>
    </w:p>
  </w:footnote>
  <w:footnote w:id="2">
    <w:p w:rsidR="00E4568F" w:rsidRPr="004508F1" w:rsidRDefault="00E4568F">
      <w:pPr>
        <w:pStyle w:val="FootnoteText"/>
      </w:pPr>
      <w:r>
        <w:rPr>
          <w:rStyle w:val="FootnoteReference"/>
        </w:rPr>
        <w:footnoteRef/>
      </w:r>
      <w:r>
        <w:t xml:space="preserve"> </w:t>
      </w:r>
      <w:r w:rsidRPr="004508F1">
        <w:t>Services Australia Supplied Prescription database, extracted 25 May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0F" w:rsidRDefault="00D56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8F" w:rsidRPr="00966288" w:rsidRDefault="00E4568F" w:rsidP="00190A8B">
    <w:pPr>
      <w:pStyle w:val="MinorOVRHeader"/>
      <w:jc w:val="center"/>
      <w:rPr>
        <w:i/>
      </w:rPr>
    </w:pPr>
    <w:r>
      <w:rPr>
        <w:i/>
      </w:rPr>
      <w:t>Public Summary Document</w:t>
    </w:r>
    <w:r w:rsidRPr="00966288">
      <w:rPr>
        <w:i/>
      </w:rPr>
      <w:t xml:space="preserve"> – </w:t>
    </w:r>
    <w:r>
      <w:rPr>
        <w:i/>
      </w:rPr>
      <w:t xml:space="preserve">July </w:t>
    </w:r>
    <w:r w:rsidRPr="00966288">
      <w:rPr>
        <w:i/>
      </w:rPr>
      <w:t>2020 PBAC Meeting</w:t>
    </w:r>
  </w:p>
  <w:p w:rsidR="00E4568F" w:rsidRPr="008C7ECB" w:rsidRDefault="00E45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0F" w:rsidRDefault="00D56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1890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D396E"/>
    <w:multiLevelType w:val="hybridMultilevel"/>
    <w:tmpl w:val="C2FC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D0D0A"/>
    <w:multiLevelType w:val="hybridMultilevel"/>
    <w:tmpl w:val="D8D61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14272F"/>
    <w:multiLevelType w:val="hybridMultilevel"/>
    <w:tmpl w:val="0374F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3472AF"/>
    <w:multiLevelType w:val="hybridMultilevel"/>
    <w:tmpl w:val="D50820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B6274A"/>
    <w:multiLevelType w:val="hybridMultilevel"/>
    <w:tmpl w:val="E07A47CC"/>
    <w:lvl w:ilvl="0" w:tplc="E1B6BF4A">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7C34E2"/>
    <w:multiLevelType w:val="hybridMultilevel"/>
    <w:tmpl w:val="0E2E5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03102"/>
    <w:multiLevelType w:val="hybridMultilevel"/>
    <w:tmpl w:val="885A6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65CC2"/>
    <w:multiLevelType w:val="hybridMultilevel"/>
    <w:tmpl w:val="85360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8D67A6"/>
    <w:multiLevelType w:val="hybridMultilevel"/>
    <w:tmpl w:val="C9125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C23895"/>
    <w:multiLevelType w:val="singleLevel"/>
    <w:tmpl w:val="E224443A"/>
    <w:lvl w:ilvl="0">
      <w:start w:val="1"/>
      <w:numFmt w:val="bullet"/>
      <w:pStyle w:val="TableDash"/>
      <w:lvlText w:val="–"/>
      <w:lvlJc w:val="left"/>
      <w:pPr>
        <w:tabs>
          <w:tab w:val="num" w:pos="578"/>
        </w:tabs>
        <w:ind w:left="431" w:hanging="216"/>
      </w:pPr>
      <w:rPr>
        <w:rFonts w:ascii="Times New Roman" w:hAnsi="Times New Roman" w:cs="Times New Roman" w:hint="default"/>
        <w:sz w:val="20"/>
        <w:szCs w:val="20"/>
      </w:rPr>
    </w:lvl>
  </w:abstractNum>
  <w:abstractNum w:abstractNumId="19" w15:restartNumberingAfterBreak="0">
    <w:nsid w:val="518636E7"/>
    <w:multiLevelType w:val="hybridMultilevel"/>
    <w:tmpl w:val="2F568148"/>
    <w:lvl w:ilvl="0" w:tplc="4B1843C4">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007BFA"/>
    <w:multiLevelType w:val="hybridMultilevel"/>
    <w:tmpl w:val="DB14486C"/>
    <w:lvl w:ilvl="0" w:tplc="DAEAE222">
      <w:start w:val="1"/>
      <w:numFmt w:val="bullet"/>
      <w:lvlText w:val="•"/>
      <w:lvlJc w:val="left"/>
      <w:pPr>
        <w:tabs>
          <w:tab w:val="num" w:pos="720"/>
        </w:tabs>
        <w:ind w:left="720" w:hanging="360"/>
      </w:pPr>
      <w:rPr>
        <w:rFonts w:ascii="Arial" w:hAnsi="Arial" w:hint="default"/>
      </w:rPr>
    </w:lvl>
    <w:lvl w:ilvl="1" w:tplc="E47ABD50">
      <w:start w:val="60"/>
      <w:numFmt w:val="bullet"/>
      <w:lvlText w:val="–"/>
      <w:lvlJc w:val="left"/>
      <w:pPr>
        <w:tabs>
          <w:tab w:val="num" w:pos="1440"/>
        </w:tabs>
        <w:ind w:left="1440" w:hanging="360"/>
      </w:pPr>
      <w:rPr>
        <w:rFonts w:ascii="Arial" w:hAnsi="Arial" w:hint="default"/>
      </w:rPr>
    </w:lvl>
    <w:lvl w:ilvl="2" w:tplc="2B687F06" w:tentative="1">
      <w:start w:val="1"/>
      <w:numFmt w:val="bullet"/>
      <w:lvlText w:val="•"/>
      <w:lvlJc w:val="left"/>
      <w:pPr>
        <w:tabs>
          <w:tab w:val="num" w:pos="2160"/>
        </w:tabs>
        <w:ind w:left="2160" w:hanging="360"/>
      </w:pPr>
      <w:rPr>
        <w:rFonts w:ascii="Arial" w:hAnsi="Arial" w:hint="default"/>
      </w:rPr>
    </w:lvl>
    <w:lvl w:ilvl="3" w:tplc="A9DAA43C" w:tentative="1">
      <w:start w:val="1"/>
      <w:numFmt w:val="bullet"/>
      <w:lvlText w:val="•"/>
      <w:lvlJc w:val="left"/>
      <w:pPr>
        <w:tabs>
          <w:tab w:val="num" w:pos="2880"/>
        </w:tabs>
        <w:ind w:left="2880" w:hanging="360"/>
      </w:pPr>
      <w:rPr>
        <w:rFonts w:ascii="Arial" w:hAnsi="Arial" w:hint="default"/>
      </w:rPr>
    </w:lvl>
    <w:lvl w:ilvl="4" w:tplc="1096CC26" w:tentative="1">
      <w:start w:val="1"/>
      <w:numFmt w:val="bullet"/>
      <w:lvlText w:val="•"/>
      <w:lvlJc w:val="left"/>
      <w:pPr>
        <w:tabs>
          <w:tab w:val="num" w:pos="3600"/>
        </w:tabs>
        <w:ind w:left="3600" w:hanging="360"/>
      </w:pPr>
      <w:rPr>
        <w:rFonts w:ascii="Arial" w:hAnsi="Arial" w:hint="default"/>
      </w:rPr>
    </w:lvl>
    <w:lvl w:ilvl="5" w:tplc="8A5E9D3A" w:tentative="1">
      <w:start w:val="1"/>
      <w:numFmt w:val="bullet"/>
      <w:lvlText w:val="•"/>
      <w:lvlJc w:val="left"/>
      <w:pPr>
        <w:tabs>
          <w:tab w:val="num" w:pos="4320"/>
        </w:tabs>
        <w:ind w:left="4320" w:hanging="360"/>
      </w:pPr>
      <w:rPr>
        <w:rFonts w:ascii="Arial" w:hAnsi="Arial" w:hint="default"/>
      </w:rPr>
    </w:lvl>
    <w:lvl w:ilvl="6" w:tplc="25EC477C" w:tentative="1">
      <w:start w:val="1"/>
      <w:numFmt w:val="bullet"/>
      <w:lvlText w:val="•"/>
      <w:lvlJc w:val="left"/>
      <w:pPr>
        <w:tabs>
          <w:tab w:val="num" w:pos="5040"/>
        </w:tabs>
        <w:ind w:left="5040" w:hanging="360"/>
      </w:pPr>
      <w:rPr>
        <w:rFonts w:ascii="Arial" w:hAnsi="Arial" w:hint="default"/>
      </w:rPr>
    </w:lvl>
    <w:lvl w:ilvl="7" w:tplc="F73EB56A" w:tentative="1">
      <w:start w:val="1"/>
      <w:numFmt w:val="bullet"/>
      <w:lvlText w:val="•"/>
      <w:lvlJc w:val="left"/>
      <w:pPr>
        <w:tabs>
          <w:tab w:val="num" w:pos="5760"/>
        </w:tabs>
        <w:ind w:left="5760" w:hanging="360"/>
      </w:pPr>
      <w:rPr>
        <w:rFonts w:ascii="Arial" w:hAnsi="Arial" w:hint="default"/>
      </w:rPr>
    </w:lvl>
    <w:lvl w:ilvl="8" w:tplc="22BE46A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BDD7822"/>
    <w:multiLevelType w:val="hybridMultilevel"/>
    <w:tmpl w:val="A9B404AE"/>
    <w:lvl w:ilvl="0" w:tplc="DB9CA378">
      <w:start w:val="1"/>
      <w:numFmt w:val="bullet"/>
      <w:pStyle w:val="ListBullet2ndlevel"/>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093B30"/>
    <w:multiLevelType w:val="hybridMultilevel"/>
    <w:tmpl w:val="2BCE0CCE"/>
    <w:lvl w:ilvl="0" w:tplc="7372701C">
      <w:start w:val="1"/>
      <w:numFmt w:val="decimal"/>
      <w:lvlText w:val="%1."/>
      <w:lvlJc w:val="left"/>
      <w:pPr>
        <w:ind w:left="1440" w:hanging="360"/>
      </w:pPr>
      <w:rPr>
        <w:color w:val="000000" w:themeColor="text1"/>
      </w:rPr>
    </w:lvl>
    <w:lvl w:ilvl="1" w:tplc="0C090001">
      <w:start w:val="1"/>
      <w:numFmt w:val="bullet"/>
      <w:lvlText w:val=""/>
      <w:lvlJc w:val="left"/>
      <w:pPr>
        <w:ind w:left="2160" w:hanging="360"/>
      </w:pPr>
      <w:rPr>
        <w:rFonts w:ascii="Symbol" w:hAnsi="Symbol"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1E66DAC"/>
    <w:multiLevelType w:val="hybridMultilevel"/>
    <w:tmpl w:val="5D1A2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AA7471"/>
    <w:multiLevelType w:val="hybridMultilevel"/>
    <w:tmpl w:val="A6F6D3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7B6A57"/>
    <w:multiLevelType w:val="hybridMultilevel"/>
    <w:tmpl w:val="65CE0F6C"/>
    <w:lvl w:ilvl="0" w:tplc="5A64313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4DA27D6"/>
    <w:multiLevelType w:val="hybridMultilevel"/>
    <w:tmpl w:val="F54E495E"/>
    <w:lvl w:ilvl="0" w:tplc="44D037D8">
      <w:start w:val="1"/>
      <w:numFmt w:val="bullet"/>
      <w:pStyle w:val="Bullet6"/>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CA5DAD"/>
    <w:multiLevelType w:val="multilevel"/>
    <w:tmpl w:val="E9CCBBAA"/>
    <w:styleLink w:val="PBAC"/>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1.1.1"/>
      <w:lvlJc w:val="left"/>
      <w:pPr>
        <w:ind w:left="1080" w:hanging="360"/>
      </w:pPr>
      <w:rPr>
        <w:rFonts w:hint="default"/>
      </w:rPr>
    </w:lvl>
    <w:lvl w:ilvl="3">
      <w:start w:val="1"/>
      <w:numFmt w:val="none"/>
      <w:lvlText w:val="%1.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84D033C"/>
    <w:multiLevelType w:val="multilevel"/>
    <w:tmpl w:val="38E63A6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EF3AF4"/>
    <w:multiLevelType w:val="hybridMultilevel"/>
    <w:tmpl w:val="EB689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0"/>
  </w:num>
  <w:num w:numId="2">
    <w:abstractNumId w:val="15"/>
  </w:num>
  <w:num w:numId="3">
    <w:abstractNumId w:val="17"/>
  </w:num>
  <w:num w:numId="4">
    <w:abstractNumId w:val="0"/>
  </w:num>
  <w:num w:numId="5">
    <w:abstractNumId w:val="30"/>
  </w:num>
  <w:num w:numId="6">
    <w:abstractNumId w:val="23"/>
  </w:num>
  <w:num w:numId="7">
    <w:abstractNumId w:val="18"/>
  </w:num>
  <w:num w:numId="8">
    <w:abstractNumId w:val="29"/>
  </w:num>
  <w:num w:numId="9">
    <w:abstractNumId w:val="28"/>
  </w:num>
  <w:num w:numId="10">
    <w:abstractNumId w:val="14"/>
  </w:num>
  <w:num w:numId="11">
    <w:abstractNumId w:val="1"/>
  </w:num>
  <w:num w:numId="12">
    <w:abstractNumId w:val="10"/>
  </w:num>
  <w:num w:numId="13">
    <w:abstractNumId w:val="24"/>
  </w:num>
  <w:num w:numId="14">
    <w:abstractNumId w:val="5"/>
  </w:num>
  <w:num w:numId="15">
    <w:abstractNumId w:val="20"/>
  </w:num>
  <w:num w:numId="16">
    <w:abstractNumId w:val="21"/>
  </w:num>
  <w:num w:numId="17">
    <w:abstractNumId w:val="6"/>
  </w:num>
  <w:num w:numId="18">
    <w:abstractNumId w:val="2"/>
  </w:num>
  <w:num w:numId="19">
    <w:abstractNumId w:val="11"/>
  </w:num>
  <w:num w:numId="20">
    <w:abstractNumId w:val="12"/>
  </w:num>
  <w:num w:numId="21">
    <w:abstractNumId w:val="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3"/>
  </w:num>
  <w:num w:numId="26">
    <w:abstractNumId w:val="25"/>
  </w:num>
  <w:num w:numId="27">
    <w:abstractNumId w:val="31"/>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7"/>
  </w:num>
  <w:num w:numId="31">
    <w:abstractNumId w:val="22"/>
  </w:num>
  <w:num w:numId="32">
    <w:abstractNumId w:val="7"/>
  </w:num>
  <w:num w:numId="33">
    <w:abstractNumId w:val="26"/>
  </w:num>
  <w:num w:numId="34">
    <w:abstractNumId w:val="16"/>
  </w:num>
  <w:num w:numId="35">
    <w:abstractNumId w:val="3"/>
  </w:num>
  <w:num w:numId="36">
    <w:abstractNumId w:val="8"/>
  </w:num>
  <w:num w:numId="37">
    <w:abstractNumId w:val="3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hideGrammaticalError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activeWritingStyle w:appName="MSWord" w:lang="de-DE" w:vendorID="64" w:dllVersion="4096" w:nlCheck="1" w:checkStyle="0"/>
  <w:activeWritingStyle w:appName="MSWord" w:lang="pt-BR" w:vendorID="64" w:dllVersion="4096" w:nlCheck="1" w:checkStyle="0"/>
  <w:activeWritingStyle w:appName="MSWord" w:lang="de-DE" w:vendorID="64" w:dllVersion="6"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C1MDMwMzcwMTQwsjRX0lEKTi0uzszPAykwqwUAq36RAiwAAAA="/>
  </w:docVars>
  <w:rsids>
    <w:rsidRoot w:val="00E65E79"/>
    <w:rsid w:val="00000648"/>
    <w:rsid w:val="00000790"/>
    <w:rsid w:val="00000A5D"/>
    <w:rsid w:val="0000110B"/>
    <w:rsid w:val="00001263"/>
    <w:rsid w:val="000014D8"/>
    <w:rsid w:val="00001735"/>
    <w:rsid w:val="00001867"/>
    <w:rsid w:val="00001CAE"/>
    <w:rsid w:val="00003253"/>
    <w:rsid w:val="00003499"/>
    <w:rsid w:val="00003705"/>
    <w:rsid w:val="00003780"/>
    <w:rsid w:val="00003962"/>
    <w:rsid w:val="000039B7"/>
    <w:rsid w:val="00004EA9"/>
    <w:rsid w:val="00005EF8"/>
    <w:rsid w:val="0000635B"/>
    <w:rsid w:val="0000639A"/>
    <w:rsid w:val="00007009"/>
    <w:rsid w:val="00010945"/>
    <w:rsid w:val="00011CF5"/>
    <w:rsid w:val="00011FAF"/>
    <w:rsid w:val="0001263B"/>
    <w:rsid w:val="00012EE0"/>
    <w:rsid w:val="00012F0E"/>
    <w:rsid w:val="0001315C"/>
    <w:rsid w:val="00013247"/>
    <w:rsid w:val="0001377B"/>
    <w:rsid w:val="00014838"/>
    <w:rsid w:val="00015886"/>
    <w:rsid w:val="000162EF"/>
    <w:rsid w:val="000207C9"/>
    <w:rsid w:val="000207CE"/>
    <w:rsid w:val="00020921"/>
    <w:rsid w:val="00020DC8"/>
    <w:rsid w:val="00021021"/>
    <w:rsid w:val="000214EF"/>
    <w:rsid w:val="00021BAB"/>
    <w:rsid w:val="00021D9F"/>
    <w:rsid w:val="00021FD5"/>
    <w:rsid w:val="0002225F"/>
    <w:rsid w:val="00022410"/>
    <w:rsid w:val="00023185"/>
    <w:rsid w:val="0002364A"/>
    <w:rsid w:val="00023763"/>
    <w:rsid w:val="000239CD"/>
    <w:rsid w:val="000247A6"/>
    <w:rsid w:val="000248AA"/>
    <w:rsid w:val="000263EA"/>
    <w:rsid w:val="00026A5B"/>
    <w:rsid w:val="00027364"/>
    <w:rsid w:val="000274B8"/>
    <w:rsid w:val="00027968"/>
    <w:rsid w:val="00027C27"/>
    <w:rsid w:val="000304E6"/>
    <w:rsid w:val="00030546"/>
    <w:rsid w:val="000309E4"/>
    <w:rsid w:val="000312F1"/>
    <w:rsid w:val="00033863"/>
    <w:rsid w:val="0003515B"/>
    <w:rsid w:val="00035DC0"/>
    <w:rsid w:val="00036829"/>
    <w:rsid w:val="000373AA"/>
    <w:rsid w:val="00037ADF"/>
    <w:rsid w:val="00037CE2"/>
    <w:rsid w:val="00040124"/>
    <w:rsid w:val="000403EF"/>
    <w:rsid w:val="00040895"/>
    <w:rsid w:val="00040BBA"/>
    <w:rsid w:val="00040CAA"/>
    <w:rsid w:val="000412BF"/>
    <w:rsid w:val="00041343"/>
    <w:rsid w:val="000429D4"/>
    <w:rsid w:val="000435EE"/>
    <w:rsid w:val="00043C37"/>
    <w:rsid w:val="000447BE"/>
    <w:rsid w:val="00044B95"/>
    <w:rsid w:val="00045017"/>
    <w:rsid w:val="00045A2B"/>
    <w:rsid w:val="00046019"/>
    <w:rsid w:val="000462E4"/>
    <w:rsid w:val="0004698F"/>
    <w:rsid w:val="000473B0"/>
    <w:rsid w:val="00050A90"/>
    <w:rsid w:val="00050E1E"/>
    <w:rsid w:val="00052E6D"/>
    <w:rsid w:val="00052EDF"/>
    <w:rsid w:val="000539D0"/>
    <w:rsid w:val="00053C1A"/>
    <w:rsid w:val="00053C6C"/>
    <w:rsid w:val="00053FC9"/>
    <w:rsid w:val="0005404C"/>
    <w:rsid w:val="00054621"/>
    <w:rsid w:val="000546D7"/>
    <w:rsid w:val="00055DD7"/>
    <w:rsid w:val="00055E10"/>
    <w:rsid w:val="00056ECF"/>
    <w:rsid w:val="00056F09"/>
    <w:rsid w:val="000571AB"/>
    <w:rsid w:val="00057CD3"/>
    <w:rsid w:val="000604DF"/>
    <w:rsid w:val="000611FC"/>
    <w:rsid w:val="00061E4F"/>
    <w:rsid w:val="00062506"/>
    <w:rsid w:val="00062D9F"/>
    <w:rsid w:val="000636DA"/>
    <w:rsid w:val="00063B22"/>
    <w:rsid w:val="00064377"/>
    <w:rsid w:val="000653B5"/>
    <w:rsid w:val="00065AF2"/>
    <w:rsid w:val="000662E7"/>
    <w:rsid w:val="00066360"/>
    <w:rsid w:val="000665EF"/>
    <w:rsid w:val="0006666E"/>
    <w:rsid w:val="000669A2"/>
    <w:rsid w:val="00066AF8"/>
    <w:rsid w:val="00067736"/>
    <w:rsid w:val="0007060C"/>
    <w:rsid w:val="00071043"/>
    <w:rsid w:val="00071248"/>
    <w:rsid w:val="000718AF"/>
    <w:rsid w:val="000719A9"/>
    <w:rsid w:val="000720B9"/>
    <w:rsid w:val="000728FF"/>
    <w:rsid w:val="000737F7"/>
    <w:rsid w:val="0007389F"/>
    <w:rsid w:val="00074205"/>
    <w:rsid w:val="00074261"/>
    <w:rsid w:val="00076113"/>
    <w:rsid w:val="0007672F"/>
    <w:rsid w:val="00076B52"/>
    <w:rsid w:val="00076B54"/>
    <w:rsid w:val="000774F0"/>
    <w:rsid w:val="00077B3E"/>
    <w:rsid w:val="0008041F"/>
    <w:rsid w:val="00080909"/>
    <w:rsid w:val="00080A44"/>
    <w:rsid w:val="000812CA"/>
    <w:rsid w:val="00081E63"/>
    <w:rsid w:val="0008258D"/>
    <w:rsid w:val="00082CF7"/>
    <w:rsid w:val="000834D9"/>
    <w:rsid w:val="00083567"/>
    <w:rsid w:val="00083D34"/>
    <w:rsid w:val="00083E99"/>
    <w:rsid w:val="00084871"/>
    <w:rsid w:val="00084FA8"/>
    <w:rsid w:val="000850A1"/>
    <w:rsid w:val="00085120"/>
    <w:rsid w:val="000856BD"/>
    <w:rsid w:val="000856C5"/>
    <w:rsid w:val="00085C31"/>
    <w:rsid w:val="000902D9"/>
    <w:rsid w:val="00090C7E"/>
    <w:rsid w:val="00091676"/>
    <w:rsid w:val="0009179E"/>
    <w:rsid w:val="0009225F"/>
    <w:rsid w:val="00092600"/>
    <w:rsid w:val="0009262B"/>
    <w:rsid w:val="00092C3E"/>
    <w:rsid w:val="00093310"/>
    <w:rsid w:val="0009445C"/>
    <w:rsid w:val="0009508D"/>
    <w:rsid w:val="000950A0"/>
    <w:rsid w:val="00095200"/>
    <w:rsid w:val="00095B06"/>
    <w:rsid w:val="00095FE5"/>
    <w:rsid w:val="00096284"/>
    <w:rsid w:val="00096422"/>
    <w:rsid w:val="00097F2E"/>
    <w:rsid w:val="000A0169"/>
    <w:rsid w:val="000A1451"/>
    <w:rsid w:val="000A177C"/>
    <w:rsid w:val="000A1949"/>
    <w:rsid w:val="000A1BC0"/>
    <w:rsid w:val="000A2515"/>
    <w:rsid w:val="000A32DD"/>
    <w:rsid w:val="000A3D6A"/>
    <w:rsid w:val="000A411B"/>
    <w:rsid w:val="000A5AE1"/>
    <w:rsid w:val="000A6039"/>
    <w:rsid w:val="000A60F8"/>
    <w:rsid w:val="000A697C"/>
    <w:rsid w:val="000A7151"/>
    <w:rsid w:val="000A7453"/>
    <w:rsid w:val="000A7CB5"/>
    <w:rsid w:val="000A7D08"/>
    <w:rsid w:val="000B0054"/>
    <w:rsid w:val="000B00FD"/>
    <w:rsid w:val="000B0121"/>
    <w:rsid w:val="000B0670"/>
    <w:rsid w:val="000B07FA"/>
    <w:rsid w:val="000B0D3C"/>
    <w:rsid w:val="000B0E75"/>
    <w:rsid w:val="000B14F5"/>
    <w:rsid w:val="000B2DCB"/>
    <w:rsid w:val="000B2EC3"/>
    <w:rsid w:val="000B32BB"/>
    <w:rsid w:val="000B3975"/>
    <w:rsid w:val="000B4225"/>
    <w:rsid w:val="000B48C3"/>
    <w:rsid w:val="000B5CE0"/>
    <w:rsid w:val="000B6CAC"/>
    <w:rsid w:val="000B6E1C"/>
    <w:rsid w:val="000B740A"/>
    <w:rsid w:val="000B757D"/>
    <w:rsid w:val="000B7612"/>
    <w:rsid w:val="000B78AE"/>
    <w:rsid w:val="000B7BE0"/>
    <w:rsid w:val="000C002E"/>
    <w:rsid w:val="000C087B"/>
    <w:rsid w:val="000C0DEB"/>
    <w:rsid w:val="000C1895"/>
    <w:rsid w:val="000C33AE"/>
    <w:rsid w:val="000C3622"/>
    <w:rsid w:val="000C39F0"/>
    <w:rsid w:val="000C3DF9"/>
    <w:rsid w:val="000C4279"/>
    <w:rsid w:val="000C4281"/>
    <w:rsid w:val="000C47F9"/>
    <w:rsid w:val="000C54EE"/>
    <w:rsid w:val="000C5537"/>
    <w:rsid w:val="000C6614"/>
    <w:rsid w:val="000C6713"/>
    <w:rsid w:val="000C6728"/>
    <w:rsid w:val="000C6DCD"/>
    <w:rsid w:val="000C7579"/>
    <w:rsid w:val="000C7EE8"/>
    <w:rsid w:val="000D1BFC"/>
    <w:rsid w:val="000D1D5D"/>
    <w:rsid w:val="000D1DD4"/>
    <w:rsid w:val="000D1F8E"/>
    <w:rsid w:val="000D281A"/>
    <w:rsid w:val="000D2848"/>
    <w:rsid w:val="000D2D90"/>
    <w:rsid w:val="000D326A"/>
    <w:rsid w:val="000D4C9E"/>
    <w:rsid w:val="000D51FB"/>
    <w:rsid w:val="000D5F6E"/>
    <w:rsid w:val="000D6790"/>
    <w:rsid w:val="000D6E23"/>
    <w:rsid w:val="000D7ACF"/>
    <w:rsid w:val="000E0640"/>
    <w:rsid w:val="000E0AED"/>
    <w:rsid w:val="000E135D"/>
    <w:rsid w:val="000E195C"/>
    <w:rsid w:val="000E1B1E"/>
    <w:rsid w:val="000E1E42"/>
    <w:rsid w:val="000E31ED"/>
    <w:rsid w:val="000E4BC8"/>
    <w:rsid w:val="000E51A9"/>
    <w:rsid w:val="000E5BB3"/>
    <w:rsid w:val="000E5C77"/>
    <w:rsid w:val="000E5CD3"/>
    <w:rsid w:val="000E6721"/>
    <w:rsid w:val="000F00BA"/>
    <w:rsid w:val="000F072D"/>
    <w:rsid w:val="000F0D88"/>
    <w:rsid w:val="000F155E"/>
    <w:rsid w:val="000F2166"/>
    <w:rsid w:val="000F2CB4"/>
    <w:rsid w:val="000F2E39"/>
    <w:rsid w:val="000F316A"/>
    <w:rsid w:val="000F3C74"/>
    <w:rsid w:val="000F44B5"/>
    <w:rsid w:val="000F4A95"/>
    <w:rsid w:val="000F4BB8"/>
    <w:rsid w:val="000F4FA9"/>
    <w:rsid w:val="000F510B"/>
    <w:rsid w:val="000F53FB"/>
    <w:rsid w:val="000F5405"/>
    <w:rsid w:val="000F5510"/>
    <w:rsid w:val="000F596B"/>
    <w:rsid w:val="000F5ADE"/>
    <w:rsid w:val="000F64EB"/>
    <w:rsid w:val="000F68A9"/>
    <w:rsid w:val="000F6BE8"/>
    <w:rsid w:val="000F7053"/>
    <w:rsid w:val="000F7127"/>
    <w:rsid w:val="000F718B"/>
    <w:rsid w:val="000F73AC"/>
    <w:rsid w:val="000F7A13"/>
    <w:rsid w:val="000F7B54"/>
    <w:rsid w:val="000F7CF4"/>
    <w:rsid w:val="00100457"/>
    <w:rsid w:val="001009B8"/>
    <w:rsid w:val="00100F39"/>
    <w:rsid w:val="00100F8A"/>
    <w:rsid w:val="00101D2E"/>
    <w:rsid w:val="00102042"/>
    <w:rsid w:val="00102505"/>
    <w:rsid w:val="00102845"/>
    <w:rsid w:val="001042E8"/>
    <w:rsid w:val="0010452E"/>
    <w:rsid w:val="00104803"/>
    <w:rsid w:val="00104AC7"/>
    <w:rsid w:val="00104C6E"/>
    <w:rsid w:val="00105AE2"/>
    <w:rsid w:val="001060C6"/>
    <w:rsid w:val="00106215"/>
    <w:rsid w:val="00106B80"/>
    <w:rsid w:val="0011032E"/>
    <w:rsid w:val="001105E3"/>
    <w:rsid w:val="001106E9"/>
    <w:rsid w:val="00110F31"/>
    <w:rsid w:val="00111E6E"/>
    <w:rsid w:val="001120D4"/>
    <w:rsid w:val="0011348B"/>
    <w:rsid w:val="00113D39"/>
    <w:rsid w:val="0011524B"/>
    <w:rsid w:val="00115982"/>
    <w:rsid w:val="00115AAF"/>
    <w:rsid w:val="00115E28"/>
    <w:rsid w:val="00116B57"/>
    <w:rsid w:val="00116C53"/>
    <w:rsid w:val="00117122"/>
    <w:rsid w:val="001175CA"/>
    <w:rsid w:val="001200DA"/>
    <w:rsid w:val="0012047E"/>
    <w:rsid w:val="00120661"/>
    <w:rsid w:val="0012118D"/>
    <w:rsid w:val="001211CC"/>
    <w:rsid w:val="00121322"/>
    <w:rsid w:val="00121799"/>
    <w:rsid w:val="00121A9B"/>
    <w:rsid w:val="00121F64"/>
    <w:rsid w:val="001222FC"/>
    <w:rsid w:val="001223FC"/>
    <w:rsid w:val="0012310A"/>
    <w:rsid w:val="00123902"/>
    <w:rsid w:val="0012496D"/>
    <w:rsid w:val="00124A51"/>
    <w:rsid w:val="00124D9E"/>
    <w:rsid w:val="0012547C"/>
    <w:rsid w:val="00126621"/>
    <w:rsid w:val="00126B1D"/>
    <w:rsid w:val="00127121"/>
    <w:rsid w:val="001301E9"/>
    <w:rsid w:val="001309AA"/>
    <w:rsid w:val="00131D82"/>
    <w:rsid w:val="001324EE"/>
    <w:rsid w:val="00132B22"/>
    <w:rsid w:val="00132CF9"/>
    <w:rsid w:val="00133418"/>
    <w:rsid w:val="0013397D"/>
    <w:rsid w:val="00133D36"/>
    <w:rsid w:val="0013513A"/>
    <w:rsid w:val="0013582F"/>
    <w:rsid w:val="00137366"/>
    <w:rsid w:val="001375D9"/>
    <w:rsid w:val="00137645"/>
    <w:rsid w:val="0014015A"/>
    <w:rsid w:val="00140E99"/>
    <w:rsid w:val="00141970"/>
    <w:rsid w:val="00142D51"/>
    <w:rsid w:val="001434C5"/>
    <w:rsid w:val="001439E2"/>
    <w:rsid w:val="00143ACE"/>
    <w:rsid w:val="00143F5D"/>
    <w:rsid w:val="00143F67"/>
    <w:rsid w:val="0014487E"/>
    <w:rsid w:val="00144FAE"/>
    <w:rsid w:val="00145540"/>
    <w:rsid w:val="001456B0"/>
    <w:rsid w:val="00145B1A"/>
    <w:rsid w:val="00145C88"/>
    <w:rsid w:val="0014654E"/>
    <w:rsid w:val="001466DF"/>
    <w:rsid w:val="001469A4"/>
    <w:rsid w:val="00146A7E"/>
    <w:rsid w:val="00146C7F"/>
    <w:rsid w:val="00146CF9"/>
    <w:rsid w:val="001472E1"/>
    <w:rsid w:val="00147D0A"/>
    <w:rsid w:val="001501F0"/>
    <w:rsid w:val="00150C54"/>
    <w:rsid w:val="001519CE"/>
    <w:rsid w:val="001523C1"/>
    <w:rsid w:val="00152844"/>
    <w:rsid w:val="00152B7A"/>
    <w:rsid w:val="00152BFE"/>
    <w:rsid w:val="00153FB6"/>
    <w:rsid w:val="001547A5"/>
    <w:rsid w:val="00154BDB"/>
    <w:rsid w:val="00155257"/>
    <w:rsid w:val="0015565F"/>
    <w:rsid w:val="00155B93"/>
    <w:rsid w:val="0015643F"/>
    <w:rsid w:val="0015680D"/>
    <w:rsid w:val="00156F8F"/>
    <w:rsid w:val="00157130"/>
    <w:rsid w:val="001576B1"/>
    <w:rsid w:val="001578D5"/>
    <w:rsid w:val="0016047B"/>
    <w:rsid w:val="00160A4C"/>
    <w:rsid w:val="00161FA9"/>
    <w:rsid w:val="00162913"/>
    <w:rsid w:val="00163EFF"/>
    <w:rsid w:val="00163F66"/>
    <w:rsid w:val="0016466C"/>
    <w:rsid w:val="001661FB"/>
    <w:rsid w:val="00166496"/>
    <w:rsid w:val="001670A4"/>
    <w:rsid w:val="001671A0"/>
    <w:rsid w:val="0016767F"/>
    <w:rsid w:val="0016791A"/>
    <w:rsid w:val="00172D9B"/>
    <w:rsid w:val="00173565"/>
    <w:rsid w:val="00173770"/>
    <w:rsid w:val="00173B07"/>
    <w:rsid w:val="00173EE5"/>
    <w:rsid w:val="00173FDF"/>
    <w:rsid w:val="00174DBE"/>
    <w:rsid w:val="001751FA"/>
    <w:rsid w:val="00175230"/>
    <w:rsid w:val="00175BE6"/>
    <w:rsid w:val="0017674A"/>
    <w:rsid w:val="00176C7A"/>
    <w:rsid w:val="001803B4"/>
    <w:rsid w:val="001805EC"/>
    <w:rsid w:val="00181D72"/>
    <w:rsid w:val="00181D9C"/>
    <w:rsid w:val="00183C62"/>
    <w:rsid w:val="00184186"/>
    <w:rsid w:val="00184B0E"/>
    <w:rsid w:val="00185D03"/>
    <w:rsid w:val="00186CA9"/>
    <w:rsid w:val="0018752F"/>
    <w:rsid w:val="00190217"/>
    <w:rsid w:val="0019043F"/>
    <w:rsid w:val="00190A8B"/>
    <w:rsid w:val="00191FAF"/>
    <w:rsid w:val="00192F2D"/>
    <w:rsid w:val="001936F7"/>
    <w:rsid w:val="00193838"/>
    <w:rsid w:val="00193D52"/>
    <w:rsid w:val="00194AD8"/>
    <w:rsid w:val="00194D40"/>
    <w:rsid w:val="00194DC7"/>
    <w:rsid w:val="00195222"/>
    <w:rsid w:val="00195FFB"/>
    <w:rsid w:val="0019643F"/>
    <w:rsid w:val="00196463"/>
    <w:rsid w:val="001975D8"/>
    <w:rsid w:val="001A178E"/>
    <w:rsid w:val="001A1A41"/>
    <w:rsid w:val="001A205C"/>
    <w:rsid w:val="001A43FA"/>
    <w:rsid w:val="001A452C"/>
    <w:rsid w:val="001A47C5"/>
    <w:rsid w:val="001A59FB"/>
    <w:rsid w:val="001A5E9E"/>
    <w:rsid w:val="001A6055"/>
    <w:rsid w:val="001A605D"/>
    <w:rsid w:val="001A6354"/>
    <w:rsid w:val="001A6366"/>
    <w:rsid w:val="001A7AE8"/>
    <w:rsid w:val="001B0D5E"/>
    <w:rsid w:val="001B0E58"/>
    <w:rsid w:val="001B15A8"/>
    <w:rsid w:val="001B16D0"/>
    <w:rsid w:val="001B1F1D"/>
    <w:rsid w:val="001B1F9C"/>
    <w:rsid w:val="001B204E"/>
    <w:rsid w:val="001B2372"/>
    <w:rsid w:val="001B2F84"/>
    <w:rsid w:val="001B3443"/>
    <w:rsid w:val="001B353C"/>
    <w:rsid w:val="001B3760"/>
    <w:rsid w:val="001B3864"/>
    <w:rsid w:val="001B39CF"/>
    <w:rsid w:val="001B3EF9"/>
    <w:rsid w:val="001B493E"/>
    <w:rsid w:val="001B4C56"/>
    <w:rsid w:val="001B4D20"/>
    <w:rsid w:val="001B5B40"/>
    <w:rsid w:val="001B5FB3"/>
    <w:rsid w:val="001B6237"/>
    <w:rsid w:val="001B6B4F"/>
    <w:rsid w:val="001C0724"/>
    <w:rsid w:val="001C106E"/>
    <w:rsid w:val="001C1D12"/>
    <w:rsid w:val="001C24FD"/>
    <w:rsid w:val="001C2745"/>
    <w:rsid w:val="001C292D"/>
    <w:rsid w:val="001C29D5"/>
    <w:rsid w:val="001C2A9B"/>
    <w:rsid w:val="001C39E2"/>
    <w:rsid w:val="001C4299"/>
    <w:rsid w:val="001C4874"/>
    <w:rsid w:val="001C5F94"/>
    <w:rsid w:val="001C622B"/>
    <w:rsid w:val="001C62F1"/>
    <w:rsid w:val="001C69A8"/>
    <w:rsid w:val="001C6E66"/>
    <w:rsid w:val="001C7E74"/>
    <w:rsid w:val="001D01BA"/>
    <w:rsid w:val="001D1100"/>
    <w:rsid w:val="001D1391"/>
    <w:rsid w:val="001D14AF"/>
    <w:rsid w:val="001D194E"/>
    <w:rsid w:val="001D25D7"/>
    <w:rsid w:val="001D2DB2"/>
    <w:rsid w:val="001D4C43"/>
    <w:rsid w:val="001D50B2"/>
    <w:rsid w:val="001D5570"/>
    <w:rsid w:val="001D61C2"/>
    <w:rsid w:val="001D7645"/>
    <w:rsid w:val="001E0222"/>
    <w:rsid w:val="001E0554"/>
    <w:rsid w:val="001E0866"/>
    <w:rsid w:val="001E1E86"/>
    <w:rsid w:val="001E2294"/>
    <w:rsid w:val="001E238E"/>
    <w:rsid w:val="001E2483"/>
    <w:rsid w:val="001E2B1E"/>
    <w:rsid w:val="001E2CFF"/>
    <w:rsid w:val="001E2F24"/>
    <w:rsid w:val="001E30D4"/>
    <w:rsid w:val="001E34DF"/>
    <w:rsid w:val="001E3C19"/>
    <w:rsid w:val="001E52EB"/>
    <w:rsid w:val="001E6081"/>
    <w:rsid w:val="001E61D2"/>
    <w:rsid w:val="001E740C"/>
    <w:rsid w:val="001F0A40"/>
    <w:rsid w:val="001F1235"/>
    <w:rsid w:val="001F1CB3"/>
    <w:rsid w:val="001F21E5"/>
    <w:rsid w:val="001F2285"/>
    <w:rsid w:val="001F2353"/>
    <w:rsid w:val="001F260C"/>
    <w:rsid w:val="001F2DBC"/>
    <w:rsid w:val="001F2F05"/>
    <w:rsid w:val="001F3430"/>
    <w:rsid w:val="001F35F3"/>
    <w:rsid w:val="001F38B5"/>
    <w:rsid w:val="001F4081"/>
    <w:rsid w:val="001F5154"/>
    <w:rsid w:val="001F5884"/>
    <w:rsid w:val="001F5B33"/>
    <w:rsid w:val="001F6ACD"/>
    <w:rsid w:val="001F7361"/>
    <w:rsid w:val="002011B0"/>
    <w:rsid w:val="0020206B"/>
    <w:rsid w:val="00203181"/>
    <w:rsid w:val="00203783"/>
    <w:rsid w:val="0020385F"/>
    <w:rsid w:val="00205F33"/>
    <w:rsid w:val="0020624B"/>
    <w:rsid w:val="00206252"/>
    <w:rsid w:val="00206615"/>
    <w:rsid w:val="002068A0"/>
    <w:rsid w:val="00206982"/>
    <w:rsid w:val="00207021"/>
    <w:rsid w:val="0020732F"/>
    <w:rsid w:val="00207A68"/>
    <w:rsid w:val="00207D00"/>
    <w:rsid w:val="002104E4"/>
    <w:rsid w:val="002105C1"/>
    <w:rsid w:val="002105CB"/>
    <w:rsid w:val="002107B1"/>
    <w:rsid w:val="00211419"/>
    <w:rsid w:val="00211EA7"/>
    <w:rsid w:val="002133F0"/>
    <w:rsid w:val="00213EF5"/>
    <w:rsid w:val="002149B9"/>
    <w:rsid w:val="00216958"/>
    <w:rsid w:val="00216BF5"/>
    <w:rsid w:val="00216E23"/>
    <w:rsid w:val="00216EC7"/>
    <w:rsid w:val="00221407"/>
    <w:rsid w:val="0022247C"/>
    <w:rsid w:val="0022268B"/>
    <w:rsid w:val="00222714"/>
    <w:rsid w:val="002228B9"/>
    <w:rsid w:val="00222EEB"/>
    <w:rsid w:val="002230BD"/>
    <w:rsid w:val="0022369D"/>
    <w:rsid w:val="00223B49"/>
    <w:rsid w:val="00223D5A"/>
    <w:rsid w:val="00224540"/>
    <w:rsid w:val="00224DD4"/>
    <w:rsid w:val="00225C95"/>
    <w:rsid w:val="00227204"/>
    <w:rsid w:val="0022742F"/>
    <w:rsid w:val="00227578"/>
    <w:rsid w:val="002278A0"/>
    <w:rsid w:val="002309CC"/>
    <w:rsid w:val="00230B39"/>
    <w:rsid w:val="00230CA5"/>
    <w:rsid w:val="00231143"/>
    <w:rsid w:val="0023176A"/>
    <w:rsid w:val="0023209F"/>
    <w:rsid w:val="0023240D"/>
    <w:rsid w:val="00232C93"/>
    <w:rsid w:val="00233C01"/>
    <w:rsid w:val="0023413C"/>
    <w:rsid w:val="002341E4"/>
    <w:rsid w:val="002346F0"/>
    <w:rsid w:val="002348EE"/>
    <w:rsid w:val="00235DAE"/>
    <w:rsid w:val="00235DB7"/>
    <w:rsid w:val="00235E51"/>
    <w:rsid w:val="0023629D"/>
    <w:rsid w:val="002366FD"/>
    <w:rsid w:val="002368E5"/>
    <w:rsid w:val="00236BC5"/>
    <w:rsid w:val="00237255"/>
    <w:rsid w:val="00240DF7"/>
    <w:rsid w:val="002424AF"/>
    <w:rsid w:val="002439DC"/>
    <w:rsid w:val="00243BF2"/>
    <w:rsid w:val="00243C24"/>
    <w:rsid w:val="002441AD"/>
    <w:rsid w:val="002441D2"/>
    <w:rsid w:val="00244DC8"/>
    <w:rsid w:val="00244E9E"/>
    <w:rsid w:val="00245654"/>
    <w:rsid w:val="002458BA"/>
    <w:rsid w:val="00245AC3"/>
    <w:rsid w:val="00245CE9"/>
    <w:rsid w:val="0024636C"/>
    <w:rsid w:val="00246FC6"/>
    <w:rsid w:val="00247925"/>
    <w:rsid w:val="00247FD0"/>
    <w:rsid w:val="00250175"/>
    <w:rsid w:val="00250678"/>
    <w:rsid w:val="00251006"/>
    <w:rsid w:val="00251202"/>
    <w:rsid w:val="00251670"/>
    <w:rsid w:val="002519BE"/>
    <w:rsid w:val="002524D5"/>
    <w:rsid w:val="00252C5C"/>
    <w:rsid w:val="00252E60"/>
    <w:rsid w:val="00253B1D"/>
    <w:rsid w:val="00254099"/>
    <w:rsid w:val="00254DCF"/>
    <w:rsid w:val="0025534B"/>
    <w:rsid w:val="00255BB7"/>
    <w:rsid w:val="00255F6F"/>
    <w:rsid w:val="002570E0"/>
    <w:rsid w:val="00257541"/>
    <w:rsid w:val="00257A39"/>
    <w:rsid w:val="00257AC4"/>
    <w:rsid w:val="0026060B"/>
    <w:rsid w:val="00260AE2"/>
    <w:rsid w:val="00260C58"/>
    <w:rsid w:val="0026102D"/>
    <w:rsid w:val="00261EEF"/>
    <w:rsid w:val="00262A1A"/>
    <w:rsid w:val="00262A87"/>
    <w:rsid w:val="00263A46"/>
    <w:rsid w:val="0026405E"/>
    <w:rsid w:val="002644BD"/>
    <w:rsid w:val="00264D26"/>
    <w:rsid w:val="0026535E"/>
    <w:rsid w:val="00265EE2"/>
    <w:rsid w:val="00266A42"/>
    <w:rsid w:val="00267642"/>
    <w:rsid w:val="00267AEA"/>
    <w:rsid w:val="002700E6"/>
    <w:rsid w:val="002705F7"/>
    <w:rsid w:val="00271103"/>
    <w:rsid w:val="0027285F"/>
    <w:rsid w:val="0027294B"/>
    <w:rsid w:val="00272A69"/>
    <w:rsid w:val="00273841"/>
    <w:rsid w:val="00273BDF"/>
    <w:rsid w:val="00273D41"/>
    <w:rsid w:val="00273D55"/>
    <w:rsid w:val="00273EB4"/>
    <w:rsid w:val="00274554"/>
    <w:rsid w:val="00274682"/>
    <w:rsid w:val="00274F58"/>
    <w:rsid w:val="0027563F"/>
    <w:rsid w:val="00275C5A"/>
    <w:rsid w:val="00275CDA"/>
    <w:rsid w:val="00276778"/>
    <w:rsid w:val="00276A2B"/>
    <w:rsid w:val="00276AE1"/>
    <w:rsid w:val="00277251"/>
    <w:rsid w:val="00280F96"/>
    <w:rsid w:val="00281014"/>
    <w:rsid w:val="00282035"/>
    <w:rsid w:val="002821C8"/>
    <w:rsid w:val="002829F3"/>
    <w:rsid w:val="00282FE0"/>
    <w:rsid w:val="0028574F"/>
    <w:rsid w:val="00285CBB"/>
    <w:rsid w:val="0028665D"/>
    <w:rsid w:val="00286B73"/>
    <w:rsid w:val="00287110"/>
    <w:rsid w:val="0028762E"/>
    <w:rsid w:val="0029030F"/>
    <w:rsid w:val="00292323"/>
    <w:rsid w:val="002937B7"/>
    <w:rsid w:val="002939D9"/>
    <w:rsid w:val="00293E00"/>
    <w:rsid w:val="002941B6"/>
    <w:rsid w:val="002A0CF5"/>
    <w:rsid w:val="002A1105"/>
    <w:rsid w:val="002A14AB"/>
    <w:rsid w:val="002A1CCF"/>
    <w:rsid w:val="002A1F7B"/>
    <w:rsid w:val="002A2725"/>
    <w:rsid w:val="002A2ADE"/>
    <w:rsid w:val="002A2F50"/>
    <w:rsid w:val="002A314F"/>
    <w:rsid w:val="002A4CDF"/>
    <w:rsid w:val="002A5346"/>
    <w:rsid w:val="002A63B7"/>
    <w:rsid w:val="002B0236"/>
    <w:rsid w:val="002B05A1"/>
    <w:rsid w:val="002B09A4"/>
    <w:rsid w:val="002B0BD2"/>
    <w:rsid w:val="002B1416"/>
    <w:rsid w:val="002B1C1F"/>
    <w:rsid w:val="002B28E1"/>
    <w:rsid w:val="002B296F"/>
    <w:rsid w:val="002B2F56"/>
    <w:rsid w:val="002B3DAF"/>
    <w:rsid w:val="002B3E0B"/>
    <w:rsid w:val="002B40AF"/>
    <w:rsid w:val="002B432F"/>
    <w:rsid w:val="002B46AC"/>
    <w:rsid w:val="002B51BE"/>
    <w:rsid w:val="002B55B9"/>
    <w:rsid w:val="002B5C54"/>
    <w:rsid w:val="002B62B3"/>
    <w:rsid w:val="002B6754"/>
    <w:rsid w:val="002B6B87"/>
    <w:rsid w:val="002B6CCE"/>
    <w:rsid w:val="002B75A2"/>
    <w:rsid w:val="002C0161"/>
    <w:rsid w:val="002C1AA4"/>
    <w:rsid w:val="002C2152"/>
    <w:rsid w:val="002C21AA"/>
    <w:rsid w:val="002C2510"/>
    <w:rsid w:val="002C2775"/>
    <w:rsid w:val="002C27C1"/>
    <w:rsid w:val="002C35EC"/>
    <w:rsid w:val="002C3F86"/>
    <w:rsid w:val="002C4027"/>
    <w:rsid w:val="002C42A0"/>
    <w:rsid w:val="002C502D"/>
    <w:rsid w:val="002C5099"/>
    <w:rsid w:val="002C574E"/>
    <w:rsid w:val="002C5889"/>
    <w:rsid w:val="002C71CE"/>
    <w:rsid w:val="002C7697"/>
    <w:rsid w:val="002C79B1"/>
    <w:rsid w:val="002C7F29"/>
    <w:rsid w:val="002D02D2"/>
    <w:rsid w:val="002D08F8"/>
    <w:rsid w:val="002D1D8C"/>
    <w:rsid w:val="002D2E4F"/>
    <w:rsid w:val="002D30FE"/>
    <w:rsid w:val="002D3308"/>
    <w:rsid w:val="002D3438"/>
    <w:rsid w:val="002D4198"/>
    <w:rsid w:val="002D4228"/>
    <w:rsid w:val="002D4C0A"/>
    <w:rsid w:val="002D50D7"/>
    <w:rsid w:val="002D577C"/>
    <w:rsid w:val="002D57B5"/>
    <w:rsid w:val="002D5CD3"/>
    <w:rsid w:val="002D672B"/>
    <w:rsid w:val="002D69F4"/>
    <w:rsid w:val="002D6B4C"/>
    <w:rsid w:val="002D75F9"/>
    <w:rsid w:val="002D7CC6"/>
    <w:rsid w:val="002E1071"/>
    <w:rsid w:val="002E15B9"/>
    <w:rsid w:val="002E1A05"/>
    <w:rsid w:val="002E2158"/>
    <w:rsid w:val="002E218F"/>
    <w:rsid w:val="002E2D54"/>
    <w:rsid w:val="002E4CB3"/>
    <w:rsid w:val="002E4F02"/>
    <w:rsid w:val="002E5738"/>
    <w:rsid w:val="002E5F64"/>
    <w:rsid w:val="002E601C"/>
    <w:rsid w:val="002E6286"/>
    <w:rsid w:val="002E7722"/>
    <w:rsid w:val="002E7E65"/>
    <w:rsid w:val="002F07BA"/>
    <w:rsid w:val="002F0DA9"/>
    <w:rsid w:val="002F1014"/>
    <w:rsid w:val="002F26DF"/>
    <w:rsid w:val="002F280A"/>
    <w:rsid w:val="002F34DE"/>
    <w:rsid w:val="002F362C"/>
    <w:rsid w:val="002F38A9"/>
    <w:rsid w:val="002F49EE"/>
    <w:rsid w:val="002F5341"/>
    <w:rsid w:val="002F5901"/>
    <w:rsid w:val="002F6067"/>
    <w:rsid w:val="002F6175"/>
    <w:rsid w:val="002F643C"/>
    <w:rsid w:val="002F6AA0"/>
    <w:rsid w:val="002F713F"/>
    <w:rsid w:val="002F71C0"/>
    <w:rsid w:val="002F74F1"/>
    <w:rsid w:val="002F7733"/>
    <w:rsid w:val="00301017"/>
    <w:rsid w:val="0030155F"/>
    <w:rsid w:val="00302CF2"/>
    <w:rsid w:val="00303217"/>
    <w:rsid w:val="003033CF"/>
    <w:rsid w:val="00303D76"/>
    <w:rsid w:val="00304A3A"/>
    <w:rsid w:val="0030587B"/>
    <w:rsid w:val="0030641E"/>
    <w:rsid w:val="00306CBE"/>
    <w:rsid w:val="00306CD8"/>
    <w:rsid w:val="00306D98"/>
    <w:rsid w:val="0030786C"/>
    <w:rsid w:val="0031031A"/>
    <w:rsid w:val="00310981"/>
    <w:rsid w:val="0031118B"/>
    <w:rsid w:val="0031191A"/>
    <w:rsid w:val="003124D9"/>
    <w:rsid w:val="00312594"/>
    <w:rsid w:val="00312A48"/>
    <w:rsid w:val="00312B0D"/>
    <w:rsid w:val="00313D21"/>
    <w:rsid w:val="00314941"/>
    <w:rsid w:val="00314D76"/>
    <w:rsid w:val="00315498"/>
    <w:rsid w:val="00315E7E"/>
    <w:rsid w:val="00315E87"/>
    <w:rsid w:val="00316208"/>
    <w:rsid w:val="00316474"/>
    <w:rsid w:val="00317280"/>
    <w:rsid w:val="0031762B"/>
    <w:rsid w:val="0032016C"/>
    <w:rsid w:val="003217C9"/>
    <w:rsid w:val="00322107"/>
    <w:rsid w:val="00322355"/>
    <w:rsid w:val="00322846"/>
    <w:rsid w:val="0032290E"/>
    <w:rsid w:val="00322E57"/>
    <w:rsid w:val="00322F2A"/>
    <w:rsid w:val="003237BD"/>
    <w:rsid w:val="003238EA"/>
    <w:rsid w:val="00324570"/>
    <w:rsid w:val="003251CC"/>
    <w:rsid w:val="00325529"/>
    <w:rsid w:val="00326595"/>
    <w:rsid w:val="00326930"/>
    <w:rsid w:val="00326DA7"/>
    <w:rsid w:val="003270E4"/>
    <w:rsid w:val="00327B75"/>
    <w:rsid w:val="00327E8F"/>
    <w:rsid w:val="003304C2"/>
    <w:rsid w:val="00330DAA"/>
    <w:rsid w:val="00330F5C"/>
    <w:rsid w:val="003312C1"/>
    <w:rsid w:val="003315CA"/>
    <w:rsid w:val="0033188A"/>
    <w:rsid w:val="00331ABD"/>
    <w:rsid w:val="00332361"/>
    <w:rsid w:val="00333658"/>
    <w:rsid w:val="003339DD"/>
    <w:rsid w:val="00333C8E"/>
    <w:rsid w:val="00333FDD"/>
    <w:rsid w:val="003347B1"/>
    <w:rsid w:val="003349FB"/>
    <w:rsid w:val="0033590B"/>
    <w:rsid w:val="003362EE"/>
    <w:rsid w:val="003366BF"/>
    <w:rsid w:val="003366C9"/>
    <w:rsid w:val="00336837"/>
    <w:rsid w:val="00336CAD"/>
    <w:rsid w:val="003371B0"/>
    <w:rsid w:val="00340DF1"/>
    <w:rsid w:val="00341206"/>
    <w:rsid w:val="003418BE"/>
    <w:rsid w:val="00343AA5"/>
    <w:rsid w:val="00344245"/>
    <w:rsid w:val="00344AE6"/>
    <w:rsid w:val="00345AAC"/>
    <w:rsid w:val="003463D3"/>
    <w:rsid w:val="00346749"/>
    <w:rsid w:val="00346ED4"/>
    <w:rsid w:val="00346F58"/>
    <w:rsid w:val="00347B5B"/>
    <w:rsid w:val="003513B8"/>
    <w:rsid w:val="003514F5"/>
    <w:rsid w:val="003516A2"/>
    <w:rsid w:val="003517F9"/>
    <w:rsid w:val="00351BA9"/>
    <w:rsid w:val="00352240"/>
    <w:rsid w:val="00352578"/>
    <w:rsid w:val="003544CC"/>
    <w:rsid w:val="00354A29"/>
    <w:rsid w:val="00354C11"/>
    <w:rsid w:val="00354F64"/>
    <w:rsid w:val="0035528F"/>
    <w:rsid w:val="0035620E"/>
    <w:rsid w:val="003567D9"/>
    <w:rsid w:val="00356CBD"/>
    <w:rsid w:val="00356FBC"/>
    <w:rsid w:val="00360212"/>
    <w:rsid w:val="00360345"/>
    <w:rsid w:val="00361803"/>
    <w:rsid w:val="00361A05"/>
    <w:rsid w:val="00362020"/>
    <w:rsid w:val="003624C4"/>
    <w:rsid w:val="0036274A"/>
    <w:rsid w:val="00362C56"/>
    <w:rsid w:val="00363B00"/>
    <w:rsid w:val="00364FA1"/>
    <w:rsid w:val="003654AC"/>
    <w:rsid w:val="0036577A"/>
    <w:rsid w:val="0036620B"/>
    <w:rsid w:val="00366D40"/>
    <w:rsid w:val="0036744F"/>
    <w:rsid w:val="00367662"/>
    <w:rsid w:val="003700DF"/>
    <w:rsid w:val="00370A18"/>
    <w:rsid w:val="003710CF"/>
    <w:rsid w:val="00372C0D"/>
    <w:rsid w:val="00372DF1"/>
    <w:rsid w:val="0037358A"/>
    <w:rsid w:val="00374065"/>
    <w:rsid w:val="003750F6"/>
    <w:rsid w:val="003752C5"/>
    <w:rsid w:val="003754B0"/>
    <w:rsid w:val="00375803"/>
    <w:rsid w:val="00375E51"/>
    <w:rsid w:val="00375E96"/>
    <w:rsid w:val="00375F14"/>
    <w:rsid w:val="003760FC"/>
    <w:rsid w:val="00376BBB"/>
    <w:rsid w:val="00380322"/>
    <w:rsid w:val="003815A9"/>
    <w:rsid w:val="003820ED"/>
    <w:rsid w:val="00382565"/>
    <w:rsid w:val="003825B2"/>
    <w:rsid w:val="003827E6"/>
    <w:rsid w:val="0038365C"/>
    <w:rsid w:val="0038369B"/>
    <w:rsid w:val="00383B78"/>
    <w:rsid w:val="003841BC"/>
    <w:rsid w:val="0038431D"/>
    <w:rsid w:val="00385A9D"/>
    <w:rsid w:val="00386326"/>
    <w:rsid w:val="00387651"/>
    <w:rsid w:val="00387A18"/>
    <w:rsid w:val="003902B1"/>
    <w:rsid w:val="00390480"/>
    <w:rsid w:val="00390A6F"/>
    <w:rsid w:val="0039105C"/>
    <w:rsid w:val="0039179C"/>
    <w:rsid w:val="003918CC"/>
    <w:rsid w:val="00391DC5"/>
    <w:rsid w:val="00394951"/>
    <w:rsid w:val="00394E50"/>
    <w:rsid w:val="003957EF"/>
    <w:rsid w:val="00395BAD"/>
    <w:rsid w:val="00396896"/>
    <w:rsid w:val="00396FD0"/>
    <w:rsid w:val="003A05CC"/>
    <w:rsid w:val="003A0D31"/>
    <w:rsid w:val="003A1085"/>
    <w:rsid w:val="003A12BC"/>
    <w:rsid w:val="003A1A7A"/>
    <w:rsid w:val="003A2392"/>
    <w:rsid w:val="003A2593"/>
    <w:rsid w:val="003A2831"/>
    <w:rsid w:val="003A3CB6"/>
    <w:rsid w:val="003A3ED1"/>
    <w:rsid w:val="003A41DB"/>
    <w:rsid w:val="003A44DB"/>
    <w:rsid w:val="003A466E"/>
    <w:rsid w:val="003A4A3D"/>
    <w:rsid w:val="003A58C3"/>
    <w:rsid w:val="003A5E0D"/>
    <w:rsid w:val="003A6356"/>
    <w:rsid w:val="003A6930"/>
    <w:rsid w:val="003A7927"/>
    <w:rsid w:val="003B045C"/>
    <w:rsid w:val="003B107B"/>
    <w:rsid w:val="003B12A1"/>
    <w:rsid w:val="003B15E4"/>
    <w:rsid w:val="003B1FA9"/>
    <w:rsid w:val="003B2234"/>
    <w:rsid w:val="003B2CBE"/>
    <w:rsid w:val="003B3971"/>
    <w:rsid w:val="003B55D1"/>
    <w:rsid w:val="003B5B61"/>
    <w:rsid w:val="003B5B88"/>
    <w:rsid w:val="003B6CFA"/>
    <w:rsid w:val="003B7383"/>
    <w:rsid w:val="003B751B"/>
    <w:rsid w:val="003C01AE"/>
    <w:rsid w:val="003C036D"/>
    <w:rsid w:val="003C0B54"/>
    <w:rsid w:val="003C1654"/>
    <w:rsid w:val="003C2076"/>
    <w:rsid w:val="003C321C"/>
    <w:rsid w:val="003C3821"/>
    <w:rsid w:val="003C3B63"/>
    <w:rsid w:val="003C4116"/>
    <w:rsid w:val="003C43D6"/>
    <w:rsid w:val="003C47C7"/>
    <w:rsid w:val="003C4A85"/>
    <w:rsid w:val="003C4D7F"/>
    <w:rsid w:val="003C4D93"/>
    <w:rsid w:val="003C5440"/>
    <w:rsid w:val="003C5542"/>
    <w:rsid w:val="003C5AE1"/>
    <w:rsid w:val="003C63B0"/>
    <w:rsid w:val="003C6E1A"/>
    <w:rsid w:val="003C752F"/>
    <w:rsid w:val="003C78EA"/>
    <w:rsid w:val="003C7A6A"/>
    <w:rsid w:val="003C7D19"/>
    <w:rsid w:val="003C7D2F"/>
    <w:rsid w:val="003C7E73"/>
    <w:rsid w:val="003D0AA7"/>
    <w:rsid w:val="003D1828"/>
    <w:rsid w:val="003D1D25"/>
    <w:rsid w:val="003D1DE4"/>
    <w:rsid w:val="003D1E9A"/>
    <w:rsid w:val="003D2422"/>
    <w:rsid w:val="003D26EC"/>
    <w:rsid w:val="003D2B69"/>
    <w:rsid w:val="003D3639"/>
    <w:rsid w:val="003D39A1"/>
    <w:rsid w:val="003D3FBF"/>
    <w:rsid w:val="003D406E"/>
    <w:rsid w:val="003D4A30"/>
    <w:rsid w:val="003D4B96"/>
    <w:rsid w:val="003D4C6A"/>
    <w:rsid w:val="003D56EA"/>
    <w:rsid w:val="003D69A6"/>
    <w:rsid w:val="003D7452"/>
    <w:rsid w:val="003D79BB"/>
    <w:rsid w:val="003D7BD8"/>
    <w:rsid w:val="003D7C98"/>
    <w:rsid w:val="003D7D9D"/>
    <w:rsid w:val="003E018C"/>
    <w:rsid w:val="003E0543"/>
    <w:rsid w:val="003E0798"/>
    <w:rsid w:val="003E1591"/>
    <w:rsid w:val="003E1FA0"/>
    <w:rsid w:val="003E23BE"/>
    <w:rsid w:val="003E2403"/>
    <w:rsid w:val="003E3103"/>
    <w:rsid w:val="003E3A0F"/>
    <w:rsid w:val="003E4BFE"/>
    <w:rsid w:val="003E7210"/>
    <w:rsid w:val="003E7455"/>
    <w:rsid w:val="003E749E"/>
    <w:rsid w:val="003E74B4"/>
    <w:rsid w:val="003E77CB"/>
    <w:rsid w:val="003F03F4"/>
    <w:rsid w:val="003F119A"/>
    <w:rsid w:val="003F1335"/>
    <w:rsid w:val="003F1D12"/>
    <w:rsid w:val="003F1F7B"/>
    <w:rsid w:val="003F2178"/>
    <w:rsid w:val="003F27AB"/>
    <w:rsid w:val="003F3A7A"/>
    <w:rsid w:val="003F4156"/>
    <w:rsid w:val="003F4371"/>
    <w:rsid w:val="003F5ADF"/>
    <w:rsid w:val="003F5CEE"/>
    <w:rsid w:val="003F6847"/>
    <w:rsid w:val="003F68C9"/>
    <w:rsid w:val="003F6B3B"/>
    <w:rsid w:val="003F7099"/>
    <w:rsid w:val="003F75C3"/>
    <w:rsid w:val="003F7DAE"/>
    <w:rsid w:val="004001BA"/>
    <w:rsid w:val="00400B29"/>
    <w:rsid w:val="00400DA7"/>
    <w:rsid w:val="00401700"/>
    <w:rsid w:val="00401775"/>
    <w:rsid w:val="00401D21"/>
    <w:rsid w:val="0040266D"/>
    <w:rsid w:val="004032A9"/>
    <w:rsid w:val="0040504B"/>
    <w:rsid w:val="004059F4"/>
    <w:rsid w:val="00405E9E"/>
    <w:rsid w:val="0040717E"/>
    <w:rsid w:val="00407B27"/>
    <w:rsid w:val="00407F63"/>
    <w:rsid w:val="00407FE5"/>
    <w:rsid w:val="004101B0"/>
    <w:rsid w:val="00410326"/>
    <w:rsid w:val="00410708"/>
    <w:rsid w:val="00410BBA"/>
    <w:rsid w:val="00410EC7"/>
    <w:rsid w:val="00411A88"/>
    <w:rsid w:val="00411B39"/>
    <w:rsid w:val="00411EEA"/>
    <w:rsid w:val="004127A7"/>
    <w:rsid w:val="004129BD"/>
    <w:rsid w:val="004129F5"/>
    <w:rsid w:val="00412AAB"/>
    <w:rsid w:val="00412AD3"/>
    <w:rsid w:val="00412D0E"/>
    <w:rsid w:val="00413A1E"/>
    <w:rsid w:val="00414476"/>
    <w:rsid w:val="00414C2E"/>
    <w:rsid w:val="00414D69"/>
    <w:rsid w:val="004151B5"/>
    <w:rsid w:val="004151CF"/>
    <w:rsid w:val="004154B1"/>
    <w:rsid w:val="00415DAF"/>
    <w:rsid w:val="00416107"/>
    <w:rsid w:val="00416364"/>
    <w:rsid w:val="0041699A"/>
    <w:rsid w:val="0041714F"/>
    <w:rsid w:val="004178CA"/>
    <w:rsid w:val="0042047F"/>
    <w:rsid w:val="00420AA6"/>
    <w:rsid w:val="00420B9F"/>
    <w:rsid w:val="0042192C"/>
    <w:rsid w:val="0042194B"/>
    <w:rsid w:val="00422260"/>
    <w:rsid w:val="0042299B"/>
    <w:rsid w:val="00422EBD"/>
    <w:rsid w:val="00423AC8"/>
    <w:rsid w:val="00423D00"/>
    <w:rsid w:val="00423E71"/>
    <w:rsid w:val="00423F18"/>
    <w:rsid w:val="0042413F"/>
    <w:rsid w:val="00424DAA"/>
    <w:rsid w:val="00425C91"/>
    <w:rsid w:val="004272CC"/>
    <w:rsid w:val="004279B1"/>
    <w:rsid w:val="00430E07"/>
    <w:rsid w:val="004319F8"/>
    <w:rsid w:val="00431B0F"/>
    <w:rsid w:val="00431E55"/>
    <w:rsid w:val="004321F6"/>
    <w:rsid w:val="004325F5"/>
    <w:rsid w:val="00433044"/>
    <w:rsid w:val="0043381D"/>
    <w:rsid w:val="00434088"/>
    <w:rsid w:val="0043424E"/>
    <w:rsid w:val="00434908"/>
    <w:rsid w:val="0043632B"/>
    <w:rsid w:val="0043634F"/>
    <w:rsid w:val="004375B9"/>
    <w:rsid w:val="0044005B"/>
    <w:rsid w:val="00440547"/>
    <w:rsid w:val="00440DA2"/>
    <w:rsid w:val="00441CBB"/>
    <w:rsid w:val="00441DE8"/>
    <w:rsid w:val="00442279"/>
    <w:rsid w:val="0044249E"/>
    <w:rsid w:val="004428D0"/>
    <w:rsid w:val="004436A3"/>
    <w:rsid w:val="00444185"/>
    <w:rsid w:val="004443A7"/>
    <w:rsid w:val="0044442C"/>
    <w:rsid w:val="004444A6"/>
    <w:rsid w:val="00444844"/>
    <w:rsid w:val="00445941"/>
    <w:rsid w:val="00445C9F"/>
    <w:rsid w:val="004464EB"/>
    <w:rsid w:val="00446960"/>
    <w:rsid w:val="00447014"/>
    <w:rsid w:val="004478CC"/>
    <w:rsid w:val="00447A36"/>
    <w:rsid w:val="00447D26"/>
    <w:rsid w:val="00447DFC"/>
    <w:rsid w:val="00450848"/>
    <w:rsid w:val="004508F1"/>
    <w:rsid w:val="00452212"/>
    <w:rsid w:val="00453A14"/>
    <w:rsid w:val="00453BFD"/>
    <w:rsid w:val="004549D6"/>
    <w:rsid w:val="00455053"/>
    <w:rsid w:val="004555C0"/>
    <w:rsid w:val="00455D45"/>
    <w:rsid w:val="00455D85"/>
    <w:rsid w:val="00456320"/>
    <w:rsid w:val="004569E2"/>
    <w:rsid w:val="00456D81"/>
    <w:rsid w:val="00457345"/>
    <w:rsid w:val="00457ED7"/>
    <w:rsid w:val="00457EE6"/>
    <w:rsid w:val="004606DB"/>
    <w:rsid w:val="004615BA"/>
    <w:rsid w:val="0046203D"/>
    <w:rsid w:val="004625A8"/>
    <w:rsid w:val="00463397"/>
    <w:rsid w:val="00463D4D"/>
    <w:rsid w:val="004644C2"/>
    <w:rsid w:val="00464595"/>
    <w:rsid w:val="004647E5"/>
    <w:rsid w:val="004658B5"/>
    <w:rsid w:val="00465DFF"/>
    <w:rsid w:val="0046635E"/>
    <w:rsid w:val="0046645B"/>
    <w:rsid w:val="0046658A"/>
    <w:rsid w:val="004666EC"/>
    <w:rsid w:val="00466E97"/>
    <w:rsid w:val="00467A8C"/>
    <w:rsid w:val="00467C63"/>
    <w:rsid w:val="00467F0C"/>
    <w:rsid w:val="004701C5"/>
    <w:rsid w:val="00470C42"/>
    <w:rsid w:val="00471EA5"/>
    <w:rsid w:val="00472626"/>
    <w:rsid w:val="004726DA"/>
    <w:rsid w:val="00472A79"/>
    <w:rsid w:val="00472AB9"/>
    <w:rsid w:val="00473642"/>
    <w:rsid w:val="00473AF1"/>
    <w:rsid w:val="00473F19"/>
    <w:rsid w:val="00475735"/>
    <w:rsid w:val="00475A04"/>
    <w:rsid w:val="00475BB7"/>
    <w:rsid w:val="00475E22"/>
    <w:rsid w:val="00475EE7"/>
    <w:rsid w:val="004761F3"/>
    <w:rsid w:val="00477090"/>
    <w:rsid w:val="00480184"/>
    <w:rsid w:val="0048088E"/>
    <w:rsid w:val="00480F2B"/>
    <w:rsid w:val="00481D79"/>
    <w:rsid w:val="00481E0B"/>
    <w:rsid w:val="00482720"/>
    <w:rsid w:val="00482941"/>
    <w:rsid w:val="00482D1C"/>
    <w:rsid w:val="004835E7"/>
    <w:rsid w:val="0048530C"/>
    <w:rsid w:val="0048596C"/>
    <w:rsid w:val="004862AF"/>
    <w:rsid w:val="004867E2"/>
    <w:rsid w:val="00486845"/>
    <w:rsid w:val="004870D8"/>
    <w:rsid w:val="00487242"/>
    <w:rsid w:val="004879E1"/>
    <w:rsid w:val="00490B17"/>
    <w:rsid w:val="004913CB"/>
    <w:rsid w:val="00491B3A"/>
    <w:rsid w:val="00492189"/>
    <w:rsid w:val="00492CFD"/>
    <w:rsid w:val="0049365A"/>
    <w:rsid w:val="004940E3"/>
    <w:rsid w:val="00494207"/>
    <w:rsid w:val="00494DD5"/>
    <w:rsid w:val="0049577E"/>
    <w:rsid w:val="00495B73"/>
    <w:rsid w:val="004962D2"/>
    <w:rsid w:val="00496B7E"/>
    <w:rsid w:val="0049734C"/>
    <w:rsid w:val="004A0740"/>
    <w:rsid w:val="004A0DA1"/>
    <w:rsid w:val="004A13D6"/>
    <w:rsid w:val="004A1F5B"/>
    <w:rsid w:val="004A2553"/>
    <w:rsid w:val="004A26A0"/>
    <w:rsid w:val="004A2F8D"/>
    <w:rsid w:val="004A3E41"/>
    <w:rsid w:val="004A47E9"/>
    <w:rsid w:val="004A4C37"/>
    <w:rsid w:val="004A52E9"/>
    <w:rsid w:val="004A6040"/>
    <w:rsid w:val="004A6053"/>
    <w:rsid w:val="004A6597"/>
    <w:rsid w:val="004A7848"/>
    <w:rsid w:val="004A7C44"/>
    <w:rsid w:val="004B12FD"/>
    <w:rsid w:val="004B1BF2"/>
    <w:rsid w:val="004B1CB4"/>
    <w:rsid w:val="004B1E11"/>
    <w:rsid w:val="004B2054"/>
    <w:rsid w:val="004B25D6"/>
    <w:rsid w:val="004B290C"/>
    <w:rsid w:val="004B2B60"/>
    <w:rsid w:val="004B2E55"/>
    <w:rsid w:val="004B2F18"/>
    <w:rsid w:val="004B2FAD"/>
    <w:rsid w:val="004B313F"/>
    <w:rsid w:val="004B3CE9"/>
    <w:rsid w:val="004B3DDB"/>
    <w:rsid w:val="004B3FB9"/>
    <w:rsid w:val="004B44FD"/>
    <w:rsid w:val="004B5CFC"/>
    <w:rsid w:val="004B5E64"/>
    <w:rsid w:val="004B688A"/>
    <w:rsid w:val="004B6F79"/>
    <w:rsid w:val="004B704A"/>
    <w:rsid w:val="004B76CE"/>
    <w:rsid w:val="004B774D"/>
    <w:rsid w:val="004B7790"/>
    <w:rsid w:val="004C0355"/>
    <w:rsid w:val="004C08B1"/>
    <w:rsid w:val="004C1787"/>
    <w:rsid w:val="004C1C76"/>
    <w:rsid w:val="004C2131"/>
    <w:rsid w:val="004C28BE"/>
    <w:rsid w:val="004C2B3F"/>
    <w:rsid w:val="004C3966"/>
    <w:rsid w:val="004C40F0"/>
    <w:rsid w:val="004C479C"/>
    <w:rsid w:val="004C4AED"/>
    <w:rsid w:val="004C57A4"/>
    <w:rsid w:val="004C5AF6"/>
    <w:rsid w:val="004C6C66"/>
    <w:rsid w:val="004C72F3"/>
    <w:rsid w:val="004D0619"/>
    <w:rsid w:val="004D12DC"/>
    <w:rsid w:val="004D1C78"/>
    <w:rsid w:val="004D2AED"/>
    <w:rsid w:val="004D2C2D"/>
    <w:rsid w:val="004D35B8"/>
    <w:rsid w:val="004D37CC"/>
    <w:rsid w:val="004D3CFB"/>
    <w:rsid w:val="004D460B"/>
    <w:rsid w:val="004D52C0"/>
    <w:rsid w:val="004D5358"/>
    <w:rsid w:val="004D69AF"/>
    <w:rsid w:val="004D69B5"/>
    <w:rsid w:val="004D6ACF"/>
    <w:rsid w:val="004D7227"/>
    <w:rsid w:val="004D7CF4"/>
    <w:rsid w:val="004E0AA7"/>
    <w:rsid w:val="004E0B46"/>
    <w:rsid w:val="004E0E7F"/>
    <w:rsid w:val="004E0EB8"/>
    <w:rsid w:val="004E16C8"/>
    <w:rsid w:val="004E18E9"/>
    <w:rsid w:val="004E1AD2"/>
    <w:rsid w:val="004E2598"/>
    <w:rsid w:val="004E2ADC"/>
    <w:rsid w:val="004E2BD3"/>
    <w:rsid w:val="004E374C"/>
    <w:rsid w:val="004E3E11"/>
    <w:rsid w:val="004E43B2"/>
    <w:rsid w:val="004E5401"/>
    <w:rsid w:val="004E555C"/>
    <w:rsid w:val="004E6AE7"/>
    <w:rsid w:val="004F1D02"/>
    <w:rsid w:val="004F1E94"/>
    <w:rsid w:val="004F207B"/>
    <w:rsid w:val="004F20CD"/>
    <w:rsid w:val="004F2679"/>
    <w:rsid w:val="004F2848"/>
    <w:rsid w:val="004F2C15"/>
    <w:rsid w:val="004F2F21"/>
    <w:rsid w:val="004F3DE5"/>
    <w:rsid w:val="004F400F"/>
    <w:rsid w:val="004F46FF"/>
    <w:rsid w:val="004F47EB"/>
    <w:rsid w:val="004F5920"/>
    <w:rsid w:val="004F5B2F"/>
    <w:rsid w:val="004F6588"/>
    <w:rsid w:val="004F6913"/>
    <w:rsid w:val="004F7865"/>
    <w:rsid w:val="004F7D26"/>
    <w:rsid w:val="0050031A"/>
    <w:rsid w:val="0050049C"/>
    <w:rsid w:val="00500B23"/>
    <w:rsid w:val="005016B6"/>
    <w:rsid w:val="0050174E"/>
    <w:rsid w:val="00501854"/>
    <w:rsid w:val="0050219B"/>
    <w:rsid w:val="00503F17"/>
    <w:rsid w:val="0050480E"/>
    <w:rsid w:val="00505E32"/>
    <w:rsid w:val="00506928"/>
    <w:rsid w:val="00507365"/>
    <w:rsid w:val="005077EF"/>
    <w:rsid w:val="00511311"/>
    <w:rsid w:val="00511AD2"/>
    <w:rsid w:val="00511AD5"/>
    <w:rsid w:val="00511D6D"/>
    <w:rsid w:val="00511DC7"/>
    <w:rsid w:val="00512450"/>
    <w:rsid w:val="00513B0D"/>
    <w:rsid w:val="005142C5"/>
    <w:rsid w:val="005143B8"/>
    <w:rsid w:val="0051501B"/>
    <w:rsid w:val="005152B5"/>
    <w:rsid w:val="00517DD5"/>
    <w:rsid w:val="00517EBE"/>
    <w:rsid w:val="0052123C"/>
    <w:rsid w:val="00521283"/>
    <w:rsid w:val="00521319"/>
    <w:rsid w:val="0052144F"/>
    <w:rsid w:val="00521651"/>
    <w:rsid w:val="00521A34"/>
    <w:rsid w:val="00522BC8"/>
    <w:rsid w:val="00522D57"/>
    <w:rsid w:val="00522EC1"/>
    <w:rsid w:val="00523C28"/>
    <w:rsid w:val="00524B44"/>
    <w:rsid w:val="00524D09"/>
    <w:rsid w:val="00530B38"/>
    <w:rsid w:val="00530BFC"/>
    <w:rsid w:val="0053176B"/>
    <w:rsid w:val="00531BF7"/>
    <w:rsid w:val="00532592"/>
    <w:rsid w:val="00533095"/>
    <w:rsid w:val="0053313D"/>
    <w:rsid w:val="005342EC"/>
    <w:rsid w:val="00534558"/>
    <w:rsid w:val="00535169"/>
    <w:rsid w:val="00535B88"/>
    <w:rsid w:val="00536F42"/>
    <w:rsid w:val="00537182"/>
    <w:rsid w:val="00541EDD"/>
    <w:rsid w:val="005421C9"/>
    <w:rsid w:val="00542599"/>
    <w:rsid w:val="00542743"/>
    <w:rsid w:val="00542C2D"/>
    <w:rsid w:val="00543241"/>
    <w:rsid w:val="005433D9"/>
    <w:rsid w:val="00543FA5"/>
    <w:rsid w:val="00543FFA"/>
    <w:rsid w:val="00544C8D"/>
    <w:rsid w:val="00546576"/>
    <w:rsid w:val="00546F04"/>
    <w:rsid w:val="005478BD"/>
    <w:rsid w:val="005479E3"/>
    <w:rsid w:val="00550014"/>
    <w:rsid w:val="00550B3B"/>
    <w:rsid w:val="00551564"/>
    <w:rsid w:val="00551985"/>
    <w:rsid w:val="0055267C"/>
    <w:rsid w:val="00552BD3"/>
    <w:rsid w:val="00553049"/>
    <w:rsid w:val="005532A0"/>
    <w:rsid w:val="005544E8"/>
    <w:rsid w:val="00554F08"/>
    <w:rsid w:val="005550EB"/>
    <w:rsid w:val="00555109"/>
    <w:rsid w:val="00555BAB"/>
    <w:rsid w:val="00555E76"/>
    <w:rsid w:val="00555FF9"/>
    <w:rsid w:val="0055645B"/>
    <w:rsid w:val="00556B35"/>
    <w:rsid w:val="0055741A"/>
    <w:rsid w:val="00557B18"/>
    <w:rsid w:val="005608C4"/>
    <w:rsid w:val="005611B7"/>
    <w:rsid w:val="005618D4"/>
    <w:rsid w:val="00561BAD"/>
    <w:rsid w:val="00561E35"/>
    <w:rsid w:val="005628A5"/>
    <w:rsid w:val="005633BF"/>
    <w:rsid w:val="00563AC4"/>
    <w:rsid w:val="00563C81"/>
    <w:rsid w:val="0056460F"/>
    <w:rsid w:val="00565DF0"/>
    <w:rsid w:val="00566718"/>
    <w:rsid w:val="0056696F"/>
    <w:rsid w:val="005678E3"/>
    <w:rsid w:val="005708C0"/>
    <w:rsid w:val="0057205A"/>
    <w:rsid w:val="00572269"/>
    <w:rsid w:val="0057244A"/>
    <w:rsid w:val="00572B00"/>
    <w:rsid w:val="00572F26"/>
    <w:rsid w:val="00573038"/>
    <w:rsid w:val="0057308C"/>
    <w:rsid w:val="005731BD"/>
    <w:rsid w:val="00573359"/>
    <w:rsid w:val="005733CE"/>
    <w:rsid w:val="00573518"/>
    <w:rsid w:val="00573642"/>
    <w:rsid w:val="00574620"/>
    <w:rsid w:val="005750C5"/>
    <w:rsid w:val="005752DE"/>
    <w:rsid w:val="005754A3"/>
    <w:rsid w:val="00575C09"/>
    <w:rsid w:val="00575D8D"/>
    <w:rsid w:val="005763E3"/>
    <w:rsid w:val="005768CE"/>
    <w:rsid w:val="00576972"/>
    <w:rsid w:val="005772A6"/>
    <w:rsid w:val="005772C3"/>
    <w:rsid w:val="0057781A"/>
    <w:rsid w:val="005778CE"/>
    <w:rsid w:val="0057797D"/>
    <w:rsid w:val="00577D19"/>
    <w:rsid w:val="00580177"/>
    <w:rsid w:val="005804F9"/>
    <w:rsid w:val="00581619"/>
    <w:rsid w:val="00582246"/>
    <w:rsid w:val="00582E2D"/>
    <w:rsid w:val="00583699"/>
    <w:rsid w:val="00583D32"/>
    <w:rsid w:val="00584CFD"/>
    <w:rsid w:val="00584F24"/>
    <w:rsid w:val="0058539A"/>
    <w:rsid w:val="00585A67"/>
    <w:rsid w:val="00585CDD"/>
    <w:rsid w:val="00585E9F"/>
    <w:rsid w:val="00586BF3"/>
    <w:rsid w:val="00587058"/>
    <w:rsid w:val="005907F6"/>
    <w:rsid w:val="00591027"/>
    <w:rsid w:val="00591957"/>
    <w:rsid w:val="00591C44"/>
    <w:rsid w:val="00592FE5"/>
    <w:rsid w:val="00595276"/>
    <w:rsid w:val="00596632"/>
    <w:rsid w:val="00597BF9"/>
    <w:rsid w:val="005A15E9"/>
    <w:rsid w:val="005A280F"/>
    <w:rsid w:val="005A309A"/>
    <w:rsid w:val="005A3591"/>
    <w:rsid w:val="005A373D"/>
    <w:rsid w:val="005A3BDC"/>
    <w:rsid w:val="005A49B3"/>
    <w:rsid w:val="005A7154"/>
    <w:rsid w:val="005A76D6"/>
    <w:rsid w:val="005B0349"/>
    <w:rsid w:val="005B0B58"/>
    <w:rsid w:val="005B12EB"/>
    <w:rsid w:val="005B16B2"/>
    <w:rsid w:val="005B2039"/>
    <w:rsid w:val="005B20DE"/>
    <w:rsid w:val="005B33E9"/>
    <w:rsid w:val="005B3A62"/>
    <w:rsid w:val="005B40FB"/>
    <w:rsid w:val="005B46A9"/>
    <w:rsid w:val="005B4796"/>
    <w:rsid w:val="005B4C12"/>
    <w:rsid w:val="005B4E53"/>
    <w:rsid w:val="005B510A"/>
    <w:rsid w:val="005B5857"/>
    <w:rsid w:val="005B5FEE"/>
    <w:rsid w:val="005B68BA"/>
    <w:rsid w:val="005B6DAB"/>
    <w:rsid w:val="005B74D5"/>
    <w:rsid w:val="005C08D1"/>
    <w:rsid w:val="005C0DF5"/>
    <w:rsid w:val="005C1B83"/>
    <w:rsid w:val="005C22F8"/>
    <w:rsid w:val="005C25BF"/>
    <w:rsid w:val="005C25DD"/>
    <w:rsid w:val="005C25FF"/>
    <w:rsid w:val="005C291C"/>
    <w:rsid w:val="005C2D55"/>
    <w:rsid w:val="005C2DD8"/>
    <w:rsid w:val="005C32B3"/>
    <w:rsid w:val="005C346B"/>
    <w:rsid w:val="005C3486"/>
    <w:rsid w:val="005C44A2"/>
    <w:rsid w:val="005C486B"/>
    <w:rsid w:val="005C55CD"/>
    <w:rsid w:val="005C5678"/>
    <w:rsid w:val="005C5919"/>
    <w:rsid w:val="005C61C1"/>
    <w:rsid w:val="005C6D95"/>
    <w:rsid w:val="005C73EC"/>
    <w:rsid w:val="005D044D"/>
    <w:rsid w:val="005D0ABD"/>
    <w:rsid w:val="005D0BE1"/>
    <w:rsid w:val="005D0D5D"/>
    <w:rsid w:val="005D0DB5"/>
    <w:rsid w:val="005D18AD"/>
    <w:rsid w:val="005D26B4"/>
    <w:rsid w:val="005D279B"/>
    <w:rsid w:val="005D305B"/>
    <w:rsid w:val="005D42AA"/>
    <w:rsid w:val="005D5A37"/>
    <w:rsid w:val="005D615B"/>
    <w:rsid w:val="005D6210"/>
    <w:rsid w:val="005D7239"/>
    <w:rsid w:val="005D72E9"/>
    <w:rsid w:val="005E1BE1"/>
    <w:rsid w:val="005E272B"/>
    <w:rsid w:val="005E2DD4"/>
    <w:rsid w:val="005E4E46"/>
    <w:rsid w:val="005E53A3"/>
    <w:rsid w:val="005E5409"/>
    <w:rsid w:val="005E57C2"/>
    <w:rsid w:val="005E6755"/>
    <w:rsid w:val="005E6CBC"/>
    <w:rsid w:val="005E6F25"/>
    <w:rsid w:val="005E72FF"/>
    <w:rsid w:val="005E73C0"/>
    <w:rsid w:val="005F19CF"/>
    <w:rsid w:val="005F1F00"/>
    <w:rsid w:val="005F2339"/>
    <w:rsid w:val="005F2604"/>
    <w:rsid w:val="005F2706"/>
    <w:rsid w:val="005F2A1D"/>
    <w:rsid w:val="005F31DD"/>
    <w:rsid w:val="005F3222"/>
    <w:rsid w:val="005F392E"/>
    <w:rsid w:val="005F3C98"/>
    <w:rsid w:val="005F3F29"/>
    <w:rsid w:val="005F4241"/>
    <w:rsid w:val="005F6649"/>
    <w:rsid w:val="005F6A8F"/>
    <w:rsid w:val="005F6BB7"/>
    <w:rsid w:val="005F7588"/>
    <w:rsid w:val="005F7857"/>
    <w:rsid w:val="005F7B9E"/>
    <w:rsid w:val="006011FD"/>
    <w:rsid w:val="0060317C"/>
    <w:rsid w:val="00603C25"/>
    <w:rsid w:val="00603CC9"/>
    <w:rsid w:val="00603DB9"/>
    <w:rsid w:val="00604D63"/>
    <w:rsid w:val="0060509B"/>
    <w:rsid w:val="00605AE8"/>
    <w:rsid w:val="00605AEF"/>
    <w:rsid w:val="00606794"/>
    <w:rsid w:val="00606A46"/>
    <w:rsid w:val="00606AAC"/>
    <w:rsid w:val="00606FBA"/>
    <w:rsid w:val="00607669"/>
    <w:rsid w:val="006076F4"/>
    <w:rsid w:val="006079C7"/>
    <w:rsid w:val="00607AFD"/>
    <w:rsid w:val="006110A5"/>
    <w:rsid w:val="00612F97"/>
    <w:rsid w:val="00613005"/>
    <w:rsid w:val="0061345D"/>
    <w:rsid w:val="006135B3"/>
    <w:rsid w:val="006139F6"/>
    <w:rsid w:val="00613B13"/>
    <w:rsid w:val="006145D2"/>
    <w:rsid w:val="00614BAC"/>
    <w:rsid w:val="0061549B"/>
    <w:rsid w:val="00615C34"/>
    <w:rsid w:val="00615EC2"/>
    <w:rsid w:val="00616802"/>
    <w:rsid w:val="00616820"/>
    <w:rsid w:val="006169E4"/>
    <w:rsid w:val="00617E12"/>
    <w:rsid w:val="00617F97"/>
    <w:rsid w:val="00620414"/>
    <w:rsid w:val="00620C25"/>
    <w:rsid w:val="00621477"/>
    <w:rsid w:val="00621667"/>
    <w:rsid w:val="00621ADA"/>
    <w:rsid w:val="00621D53"/>
    <w:rsid w:val="00621D61"/>
    <w:rsid w:val="00622613"/>
    <w:rsid w:val="006234A4"/>
    <w:rsid w:val="006237A1"/>
    <w:rsid w:val="00623F7B"/>
    <w:rsid w:val="0062456B"/>
    <w:rsid w:val="006256E7"/>
    <w:rsid w:val="00626393"/>
    <w:rsid w:val="0062692C"/>
    <w:rsid w:val="00626F65"/>
    <w:rsid w:val="00627210"/>
    <w:rsid w:val="00627E2E"/>
    <w:rsid w:val="0063040B"/>
    <w:rsid w:val="006312D7"/>
    <w:rsid w:val="0063158F"/>
    <w:rsid w:val="00631D6B"/>
    <w:rsid w:val="00632183"/>
    <w:rsid w:val="00632943"/>
    <w:rsid w:val="006330A1"/>
    <w:rsid w:val="00633B43"/>
    <w:rsid w:val="00633F23"/>
    <w:rsid w:val="006343A9"/>
    <w:rsid w:val="0063479F"/>
    <w:rsid w:val="006353F0"/>
    <w:rsid w:val="006356C2"/>
    <w:rsid w:val="006357B5"/>
    <w:rsid w:val="006364A1"/>
    <w:rsid w:val="006364B5"/>
    <w:rsid w:val="0063678E"/>
    <w:rsid w:val="00637327"/>
    <w:rsid w:val="006375F2"/>
    <w:rsid w:val="00637BFD"/>
    <w:rsid w:val="00637DD0"/>
    <w:rsid w:val="00640DA2"/>
    <w:rsid w:val="006410F7"/>
    <w:rsid w:val="0064162B"/>
    <w:rsid w:val="00641C4E"/>
    <w:rsid w:val="00641CDF"/>
    <w:rsid w:val="00641FB3"/>
    <w:rsid w:val="00642615"/>
    <w:rsid w:val="00643901"/>
    <w:rsid w:val="0064434C"/>
    <w:rsid w:val="006452FC"/>
    <w:rsid w:val="0064539D"/>
    <w:rsid w:val="006466DE"/>
    <w:rsid w:val="006471CC"/>
    <w:rsid w:val="006478D4"/>
    <w:rsid w:val="00647A29"/>
    <w:rsid w:val="00647DFF"/>
    <w:rsid w:val="00647E5F"/>
    <w:rsid w:val="00647F1E"/>
    <w:rsid w:val="0065079F"/>
    <w:rsid w:val="006509CB"/>
    <w:rsid w:val="00650D52"/>
    <w:rsid w:val="00651039"/>
    <w:rsid w:val="00651442"/>
    <w:rsid w:val="00651D84"/>
    <w:rsid w:val="006524EB"/>
    <w:rsid w:val="00652A28"/>
    <w:rsid w:val="00652B79"/>
    <w:rsid w:val="0065323D"/>
    <w:rsid w:val="0065379F"/>
    <w:rsid w:val="00653B45"/>
    <w:rsid w:val="00656188"/>
    <w:rsid w:val="00656F80"/>
    <w:rsid w:val="0065715A"/>
    <w:rsid w:val="00660E4E"/>
    <w:rsid w:val="006610F1"/>
    <w:rsid w:val="00661C6B"/>
    <w:rsid w:val="00661D66"/>
    <w:rsid w:val="00663749"/>
    <w:rsid w:val="0066410C"/>
    <w:rsid w:val="0066543E"/>
    <w:rsid w:val="0066554A"/>
    <w:rsid w:val="00670B8B"/>
    <w:rsid w:val="00671004"/>
    <w:rsid w:val="006724B4"/>
    <w:rsid w:val="00672646"/>
    <w:rsid w:val="00672669"/>
    <w:rsid w:val="00672905"/>
    <w:rsid w:val="00673405"/>
    <w:rsid w:val="00673BC0"/>
    <w:rsid w:val="00673FCA"/>
    <w:rsid w:val="006746D6"/>
    <w:rsid w:val="00674E42"/>
    <w:rsid w:val="00675170"/>
    <w:rsid w:val="00675684"/>
    <w:rsid w:val="00675DA3"/>
    <w:rsid w:val="00675E75"/>
    <w:rsid w:val="00676083"/>
    <w:rsid w:val="006765EC"/>
    <w:rsid w:val="00676CA4"/>
    <w:rsid w:val="006800C4"/>
    <w:rsid w:val="00680B8A"/>
    <w:rsid w:val="006813F8"/>
    <w:rsid w:val="00682112"/>
    <w:rsid w:val="00682BA6"/>
    <w:rsid w:val="00683652"/>
    <w:rsid w:val="00684501"/>
    <w:rsid w:val="0068456D"/>
    <w:rsid w:val="00685079"/>
    <w:rsid w:val="0068512A"/>
    <w:rsid w:val="00685D9D"/>
    <w:rsid w:val="00686269"/>
    <w:rsid w:val="0068676A"/>
    <w:rsid w:val="00686957"/>
    <w:rsid w:val="006872BA"/>
    <w:rsid w:val="00687B04"/>
    <w:rsid w:val="00690795"/>
    <w:rsid w:val="00691648"/>
    <w:rsid w:val="006917D7"/>
    <w:rsid w:val="0069196D"/>
    <w:rsid w:val="00691AD3"/>
    <w:rsid w:val="006926AD"/>
    <w:rsid w:val="00692890"/>
    <w:rsid w:val="00692976"/>
    <w:rsid w:val="006929D6"/>
    <w:rsid w:val="006932A1"/>
    <w:rsid w:val="0069434C"/>
    <w:rsid w:val="00694B69"/>
    <w:rsid w:val="00694F44"/>
    <w:rsid w:val="006957B3"/>
    <w:rsid w:val="006958E9"/>
    <w:rsid w:val="00695F12"/>
    <w:rsid w:val="00696F51"/>
    <w:rsid w:val="006979A5"/>
    <w:rsid w:val="00697E95"/>
    <w:rsid w:val="006A01C9"/>
    <w:rsid w:val="006A172B"/>
    <w:rsid w:val="006A1B37"/>
    <w:rsid w:val="006A279C"/>
    <w:rsid w:val="006A2C9D"/>
    <w:rsid w:val="006A313F"/>
    <w:rsid w:val="006A32F6"/>
    <w:rsid w:val="006A3BBE"/>
    <w:rsid w:val="006A40E4"/>
    <w:rsid w:val="006A4145"/>
    <w:rsid w:val="006A4AB0"/>
    <w:rsid w:val="006A50F0"/>
    <w:rsid w:val="006A6A3C"/>
    <w:rsid w:val="006A6B99"/>
    <w:rsid w:val="006A7333"/>
    <w:rsid w:val="006A7E5F"/>
    <w:rsid w:val="006B05F3"/>
    <w:rsid w:val="006B0A0F"/>
    <w:rsid w:val="006B0E34"/>
    <w:rsid w:val="006B1CBF"/>
    <w:rsid w:val="006B237C"/>
    <w:rsid w:val="006B2495"/>
    <w:rsid w:val="006B25D7"/>
    <w:rsid w:val="006B261B"/>
    <w:rsid w:val="006B2C90"/>
    <w:rsid w:val="006B313D"/>
    <w:rsid w:val="006B35E6"/>
    <w:rsid w:val="006B465A"/>
    <w:rsid w:val="006B4BAA"/>
    <w:rsid w:val="006B6DD0"/>
    <w:rsid w:val="006B6F89"/>
    <w:rsid w:val="006B7C49"/>
    <w:rsid w:val="006C0213"/>
    <w:rsid w:val="006C0399"/>
    <w:rsid w:val="006C04E0"/>
    <w:rsid w:val="006C0899"/>
    <w:rsid w:val="006C0F86"/>
    <w:rsid w:val="006C13D7"/>
    <w:rsid w:val="006C17D2"/>
    <w:rsid w:val="006C1BA6"/>
    <w:rsid w:val="006C2A8E"/>
    <w:rsid w:val="006C2BA6"/>
    <w:rsid w:val="006C2C80"/>
    <w:rsid w:val="006C3255"/>
    <w:rsid w:val="006C3F26"/>
    <w:rsid w:val="006C3FFC"/>
    <w:rsid w:val="006C5203"/>
    <w:rsid w:val="006C57AC"/>
    <w:rsid w:val="006C7E67"/>
    <w:rsid w:val="006D0D17"/>
    <w:rsid w:val="006D24C8"/>
    <w:rsid w:val="006D3C7D"/>
    <w:rsid w:val="006D4659"/>
    <w:rsid w:val="006D4BAC"/>
    <w:rsid w:val="006D5586"/>
    <w:rsid w:val="006D5D5F"/>
    <w:rsid w:val="006D6577"/>
    <w:rsid w:val="006D68FB"/>
    <w:rsid w:val="006D6904"/>
    <w:rsid w:val="006D6BF0"/>
    <w:rsid w:val="006D7A3F"/>
    <w:rsid w:val="006E0C7E"/>
    <w:rsid w:val="006E1F63"/>
    <w:rsid w:val="006E23BB"/>
    <w:rsid w:val="006E257F"/>
    <w:rsid w:val="006E26FF"/>
    <w:rsid w:val="006E2868"/>
    <w:rsid w:val="006E39E2"/>
    <w:rsid w:val="006E3FB6"/>
    <w:rsid w:val="006E40A1"/>
    <w:rsid w:val="006E4D69"/>
    <w:rsid w:val="006E4DAF"/>
    <w:rsid w:val="006E52DB"/>
    <w:rsid w:val="006E602C"/>
    <w:rsid w:val="006E61F4"/>
    <w:rsid w:val="006E64B5"/>
    <w:rsid w:val="006E6600"/>
    <w:rsid w:val="006E68B9"/>
    <w:rsid w:val="006E7C27"/>
    <w:rsid w:val="006F04EE"/>
    <w:rsid w:val="006F1187"/>
    <w:rsid w:val="006F1FB5"/>
    <w:rsid w:val="006F3019"/>
    <w:rsid w:val="006F306C"/>
    <w:rsid w:val="006F345E"/>
    <w:rsid w:val="006F5806"/>
    <w:rsid w:val="006F6292"/>
    <w:rsid w:val="006F63A5"/>
    <w:rsid w:val="006F6BB2"/>
    <w:rsid w:val="006F7E74"/>
    <w:rsid w:val="0070016D"/>
    <w:rsid w:val="0070142B"/>
    <w:rsid w:val="00701A7D"/>
    <w:rsid w:val="00702386"/>
    <w:rsid w:val="007025CB"/>
    <w:rsid w:val="007026FD"/>
    <w:rsid w:val="0070276E"/>
    <w:rsid w:val="00702F8F"/>
    <w:rsid w:val="00703C7D"/>
    <w:rsid w:val="00704173"/>
    <w:rsid w:val="00704616"/>
    <w:rsid w:val="0070495D"/>
    <w:rsid w:val="00704C53"/>
    <w:rsid w:val="00705624"/>
    <w:rsid w:val="00706B80"/>
    <w:rsid w:val="00706F12"/>
    <w:rsid w:val="007071AC"/>
    <w:rsid w:val="007079FC"/>
    <w:rsid w:val="00707C34"/>
    <w:rsid w:val="00707C3E"/>
    <w:rsid w:val="00707F24"/>
    <w:rsid w:val="00711A36"/>
    <w:rsid w:val="007133B1"/>
    <w:rsid w:val="00713FBF"/>
    <w:rsid w:val="00714398"/>
    <w:rsid w:val="00714C26"/>
    <w:rsid w:val="00714DF4"/>
    <w:rsid w:val="0071529C"/>
    <w:rsid w:val="007155FC"/>
    <w:rsid w:val="00715E90"/>
    <w:rsid w:val="00716459"/>
    <w:rsid w:val="007170DA"/>
    <w:rsid w:val="007171B0"/>
    <w:rsid w:val="007172AD"/>
    <w:rsid w:val="007203A7"/>
    <w:rsid w:val="00720801"/>
    <w:rsid w:val="00720C8A"/>
    <w:rsid w:val="00721BF1"/>
    <w:rsid w:val="00722B1B"/>
    <w:rsid w:val="00722C26"/>
    <w:rsid w:val="00722DB9"/>
    <w:rsid w:val="0072416F"/>
    <w:rsid w:val="0072436E"/>
    <w:rsid w:val="007245E0"/>
    <w:rsid w:val="0072492C"/>
    <w:rsid w:val="00725549"/>
    <w:rsid w:val="007258D8"/>
    <w:rsid w:val="0072641A"/>
    <w:rsid w:val="0072650F"/>
    <w:rsid w:val="007268F3"/>
    <w:rsid w:val="00727A8E"/>
    <w:rsid w:val="00727C94"/>
    <w:rsid w:val="00730C6B"/>
    <w:rsid w:val="00731721"/>
    <w:rsid w:val="00731A3B"/>
    <w:rsid w:val="00731B0A"/>
    <w:rsid w:val="00731DA6"/>
    <w:rsid w:val="00731EAE"/>
    <w:rsid w:val="0073227F"/>
    <w:rsid w:val="0073243C"/>
    <w:rsid w:val="00732492"/>
    <w:rsid w:val="00733073"/>
    <w:rsid w:val="00733AA8"/>
    <w:rsid w:val="00734D3A"/>
    <w:rsid w:val="00735033"/>
    <w:rsid w:val="0073523B"/>
    <w:rsid w:val="00735328"/>
    <w:rsid w:val="00735E0C"/>
    <w:rsid w:val="00736242"/>
    <w:rsid w:val="007363EC"/>
    <w:rsid w:val="0073685B"/>
    <w:rsid w:val="00736CCD"/>
    <w:rsid w:val="007413FD"/>
    <w:rsid w:val="00742AFC"/>
    <w:rsid w:val="0074330B"/>
    <w:rsid w:val="0074450F"/>
    <w:rsid w:val="007449BF"/>
    <w:rsid w:val="00744BCB"/>
    <w:rsid w:val="00744F10"/>
    <w:rsid w:val="00745A3E"/>
    <w:rsid w:val="00745D2B"/>
    <w:rsid w:val="0074614B"/>
    <w:rsid w:val="00746BC0"/>
    <w:rsid w:val="0074751F"/>
    <w:rsid w:val="007510B4"/>
    <w:rsid w:val="00752099"/>
    <w:rsid w:val="00752142"/>
    <w:rsid w:val="007523F9"/>
    <w:rsid w:val="00752C55"/>
    <w:rsid w:val="00752CC0"/>
    <w:rsid w:val="00753033"/>
    <w:rsid w:val="0075357E"/>
    <w:rsid w:val="007537EB"/>
    <w:rsid w:val="00753D7A"/>
    <w:rsid w:val="00754E83"/>
    <w:rsid w:val="0075510E"/>
    <w:rsid w:val="007553CD"/>
    <w:rsid w:val="007553FE"/>
    <w:rsid w:val="007554C8"/>
    <w:rsid w:val="0075585C"/>
    <w:rsid w:val="00755B19"/>
    <w:rsid w:val="007573E8"/>
    <w:rsid w:val="00757902"/>
    <w:rsid w:val="007600CE"/>
    <w:rsid w:val="00760A45"/>
    <w:rsid w:val="00760C4E"/>
    <w:rsid w:val="00760D81"/>
    <w:rsid w:val="00760F9E"/>
    <w:rsid w:val="007610B7"/>
    <w:rsid w:val="007624AA"/>
    <w:rsid w:val="007627BE"/>
    <w:rsid w:val="0076439D"/>
    <w:rsid w:val="00764D61"/>
    <w:rsid w:val="00764F03"/>
    <w:rsid w:val="00764FC3"/>
    <w:rsid w:val="00765356"/>
    <w:rsid w:val="007656EA"/>
    <w:rsid w:val="0076582D"/>
    <w:rsid w:val="00765B1A"/>
    <w:rsid w:val="007660FC"/>
    <w:rsid w:val="00766278"/>
    <w:rsid w:val="00766AEB"/>
    <w:rsid w:val="00766C07"/>
    <w:rsid w:val="00770269"/>
    <w:rsid w:val="0077099A"/>
    <w:rsid w:val="007731ED"/>
    <w:rsid w:val="007743B5"/>
    <w:rsid w:val="0077470C"/>
    <w:rsid w:val="00774A78"/>
    <w:rsid w:val="007753A6"/>
    <w:rsid w:val="007757EA"/>
    <w:rsid w:val="00776605"/>
    <w:rsid w:val="00777335"/>
    <w:rsid w:val="00780163"/>
    <w:rsid w:val="007808C9"/>
    <w:rsid w:val="00780B56"/>
    <w:rsid w:val="00782676"/>
    <w:rsid w:val="007826FF"/>
    <w:rsid w:val="00783D8D"/>
    <w:rsid w:val="007843F2"/>
    <w:rsid w:val="00785628"/>
    <w:rsid w:val="00785A9F"/>
    <w:rsid w:val="00786EC9"/>
    <w:rsid w:val="007874E8"/>
    <w:rsid w:val="0078765C"/>
    <w:rsid w:val="0079012F"/>
    <w:rsid w:val="00790F3B"/>
    <w:rsid w:val="0079216C"/>
    <w:rsid w:val="007925DF"/>
    <w:rsid w:val="007929EB"/>
    <w:rsid w:val="007938B3"/>
    <w:rsid w:val="00793AB6"/>
    <w:rsid w:val="00794DD3"/>
    <w:rsid w:val="00794F3A"/>
    <w:rsid w:val="00795923"/>
    <w:rsid w:val="00795AAA"/>
    <w:rsid w:val="0079651F"/>
    <w:rsid w:val="0079685F"/>
    <w:rsid w:val="0079723F"/>
    <w:rsid w:val="0079779F"/>
    <w:rsid w:val="007A012B"/>
    <w:rsid w:val="007A01B6"/>
    <w:rsid w:val="007A08AA"/>
    <w:rsid w:val="007A0A12"/>
    <w:rsid w:val="007A0A59"/>
    <w:rsid w:val="007A132D"/>
    <w:rsid w:val="007A1345"/>
    <w:rsid w:val="007A1AF2"/>
    <w:rsid w:val="007A1BC8"/>
    <w:rsid w:val="007A2DDB"/>
    <w:rsid w:val="007A4890"/>
    <w:rsid w:val="007A4C9C"/>
    <w:rsid w:val="007A4F9D"/>
    <w:rsid w:val="007A571E"/>
    <w:rsid w:val="007A6F22"/>
    <w:rsid w:val="007A70BA"/>
    <w:rsid w:val="007B021E"/>
    <w:rsid w:val="007B0D68"/>
    <w:rsid w:val="007B1AB3"/>
    <w:rsid w:val="007B1CB6"/>
    <w:rsid w:val="007B251D"/>
    <w:rsid w:val="007B2BE4"/>
    <w:rsid w:val="007B2DAB"/>
    <w:rsid w:val="007B311F"/>
    <w:rsid w:val="007B3E32"/>
    <w:rsid w:val="007B4F58"/>
    <w:rsid w:val="007B528D"/>
    <w:rsid w:val="007B57C4"/>
    <w:rsid w:val="007B58C3"/>
    <w:rsid w:val="007B59B7"/>
    <w:rsid w:val="007B5AC9"/>
    <w:rsid w:val="007B63CA"/>
    <w:rsid w:val="007B712A"/>
    <w:rsid w:val="007B7511"/>
    <w:rsid w:val="007B77D1"/>
    <w:rsid w:val="007B796C"/>
    <w:rsid w:val="007C07C7"/>
    <w:rsid w:val="007C12AF"/>
    <w:rsid w:val="007C1CD9"/>
    <w:rsid w:val="007C316C"/>
    <w:rsid w:val="007C32EF"/>
    <w:rsid w:val="007C361D"/>
    <w:rsid w:val="007C3B04"/>
    <w:rsid w:val="007C4B84"/>
    <w:rsid w:val="007C544D"/>
    <w:rsid w:val="007C6543"/>
    <w:rsid w:val="007C678E"/>
    <w:rsid w:val="007C6812"/>
    <w:rsid w:val="007C6AF9"/>
    <w:rsid w:val="007C70FF"/>
    <w:rsid w:val="007C7C25"/>
    <w:rsid w:val="007D004F"/>
    <w:rsid w:val="007D0B38"/>
    <w:rsid w:val="007D0FDA"/>
    <w:rsid w:val="007D1859"/>
    <w:rsid w:val="007D1BA1"/>
    <w:rsid w:val="007D2570"/>
    <w:rsid w:val="007D26DC"/>
    <w:rsid w:val="007D31F5"/>
    <w:rsid w:val="007D3870"/>
    <w:rsid w:val="007D5440"/>
    <w:rsid w:val="007D69EB"/>
    <w:rsid w:val="007D6E40"/>
    <w:rsid w:val="007D765F"/>
    <w:rsid w:val="007D7E44"/>
    <w:rsid w:val="007E07BE"/>
    <w:rsid w:val="007E128F"/>
    <w:rsid w:val="007E2D54"/>
    <w:rsid w:val="007F0015"/>
    <w:rsid w:val="007F0284"/>
    <w:rsid w:val="007F1017"/>
    <w:rsid w:val="007F1414"/>
    <w:rsid w:val="007F17B9"/>
    <w:rsid w:val="007F1CC3"/>
    <w:rsid w:val="007F1FC6"/>
    <w:rsid w:val="007F22DE"/>
    <w:rsid w:val="007F25BE"/>
    <w:rsid w:val="007F2C39"/>
    <w:rsid w:val="007F320D"/>
    <w:rsid w:val="007F403A"/>
    <w:rsid w:val="007F462B"/>
    <w:rsid w:val="007F49E2"/>
    <w:rsid w:val="007F4A3F"/>
    <w:rsid w:val="007F4A61"/>
    <w:rsid w:val="007F5069"/>
    <w:rsid w:val="007F5255"/>
    <w:rsid w:val="007F5371"/>
    <w:rsid w:val="007F56CC"/>
    <w:rsid w:val="007F572E"/>
    <w:rsid w:val="007F5E80"/>
    <w:rsid w:val="007F61C2"/>
    <w:rsid w:val="007F61DF"/>
    <w:rsid w:val="007F67A3"/>
    <w:rsid w:val="007F6E0D"/>
    <w:rsid w:val="007F7262"/>
    <w:rsid w:val="0080015C"/>
    <w:rsid w:val="008024DD"/>
    <w:rsid w:val="00802663"/>
    <w:rsid w:val="008026A6"/>
    <w:rsid w:val="008026D5"/>
    <w:rsid w:val="0080281B"/>
    <w:rsid w:val="00802EAC"/>
    <w:rsid w:val="00804A8C"/>
    <w:rsid w:val="00804C9F"/>
    <w:rsid w:val="00805142"/>
    <w:rsid w:val="00805F2F"/>
    <w:rsid w:val="00805FCE"/>
    <w:rsid w:val="00806993"/>
    <w:rsid w:val="0080709A"/>
    <w:rsid w:val="00807822"/>
    <w:rsid w:val="0080796F"/>
    <w:rsid w:val="00807A8B"/>
    <w:rsid w:val="0081005D"/>
    <w:rsid w:val="0081063C"/>
    <w:rsid w:val="008108D5"/>
    <w:rsid w:val="0081130B"/>
    <w:rsid w:val="00811383"/>
    <w:rsid w:val="008115AA"/>
    <w:rsid w:val="0081171A"/>
    <w:rsid w:val="00811753"/>
    <w:rsid w:val="00811816"/>
    <w:rsid w:val="00812149"/>
    <w:rsid w:val="00812CAC"/>
    <w:rsid w:val="00812F07"/>
    <w:rsid w:val="008139CF"/>
    <w:rsid w:val="00815301"/>
    <w:rsid w:val="00815B49"/>
    <w:rsid w:val="00816361"/>
    <w:rsid w:val="00816564"/>
    <w:rsid w:val="008166EF"/>
    <w:rsid w:val="00816FEF"/>
    <w:rsid w:val="008171F7"/>
    <w:rsid w:val="00817CEF"/>
    <w:rsid w:val="00820636"/>
    <w:rsid w:val="00820A8C"/>
    <w:rsid w:val="008215FB"/>
    <w:rsid w:val="00821B49"/>
    <w:rsid w:val="00822B69"/>
    <w:rsid w:val="00823174"/>
    <w:rsid w:val="0082372C"/>
    <w:rsid w:val="00824BDA"/>
    <w:rsid w:val="00825751"/>
    <w:rsid w:val="008258D7"/>
    <w:rsid w:val="00825D6B"/>
    <w:rsid w:val="008264EB"/>
    <w:rsid w:val="008274FD"/>
    <w:rsid w:val="00827A8C"/>
    <w:rsid w:val="00830087"/>
    <w:rsid w:val="008310FC"/>
    <w:rsid w:val="008312AC"/>
    <w:rsid w:val="00831461"/>
    <w:rsid w:val="008316A2"/>
    <w:rsid w:val="00833B05"/>
    <w:rsid w:val="0083425B"/>
    <w:rsid w:val="00835E4A"/>
    <w:rsid w:val="008362B4"/>
    <w:rsid w:val="0083641E"/>
    <w:rsid w:val="008372A0"/>
    <w:rsid w:val="0083768E"/>
    <w:rsid w:val="0084094A"/>
    <w:rsid w:val="00840C34"/>
    <w:rsid w:val="00840CA2"/>
    <w:rsid w:val="00840CDC"/>
    <w:rsid w:val="008416D1"/>
    <w:rsid w:val="00842090"/>
    <w:rsid w:val="008426AD"/>
    <w:rsid w:val="0084374F"/>
    <w:rsid w:val="00843BB7"/>
    <w:rsid w:val="00844A22"/>
    <w:rsid w:val="0084580A"/>
    <w:rsid w:val="00845AD0"/>
    <w:rsid w:val="00846837"/>
    <w:rsid w:val="0084735C"/>
    <w:rsid w:val="008473C2"/>
    <w:rsid w:val="00847703"/>
    <w:rsid w:val="008478F9"/>
    <w:rsid w:val="00847DF5"/>
    <w:rsid w:val="00851906"/>
    <w:rsid w:val="00851D43"/>
    <w:rsid w:val="00852CD2"/>
    <w:rsid w:val="0085309D"/>
    <w:rsid w:val="008539CD"/>
    <w:rsid w:val="00853DAE"/>
    <w:rsid w:val="0085406B"/>
    <w:rsid w:val="008544FF"/>
    <w:rsid w:val="008547F1"/>
    <w:rsid w:val="00854B49"/>
    <w:rsid w:val="00856897"/>
    <w:rsid w:val="00856D78"/>
    <w:rsid w:val="00856E9A"/>
    <w:rsid w:val="0085707C"/>
    <w:rsid w:val="008600D3"/>
    <w:rsid w:val="0086075D"/>
    <w:rsid w:val="00861D8B"/>
    <w:rsid w:val="00862502"/>
    <w:rsid w:val="00862618"/>
    <w:rsid w:val="00862BC4"/>
    <w:rsid w:val="00862CC1"/>
    <w:rsid w:val="00862F65"/>
    <w:rsid w:val="00864200"/>
    <w:rsid w:val="008646F1"/>
    <w:rsid w:val="008660D4"/>
    <w:rsid w:val="00866F76"/>
    <w:rsid w:val="008673BB"/>
    <w:rsid w:val="0086762A"/>
    <w:rsid w:val="00867DDD"/>
    <w:rsid w:val="00871E64"/>
    <w:rsid w:val="00871FA9"/>
    <w:rsid w:val="00872064"/>
    <w:rsid w:val="008728E9"/>
    <w:rsid w:val="008736BF"/>
    <w:rsid w:val="0087383B"/>
    <w:rsid w:val="008739D0"/>
    <w:rsid w:val="00874090"/>
    <w:rsid w:val="00874342"/>
    <w:rsid w:val="0087503D"/>
    <w:rsid w:val="00875B4F"/>
    <w:rsid w:val="00875E41"/>
    <w:rsid w:val="0087731E"/>
    <w:rsid w:val="00877993"/>
    <w:rsid w:val="0088047E"/>
    <w:rsid w:val="00880A75"/>
    <w:rsid w:val="00881033"/>
    <w:rsid w:val="008822F5"/>
    <w:rsid w:val="00882487"/>
    <w:rsid w:val="00882874"/>
    <w:rsid w:val="00882E3C"/>
    <w:rsid w:val="00882E77"/>
    <w:rsid w:val="00883787"/>
    <w:rsid w:val="008855D3"/>
    <w:rsid w:val="008855E4"/>
    <w:rsid w:val="00885B13"/>
    <w:rsid w:val="00886056"/>
    <w:rsid w:val="00886CD2"/>
    <w:rsid w:val="00887C39"/>
    <w:rsid w:val="0089075D"/>
    <w:rsid w:val="008912A5"/>
    <w:rsid w:val="00891E6F"/>
    <w:rsid w:val="0089275D"/>
    <w:rsid w:val="00892A36"/>
    <w:rsid w:val="00893239"/>
    <w:rsid w:val="00893DA0"/>
    <w:rsid w:val="00894088"/>
    <w:rsid w:val="00894489"/>
    <w:rsid w:val="008950E7"/>
    <w:rsid w:val="008963A5"/>
    <w:rsid w:val="00896D5D"/>
    <w:rsid w:val="008A0B77"/>
    <w:rsid w:val="008A0CD0"/>
    <w:rsid w:val="008A1123"/>
    <w:rsid w:val="008A2784"/>
    <w:rsid w:val="008A2C83"/>
    <w:rsid w:val="008A2F03"/>
    <w:rsid w:val="008A328E"/>
    <w:rsid w:val="008A3363"/>
    <w:rsid w:val="008A3371"/>
    <w:rsid w:val="008A34FC"/>
    <w:rsid w:val="008A3A7B"/>
    <w:rsid w:val="008A3C3E"/>
    <w:rsid w:val="008A648C"/>
    <w:rsid w:val="008A677C"/>
    <w:rsid w:val="008A6951"/>
    <w:rsid w:val="008A7207"/>
    <w:rsid w:val="008A724B"/>
    <w:rsid w:val="008A7526"/>
    <w:rsid w:val="008A791E"/>
    <w:rsid w:val="008A79DE"/>
    <w:rsid w:val="008A7ED3"/>
    <w:rsid w:val="008B075B"/>
    <w:rsid w:val="008B1757"/>
    <w:rsid w:val="008B29AB"/>
    <w:rsid w:val="008B33EF"/>
    <w:rsid w:val="008B381D"/>
    <w:rsid w:val="008B3D04"/>
    <w:rsid w:val="008B58E4"/>
    <w:rsid w:val="008B5976"/>
    <w:rsid w:val="008B5BBD"/>
    <w:rsid w:val="008B6ED6"/>
    <w:rsid w:val="008B7161"/>
    <w:rsid w:val="008B7992"/>
    <w:rsid w:val="008B7D7E"/>
    <w:rsid w:val="008B7E8A"/>
    <w:rsid w:val="008C1768"/>
    <w:rsid w:val="008C1894"/>
    <w:rsid w:val="008C2682"/>
    <w:rsid w:val="008C354F"/>
    <w:rsid w:val="008C468B"/>
    <w:rsid w:val="008C5610"/>
    <w:rsid w:val="008C5739"/>
    <w:rsid w:val="008C5D20"/>
    <w:rsid w:val="008C6376"/>
    <w:rsid w:val="008C6455"/>
    <w:rsid w:val="008C7414"/>
    <w:rsid w:val="008C7953"/>
    <w:rsid w:val="008C7ECB"/>
    <w:rsid w:val="008D00DB"/>
    <w:rsid w:val="008D0212"/>
    <w:rsid w:val="008D0305"/>
    <w:rsid w:val="008D2F55"/>
    <w:rsid w:val="008D33C4"/>
    <w:rsid w:val="008D3B86"/>
    <w:rsid w:val="008D3BAB"/>
    <w:rsid w:val="008D3C9D"/>
    <w:rsid w:val="008D416A"/>
    <w:rsid w:val="008D4755"/>
    <w:rsid w:val="008D4C3D"/>
    <w:rsid w:val="008D5037"/>
    <w:rsid w:val="008D63F6"/>
    <w:rsid w:val="008D6B45"/>
    <w:rsid w:val="008D7241"/>
    <w:rsid w:val="008D733D"/>
    <w:rsid w:val="008D743C"/>
    <w:rsid w:val="008D7549"/>
    <w:rsid w:val="008D7DA0"/>
    <w:rsid w:val="008E0985"/>
    <w:rsid w:val="008E0D3C"/>
    <w:rsid w:val="008E0E96"/>
    <w:rsid w:val="008E0F51"/>
    <w:rsid w:val="008E1499"/>
    <w:rsid w:val="008E1516"/>
    <w:rsid w:val="008E1B9E"/>
    <w:rsid w:val="008E1DA0"/>
    <w:rsid w:val="008E1F4B"/>
    <w:rsid w:val="008E22D9"/>
    <w:rsid w:val="008E2B11"/>
    <w:rsid w:val="008E2B8B"/>
    <w:rsid w:val="008E36B7"/>
    <w:rsid w:val="008E3FC9"/>
    <w:rsid w:val="008E42A5"/>
    <w:rsid w:val="008E4D2A"/>
    <w:rsid w:val="008E5430"/>
    <w:rsid w:val="008E55AB"/>
    <w:rsid w:val="008E5BEE"/>
    <w:rsid w:val="008E6068"/>
    <w:rsid w:val="008E6ECC"/>
    <w:rsid w:val="008E6FFE"/>
    <w:rsid w:val="008E717F"/>
    <w:rsid w:val="008F08CB"/>
    <w:rsid w:val="008F120A"/>
    <w:rsid w:val="008F1B39"/>
    <w:rsid w:val="008F1B83"/>
    <w:rsid w:val="008F2760"/>
    <w:rsid w:val="008F27E0"/>
    <w:rsid w:val="008F38E4"/>
    <w:rsid w:val="008F3ECE"/>
    <w:rsid w:val="008F48EB"/>
    <w:rsid w:val="008F4F0B"/>
    <w:rsid w:val="008F56A3"/>
    <w:rsid w:val="008F580E"/>
    <w:rsid w:val="008F63D2"/>
    <w:rsid w:val="008F691A"/>
    <w:rsid w:val="008F7F1E"/>
    <w:rsid w:val="00900436"/>
    <w:rsid w:val="0090169E"/>
    <w:rsid w:val="009021B8"/>
    <w:rsid w:val="009022C3"/>
    <w:rsid w:val="00902C13"/>
    <w:rsid w:val="0090312A"/>
    <w:rsid w:val="009046C4"/>
    <w:rsid w:val="00905667"/>
    <w:rsid w:val="0090578A"/>
    <w:rsid w:val="009061DA"/>
    <w:rsid w:val="009062A5"/>
    <w:rsid w:val="009070FE"/>
    <w:rsid w:val="009073F5"/>
    <w:rsid w:val="00907475"/>
    <w:rsid w:val="00907C19"/>
    <w:rsid w:val="00910866"/>
    <w:rsid w:val="009108EE"/>
    <w:rsid w:val="00910FA7"/>
    <w:rsid w:val="009111AC"/>
    <w:rsid w:val="00911272"/>
    <w:rsid w:val="00911C57"/>
    <w:rsid w:val="009134B6"/>
    <w:rsid w:val="009135D6"/>
    <w:rsid w:val="00914C12"/>
    <w:rsid w:val="00914C77"/>
    <w:rsid w:val="009152C9"/>
    <w:rsid w:val="00915909"/>
    <w:rsid w:val="009163E5"/>
    <w:rsid w:val="0091782B"/>
    <w:rsid w:val="0091799A"/>
    <w:rsid w:val="00917A9F"/>
    <w:rsid w:val="00917C92"/>
    <w:rsid w:val="00920807"/>
    <w:rsid w:val="0092187E"/>
    <w:rsid w:val="00921ACB"/>
    <w:rsid w:val="00922B7C"/>
    <w:rsid w:val="0092369B"/>
    <w:rsid w:val="009243EC"/>
    <w:rsid w:val="00925B9A"/>
    <w:rsid w:val="009264DA"/>
    <w:rsid w:val="00930175"/>
    <w:rsid w:val="00930758"/>
    <w:rsid w:val="009308B7"/>
    <w:rsid w:val="00931F8E"/>
    <w:rsid w:val="009324C7"/>
    <w:rsid w:val="009329BE"/>
    <w:rsid w:val="00932B4E"/>
    <w:rsid w:val="00933980"/>
    <w:rsid w:val="009340BB"/>
    <w:rsid w:val="0093481E"/>
    <w:rsid w:val="00934988"/>
    <w:rsid w:val="00934F62"/>
    <w:rsid w:val="00936A86"/>
    <w:rsid w:val="00937089"/>
    <w:rsid w:val="009373A7"/>
    <w:rsid w:val="00940325"/>
    <w:rsid w:val="0094032A"/>
    <w:rsid w:val="00940F0F"/>
    <w:rsid w:val="00942C5C"/>
    <w:rsid w:val="0094436E"/>
    <w:rsid w:val="0094459E"/>
    <w:rsid w:val="00944F8A"/>
    <w:rsid w:val="0094560F"/>
    <w:rsid w:val="0094566C"/>
    <w:rsid w:val="00946D71"/>
    <w:rsid w:val="009479D6"/>
    <w:rsid w:val="00950787"/>
    <w:rsid w:val="009510A2"/>
    <w:rsid w:val="00951879"/>
    <w:rsid w:val="00951B5A"/>
    <w:rsid w:val="00952CC0"/>
    <w:rsid w:val="009530DD"/>
    <w:rsid w:val="00953257"/>
    <w:rsid w:val="00953387"/>
    <w:rsid w:val="0095341A"/>
    <w:rsid w:val="0095474C"/>
    <w:rsid w:val="009559FA"/>
    <w:rsid w:val="00956AD8"/>
    <w:rsid w:val="00956EAE"/>
    <w:rsid w:val="00956FC5"/>
    <w:rsid w:val="009575C6"/>
    <w:rsid w:val="00957802"/>
    <w:rsid w:val="00957A28"/>
    <w:rsid w:val="00960249"/>
    <w:rsid w:val="0096067B"/>
    <w:rsid w:val="00961D94"/>
    <w:rsid w:val="00962A8B"/>
    <w:rsid w:val="00962CB9"/>
    <w:rsid w:val="00962E23"/>
    <w:rsid w:val="0096374C"/>
    <w:rsid w:val="00963D5A"/>
    <w:rsid w:val="00964312"/>
    <w:rsid w:val="00964576"/>
    <w:rsid w:val="00965247"/>
    <w:rsid w:val="00965272"/>
    <w:rsid w:val="00965B8A"/>
    <w:rsid w:val="00966738"/>
    <w:rsid w:val="0096674F"/>
    <w:rsid w:val="009679AC"/>
    <w:rsid w:val="009704AE"/>
    <w:rsid w:val="009706CB"/>
    <w:rsid w:val="0097071F"/>
    <w:rsid w:val="00970A30"/>
    <w:rsid w:val="00970A78"/>
    <w:rsid w:val="00970FCA"/>
    <w:rsid w:val="0097126B"/>
    <w:rsid w:val="0097140F"/>
    <w:rsid w:val="009717AC"/>
    <w:rsid w:val="00971B6B"/>
    <w:rsid w:val="00972997"/>
    <w:rsid w:val="00973055"/>
    <w:rsid w:val="00974E8B"/>
    <w:rsid w:val="00975122"/>
    <w:rsid w:val="009751C1"/>
    <w:rsid w:val="0097590B"/>
    <w:rsid w:val="00976052"/>
    <w:rsid w:val="00976959"/>
    <w:rsid w:val="00977431"/>
    <w:rsid w:val="0097787F"/>
    <w:rsid w:val="00980671"/>
    <w:rsid w:val="009808F3"/>
    <w:rsid w:val="0098106D"/>
    <w:rsid w:val="009811F1"/>
    <w:rsid w:val="00982112"/>
    <w:rsid w:val="0098247E"/>
    <w:rsid w:val="00982695"/>
    <w:rsid w:val="00983298"/>
    <w:rsid w:val="0098349B"/>
    <w:rsid w:val="00983E57"/>
    <w:rsid w:val="00984177"/>
    <w:rsid w:val="00984F9A"/>
    <w:rsid w:val="00985819"/>
    <w:rsid w:val="00985BF9"/>
    <w:rsid w:val="00985DE2"/>
    <w:rsid w:val="0098675D"/>
    <w:rsid w:val="00986DB4"/>
    <w:rsid w:val="00987CA1"/>
    <w:rsid w:val="00990F51"/>
    <w:rsid w:val="00991298"/>
    <w:rsid w:val="009915F6"/>
    <w:rsid w:val="0099207C"/>
    <w:rsid w:val="00992176"/>
    <w:rsid w:val="009926E0"/>
    <w:rsid w:val="00992A2D"/>
    <w:rsid w:val="0099339B"/>
    <w:rsid w:val="00993476"/>
    <w:rsid w:val="00993902"/>
    <w:rsid w:val="0099451E"/>
    <w:rsid w:val="00994C1D"/>
    <w:rsid w:val="00994D71"/>
    <w:rsid w:val="00995B6D"/>
    <w:rsid w:val="009960BB"/>
    <w:rsid w:val="00996163"/>
    <w:rsid w:val="00996A97"/>
    <w:rsid w:val="00996B1A"/>
    <w:rsid w:val="009971D3"/>
    <w:rsid w:val="009974E2"/>
    <w:rsid w:val="009A0792"/>
    <w:rsid w:val="009A2AF4"/>
    <w:rsid w:val="009A2D3E"/>
    <w:rsid w:val="009A2DCC"/>
    <w:rsid w:val="009A3527"/>
    <w:rsid w:val="009A3B9F"/>
    <w:rsid w:val="009A4561"/>
    <w:rsid w:val="009A46D3"/>
    <w:rsid w:val="009A5137"/>
    <w:rsid w:val="009A542B"/>
    <w:rsid w:val="009A5905"/>
    <w:rsid w:val="009A5ABC"/>
    <w:rsid w:val="009A5EB2"/>
    <w:rsid w:val="009A5EBE"/>
    <w:rsid w:val="009A6123"/>
    <w:rsid w:val="009A6EAF"/>
    <w:rsid w:val="009A7F10"/>
    <w:rsid w:val="009B0486"/>
    <w:rsid w:val="009B0A29"/>
    <w:rsid w:val="009B24F0"/>
    <w:rsid w:val="009B2A8A"/>
    <w:rsid w:val="009B3695"/>
    <w:rsid w:val="009B3D09"/>
    <w:rsid w:val="009B3E26"/>
    <w:rsid w:val="009B5637"/>
    <w:rsid w:val="009B5DB3"/>
    <w:rsid w:val="009C07F0"/>
    <w:rsid w:val="009C0900"/>
    <w:rsid w:val="009C1843"/>
    <w:rsid w:val="009C3706"/>
    <w:rsid w:val="009C37FF"/>
    <w:rsid w:val="009C3A3A"/>
    <w:rsid w:val="009C4419"/>
    <w:rsid w:val="009C4B6F"/>
    <w:rsid w:val="009C4E8D"/>
    <w:rsid w:val="009C52E0"/>
    <w:rsid w:val="009C58F4"/>
    <w:rsid w:val="009C5A75"/>
    <w:rsid w:val="009C5AA9"/>
    <w:rsid w:val="009C5EA3"/>
    <w:rsid w:val="009C6B1C"/>
    <w:rsid w:val="009C6CEA"/>
    <w:rsid w:val="009C732E"/>
    <w:rsid w:val="009C7B85"/>
    <w:rsid w:val="009D0254"/>
    <w:rsid w:val="009D169D"/>
    <w:rsid w:val="009D1A64"/>
    <w:rsid w:val="009D2341"/>
    <w:rsid w:val="009D2B36"/>
    <w:rsid w:val="009D4017"/>
    <w:rsid w:val="009D42A1"/>
    <w:rsid w:val="009D440E"/>
    <w:rsid w:val="009D4906"/>
    <w:rsid w:val="009D4980"/>
    <w:rsid w:val="009D4B1A"/>
    <w:rsid w:val="009D5B91"/>
    <w:rsid w:val="009D5F04"/>
    <w:rsid w:val="009D5FFF"/>
    <w:rsid w:val="009D64D1"/>
    <w:rsid w:val="009D792E"/>
    <w:rsid w:val="009D7B27"/>
    <w:rsid w:val="009D7E34"/>
    <w:rsid w:val="009E060C"/>
    <w:rsid w:val="009E0DFE"/>
    <w:rsid w:val="009E1077"/>
    <w:rsid w:val="009E10A8"/>
    <w:rsid w:val="009E1272"/>
    <w:rsid w:val="009E2C0D"/>
    <w:rsid w:val="009E31F6"/>
    <w:rsid w:val="009E3707"/>
    <w:rsid w:val="009E3ACF"/>
    <w:rsid w:val="009E4381"/>
    <w:rsid w:val="009E43E4"/>
    <w:rsid w:val="009E489A"/>
    <w:rsid w:val="009E49A6"/>
    <w:rsid w:val="009E4A1C"/>
    <w:rsid w:val="009E4C07"/>
    <w:rsid w:val="009E6985"/>
    <w:rsid w:val="009E6E59"/>
    <w:rsid w:val="009E7083"/>
    <w:rsid w:val="009F03CD"/>
    <w:rsid w:val="009F07F1"/>
    <w:rsid w:val="009F136F"/>
    <w:rsid w:val="009F20F9"/>
    <w:rsid w:val="009F3224"/>
    <w:rsid w:val="009F3B16"/>
    <w:rsid w:val="009F48AE"/>
    <w:rsid w:val="009F4A79"/>
    <w:rsid w:val="009F4B68"/>
    <w:rsid w:val="00A00982"/>
    <w:rsid w:val="00A01184"/>
    <w:rsid w:val="00A01458"/>
    <w:rsid w:val="00A0182C"/>
    <w:rsid w:val="00A0265F"/>
    <w:rsid w:val="00A02DCD"/>
    <w:rsid w:val="00A037C2"/>
    <w:rsid w:val="00A03D43"/>
    <w:rsid w:val="00A04380"/>
    <w:rsid w:val="00A04528"/>
    <w:rsid w:val="00A05472"/>
    <w:rsid w:val="00A05C32"/>
    <w:rsid w:val="00A0653F"/>
    <w:rsid w:val="00A06777"/>
    <w:rsid w:val="00A06E47"/>
    <w:rsid w:val="00A070A4"/>
    <w:rsid w:val="00A079E7"/>
    <w:rsid w:val="00A10143"/>
    <w:rsid w:val="00A10C25"/>
    <w:rsid w:val="00A10FCF"/>
    <w:rsid w:val="00A11CD0"/>
    <w:rsid w:val="00A1267D"/>
    <w:rsid w:val="00A12816"/>
    <w:rsid w:val="00A12FDD"/>
    <w:rsid w:val="00A13175"/>
    <w:rsid w:val="00A13557"/>
    <w:rsid w:val="00A1359C"/>
    <w:rsid w:val="00A13948"/>
    <w:rsid w:val="00A13C4E"/>
    <w:rsid w:val="00A1413E"/>
    <w:rsid w:val="00A1417F"/>
    <w:rsid w:val="00A14DF2"/>
    <w:rsid w:val="00A14E86"/>
    <w:rsid w:val="00A1555B"/>
    <w:rsid w:val="00A155C5"/>
    <w:rsid w:val="00A16398"/>
    <w:rsid w:val="00A16AD8"/>
    <w:rsid w:val="00A179D5"/>
    <w:rsid w:val="00A20093"/>
    <w:rsid w:val="00A20481"/>
    <w:rsid w:val="00A20DD9"/>
    <w:rsid w:val="00A20E8A"/>
    <w:rsid w:val="00A20F0A"/>
    <w:rsid w:val="00A219DD"/>
    <w:rsid w:val="00A21B2D"/>
    <w:rsid w:val="00A21C95"/>
    <w:rsid w:val="00A21CF3"/>
    <w:rsid w:val="00A23D7B"/>
    <w:rsid w:val="00A24813"/>
    <w:rsid w:val="00A26051"/>
    <w:rsid w:val="00A26795"/>
    <w:rsid w:val="00A26982"/>
    <w:rsid w:val="00A26D39"/>
    <w:rsid w:val="00A27AEC"/>
    <w:rsid w:val="00A3144F"/>
    <w:rsid w:val="00A320DB"/>
    <w:rsid w:val="00A325E3"/>
    <w:rsid w:val="00A32798"/>
    <w:rsid w:val="00A328A2"/>
    <w:rsid w:val="00A32D38"/>
    <w:rsid w:val="00A34386"/>
    <w:rsid w:val="00A34436"/>
    <w:rsid w:val="00A35D16"/>
    <w:rsid w:val="00A37B15"/>
    <w:rsid w:val="00A37BCD"/>
    <w:rsid w:val="00A37F2E"/>
    <w:rsid w:val="00A4072B"/>
    <w:rsid w:val="00A41055"/>
    <w:rsid w:val="00A41689"/>
    <w:rsid w:val="00A42592"/>
    <w:rsid w:val="00A42B20"/>
    <w:rsid w:val="00A43C59"/>
    <w:rsid w:val="00A43CB2"/>
    <w:rsid w:val="00A45497"/>
    <w:rsid w:val="00A4556B"/>
    <w:rsid w:val="00A45B86"/>
    <w:rsid w:val="00A45E50"/>
    <w:rsid w:val="00A46313"/>
    <w:rsid w:val="00A46CDB"/>
    <w:rsid w:val="00A46D2C"/>
    <w:rsid w:val="00A475B7"/>
    <w:rsid w:val="00A47952"/>
    <w:rsid w:val="00A47A53"/>
    <w:rsid w:val="00A50DA9"/>
    <w:rsid w:val="00A50ECD"/>
    <w:rsid w:val="00A50FE0"/>
    <w:rsid w:val="00A518F3"/>
    <w:rsid w:val="00A51F1F"/>
    <w:rsid w:val="00A52016"/>
    <w:rsid w:val="00A5254F"/>
    <w:rsid w:val="00A52729"/>
    <w:rsid w:val="00A52F98"/>
    <w:rsid w:val="00A5355F"/>
    <w:rsid w:val="00A5363F"/>
    <w:rsid w:val="00A53675"/>
    <w:rsid w:val="00A53D7E"/>
    <w:rsid w:val="00A549DD"/>
    <w:rsid w:val="00A55CCF"/>
    <w:rsid w:val="00A55F16"/>
    <w:rsid w:val="00A564D7"/>
    <w:rsid w:val="00A56B6A"/>
    <w:rsid w:val="00A56BFA"/>
    <w:rsid w:val="00A578DC"/>
    <w:rsid w:val="00A60EB0"/>
    <w:rsid w:val="00A61FD8"/>
    <w:rsid w:val="00A63125"/>
    <w:rsid w:val="00A637F3"/>
    <w:rsid w:val="00A6395A"/>
    <w:rsid w:val="00A640E2"/>
    <w:rsid w:val="00A64D65"/>
    <w:rsid w:val="00A64F64"/>
    <w:rsid w:val="00A65930"/>
    <w:rsid w:val="00A659C1"/>
    <w:rsid w:val="00A6725B"/>
    <w:rsid w:val="00A67384"/>
    <w:rsid w:val="00A67887"/>
    <w:rsid w:val="00A67DD9"/>
    <w:rsid w:val="00A702B8"/>
    <w:rsid w:val="00A702E6"/>
    <w:rsid w:val="00A704C2"/>
    <w:rsid w:val="00A70605"/>
    <w:rsid w:val="00A71216"/>
    <w:rsid w:val="00A72501"/>
    <w:rsid w:val="00A73134"/>
    <w:rsid w:val="00A7480A"/>
    <w:rsid w:val="00A76001"/>
    <w:rsid w:val="00A777B2"/>
    <w:rsid w:val="00A77A3A"/>
    <w:rsid w:val="00A8015A"/>
    <w:rsid w:val="00A80741"/>
    <w:rsid w:val="00A808B4"/>
    <w:rsid w:val="00A80FF9"/>
    <w:rsid w:val="00A81B7C"/>
    <w:rsid w:val="00A81EDA"/>
    <w:rsid w:val="00A81FEB"/>
    <w:rsid w:val="00A8219D"/>
    <w:rsid w:val="00A825D4"/>
    <w:rsid w:val="00A828F6"/>
    <w:rsid w:val="00A82B73"/>
    <w:rsid w:val="00A84238"/>
    <w:rsid w:val="00A8435E"/>
    <w:rsid w:val="00A84766"/>
    <w:rsid w:val="00A847FD"/>
    <w:rsid w:val="00A84A23"/>
    <w:rsid w:val="00A86E8B"/>
    <w:rsid w:val="00A87164"/>
    <w:rsid w:val="00A87468"/>
    <w:rsid w:val="00A8747D"/>
    <w:rsid w:val="00A87C92"/>
    <w:rsid w:val="00A90187"/>
    <w:rsid w:val="00A90228"/>
    <w:rsid w:val="00A903B5"/>
    <w:rsid w:val="00A90B59"/>
    <w:rsid w:val="00A90D15"/>
    <w:rsid w:val="00A90F2E"/>
    <w:rsid w:val="00A9165C"/>
    <w:rsid w:val="00A918DC"/>
    <w:rsid w:val="00A91FD7"/>
    <w:rsid w:val="00A92E79"/>
    <w:rsid w:val="00A9301D"/>
    <w:rsid w:val="00A93072"/>
    <w:rsid w:val="00A938BD"/>
    <w:rsid w:val="00A93953"/>
    <w:rsid w:val="00A942CC"/>
    <w:rsid w:val="00A9436B"/>
    <w:rsid w:val="00A94B4B"/>
    <w:rsid w:val="00A954AC"/>
    <w:rsid w:val="00A959D8"/>
    <w:rsid w:val="00A963A6"/>
    <w:rsid w:val="00A96BAB"/>
    <w:rsid w:val="00AA002E"/>
    <w:rsid w:val="00AA027C"/>
    <w:rsid w:val="00AA0319"/>
    <w:rsid w:val="00AA0BC9"/>
    <w:rsid w:val="00AA113D"/>
    <w:rsid w:val="00AA1AB8"/>
    <w:rsid w:val="00AA2505"/>
    <w:rsid w:val="00AA28DB"/>
    <w:rsid w:val="00AA3869"/>
    <w:rsid w:val="00AA53DF"/>
    <w:rsid w:val="00AA6BD5"/>
    <w:rsid w:val="00AA6BD8"/>
    <w:rsid w:val="00AA6C7D"/>
    <w:rsid w:val="00AA7FD6"/>
    <w:rsid w:val="00AB042A"/>
    <w:rsid w:val="00AB07C5"/>
    <w:rsid w:val="00AB1716"/>
    <w:rsid w:val="00AB182C"/>
    <w:rsid w:val="00AB19EF"/>
    <w:rsid w:val="00AB220F"/>
    <w:rsid w:val="00AB23D7"/>
    <w:rsid w:val="00AB24EE"/>
    <w:rsid w:val="00AB2D34"/>
    <w:rsid w:val="00AB3430"/>
    <w:rsid w:val="00AB37B9"/>
    <w:rsid w:val="00AB3991"/>
    <w:rsid w:val="00AB3D50"/>
    <w:rsid w:val="00AB3EB3"/>
    <w:rsid w:val="00AB4501"/>
    <w:rsid w:val="00AB4AD1"/>
    <w:rsid w:val="00AB4C7E"/>
    <w:rsid w:val="00AB4D37"/>
    <w:rsid w:val="00AB5463"/>
    <w:rsid w:val="00AB5E07"/>
    <w:rsid w:val="00AB5FE3"/>
    <w:rsid w:val="00AB63B2"/>
    <w:rsid w:val="00AB701D"/>
    <w:rsid w:val="00AB7526"/>
    <w:rsid w:val="00AB77BB"/>
    <w:rsid w:val="00AB7AD7"/>
    <w:rsid w:val="00AB7CFA"/>
    <w:rsid w:val="00AB7EFD"/>
    <w:rsid w:val="00AC14A0"/>
    <w:rsid w:val="00AC16A3"/>
    <w:rsid w:val="00AC16EE"/>
    <w:rsid w:val="00AC2E84"/>
    <w:rsid w:val="00AC355D"/>
    <w:rsid w:val="00AC35D6"/>
    <w:rsid w:val="00AC3BE4"/>
    <w:rsid w:val="00AC4736"/>
    <w:rsid w:val="00AC5B48"/>
    <w:rsid w:val="00AC5D20"/>
    <w:rsid w:val="00AC5E57"/>
    <w:rsid w:val="00AC645B"/>
    <w:rsid w:val="00AC75B8"/>
    <w:rsid w:val="00AC7D2F"/>
    <w:rsid w:val="00AD011C"/>
    <w:rsid w:val="00AD1450"/>
    <w:rsid w:val="00AD1AD7"/>
    <w:rsid w:val="00AD2151"/>
    <w:rsid w:val="00AD24DD"/>
    <w:rsid w:val="00AD27C2"/>
    <w:rsid w:val="00AD2948"/>
    <w:rsid w:val="00AD2DE4"/>
    <w:rsid w:val="00AD37C7"/>
    <w:rsid w:val="00AD37CF"/>
    <w:rsid w:val="00AD3F59"/>
    <w:rsid w:val="00AD45B9"/>
    <w:rsid w:val="00AD5B2A"/>
    <w:rsid w:val="00AD5D1F"/>
    <w:rsid w:val="00AD63A2"/>
    <w:rsid w:val="00AD6502"/>
    <w:rsid w:val="00AD75CD"/>
    <w:rsid w:val="00AD7F4E"/>
    <w:rsid w:val="00AE038C"/>
    <w:rsid w:val="00AE0695"/>
    <w:rsid w:val="00AE0810"/>
    <w:rsid w:val="00AE1522"/>
    <w:rsid w:val="00AE15A6"/>
    <w:rsid w:val="00AE310C"/>
    <w:rsid w:val="00AE3B50"/>
    <w:rsid w:val="00AE3E7E"/>
    <w:rsid w:val="00AE457E"/>
    <w:rsid w:val="00AF0C7D"/>
    <w:rsid w:val="00AF111C"/>
    <w:rsid w:val="00AF1315"/>
    <w:rsid w:val="00AF151B"/>
    <w:rsid w:val="00AF16F0"/>
    <w:rsid w:val="00AF1820"/>
    <w:rsid w:val="00AF19BF"/>
    <w:rsid w:val="00AF2B6F"/>
    <w:rsid w:val="00AF2DC3"/>
    <w:rsid w:val="00AF31C4"/>
    <w:rsid w:val="00AF3B31"/>
    <w:rsid w:val="00AF3EE1"/>
    <w:rsid w:val="00AF4171"/>
    <w:rsid w:val="00AF4229"/>
    <w:rsid w:val="00AF4B39"/>
    <w:rsid w:val="00AF55DC"/>
    <w:rsid w:val="00AF5E52"/>
    <w:rsid w:val="00AF611B"/>
    <w:rsid w:val="00B00145"/>
    <w:rsid w:val="00B007DB"/>
    <w:rsid w:val="00B02F36"/>
    <w:rsid w:val="00B033E5"/>
    <w:rsid w:val="00B037FA"/>
    <w:rsid w:val="00B03A63"/>
    <w:rsid w:val="00B0425D"/>
    <w:rsid w:val="00B04427"/>
    <w:rsid w:val="00B04535"/>
    <w:rsid w:val="00B04FA9"/>
    <w:rsid w:val="00B04FC5"/>
    <w:rsid w:val="00B05DFA"/>
    <w:rsid w:val="00B067F8"/>
    <w:rsid w:val="00B06DA8"/>
    <w:rsid w:val="00B10510"/>
    <w:rsid w:val="00B10F37"/>
    <w:rsid w:val="00B116D1"/>
    <w:rsid w:val="00B12EAB"/>
    <w:rsid w:val="00B1354C"/>
    <w:rsid w:val="00B13898"/>
    <w:rsid w:val="00B147D3"/>
    <w:rsid w:val="00B14CD2"/>
    <w:rsid w:val="00B15C4F"/>
    <w:rsid w:val="00B168DC"/>
    <w:rsid w:val="00B168E6"/>
    <w:rsid w:val="00B201A4"/>
    <w:rsid w:val="00B201D1"/>
    <w:rsid w:val="00B20C19"/>
    <w:rsid w:val="00B20E65"/>
    <w:rsid w:val="00B21079"/>
    <w:rsid w:val="00B213A6"/>
    <w:rsid w:val="00B22E10"/>
    <w:rsid w:val="00B23304"/>
    <w:rsid w:val="00B235B0"/>
    <w:rsid w:val="00B237EC"/>
    <w:rsid w:val="00B23C2C"/>
    <w:rsid w:val="00B24DF6"/>
    <w:rsid w:val="00B25524"/>
    <w:rsid w:val="00B25778"/>
    <w:rsid w:val="00B26F18"/>
    <w:rsid w:val="00B271C1"/>
    <w:rsid w:val="00B27684"/>
    <w:rsid w:val="00B3027C"/>
    <w:rsid w:val="00B30C88"/>
    <w:rsid w:val="00B31246"/>
    <w:rsid w:val="00B316E3"/>
    <w:rsid w:val="00B31F3F"/>
    <w:rsid w:val="00B321CF"/>
    <w:rsid w:val="00B32876"/>
    <w:rsid w:val="00B32ABE"/>
    <w:rsid w:val="00B33F8B"/>
    <w:rsid w:val="00B34FE2"/>
    <w:rsid w:val="00B350FF"/>
    <w:rsid w:val="00B35166"/>
    <w:rsid w:val="00B357D8"/>
    <w:rsid w:val="00B360F4"/>
    <w:rsid w:val="00B36231"/>
    <w:rsid w:val="00B36A00"/>
    <w:rsid w:val="00B36CC5"/>
    <w:rsid w:val="00B36CE4"/>
    <w:rsid w:val="00B375C2"/>
    <w:rsid w:val="00B375FC"/>
    <w:rsid w:val="00B37BFC"/>
    <w:rsid w:val="00B40264"/>
    <w:rsid w:val="00B40358"/>
    <w:rsid w:val="00B4049D"/>
    <w:rsid w:val="00B41503"/>
    <w:rsid w:val="00B41614"/>
    <w:rsid w:val="00B42714"/>
    <w:rsid w:val="00B42851"/>
    <w:rsid w:val="00B429B5"/>
    <w:rsid w:val="00B42F80"/>
    <w:rsid w:val="00B435CB"/>
    <w:rsid w:val="00B43B7A"/>
    <w:rsid w:val="00B4518D"/>
    <w:rsid w:val="00B45748"/>
    <w:rsid w:val="00B4651B"/>
    <w:rsid w:val="00B4730B"/>
    <w:rsid w:val="00B475E0"/>
    <w:rsid w:val="00B477F2"/>
    <w:rsid w:val="00B505C8"/>
    <w:rsid w:val="00B50884"/>
    <w:rsid w:val="00B50D03"/>
    <w:rsid w:val="00B50DB8"/>
    <w:rsid w:val="00B525E3"/>
    <w:rsid w:val="00B5310D"/>
    <w:rsid w:val="00B53654"/>
    <w:rsid w:val="00B53905"/>
    <w:rsid w:val="00B54B5B"/>
    <w:rsid w:val="00B5562E"/>
    <w:rsid w:val="00B55D65"/>
    <w:rsid w:val="00B55F89"/>
    <w:rsid w:val="00B56646"/>
    <w:rsid w:val="00B56685"/>
    <w:rsid w:val="00B56BDD"/>
    <w:rsid w:val="00B56C12"/>
    <w:rsid w:val="00B57000"/>
    <w:rsid w:val="00B5760D"/>
    <w:rsid w:val="00B60331"/>
    <w:rsid w:val="00B60939"/>
    <w:rsid w:val="00B6096B"/>
    <w:rsid w:val="00B60AFD"/>
    <w:rsid w:val="00B61265"/>
    <w:rsid w:val="00B62715"/>
    <w:rsid w:val="00B62F69"/>
    <w:rsid w:val="00B63128"/>
    <w:rsid w:val="00B641ED"/>
    <w:rsid w:val="00B65611"/>
    <w:rsid w:val="00B6633F"/>
    <w:rsid w:val="00B6645F"/>
    <w:rsid w:val="00B700D3"/>
    <w:rsid w:val="00B70A8A"/>
    <w:rsid w:val="00B70B70"/>
    <w:rsid w:val="00B70E8E"/>
    <w:rsid w:val="00B70F48"/>
    <w:rsid w:val="00B710EC"/>
    <w:rsid w:val="00B712CF"/>
    <w:rsid w:val="00B730BF"/>
    <w:rsid w:val="00B73226"/>
    <w:rsid w:val="00B747A3"/>
    <w:rsid w:val="00B74F0D"/>
    <w:rsid w:val="00B75D94"/>
    <w:rsid w:val="00B7643F"/>
    <w:rsid w:val="00B76C92"/>
    <w:rsid w:val="00B77E0B"/>
    <w:rsid w:val="00B8049A"/>
    <w:rsid w:val="00B818A4"/>
    <w:rsid w:val="00B82CE4"/>
    <w:rsid w:val="00B83493"/>
    <w:rsid w:val="00B8379C"/>
    <w:rsid w:val="00B83977"/>
    <w:rsid w:val="00B84117"/>
    <w:rsid w:val="00B8473E"/>
    <w:rsid w:val="00B84A1C"/>
    <w:rsid w:val="00B858F0"/>
    <w:rsid w:val="00B85AA2"/>
    <w:rsid w:val="00B8649C"/>
    <w:rsid w:val="00B86612"/>
    <w:rsid w:val="00B8695D"/>
    <w:rsid w:val="00B86E24"/>
    <w:rsid w:val="00B86EF3"/>
    <w:rsid w:val="00B87F0A"/>
    <w:rsid w:val="00B90350"/>
    <w:rsid w:val="00B907FA"/>
    <w:rsid w:val="00B91582"/>
    <w:rsid w:val="00B917B4"/>
    <w:rsid w:val="00B9199D"/>
    <w:rsid w:val="00B921C2"/>
    <w:rsid w:val="00B92D0B"/>
    <w:rsid w:val="00B934E5"/>
    <w:rsid w:val="00B93A29"/>
    <w:rsid w:val="00B93E71"/>
    <w:rsid w:val="00B94945"/>
    <w:rsid w:val="00B94C7B"/>
    <w:rsid w:val="00B94DD6"/>
    <w:rsid w:val="00B958E8"/>
    <w:rsid w:val="00B96577"/>
    <w:rsid w:val="00B9669C"/>
    <w:rsid w:val="00B97B4F"/>
    <w:rsid w:val="00B97F66"/>
    <w:rsid w:val="00BA01C7"/>
    <w:rsid w:val="00BA0E0B"/>
    <w:rsid w:val="00BA189F"/>
    <w:rsid w:val="00BA1CDE"/>
    <w:rsid w:val="00BA23B0"/>
    <w:rsid w:val="00BA30C7"/>
    <w:rsid w:val="00BA322D"/>
    <w:rsid w:val="00BA3E89"/>
    <w:rsid w:val="00BA4216"/>
    <w:rsid w:val="00BA4ADD"/>
    <w:rsid w:val="00BA4F4D"/>
    <w:rsid w:val="00BA51B0"/>
    <w:rsid w:val="00BA52DD"/>
    <w:rsid w:val="00BA63FA"/>
    <w:rsid w:val="00BB005B"/>
    <w:rsid w:val="00BB00B3"/>
    <w:rsid w:val="00BB0BDD"/>
    <w:rsid w:val="00BB16D4"/>
    <w:rsid w:val="00BB176C"/>
    <w:rsid w:val="00BB176E"/>
    <w:rsid w:val="00BB248B"/>
    <w:rsid w:val="00BB26B0"/>
    <w:rsid w:val="00BB2A73"/>
    <w:rsid w:val="00BB323B"/>
    <w:rsid w:val="00BB3259"/>
    <w:rsid w:val="00BB3828"/>
    <w:rsid w:val="00BB3A45"/>
    <w:rsid w:val="00BB4ACC"/>
    <w:rsid w:val="00BB682D"/>
    <w:rsid w:val="00BB703E"/>
    <w:rsid w:val="00BB732D"/>
    <w:rsid w:val="00BB7405"/>
    <w:rsid w:val="00BC0579"/>
    <w:rsid w:val="00BC151B"/>
    <w:rsid w:val="00BC1833"/>
    <w:rsid w:val="00BC1DA9"/>
    <w:rsid w:val="00BC1F2C"/>
    <w:rsid w:val="00BC2640"/>
    <w:rsid w:val="00BC2DBA"/>
    <w:rsid w:val="00BC305C"/>
    <w:rsid w:val="00BC3631"/>
    <w:rsid w:val="00BC40BA"/>
    <w:rsid w:val="00BC48F9"/>
    <w:rsid w:val="00BC4CB9"/>
    <w:rsid w:val="00BC529A"/>
    <w:rsid w:val="00BC591F"/>
    <w:rsid w:val="00BC6DC2"/>
    <w:rsid w:val="00BC7556"/>
    <w:rsid w:val="00BC7D6D"/>
    <w:rsid w:val="00BD017D"/>
    <w:rsid w:val="00BD2108"/>
    <w:rsid w:val="00BD240A"/>
    <w:rsid w:val="00BD32F2"/>
    <w:rsid w:val="00BD3FE2"/>
    <w:rsid w:val="00BD452F"/>
    <w:rsid w:val="00BD62A5"/>
    <w:rsid w:val="00BD660B"/>
    <w:rsid w:val="00BD68A3"/>
    <w:rsid w:val="00BD6938"/>
    <w:rsid w:val="00BD6CF3"/>
    <w:rsid w:val="00BD7522"/>
    <w:rsid w:val="00BD77E5"/>
    <w:rsid w:val="00BE0ECA"/>
    <w:rsid w:val="00BE126D"/>
    <w:rsid w:val="00BE2180"/>
    <w:rsid w:val="00BE21F2"/>
    <w:rsid w:val="00BE34B4"/>
    <w:rsid w:val="00BE3F1E"/>
    <w:rsid w:val="00BE4275"/>
    <w:rsid w:val="00BE5173"/>
    <w:rsid w:val="00BE6A77"/>
    <w:rsid w:val="00BE7FC8"/>
    <w:rsid w:val="00BF0218"/>
    <w:rsid w:val="00BF0331"/>
    <w:rsid w:val="00BF05D1"/>
    <w:rsid w:val="00BF06AE"/>
    <w:rsid w:val="00BF0D4B"/>
    <w:rsid w:val="00BF0D7A"/>
    <w:rsid w:val="00BF0F95"/>
    <w:rsid w:val="00BF19DA"/>
    <w:rsid w:val="00BF1E14"/>
    <w:rsid w:val="00BF2433"/>
    <w:rsid w:val="00BF2513"/>
    <w:rsid w:val="00BF277B"/>
    <w:rsid w:val="00BF559C"/>
    <w:rsid w:val="00BF61C9"/>
    <w:rsid w:val="00BF6C94"/>
    <w:rsid w:val="00BF6CD2"/>
    <w:rsid w:val="00BF6E93"/>
    <w:rsid w:val="00BF6EA7"/>
    <w:rsid w:val="00BF7764"/>
    <w:rsid w:val="00C003DA"/>
    <w:rsid w:val="00C00424"/>
    <w:rsid w:val="00C00A9E"/>
    <w:rsid w:val="00C00D3C"/>
    <w:rsid w:val="00C01FC0"/>
    <w:rsid w:val="00C03186"/>
    <w:rsid w:val="00C034E1"/>
    <w:rsid w:val="00C05D19"/>
    <w:rsid w:val="00C06039"/>
    <w:rsid w:val="00C06CCE"/>
    <w:rsid w:val="00C06E36"/>
    <w:rsid w:val="00C104FA"/>
    <w:rsid w:val="00C10DA6"/>
    <w:rsid w:val="00C10EF5"/>
    <w:rsid w:val="00C1103B"/>
    <w:rsid w:val="00C11625"/>
    <w:rsid w:val="00C1179F"/>
    <w:rsid w:val="00C11B7B"/>
    <w:rsid w:val="00C11C5B"/>
    <w:rsid w:val="00C127B0"/>
    <w:rsid w:val="00C12C14"/>
    <w:rsid w:val="00C15247"/>
    <w:rsid w:val="00C15F04"/>
    <w:rsid w:val="00C174DD"/>
    <w:rsid w:val="00C179B3"/>
    <w:rsid w:val="00C17E3F"/>
    <w:rsid w:val="00C2003B"/>
    <w:rsid w:val="00C200AA"/>
    <w:rsid w:val="00C214C1"/>
    <w:rsid w:val="00C21503"/>
    <w:rsid w:val="00C22564"/>
    <w:rsid w:val="00C23473"/>
    <w:rsid w:val="00C237ED"/>
    <w:rsid w:val="00C242BE"/>
    <w:rsid w:val="00C24632"/>
    <w:rsid w:val="00C2529E"/>
    <w:rsid w:val="00C25418"/>
    <w:rsid w:val="00C2584A"/>
    <w:rsid w:val="00C25D9C"/>
    <w:rsid w:val="00C26671"/>
    <w:rsid w:val="00C26D5C"/>
    <w:rsid w:val="00C2778B"/>
    <w:rsid w:val="00C31649"/>
    <w:rsid w:val="00C32080"/>
    <w:rsid w:val="00C32C86"/>
    <w:rsid w:val="00C3369F"/>
    <w:rsid w:val="00C33855"/>
    <w:rsid w:val="00C3434C"/>
    <w:rsid w:val="00C34F53"/>
    <w:rsid w:val="00C35145"/>
    <w:rsid w:val="00C36405"/>
    <w:rsid w:val="00C36479"/>
    <w:rsid w:val="00C36E7F"/>
    <w:rsid w:val="00C37249"/>
    <w:rsid w:val="00C37528"/>
    <w:rsid w:val="00C40385"/>
    <w:rsid w:val="00C40632"/>
    <w:rsid w:val="00C40D06"/>
    <w:rsid w:val="00C41696"/>
    <w:rsid w:val="00C41768"/>
    <w:rsid w:val="00C43D73"/>
    <w:rsid w:val="00C43F79"/>
    <w:rsid w:val="00C44FE0"/>
    <w:rsid w:val="00C4574F"/>
    <w:rsid w:val="00C45FAE"/>
    <w:rsid w:val="00C47161"/>
    <w:rsid w:val="00C475AA"/>
    <w:rsid w:val="00C50195"/>
    <w:rsid w:val="00C51546"/>
    <w:rsid w:val="00C51767"/>
    <w:rsid w:val="00C52474"/>
    <w:rsid w:val="00C52DDF"/>
    <w:rsid w:val="00C537C1"/>
    <w:rsid w:val="00C53C98"/>
    <w:rsid w:val="00C543FE"/>
    <w:rsid w:val="00C546F1"/>
    <w:rsid w:val="00C54BB2"/>
    <w:rsid w:val="00C54EE1"/>
    <w:rsid w:val="00C560DB"/>
    <w:rsid w:val="00C5631D"/>
    <w:rsid w:val="00C569D8"/>
    <w:rsid w:val="00C56FCF"/>
    <w:rsid w:val="00C57918"/>
    <w:rsid w:val="00C57B6C"/>
    <w:rsid w:val="00C608E5"/>
    <w:rsid w:val="00C61640"/>
    <w:rsid w:val="00C61B3A"/>
    <w:rsid w:val="00C61BA4"/>
    <w:rsid w:val="00C628A6"/>
    <w:rsid w:val="00C6349B"/>
    <w:rsid w:val="00C63A07"/>
    <w:rsid w:val="00C64344"/>
    <w:rsid w:val="00C65108"/>
    <w:rsid w:val="00C65576"/>
    <w:rsid w:val="00C6589B"/>
    <w:rsid w:val="00C65982"/>
    <w:rsid w:val="00C66165"/>
    <w:rsid w:val="00C66798"/>
    <w:rsid w:val="00C67FC9"/>
    <w:rsid w:val="00C7060A"/>
    <w:rsid w:val="00C70EB4"/>
    <w:rsid w:val="00C71153"/>
    <w:rsid w:val="00C7151A"/>
    <w:rsid w:val="00C717E3"/>
    <w:rsid w:val="00C71C62"/>
    <w:rsid w:val="00C71F60"/>
    <w:rsid w:val="00C72241"/>
    <w:rsid w:val="00C7232A"/>
    <w:rsid w:val="00C729F2"/>
    <w:rsid w:val="00C736A0"/>
    <w:rsid w:val="00C73B85"/>
    <w:rsid w:val="00C73D9F"/>
    <w:rsid w:val="00C742F1"/>
    <w:rsid w:val="00C74971"/>
    <w:rsid w:val="00C75071"/>
    <w:rsid w:val="00C750C8"/>
    <w:rsid w:val="00C7560F"/>
    <w:rsid w:val="00C76B58"/>
    <w:rsid w:val="00C76DE9"/>
    <w:rsid w:val="00C77A50"/>
    <w:rsid w:val="00C77FB4"/>
    <w:rsid w:val="00C80257"/>
    <w:rsid w:val="00C809D4"/>
    <w:rsid w:val="00C80A0E"/>
    <w:rsid w:val="00C80C21"/>
    <w:rsid w:val="00C81C8A"/>
    <w:rsid w:val="00C8213F"/>
    <w:rsid w:val="00C828F0"/>
    <w:rsid w:val="00C82F56"/>
    <w:rsid w:val="00C83261"/>
    <w:rsid w:val="00C83FAD"/>
    <w:rsid w:val="00C840FB"/>
    <w:rsid w:val="00C85154"/>
    <w:rsid w:val="00C85193"/>
    <w:rsid w:val="00C85AD4"/>
    <w:rsid w:val="00C869BA"/>
    <w:rsid w:val="00C8742B"/>
    <w:rsid w:val="00C8797A"/>
    <w:rsid w:val="00C900B8"/>
    <w:rsid w:val="00C90C71"/>
    <w:rsid w:val="00C91A97"/>
    <w:rsid w:val="00C91FD1"/>
    <w:rsid w:val="00C91FE3"/>
    <w:rsid w:val="00C931CF"/>
    <w:rsid w:val="00C93234"/>
    <w:rsid w:val="00C938CF"/>
    <w:rsid w:val="00C94053"/>
    <w:rsid w:val="00C940A5"/>
    <w:rsid w:val="00C95274"/>
    <w:rsid w:val="00C95533"/>
    <w:rsid w:val="00C95984"/>
    <w:rsid w:val="00C95FFD"/>
    <w:rsid w:val="00C9624D"/>
    <w:rsid w:val="00C96266"/>
    <w:rsid w:val="00C96648"/>
    <w:rsid w:val="00C969DA"/>
    <w:rsid w:val="00C96B9F"/>
    <w:rsid w:val="00C96DCE"/>
    <w:rsid w:val="00C97DE0"/>
    <w:rsid w:val="00CA025E"/>
    <w:rsid w:val="00CA0620"/>
    <w:rsid w:val="00CA0818"/>
    <w:rsid w:val="00CA0951"/>
    <w:rsid w:val="00CA14A9"/>
    <w:rsid w:val="00CA18B5"/>
    <w:rsid w:val="00CA1CC9"/>
    <w:rsid w:val="00CA21A8"/>
    <w:rsid w:val="00CA26CC"/>
    <w:rsid w:val="00CA27F7"/>
    <w:rsid w:val="00CA2C77"/>
    <w:rsid w:val="00CA3908"/>
    <w:rsid w:val="00CA3A56"/>
    <w:rsid w:val="00CA3B0B"/>
    <w:rsid w:val="00CA444F"/>
    <w:rsid w:val="00CA482F"/>
    <w:rsid w:val="00CA4AE9"/>
    <w:rsid w:val="00CA5245"/>
    <w:rsid w:val="00CA52B5"/>
    <w:rsid w:val="00CA54EB"/>
    <w:rsid w:val="00CA67A8"/>
    <w:rsid w:val="00CA71F4"/>
    <w:rsid w:val="00CA7619"/>
    <w:rsid w:val="00CA7B09"/>
    <w:rsid w:val="00CA7F80"/>
    <w:rsid w:val="00CB0BFE"/>
    <w:rsid w:val="00CB0F1B"/>
    <w:rsid w:val="00CB12A5"/>
    <w:rsid w:val="00CB12B3"/>
    <w:rsid w:val="00CB1CAC"/>
    <w:rsid w:val="00CB2B89"/>
    <w:rsid w:val="00CB2F2A"/>
    <w:rsid w:val="00CB4754"/>
    <w:rsid w:val="00CB5041"/>
    <w:rsid w:val="00CB5567"/>
    <w:rsid w:val="00CB574F"/>
    <w:rsid w:val="00CB577E"/>
    <w:rsid w:val="00CB5B1A"/>
    <w:rsid w:val="00CB6438"/>
    <w:rsid w:val="00CB6B22"/>
    <w:rsid w:val="00CB74C3"/>
    <w:rsid w:val="00CB7E6C"/>
    <w:rsid w:val="00CB7F5F"/>
    <w:rsid w:val="00CC1A4A"/>
    <w:rsid w:val="00CC1B39"/>
    <w:rsid w:val="00CC1C72"/>
    <w:rsid w:val="00CC2E46"/>
    <w:rsid w:val="00CC306F"/>
    <w:rsid w:val="00CC3272"/>
    <w:rsid w:val="00CC3502"/>
    <w:rsid w:val="00CC35EA"/>
    <w:rsid w:val="00CC3848"/>
    <w:rsid w:val="00CC388B"/>
    <w:rsid w:val="00CC46E5"/>
    <w:rsid w:val="00CC5AE6"/>
    <w:rsid w:val="00CC7487"/>
    <w:rsid w:val="00CD22FC"/>
    <w:rsid w:val="00CD3297"/>
    <w:rsid w:val="00CD34FB"/>
    <w:rsid w:val="00CD3F77"/>
    <w:rsid w:val="00CD4B23"/>
    <w:rsid w:val="00CD6A1B"/>
    <w:rsid w:val="00CD6ADC"/>
    <w:rsid w:val="00CD7193"/>
    <w:rsid w:val="00CD7DC3"/>
    <w:rsid w:val="00CE084F"/>
    <w:rsid w:val="00CE112E"/>
    <w:rsid w:val="00CE16C6"/>
    <w:rsid w:val="00CE2DE0"/>
    <w:rsid w:val="00CE38C8"/>
    <w:rsid w:val="00CE395C"/>
    <w:rsid w:val="00CE5300"/>
    <w:rsid w:val="00CE56DF"/>
    <w:rsid w:val="00CE606E"/>
    <w:rsid w:val="00CE6274"/>
    <w:rsid w:val="00CE658E"/>
    <w:rsid w:val="00CE66B4"/>
    <w:rsid w:val="00CE7258"/>
    <w:rsid w:val="00CE77B6"/>
    <w:rsid w:val="00CF0CF7"/>
    <w:rsid w:val="00CF1C8D"/>
    <w:rsid w:val="00CF2B8D"/>
    <w:rsid w:val="00CF314E"/>
    <w:rsid w:val="00CF3ADC"/>
    <w:rsid w:val="00CF456B"/>
    <w:rsid w:val="00CF4BE9"/>
    <w:rsid w:val="00CF549B"/>
    <w:rsid w:val="00CF5820"/>
    <w:rsid w:val="00CF5879"/>
    <w:rsid w:val="00CF5A22"/>
    <w:rsid w:val="00CF79AA"/>
    <w:rsid w:val="00D00C07"/>
    <w:rsid w:val="00D016EC"/>
    <w:rsid w:val="00D01F70"/>
    <w:rsid w:val="00D0262E"/>
    <w:rsid w:val="00D02A08"/>
    <w:rsid w:val="00D030BC"/>
    <w:rsid w:val="00D033BD"/>
    <w:rsid w:val="00D05687"/>
    <w:rsid w:val="00D05837"/>
    <w:rsid w:val="00D05E3D"/>
    <w:rsid w:val="00D06139"/>
    <w:rsid w:val="00D07302"/>
    <w:rsid w:val="00D07E03"/>
    <w:rsid w:val="00D110BD"/>
    <w:rsid w:val="00D112A8"/>
    <w:rsid w:val="00D11414"/>
    <w:rsid w:val="00D11CFF"/>
    <w:rsid w:val="00D12B2D"/>
    <w:rsid w:val="00D12D2B"/>
    <w:rsid w:val="00D13675"/>
    <w:rsid w:val="00D13A89"/>
    <w:rsid w:val="00D141E1"/>
    <w:rsid w:val="00D14A08"/>
    <w:rsid w:val="00D14A49"/>
    <w:rsid w:val="00D15314"/>
    <w:rsid w:val="00D158A4"/>
    <w:rsid w:val="00D15B96"/>
    <w:rsid w:val="00D15E32"/>
    <w:rsid w:val="00D15F02"/>
    <w:rsid w:val="00D16C98"/>
    <w:rsid w:val="00D17D6C"/>
    <w:rsid w:val="00D200BC"/>
    <w:rsid w:val="00D20475"/>
    <w:rsid w:val="00D2155B"/>
    <w:rsid w:val="00D21879"/>
    <w:rsid w:val="00D21B99"/>
    <w:rsid w:val="00D21BCC"/>
    <w:rsid w:val="00D232C5"/>
    <w:rsid w:val="00D23D11"/>
    <w:rsid w:val="00D240BF"/>
    <w:rsid w:val="00D244B6"/>
    <w:rsid w:val="00D2517C"/>
    <w:rsid w:val="00D26447"/>
    <w:rsid w:val="00D26846"/>
    <w:rsid w:val="00D26D90"/>
    <w:rsid w:val="00D27403"/>
    <w:rsid w:val="00D2754D"/>
    <w:rsid w:val="00D27AB2"/>
    <w:rsid w:val="00D27B27"/>
    <w:rsid w:val="00D30255"/>
    <w:rsid w:val="00D30754"/>
    <w:rsid w:val="00D33569"/>
    <w:rsid w:val="00D33ACB"/>
    <w:rsid w:val="00D33BE9"/>
    <w:rsid w:val="00D33F8E"/>
    <w:rsid w:val="00D33F93"/>
    <w:rsid w:val="00D34483"/>
    <w:rsid w:val="00D34585"/>
    <w:rsid w:val="00D35324"/>
    <w:rsid w:val="00D357FF"/>
    <w:rsid w:val="00D37B66"/>
    <w:rsid w:val="00D40793"/>
    <w:rsid w:val="00D41329"/>
    <w:rsid w:val="00D418EF"/>
    <w:rsid w:val="00D41A00"/>
    <w:rsid w:val="00D424C7"/>
    <w:rsid w:val="00D4377D"/>
    <w:rsid w:val="00D43B2A"/>
    <w:rsid w:val="00D43D83"/>
    <w:rsid w:val="00D4521B"/>
    <w:rsid w:val="00D46409"/>
    <w:rsid w:val="00D47575"/>
    <w:rsid w:val="00D47F97"/>
    <w:rsid w:val="00D505C3"/>
    <w:rsid w:val="00D50B17"/>
    <w:rsid w:val="00D50DA2"/>
    <w:rsid w:val="00D51357"/>
    <w:rsid w:val="00D523F5"/>
    <w:rsid w:val="00D5243B"/>
    <w:rsid w:val="00D5279C"/>
    <w:rsid w:val="00D533EC"/>
    <w:rsid w:val="00D5362A"/>
    <w:rsid w:val="00D53F02"/>
    <w:rsid w:val="00D54600"/>
    <w:rsid w:val="00D549C4"/>
    <w:rsid w:val="00D55AAA"/>
    <w:rsid w:val="00D55FC3"/>
    <w:rsid w:val="00D5640F"/>
    <w:rsid w:val="00D56632"/>
    <w:rsid w:val="00D568AC"/>
    <w:rsid w:val="00D568BA"/>
    <w:rsid w:val="00D5698B"/>
    <w:rsid w:val="00D56A95"/>
    <w:rsid w:val="00D56F06"/>
    <w:rsid w:val="00D5704F"/>
    <w:rsid w:val="00D57667"/>
    <w:rsid w:val="00D576CF"/>
    <w:rsid w:val="00D60367"/>
    <w:rsid w:val="00D605F2"/>
    <w:rsid w:val="00D60F5D"/>
    <w:rsid w:val="00D61029"/>
    <w:rsid w:val="00D6116B"/>
    <w:rsid w:val="00D61662"/>
    <w:rsid w:val="00D61744"/>
    <w:rsid w:val="00D622D5"/>
    <w:rsid w:val="00D625C0"/>
    <w:rsid w:val="00D62713"/>
    <w:rsid w:val="00D62D8A"/>
    <w:rsid w:val="00D62FC3"/>
    <w:rsid w:val="00D63504"/>
    <w:rsid w:val="00D639F5"/>
    <w:rsid w:val="00D63DE9"/>
    <w:rsid w:val="00D63E57"/>
    <w:rsid w:val="00D63E69"/>
    <w:rsid w:val="00D64626"/>
    <w:rsid w:val="00D66133"/>
    <w:rsid w:val="00D67CF9"/>
    <w:rsid w:val="00D67FDF"/>
    <w:rsid w:val="00D70EBD"/>
    <w:rsid w:val="00D70F16"/>
    <w:rsid w:val="00D71E5E"/>
    <w:rsid w:val="00D72CDC"/>
    <w:rsid w:val="00D72F57"/>
    <w:rsid w:val="00D74FC1"/>
    <w:rsid w:val="00D76527"/>
    <w:rsid w:val="00D76A44"/>
    <w:rsid w:val="00D76CC0"/>
    <w:rsid w:val="00D76D13"/>
    <w:rsid w:val="00D77A5D"/>
    <w:rsid w:val="00D80310"/>
    <w:rsid w:val="00D8034A"/>
    <w:rsid w:val="00D80C05"/>
    <w:rsid w:val="00D815B1"/>
    <w:rsid w:val="00D815EF"/>
    <w:rsid w:val="00D81F26"/>
    <w:rsid w:val="00D82550"/>
    <w:rsid w:val="00D826C4"/>
    <w:rsid w:val="00D85D17"/>
    <w:rsid w:val="00D86231"/>
    <w:rsid w:val="00D86B21"/>
    <w:rsid w:val="00D86B35"/>
    <w:rsid w:val="00D87A2D"/>
    <w:rsid w:val="00D90446"/>
    <w:rsid w:val="00D90712"/>
    <w:rsid w:val="00D90F50"/>
    <w:rsid w:val="00D91923"/>
    <w:rsid w:val="00D91CDF"/>
    <w:rsid w:val="00D92B52"/>
    <w:rsid w:val="00D92B8D"/>
    <w:rsid w:val="00D92F42"/>
    <w:rsid w:val="00D93560"/>
    <w:rsid w:val="00D935E8"/>
    <w:rsid w:val="00D93753"/>
    <w:rsid w:val="00D93BB8"/>
    <w:rsid w:val="00D96D71"/>
    <w:rsid w:val="00D97C5D"/>
    <w:rsid w:val="00D97EA4"/>
    <w:rsid w:val="00DA1036"/>
    <w:rsid w:val="00DA14E1"/>
    <w:rsid w:val="00DA1B9C"/>
    <w:rsid w:val="00DA2200"/>
    <w:rsid w:val="00DA2F72"/>
    <w:rsid w:val="00DA3167"/>
    <w:rsid w:val="00DA366D"/>
    <w:rsid w:val="00DA3B1B"/>
    <w:rsid w:val="00DA3DE9"/>
    <w:rsid w:val="00DA4BEA"/>
    <w:rsid w:val="00DA4DC3"/>
    <w:rsid w:val="00DA4EEC"/>
    <w:rsid w:val="00DA4F2F"/>
    <w:rsid w:val="00DA6CCF"/>
    <w:rsid w:val="00DA77A5"/>
    <w:rsid w:val="00DA7C2C"/>
    <w:rsid w:val="00DB1F0C"/>
    <w:rsid w:val="00DB1F79"/>
    <w:rsid w:val="00DB2288"/>
    <w:rsid w:val="00DB2403"/>
    <w:rsid w:val="00DB3DBF"/>
    <w:rsid w:val="00DB3E0B"/>
    <w:rsid w:val="00DB3F19"/>
    <w:rsid w:val="00DB3FC5"/>
    <w:rsid w:val="00DB43A5"/>
    <w:rsid w:val="00DB484F"/>
    <w:rsid w:val="00DB4910"/>
    <w:rsid w:val="00DB536A"/>
    <w:rsid w:val="00DB5FC7"/>
    <w:rsid w:val="00DB6504"/>
    <w:rsid w:val="00DB6BBF"/>
    <w:rsid w:val="00DC04F6"/>
    <w:rsid w:val="00DC0690"/>
    <w:rsid w:val="00DC0EE9"/>
    <w:rsid w:val="00DC1D65"/>
    <w:rsid w:val="00DC2064"/>
    <w:rsid w:val="00DC3C57"/>
    <w:rsid w:val="00DC4405"/>
    <w:rsid w:val="00DC50D9"/>
    <w:rsid w:val="00DC5501"/>
    <w:rsid w:val="00DC6C28"/>
    <w:rsid w:val="00DC7154"/>
    <w:rsid w:val="00DC78AC"/>
    <w:rsid w:val="00DC7E8A"/>
    <w:rsid w:val="00DC7F75"/>
    <w:rsid w:val="00DD01A2"/>
    <w:rsid w:val="00DD03A5"/>
    <w:rsid w:val="00DD0F78"/>
    <w:rsid w:val="00DD125B"/>
    <w:rsid w:val="00DD273C"/>
    <w:rsid w:val="00DD3377"/>
    <w:rsid w:val="00DD3CC2"/>
    <w:rsid w:val="00DD3F28"/>
    <w:rsid w:val="00DD4479"/>
    <w:rsid w:val="00DD4537"/>
    <w:rsid w:val="00DD4CAF"/>
    <w:rsid w:val="00DD4E15"/>
    <w:rsid w:val="00DD5FD2"/>
    <w:rsid w:val="00DD610C"/>
    <w:rsid w:val="00DD707C"/>
    <w:rsid w:val="00DD71E1"/>
    <w:rsid w:val="00DE0988"/>
    <w:rsid w:val="00DE0E24"/>
    <w:rsid w:val="00DE2304"/>
    <w:rsid w:val="00DE3138"/>
    <w:rsid w:val="00DE33E1"/>
    <w:rsid w:val="00DE37F8"/>
    <w:rsid w:val="00DE3974"/>
    <w:rsid w:val="00DE4AC6"/>
    <w:rsid w:val="00DE4FCB"/>
    <w:rsid w:val="00DE5820"/>
    <w:rsid w:val="00DE5D07"/>
    <w:rsid w:val="00DE71EC"/>
    <w:rsid w:val="00DE72A7"/>
    <w:rsid w:val="00DE7832"/>
    <w:rsid w:val="00DF0687"/>
    <w:rsid w:val="00DF11FB"/>
    <w:rsid w:val="00DF18FC"/>
    <w:rsid w:val="00DF1E4A"/>
    <w:rsid w:val="00DF2216"/>
    <w:rsid w:val="00DF322D"/>
    <w:rsid w:val="00DF3F4B"/>
    <w:rsid w:val="00DF42EF"/>
    <w:rsid w:val="00DF4334"/>
    <w:rsid w:val="00DF4B71"/>
    <w:rsid w:val="00DF5D2B"/>
    <w:rsid w:val="00DF6868"/>
    <w:rsid w:val="00E0038F"/>
    <w:rsid w:val="00E00E8E"/>
    <w:rsid w:val="00E019E7"/>
    <w:rsid w:val="00E01AD7"/>
    <w:rsid w:val="00E01B17"/>
    <w:rsid w:val="00E02281"/>
    <w:rsid w:val="00E02431"/>
    <w:rsid w:val="00E0281B"/>
    <w:rsid w:val="00E03749"/>
    <w:rsid w:val="00E038AF"/>
    <w:rsid w:val="00E0397C"/>
    <w:rsid w:val="00E0486E"/>
    <w:rsid w:val="00E05630"/>
    <w:rsid w:val="00E0585C"/>
    <w:rsid w:val="00E0608C"/>
    <w:rsid w:val="00E0694A"/>
    <w:rsid w:val="00E06DBB"/>
    <w:rsid w:val="00E074A5"/>
    <w:rsid w:val="00E07F9D"/>
    <w:rsid w:val="00E10149"/>
    <w:rsid w:val="00E108F1"/>
    <w:rsid w:val="00E11340"/>
    <w:rsid w:val="00E115FB"/>
    <w:rsid w:val="00E11FFA"/>
    <w:rsid w:val="00E122A1"/>
    <w:rsid w:val="00E125E8"/>
    <w:rsid w:val="00E13E87"/>
    <w:rsid w:val="00E145C2"/>
    <w:rsid w:val="00E148AD"/>
    <w:rsid w:val="00E16372"/>
    <w:rsid w:val="00E16C94"/>
    <w:rsid w:val="00E17753"/>
    <w:rsid w:val="00E20231"/>
    <w:rsid w:val="00E20626"/>
    <w:rsid w:val="00E20A88"/>
    <w:rsid w:val="00E20E4D"/>
    <w:rsid w:val="00E20E71"/>
    <w:rsid w:val="00E20ED6"/>
    <w:rsid w:val="00E2103A"/>
    <w:rsid w:val="00E21358"/>
    <w:rsid w:val="00E21487"/>
    <w:rsid w:val="00E21734"/>
    <w:rsid w:val="00E21B7D"/>
    <w:rsid w:val="00E21D8D"/>
    <w:rsid w:val="00E2249B"/>
    <w:rsid w:val="00E22524"/>
    <w:rsid w:val="00E2273A"/>
    <w:rsid w:val="00E22A0D"/>
    <w:rsid w:val="00E235CC"/>
    <w:rsid w:val="00E244F6"/>
    <w:rsid w:val="00E24F16"/>
    <w:rsid w:val="00E262C9"/>
    <w:rsid w:val="00E2771E"/>
    <w:rsid w:val="00E311EF"/>
    <w:rsid w:val="00E316D7"/>
    <w:rsid w:val="00E32180"/>
    <w:rsid w:val="00E330F8"/>
    <w:rsid w:val="00E3381C"/>
    <w:rsid w:val="00E33A36"/>
    <w:rsid w:val="00E34948"/>
    <w:rsid w:val="00E35325"/>
    <w:rsid w:val="00E354E9"/>
    <w:rsid w:val="00E3552D"/>
    <w:rsid w:val="00E35A0E"/>
    <w:rsid w:val="00E35EA1"/>
    <w:rsid w:val="00E35F78"/>
    <w:rsid w:val="00E36301"/>
    <w:rsid w:val="00E372FA"/>
    <w:rsid w:val="00E37569"/>
    <w:rsid w:val="00E37FAF"/>
    <w:rsid w:val="00E401B2"/>
    <w:rsid w:val="00E415A0"/>
    <w:rsid w:val="00E41869"/>
    <w:rsid w:val="00E41E30"/>
    <w:rsid w:val="00E424F5"/>
    <w:rsid w:val="00E42F73"/>
    <w:rsid w:val="00E43D70"/>
    <w:rsid w:val="00E4568F"/>
    <w:rsid w:val="00E4592F"/>
    <w:rsid w:val="00E4618E"/>
    <w:rsid w:val="00E466F3"/>
    <w:rsid w:val="00E47017"/>
    <w:rsid w:val="00E47B2C"/>
    <w:rsid w:val="00E5007E"/>
    <w:rsid w:val="00E50674"/>
    <w:rsid w:val="00E5076F"/>
    <w:rsid w:val="00E51560"/>
    <w:rsid w:val="00E53E2A"/>
    <w:rsid w:val="00E53FC8"/>
    <w:rsid w:val="00E54347"/>
    <w:rsid w:val="00E55128"/>
    <w:rsid w:val="00E55424"/>
    <w:rsid w:val="00E55915"/>
    <w:rsid w:val="00E55BB5"/>
    <w:rsid w:val="00E56489"/>
    <w:rsid w:val="00E56674"/>
    <w:rsid w:val="00E56FD2"/>
    <w:rsid w:val="00E570AD"/>
    <w:rsid w:val="00E577B2"/>
    <w:rsid w:val="00E57998"/>
    <w:rsid w:val="00E579A4"/>
    <w:rsid w:val="00E57C75"/>
    <w:rsid w:val="00E6003B"/>
    <w:rsid w:val="00E61785"/>
    <w:rsid w:val="00E63CCA"/>
    <w:rsid w:val="00E63DAC"/>
    <w:rsid w:val="00E63DF4"/>
    <w:rsid w:val="00E64524"/>
    <w:rsid w:val="00E64624"/>
    <w:rsid w:val="00E65B1D"/>
    <w:rsid w:val="00E65E79"/>
    <w:rsid w:val="00E66AF0"/>
    <w:rsid w:val="00E66BA2"/>
    <w:rsid w:val="00E66D78"/>
    <w:rsid w:val="00E67416"/>
    <w:rsid w:val="00E67C67"/>
    <w:rsid w:val="00E67D10"/>
    <w:rsid w:val="00E702E4"/>
    <w:rsid w:val="00E7086C"/>
    <w:rsid w:val="00E7110F"/>
    <w:rsid w:val="00E71692"/>
    <w:rsid w:val="00E718B6"/>
    <w:rsid w:val="00E723BA"/>
    <w:rsid w:val="00E72C2F"/>
    <w:rsid w:val="00E72D36"/>
    <w:rsid w:val="00E731BD"/>
    <w:rsid w:val="00E73205"/>
    <w:rsid w:val="00E73581"/>
    <w:rsid w:val="00E7360F"/>
    <w:rsid w:val="00E74310"/>
    <w:rsid w:val="00E74A8F"/>
    <w:rsid w:val="00E7574C"/>
    <w:rsid w:val="00E759DC"/>
    <w:rsid w:val="00E76D5F"/>
    <w:rsid w:val="00E77517"/>
    <w:rsid w:val="00E77633"/>
    <w:rsid w:val="00E77906"/>
    <w:rsid w:val="00E816FD"/>
    <w:rsid w:val="00E833F7"/>
    <w:rsid w:val="00E835AE"/>
    <w:rsid w:val="00E835C1"/>
    <w:rsid w:val="00E83BDF"/>
    <w:rsid w:val="00E84868"/>
    <w:rsid w:val="00E855C5"/>
    <w:rsid w:val="00E86DB3"/>
    <w:rsid w:val="00E876CA"/>
    <w:rsid w:val="00E87A1D"/>
    <w:rsid w:val="00E87CCD"/>
    <w:rsid w:val="00E902C2"/>
    <w:rsid w:val="00E9094A"/>
    <w:rsid w:val="00E91153"/>
    <w:rsid w:val="00E914B3"/>
    <w:rsid w:val="00E914F7"/>
    <w:rsid w:val="00E91898"/>
    <w:rsid w:val="00E919A1"/>
    <w:rsid w:val="00E91D35"/>
    <w:rsid w:val="00E924DB"/>
    <w:rsid w:val="00E926A5"/>
    <w:rsid w:val="00E92C14"/>
    <w:rsid w:val="00E94240"/>
    <w:rsid w:val="00E94662"/>
    <w:rsid w:val="00E966AF"/>
    <w:rsid w:val="00E970D2"/>
    <w:rsid w:val="00E971DA"/>
    <w:rsid w:val="00E97C03"/>
    <w:rsid w:val="00E97C48"/>
    <w:rsid w:val="00EA01B7"/>
    <w:rsid w:val="00EA17C3"/>
    <w:rsid w:val="00EA1BBF"/>
    <w:rsid w:val="00EA2CAA"/>
    <w:rsid w:val="00EA3864"/>
    <w:rsid w:val="00EA48B7"/>
    <w:rsid w:val="00EA4C2F"/>
    <w:rsid w:val="00EA6EBC"/>
    <w:rsid w:val="00EA7334"/>
    <w:rsid w:val="00EA7EAE"/>
    <w:rsid w:val="00EA7F1C"/>
    <w:rsid w:val="00EB15B6"/>
    <w:rsid w:val="00EB1E98"/>
    <w:rsid w:val="00EB37FA"/>
    <w:rsid w:val="00EB3C3F"/>
    <w:rsid w:val="00EB3D06"/>
    <w:rsid w:val="00EB3E9D"/>
    <w:rsid w:val="00EB4484"/>
    <w:rsid w:val="00EB4916"/>
    <w:rsid w:val="00EB6328"/>
    <w:rsid w:val="00EB654D"/>
    <w:rsid w:val="00EB67E9"/>
    <w:rsid w:val="00EC00BC"/>
    <w:rsid w:val="00EC00C9"/>
    <w:rsid w:val="00EC0D10"/>
    <w:rsid w:val="00EC0DD9"/>
    <w:rsid w:val="00EC25BE"/>
    <w:rsid w:val="00EC2649"/>
    <w:rsid w:val="00EC31ED"/>
    <w:rsid w:val="00EC3C3E"/>
    <w:rsid w:val="00EC41B4"/>
    <w:rsid w:val="00EC4439"/>
    <w:rsid w:val="00EC4A5A"/>
    <w:rsid w:val="00EC572C"/>
    <w:rsid w:val="00EC5836"/>
    <w:rsid w:val="00EC59AD"/>
    <w:rsid w:val="00EC688C"/>
    <w:rsid w:val="00ED1125"/>
    <w:rsid w:val="00ED1D28"/>
    <w:rsid w:val="00ED204B"/>
    <w:rsid w:val="00ED3697"/>
    <w:rsid w:val="00ED4979"/>
    <w:rsid w:val="00ED4F78"/>
    <w:rsid w:val="00ED51EF"/>
    <w:rsid w:val="00ED57EA"/>
    <w:rsid w:val="00ED5BD4"/>
    <w:rsid w:val="00ED78F4"/>
    <w:rsid w:val="00ED7BAC"/>
    <w:rsid w:val="00EE07D3"/>
    <w:rsid w:val="00EE0BC6"/>
    <w:rsid w:val="00EE1996"/>
    <w:rsid w:val="00EE1C01"/>
    <w:rsid w:val="00EE22AF"/>
    <w:rsid w:val="00EE28E1"/>
    <w:rsid w:val="00EE2E0F"/>
    <w:rsid w:val="00EE3246"/>
    <w:rsid w:val="00EE36C2"/>
    <w:rsid w:val="00EE3CA6"/>
    <w:rsid w:val="00EE40EB"/>
    <w:rsid w:val="00EE4F7F"/>
    <w:rsid w:val="00EE542A"/>
    <w:rsid w:val="00EE5938"/>
    <w:rsid w:val="00EE63C1"/>
    <w:rsid w:val="00EE6695"/>
    <w:rsid w:val="00EE7E0F"/>
    <w:rsid w:val="00EF0171"/>
    <w:rsid w:val="00EF132C"/>
    <w:rsid w:val="00EF196D"/>
    <w:rsid w:val="00EF19FB"/>
    <w:rsid w:val="00EF1B25"/>
    <w:rsid w:val="00EF1DA0"/>
    <w:rsid w:val="00EF2C52"/>
    <w:rsid w:val="00EF4747"/>
    <w:rsid w:val="00EF4B13"/>
    <w:rsid w:val="00EF4BF8"/>
    <w:rsid w:val="00EF635C"/>
    <w:rsid w:val="00EF644C"/>
    <w:rsid w:val="00EF76FA"/>
    <w:rsid w:val="00EF7ED3"/>
    <w:rsid w:val="00F0082B"/>
    <w:rsid w:val="00F021BC"/>
    <w:rsid w:val="00F02253"/>
    <w:rsid w:val="00F026EA"/>
    <w:rsid w:val="00F02CA6"/>
    <w:rsid w:val="00F03BE2"/>
    <w:rsid w:val="00F03C2E"/>
    <w:rsid w:val="00F03F6D"/>
    <w:rsid w:val="00F04A66"/>
    <w:rsid w:val="00F04B4B"/>
    <w:rsid w:val="00F0516C"/>
    <w:rsid w:val="00F05877"/>
    <w:rsid w:val="00F06030"/>
    <w:rsid w:val="00F0636B"/>
    <w:rsid w:val="00F067A2"/>
    <w:rsid w:val="00F0770B"/>
    <w:rsid w:val="00F079C3"/>
    <w:rsid w:val="00F07B9E"/>
    <w:rsid w:val="00F10012"/>
    <w:rsid w:val="00F1116F"/>
    <w:rsid w:val="00F113F8"/>
    <w:rsid w:val="00F114A2"/>
    <w:rsid w:val="00F1263A"/>
    <w:rsid w:val="00F127E5"/>
    <w:rsid w:val="00F138C4"/>
    <w:rsid w:val="00F13A03"/>
    <w:rsid w:val="00F14168"/>
    <w:rsid w:val="00F147C0"/>
    <w:rsid w:val="00F14B46"/>
    <w:rsid w:val="00F14E4E"/>
    <w:rsid w:val="00F15075"/>
    <w:rsid w:val="00F157FF"/>
    <w:rsid w:val="00F15B77"/>
    <w:rsid w:val="00F20353"/>
    <w:rsid w:val="00F20693"/>
    <w:rsid w:val="00F20E8D"/>
    <w:rsid w:val="00F20FD9"/>
    <w:rsid w:val="00F21140"/>
    <w:rsid w:val="00F211EE"/>
    <w:rsid w:val="00F22D1D"/>
    <w:rsid w:val="00F23130"/>
    <w:rsid w:val="00F24749"/>
    <w:rsid w:val="00F24837"/>
    <w:rsid w:val="00F24F16"/>
    <w:rsid w:val="00F25292"/>
    <w:rsid w:val="00F2575F"/>
    <w:rsid w:val="00F25CF1"/>
    <w:rsid w:val="00F2644A"/>
    <w:rsid w:val="00F26655"/>
    <w:rsid w:val="00F26A41"/>
    <w:rsid w:val="00F27565"/>
    <w:rsid w:val="00F27898"/>
    <w:rsid w:val="00F27E69"/>
    <w:rsid w:val="00F30E44"/>
    <w:rsid w:val="00F310D4"/>
    <w:rsid w:val="00F31A7F"/>
    <w:rsid w:val="00F31D5A"/>
    <w:rsid w:val="00F31EAF"/>
    <w:rsid w:val="00F33298"/>
    <w:rsid w:val="00F33975"/>
    <w:rsid w:val="00F33DE9"/>
    <w:rsid w:val="00F344B7"/>
    <w:rsid w:val="00F34B38"/>
    <w:rsid w:val="00F356F7"/>
    <w:rsid w:val="00F35E6D"/>
    <w:rsid w:val="00F3619A"/>
    <w:rsid w:val="00F361FE"/>
    <w:rsid w:val="00F3662D"/>
    <w:rsid w:val="00F36952"/>
    <w:rsid w:val="00F36A11"/>
    <w:rsid w:val="00F36FC6"/>
    <w:rsid w:val="00F37FDB"/>
    <w:rsid w:val="00F40964"/>
    <w:rsid w:val="00F40AAA"/>
    <w:rsid w:val="00F40BA7"/>
    <w:rsid w:val="00F40F9D"/>
    <w:rsid w:val="00F41420"/>
    <w:rsid w:val="00F4197C"/>
    <w:rsid w:val="00F41ACD"/>
    <w:rsid w:val="00F41C11"/>
    <w:rsid w:val="00F42A0A"/>
    <w:rsid w:val="00F43177"/>
    <w:rsid w:val="00F43BA8"/>
    <w:rsid w:val="00F44E7B"/>
    <w:rsid w:val="00F45892"/>
    <w:rsid w:val="00F45DBE"/>
    <w:rsid w:val="00F46CB6"/>
    <w:rsid w:val="00F4722E"/>
    <w:rsid w:val="00F4756D"/>
    <w:rsid w:val="00F47937"/>
    <w:rsid w:val="00F47DE8"/>
    <w:rsid w:val="00F47E06"/>
    <w:rsid w:val="00F506C2"/>
    <w:rsid w:val="00F519B0"/>
    <w:rsid w:val="00F51B59"/>
    <w:rsid w:val="00F52409"/>
    <w:rsid w:val="00F528E4"/>
    <w:rsid w:val="00F530DC"/>
    <w:rsid w:val="00F54184"/>
    <w:rsid w:val="00F542C1"/>
    <w:rsid w:val="00F54A06"/>
    <w:rsid w:val="00F55CF1"/>
    <w:rsid w:val="00F55E73"/>
    <w:rsid w:val="00F55EDA"/>
    <w:rsid w:val="00F565F1"/>
    <w:rsid w:val="00F568AB"/>
    <w:rsid w:val="00F56C5C"/>
    <w:rsid w:val="00F56C80"/>
    <w:rsid w:val="00F57997"/>
    <w:rsid w:val="00F60081"/>
    <w:rsid w:val="00F60092"/>
    <w:rsid w:val="00F6075E"/>
    <w:rsid w:val="00F61C18"/>
    <w:rsid w:val="00F62F5A"/>
    <w:rsid w:val="00F6385C"/>
    <w:rsid w:val="00F639DD"/>
    <w:rsid w:val="00F65F4B"/>
    <w:rsid w:val="00F661FE"/>
    <w:rsid w:val="00F67753"/>
    <w:rsid w:val="00F67A69"/>
    <w:rsid w:val="00F70567"/>
    <w:rsid w:val="00F707C4"/>
    <w:rsid w:val="00F70BFF"/>
    <w:rsid w:val="00F70C9D"/>
    <w:rsid w:val="00F70E50"/>
    <w:rsid w:val="00F70E8F"/>
    <w:rsid w:val="00F728C1"/>
    <w:rsid w:val="00F72AC4"/>
    <w:rsid w:val="00F72BBC"/>
    <w:rsid w:val="00F731C2"/>
    <w:rsid w:val="00F7331C"/>
    <w:rsid w:val="00F739B6"/>
    <w:rsid w:val="00F74CD9"/>
    <w:rsid w:val="00F74CE6"/>
    <w:rsid w:val="00F75307"/>
    <w:rsid w:val="00F75607"/>
    <w:rsid w:val="00F76C0A"/>
    <w:rsid w:val="00F76FA8"/>
    <w:rsid w:val="00F77003"/>
    <w:rsid w:val="00F77A86"/>
    <w:rsid w:val="00F80A7B"/>
    <w:rsid w:val="00F80C0F"/>
    <w:rsid w:val="00F80E5D"/>
    <w:rsid w:val="00F81E78"/>
    <w:rsid w:val="00F828D1"/>
    <w:rsid w:val="00F82EEB"/>
    <w:rsid w:val="00F8311A"/>
    <w:rsid w:val="00F835CA"/>
    <w:rsid w:val="00F83BF3"/>
    <w:rsid w:val="00F851CE"/>
    <w:rsid w:val="00F85E4F"/>
    <w:rsid w:val="00F8659A"/>
    <w:rsid w:val="00F86CA5"/>
    <w:rsid w:val="00F87CB9"/>
    <w:rsid w:val="00F90695"/>
    <w:rsid w:val="00F90798"/>
    <w:rsid w:val="00F908B2"/>
    <w:rsid w:val="00F91219"/>
    <w:rsid w:val="00F9136A"/>
    <w:rsid w:val="00F91825"/>
    <w:rsid w:val="00F91D33"/>
    <w:rsid w:val="00F92444"/>
    <w:rsid w:val="00F9244B"/>
    <w:rsid w:val="00F92533"/>
    <w:rsid w:val="00F92E85"/>
    <w:rsid w:val="00F9393E"/>
    <w:rsid w:val="00F93B57"/>
    <w:rsid w:val="00F93D8E"/>
    <w:rsid w:val="00F9405A"/>
    <w:rsid w:val="00F94205"/>
    <w:rsid w:val="00F942E1"/>
    <w:rsid w:val="00F94492"/>
    <w:rsid w:val="00F94E59"/>
    <w:rsid w:val="00F96FD0"/>
    <w:rsid w:val="00F97695"/>
    <w:rsid w:val="00F97A78"/>
    <w:rsid w:val="00FA0165"/>
    <w:rsid w:val="00FA0301"/>
    <w:rsid w:val="00FA03F1"/>
    <w:rsid w:val="00FA0B20"/>
    <w:rsid w:val="00FA13DB"/>
    <w:rsid w:val="00FA16E7"/>
    <w:rsid w:val="00FA17CE"/>
    <w:rsid w:val="00FA190B"/>
    <w:rsid w:val="00FA19A9"/>
    <w:rsid w:val="00FA1EC5"/>
    <w:rsid w:val="00FA24E7"/>
    <w:rsid w:val="00FA270A"/>
    <w:rsid w:val="00FA3535"/>
    <w:rsid w:val="00FA3F61"/>
    <w:rsid w:val="00FA4185"/>
    <w:rsid w:val="00FA5EE6"/>
    <w:rsid w:val="00FA7312"/>
    <w:rsid w:val="00FA7916"/>
    <w:rsid w:val="00FA7956"/>
    <w:rsid w:val="00FB02D6"/>
    <w:rsid w:val="00FB1215"/>
    <w:rsid w:val="00FB13CF"/>
    <w:rsid w:val="00FB1F74"/>
    <w:rsid w:val="00FB1F9A"/>
    <w:rsid w:val="00FB2214"/>
    <w:rsid w:val="00FB22BD"/>
    <w:rsid w:val="00FB2FCB"/>
    <w:rsid w:val="00FB383C"/>
    <w:rsid w:val="00FB477E"/>
    <w:rsid w:val="00FB5FE3"/>
    <w:rsid w:val="00FB6840"/>
    <w:rsid w:val="00FB7C55"/>
    <w:rsid w:val="00FC1074"/>
    <w:rsid w:val="00FC1124"/>
    <w:rsid w:val="00FC1748"/>
    <w:rsid w:val="00FC1884"/>
    <w:rsid w:val="00FC371D"/>
    <w:rsid w:val="00FC3890"/>
    <w:rsid w:val="00FC4B59"/>
    <w:rsid w:val="00FC5F0B"/>
    <w:rsid w:val="00FD1D0C"/>
    <w:rsid w:val="00FD2100"/>
    <w:rsid w:val="00FD436C"/>
    <w:rsid w:val="00FD446D"/>
    <w:rsid w:val="00FD4F2C"/>
    <w:rsid w:val="00FD4F3D"/>
    <w:rsid w:val="00FD6375"/>
    <w:rsid w:val="00FD6394"/>
    <w:rsid w:val="00FD6705"/>
    <w:rsid w:val="00FD67FD"/>
    <w:rsid w:val="00FE006B"/>
    <w:rsid w:val="00FE0E6C"/>
    <w:rsid w:val="00FE12CF"/>
    <w:rsid w:val="00FE1CDC"/>
    <w:rsid w:val="00FE1DF8"/>
    <w:rsid w:val="00FE21A2"/>
    <w:rsid w:val="00FE2B37"/>
    <w:rsid w:val="00FE2D3A"/>
    <w:rsid w:val="00FE3974"/>
    <w:rsid w:val="00FE3995"/>
    <w:rsid w:val="00FE3A74"/>
    <w:rsid w:val="00FE4CB7"/>
    <w:rsid w:val="00FE524A"/>
    <w:rsid w:val="00FE5A5E"/>
    <w:rsid w:val="00FE65A1"/>
    <w:rsid w:val="00FE70C3"/>
    <w:rsid w:val="00FE73F9"/>
    <w:rsid w:val="00FF104C"/>
    <w:rsid w:val="00FF107F"/>
    <w:rsid w:val="00FF1116"/>
    <w:rsid w:val="00FF1FA8"/>
    <w:rsid w:val="00FF2AD9"/>
    <w:rsid w:val="00FF3036"/>
    <w:rsid w:val="00FF31CD"/>
    <w:rsid w:val="00FF359F"/>
    <w:rsid w:val="00FF3DCF"/>
    <w:rsid w:val="00FF44C9"/>
    <w:rsid w:val="00FF48F8"/>
    <w:rsid w:val="00FF492C"/>
    <w:rsid w:val="00FF4A21"/>
    <w:rsid w:val="00FF4AAF"/>
    <w:rsid w:val="00FF54F7"/>
    <w:rsid w:val="00FF5997"/>
    <w:rsid w:val="00FF5AA3"/>
    <w:rsid w:val="00FF5AD8"/>
    <w:rsid w:val="00FF63A2"/>
    <w:rsid w:val="00FF67AA"/>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A01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7C4"/>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c"/>
    <w:basedOn w:val="Normal"/>
    <w:next w:val="Normal"/>
    <w:link w:val="CaptionChar"/>
    <w:uiPriority w:val="2"/>
    <w:unhideWhenUsed/>
    <w:qFormat/>
    <w:rsid w:val="00124A51"/>
    <w:pPr>
      <w:spacing w:after="200"/>
    </w:pPr>
    <w:rPr>
      <w:b/>
      <w:bCs/>
      <w:color w:val="4F81BD" w:themeColor="accent1"/>
      <w:sz w:val="18"/>
      <w:szCs w:val="18"/>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link w:val="Caption"/>
    <w:uiPriority w:val="2"/>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s Points,Styl moj,Akapit z listą1,Akapit z listą11,ES Paragraph,PBAC ES Paragraph,Bullet List"/>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s Points Char,Styl moj Char,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uiPriority w:val="99"/>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uiPriority w:val="99"/>
    <w:qFormat/>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character" w:customStyle="1" w:styleId="UnresolvedMention1">
    <w:name w:val="Unresolved Mention1"/>
    <w:basedOn w:val="DefaultParagraphFont"/>
    <w:uiPriority w:val="99"/>
    <w:semiHidden/>
    <w:unhideWhenUsed/>
    <w:rsid w:val="0089075D"/>
    <w:rPr>
      <w:color w:val="605E5C"/>
      <w:shd w:val="clear" w:color="auto" w:fill="E1DFDD"/>
    </w:rPr>
  </w:style>
  <w:style w:type="paragraph" w:customStyle="1" w:styleId="SourceNotes">
    <w:name w:val="SourceNotes"/>
    <w:basedOn w:val="Normal"/>
    <w:next w:val="Normal"/>
    <w:link w:val="SourceNotesChar"/>
    <w:uiPriority w:val="3"/>
    <w:qFormat/>
    <w:rsid w:val="000B6E1C"/>
    <w:pPr>
      <w:tabs>
        <w:tab w:val="left" w:pos="1100"/>
      </w:tabs>
      <w:ind w:left="1100" w:hanging="1100"/>
      <w:jc w:val="left"/>
    </w:pPr>
    <w:rPr>
      <w:rFonts w:eastAsiaTheme="minorEastAsia" w:cstheme="minorBidi"/>
      <w:sz w:val="18"/>
      <w:szCs w:val="18"/>
      <w:lang w:eastAsia="en-US"/>
    </w:rPr>
  </w:style>
  <w:style w:type="character" w:customStyle="1" w:styleId="SourceNotesChar">
    <w:name w:val="SourceNotes Char"/>
    <w:basedOn w:val="DefaultParagraphFont"/>
    <w:link w:val="SourceNotes"/>
    <w:uiPriority w:val="3"/>
    <w:rsid w:val="000B6E1C"/>
    <w:rPr>
      <w:rFonts w:ascii="Calibri" w:eastAsiaTheme="minorEastAsia" w:hAnsi="Calibri" w:cstheme="minorBidi"/>
      <w:sz w:val="18"/>
      <w:szCs w:val="18"/>
      <w:lang w:eastAsia="en-US"/>
    </w:rPr>
  </w:style>
  <w:style w:type="paragraph" w:customStyle="1" w:styleId="Default">
    <w:name w:val="Default"/>
    <w:rsid w:val="001523C1"/>
    <w:pPr>
      <w:autoSpaceDE w:val="0"/>
      <w:autoSpaceDN w:val="0"/>
      <w:adjustRightInd w:val="0"/>
    </w:pPr>
    <w:rPr>
      <w:color w:val="000000"/>
      <w:sz w:val="24"/>
      <w:szCs w:val="24"/>
      <w:lang w:val="en-US" w:eastAsia="en-US"/>
    </w:rPr>
  </w:style>
  <w:style w:type="paragraph" w:customStyle="1" w:styleId="TableText1">
    <w:name w:val="TableText"/>
    <w:basedOn w:val="Normal"/>
    <w:link w:val="TableTextChar1"/>
    <w:uiPriority w:val="3"/>
    <w:qFormat/>
    <w:rsid w:val="00DF322D"/>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3"/>
    <w:rsid w:val="00DF322D"/>
    <w:rPr>
      <w:rFonts w:ascii="Calibri" w:hAnsi="Calibri" w:cs="Calibri"/>
      <w:bCs/>
      <w:lang w:eastAsia="zh-CN"/>
    </w:rPr>
  </w:style>
  <w:style w:type="paragraph" w:customStyle="1" w:styleId="ListBullet2ndlevel">
    <w:name w:val="List Bullet 2nd level"/>
    <w:basedOn w:val="Normal"/>
    <w:link w:val="ListBullet2ndlevelChar"/>
    <w:uiPriority w:val="9"/>
    <w:rsid w:val="00DF322D"/>
    <w:pPr>
      <w:numPr>
        <w:numId w:val="6"/>
      </w:numPr>
      <w:spacing w:after="200" w:line="264" w:lineRule="auto"/>
      <w:contextualSpacing/>
    </w:pPr>
    <w:rPr>
      <w:rFonts w:eastAsiaTheme="minorEastAsia" w:cstheme="minorBidi"/>
      <w:sz w:val="22"/>
      <w:szCs w:val="22"/>
      <w:lang w:eastAsia="en-US"/>
    </w:rPr>
  </w:style>
  <w:style w:type="character" w:customStyle="1" w:styleId="ListBullet2ndlevelChar">
    <w:name w:val="List Bullet 2nd level Char"/>
    <w:basedOn w:val="DefaultParagraphFont"/>
    <w:link w:val="ListBullet2ndlevel"/>
    <w:uiPriority w:val="9"/>
    <w:rsid w:val="00DF322D"/>
    <w:rPr>
      <w:rFonts w:ascii="Calibri" w:eastAsiaTheme="minorEastAsia" w:hAnsi="Calibri" w:cstheme="minorBidi"/>
      <w:sz w:val="22"/>
      <w:szCs w:val="22"/>
      <w:lang w:eastAsia="en-US"/>
    </w:rPr>
  </w:style>
  <w:style w:type="paragraph" w:styleId="FootnoteText">
    <w:name w:val="footnote text"/>
    <w:basedOn w:val="Normal"/>
    <w:link w:val="FootnoteTextChar"/>
    <w:semiHidden/>
    <w:unhideWhenUsed/>
    <w:rsid w:val="00964576"/>
    <w:rPr>
      <w:sz w:val="20"/>
      <w:szCs w:val="20"/>
    </w:rPr>
  </w:style>
  <w:style w:type="character" w:customStyle="1" w:styleId="FootnoteTextChar">
    <w:name w:val="Footnote Text Char"/>
    <w:basedOn w:val="DefaultParagraphFont"/>
    <w:link w:val="FootnoteText"/>
    <w:semiHidden/>
    <w:rsid w:val="00964576"/>
    <w:rPr>
      <w:rFonts w:ascii="Calibri" w:hAnsi="Calibri" w:cs="Arial"/>
    </w:rPr>
  </w:style>
  <w:style w:type="character" w:styleId="FootnoteReference">
    <w:name w:val="footnote reference"/>
    <w:basedOn w:val="DefaultParagraphFont"/>
    <w:semiHidden/>
    <w:unhideWhenUsed/>
    <w:rsid w:val="00964576"/>
    <w:rPr>
      <w:vertAlign w:val="superscript"/>
    </w:rPr>
  </w:style>
  <w:style w:type="character" w:customStyle="1" w:styleId="UnresolvedMention2">
    <w:name w:val="Unresolved Mention2"/>
    <w:basedOn w:val="DefaultParagraphFont"/>
    <w:uiPriority w:val="99"/>
    <w:semiHidden/>
    <w:unhideWhenUsed/>
    <w:rsid w:val="00795AAA"/>
    <w:rPr>
      <w:color w:val="605E5C"/>
      <w:shd w:val="clear" w:color="auto" w:fill="E1DFDD"/>
    </w:rPr>
  </w:style>
  <w:style w:type="paragraph" w:customStyle="1" w:styleId="BodyText11">
    <w:name w:val="Body Text +11"/>
    <w:link w:val="BodyText11Char"/>
    <w:qFormat/>
    <w:rsid w:val="000B4225"/>
    <w:pPr>
      <w:spacing w:after="200" w:line="264" w:lineRule="auto"/>
      <w:jc w:val="both"/>
    </w:pPr>
    <w:rPr>
      <w:rFonts w:asciiTheme="minorHAnsi" w:eastAsiaTheme="minorEastAsia" w:hAnsiTheme="minorHAnsi" w:cstheme="minorBidi"/>
      <w:sz w:val="22"/>
      <w:szCs w:val="22"/>
      <w:lang w:eastAsia="zh-CN"/>
    </w:rPr>
  </w:style>
  <w:style w:type="character" w:customStyle="1" w:styleId="BodyText11Char">
    <w:name w:val="Body Text +11 Char"/>
    <w:basedOn w:val="DefaultParagraphFont"/>
    <w:link w:val="BodyText11"/>
    <w:rsid w:val="000B4225"/>
    <w:rPr>
      <w:rFonts w:asciiTheme="minorHAnsi" w:eastAsiaTheme="minorEastAsia" w:hAnsiTheme="minorHAnsi" w:cstheme="minorBidi"/>
      <w:sz w:val="22"/>
      <w:szCs w:val="22"/>
      <w:lang w:eastAsia="zh-CN"/>
    </w:rPr>
  </w:style>
  <w:style w:type="paragraph" w:customStyle="1" w:styleId="PortraitFooter">
    <w:name w:val="Portrait Footer"/>
    <w:basedOn w:val="Normal"/>
    <w:link w:val="PortraitFooterChar"/>
    <w:uiPriority w:val="5"/>
    <w:qFormat/>
    <w:rsid w:val="000B4225"/>
    <w:pPr>
      <w:tabs>
        <w:tab w:val="center" w:pos="5103"/>
        <w:tab w:val="right" w:pos="9637"/>
      </w:tabs>
      <w:jc w:val="left"/>
    </w:pPr>
    <w:rPr>
      <w:rFonts w:eastAsiaTheme="minorEastAsia" w:cstheme="minorBidi"/>
      <w:sz w:val="18"/>
      <w:szCs w:val="18"/>
      <w:lang w:eastAsia="zh-CN"/>
    </w:rPr>
  </w:style>
  <w:style w:type="character" w:customStyle="1" w:styleId="PortraitFooterChar">
    <w:name w:val="Portrait Footer Char"/>
    <w:basedOn w:val="DefaultParagraphFont"/>
    <w:link w:val="PortraitFooter"/>
    <w:uiPriority w:val="5"/>
    <w:rsid w:val="000B4225"/>
    <w:rPr>
      <w:rFonts w:ascii="Calibri" w:eastAsiaTheme="minorEastAsia" w:hAnsi="Calibri" w:cstheme="minorBidi"/>
      <w:sz w:val="18"/>
      <w:szCs w:val="18"/>
      <w:lang w:eastAsia="zh-CN"/>
    </w:rPr>
  </w:style>
  <w:style w:type="paragraph" w:customStyle="1" w:styleId="TableDash">
    <w:name w:val="TableDash"/>
    <w:basedOn w:val="TableText1"/>
    <w:uiPriority w:val="99"/>
    <w:rsid w:val="000B4225"/>
    <w:pPr>
      <w:numPr>
        <w:numId w:val="7"/>
      </w:numPr>
    </w:pPr>
  </w:style>
  <w:style w:type="paragraph" w:customStyle="1" w:styleId="TableHeadingRow">
    <w:name w:val="TableHeadingRow"/>
    <w:basedOn w:val="TableText1"/>
    <w:uiPriority w:val="3"/>
    <w:qFormat/>
    <w:rsid w:val="000B4225"/>
    <w:pPr>
      <w:keepNext/>
      <w:spacing w:before="40" w:after="40"/>
      <w:jc w:val="center"/>
    </w:pPr>
    <w:rPr>
      <w:b/>
      <w:bCs w:val="0"/>
    </w:rPr>
  </w:style>
  <w:style w:type="table" w:customStyle="1" w:styleId="HTATableshaded">
    <w:name w:val="HTA Table shaded"/>
    <w:basedOn w:val="TableNormal"/>
    <w:rsid w:val="000B4225"/>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bold">
    <w:name w:val="Table text bold"/>
    <w:basedOn w:val="Normal"/>
    <w:qFormat/>
    <w:rsid w:val="000B4225"/>
    <w:pPr>
      <w:spacing w:before="20" w:after="20"/>
      <w:ind w:left="57" w:right="57"/>
      <w:jc w:val="left"/>
    </w:pPr>
    <w:rPr>
      <w:rFonts w:asciiTheme="minorHAnsi" w:eastAsia="Arial" w:hAnsiTheme="minorHAnsi" w:cs="Times New Roman"/>
      <w:b/>
      <w:sz w:val="18"/>
      <w:szCs w:val="20"/>
      <w:lang w:val="de-DE"/>
    </w:rPr>
  </w:style>
  <w:style w:type="paragraph" w:customStyle="1" w:styleId="Table">
    <w:name w:val="Table"/>
    <w:basedOn w:val="Normal"/>
    <w:link w:val="TableChar"/>
    <w:qFormat/>
    <w:rsid w:val="00E92C14"/>
    <w:pPr>
      <w:jc w:val="left"/>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E92C14"/>
    <w:rPr>
      <w:rFonts w:ascii="Candara" w:eastAsiaTheme="majorEastAsia" w:hAnsi="Candara" w:cstheme="majorBidi"/>
      <w:szCs w:val="22"/>
      <w:lang w:eastAsia="en-US" w:bidi="en-US"/>
    </w:rPr>
  </w:style>
  <w:style w:type="paragraph" w:customStyle="1" w:styleId="TableNotes">
    <w:name w:val="TableNotes"/>
    <w:basedOn w:val="Normal"/>
    <w:next w:val="Normal"/>
    <w:link w:val="TableNotesChar"/>
    <w:uiPriority w:val="3"/>
    <w:qFormat/>
    <w:rsid w:val="00A10143"/>
    <w:pPr>
      <w:tabs>
        <w:tab w:val="left" w:pos="1134"/>
      </w:tabs>
      <w:ind w:left="1134" w:hanging="1134"/>
    </w:pPr>
    <w:rPr>
      <w:rFonts w:eastAsiaTheme="minorEastAsia" w:cstheme="minorBidi"/>
      <w:sz w:val="18"/>
      <w:szCs w:val="18"/>
      <w:lang w:eastAsia="zh-CN"/>
    </w:rPr>
  </w:style>
  <w:style w:type="character" w:customStyle="1" w:styleId="TableNotesChar">
    <w:name w:val="TableNotes Char"/>
    <w:basedOn w:val="DefaultParagraphFont"/>
    <w:link w:val="TableNotes"/>
    <w:uiPriority w:val="3"/>
    <w:rsid w:val="00A10143"/>
    <w:rPr>
      <w:rFonts w:ascii="Calibri" w:eastAsiaTheme="minorEastAsia" w:hAnsi="Calibri" w:cstheme="minorBidi"/>
      <w:sz w:val="18"/>
      <w:szCs w:val="18"/>
      <w:lang w:eastAsia="zh-CN"/>
    </w:rPr>
  </w:style>
  <w:style w:type="numbering" w:customStyle="1" w:styleId="PBAC">
    <w:name w:val="PBAC"/>
    <w:uiPriority w:val="99"/>
    <w:rsid w:val="00A10143"/>
    <w:pPr>
      <w:numPr>
        <w:numId w:val="8"/>
      </w:numPr>
    </w:pPr>
  </w:style>
  <w:style w:type="table" w:styleId="LightShading-Accent1">
    <w:name w:val="Light Shading Accent 1"/>
    <w:basedOn w:val="TableNormal"/>
    <w:uiPriority w:val="60"/>
    <w:rsid w:val="00A10143"/>
    <w:rPr>
      <w:rFonts w:ascii="Imago" w:eastAsiaTheme="minorEastAsia" w:hAnsi="Imago" w:cstheme="minorHAnsi"/>
      <w:color w:val="000000" w:themeColor="text1"/>
      <w:sz w:val="22"/>
      <w:szCs w:val="22"/>
      <w:lang w:val="en-US" w:eastAsia="en-US"/>
    </w:rPr>
    <w:tblPr>
      <w:tblStyleRowBandSize w:val="1"/>
      <w:tblStyleColBandSize w:val="1"/>
      <w:tblBorders>
        <w:top w:val="single" w:sz="8" w:space="0" w:color="0070C0"/>
        <w:left w:val="single" w:sz="8" w:space="0" w:color="0070C0"/>
        <w:bottom w:val="single" w:sz="8" w:space="0" w:color="0070C0"/>
        <w:right w:val="single" w:sz="8" w:space="0" w:color="0070C0"/>
      </w:tblBorders>
    </w:tblPr>
    <w:tcPr>
      <w:shd w:val="clear" w:color="auto" w:fill="FFFFFF" w:themeFill="background1"/>
    </w:tcPr>
    <w:tblStylePr w:type="firstRow">
      <w:pPr>
        <w:spacing w:before="0" w:after="0" w:line="240" w:lineRule="auto"/>
      </w:pPr>
      <w:rPr>
        <w:b/>
        <w:bCs/>
      </w:rPr>
      <w:tblPr/>
      <w:tcPr>
        <w:tcBorders>
          <w:top w:val="single" w:sz="8" w:space="0" w:color="0070C0"/>
          <w:left w:val="single" w:sz="8" w:space="0" w:color="0070C0"/>
          <w:bottom w:val="single" w:sz="8" w:space="0" w:color="0070C0"/>
          <w:right w:val="single" w:sz="8" w:space="0" w:color="0070C0"/>
          <w:insideH w:val="nil"/>
          <w:insideV w:val="nil"/>
        </w:tcBorders>
        <w:shd w:val="clear" w:color="auto" w:fill="FFFFFF" w:themeFill="background1"/>
      </w:tcPr>
    </w:tblStylePr>
    <w:tblStylePr w:type="lastRow">
      <w:pPr>
        <w:spacing w:before="0" w:after="0" w:line="240" w:lineRule="auto"/>
      </w:pPr>
      <w:rPr>
        <w:b/>
        <w:bCs/>
      </w:rPr>
      <w:tblPr/>
      <w:tcPr>
        <w:tcBorders>
          <w:top w:val="single" w:sz="8" w:space="0" w:color="0070C0"/>
          <w:left w:val="single" w:sz="8" w:space="0" w:color="0070C0"/>
          <w:bottom w:val="single" w:sz="8" w:space="0" w:color="0070C0"/>
          <w:right w:val="single" w:sz="8" w:space="0" w:color="0070C0"/>
          <w:insideH w:val="nil"/>
          <w:insideV w:val="nil"/>
        </w:tcBorders>
        <w:shd w:val="clear" w:color="auto" w:fill="FFFFFF" w:themeFill="background1"/>
      </w:tcPr>
    </w:tblStylePr>
    <w:tblStylePr w:type="firstCol">
      <w:rPr>
        <w:b w:val="0"/>
        <w:bCs/>
      </w:rPr>
    </w:tblStylePr>
    <w:tblStylePr w:type="lastCol">
      <w:rPr>
        <w:b/>
        <w:bCs/>
      </w:rPr>
    </w:tblStylePr>
    <w:tblStylePr w:type="band1Horz">
      <w:rPr>
        <w:b w:val="0"/>
      </w:rPr>
      <w:tblPr/>
      <w:tcPr>
        <w:shd w:val="clear" w:color="auto" w:fill="EEEEEE"/>
      </w:tcPr>
    </w:tblStylePr>
  </w:style>
  <w:style w:type="paragraph" w:customStyle="1" w:styleId="Bullet6">
    <w:name w:val="Bullet+6"/>
    <w:basedOn w:val="BodyText11"/>
    <w:next w:val="BodyText"/>
    <w:link w:val="Bullet6Char"/>
    <w:uiPriority w:val="2"/>
    <w:qFormat/>
    <w:rsid w:val="00A10143"/>
    <w:pPr>
      <w:numPr>
        <w:numId w:val="9"/>
      </w:numPr>
      <w:spacing w:after="120" w:line="276" w:lineRule="auto"/>
      <w:jc w:val="left"/>
    </w:pPr>
    <w:rPr>
      <w:rFonts w:eastAsiaTheme="minorHAnsi" w:cs="Arial"/>
      <w:lang w:eastAsia="en-US"/>
    </w:rPr>
  </w:style>
  <w:style w:type="character" w:customStyle="1" w:styleId="Bullet6Char">
    <w:name w:val="Bullet+6 Char"/>
    <w:basedOn w:val="DefaultParagraphFont"/>
    <w:link w:val="Bullet6"/>
    <w:uiPriority w:val="2"/>
    <w:rsid w:val="00A10143"/>
    <w:rPr>
      <w:rFonts w:asciiTheme="minorHAnsi" w:eastAsiaTheme="minorHAnsi" w:hAnsiTheme="minorHAnsi" w:cs="Arial"/>
      <w:sz w:val="22"/>
      <w:szCs w:val="22"/>
      <w:lang w:eastAsia="en-US"/>
    </w:rPr>
  </w:style>
  <w:style w:type="paragraph" w:customStyle="1" w:styleId="TableFigNotes18">
    <w:name w:val="TableFigNotes+18"/>
    <w:basedOn w:val="BodyText"/>
    <w:next w:val="BodyText"/>
    <w:link w:val="TableFigNotes18Char"/>
    <w:uiPriority w:val="4"/>
    <w:qFormat/>
    <w:rsid w:val="00A10143"/>
    <w:pPr>
      <w:keepLines/>
      <w:spacing w:after="360" w:line="276" w:lineRule="auto"/>
    </w:pPr>
    <w:rPr>
      <w:rFonts w:asciiTheme="minorHAnsi" w:eastAsiaTheme="minorHAnsi" w:hAnsiTheme="minorHAnsi" w:cs="Tahoma"/>
      <w:color w:val="000000"/>
      <w:sz w:val="16"/>
      <w:szCs w:val="18"/>
    </w:rPr>
  </w:style>
  <w:style w:type="character" w:customStyle="1" w:styleId="TableFigNotes18Char">
    <w:name w:val="TableFigNotes+18 Char"/>
    <w:basedOn w:val="DefaultParagraphFont"/>
    <w:link w:val="TableFigNotes18"/>
    <w:uiPriority w:val="4"/>
    <w:rsid w:val="00A10143"/>
    <w:rPr>
      <w:rFonts w:asciiTheme="minorHAnsi" w:eastAsiaTheme="minorHAnsi" w:hAnsiTheme="minorHAnsi" w:cs="Tahoma"/>
      <w:color w:val="000000"/>
      <w:sz w:val="16"/>
      <w:szCs w:val="18"/>
    </w:rPr>
  </w:style>
  <w:style w:type="character" w:customStyle="1" w:styleId="Heading1Char">
    <w:name w:val="Heading 1 Char"/>
    <w:basedOn w:val="DefaultParagraphFont"/>
    <w:link w:val="Heading1"/>
    <w:uiPriority w:val="1"/>
    <w:rsid w:val="00F14B46"/>
    <w:rPr>
      <w:rFonts w:ascii="Calibri" w:hAnsi="Calibri" w:cs="Arial"/>
      <w:b/>
      <w:caps/>
      <w:sz w:val="32"/>
      <w:szCs w:val="24"/>
    </w:rPr>
  </w:style>
  <w:style w:type="character" w:customStyle="1" w:styleId="Heading3Char">
    <w:name w:val="Heading 3 Char"/>
    <w:basedOn w:val="DefaultParagraphFont"/>
    <w:link w:val="Heading3"/>
    <w:rsid w:val="00F14B46"/>
    <w:rPr>
      <w:rFonts w:ascii="Calibri" w:hAnsi="Calibri" w:cs="Arial"/>
      <w:sz w:val="24"/>
      <w:szCs w:val="24"/>
      <w:u w:val="single"/>
    </w:rPr>
  </w:style>
  <w:style w:type="character" w:customStyle="1" w:styleId="Heading4Char">
    <w:name w:val="Heading 4 Char"/>
    <w:basedOn w:val="DefaultParagraphFont"/>
    <w:link w:val="Heading4"/>
    <w:rsid w:val="00F14B46"/>
    <w:rPr>
      <w:rFonts w:ascii="Calibri" w:hAnsi="Calibri" w:cs="Arial"/>
      <w:b/>
      <w:bCs/>
      <w:i/>
      <w:sz w:val="26"/>
      <w:szCs w:val="28"/>
    </w:rPr>
  </w:style>
  <w:style w:type="character" w:customStyle="1" w:styleId="Heading5Char">
    <w:name w:val="Heading 5 Char"/>
    <w:basedOn w:val="DefaultParagraphFont"/>
    <w:link w:val="Heading5"/>
    <w:rsid w:val="00F14B46"/>
    <w:rPr>
      <w:rFonts w:ascii="Calibri" w:hAnsi="Calibri" w:cs="Arial"/>
      <w:b/>
      <w:bCs/>
      <w:iCs/>
      <w:sz w:val="26"/>
      <w:szCs w:val="26"/>
    </w:rPr>
  </w:style>
  <w:style w:type="character" w:customStyle="1" w:styleId="Heading6Char">
    <w:name w:val="Heading 6 Char"/>
    <w:basedOn w:val="DefaultParagraphFont"/>
    <w:link w:val="Heading6"/>
    <w:rsid w:val="00F14B46"/>
    <w:rPr>
      <w:rFonts w:ascii="Calibri" w:hAnsi="Calibri" w:cs="Arial"/>
      <w:b/>
      <w:bCs/>
      <w:i/>
      <w:sz w:val="24"/>
      <w:szCs w:val="24"/>
    </w:rPr>
  </w:style>
  <w:style w:type="paragraph" w:customStyle="1" w:styleId="Execsummary">
    <w:name w:val="Exec summary"/>
    <w:basedOn w:val="Normal"/>
    <w:link w:val="ExecsummaryChar"/>
    <w:rsid w:val="00641CDF"/>
    <w:pPr>
      <w:tabs>
        <w:tab w:val="left" w:pos="2835"/>
      </w:tabs>
      <w:spacing w:line="264" w:lineRule="auto"/>
    </w:pPr>
    <w:rPr>
      <w:rFonts w:ascii="Times New Roman" w:hAnsi="Times New Roman" w:cs="Times New Roman"/>
      <w:sz w:val="22"/>
      <w:szCs w:val="20"/>
      <w:lang w:eastAsia="ja-JP"/>
    </w:rPr>
  </w:style>
  <w:style w:type="character" w:customStyle="1" w:styleId="ExecsummaryChar">
    <w:name w:val="Exec summary Char"/>
    <w:link w:val="Execsummary"/>
    <w:rsid w:val="00641CDF"/>
    <w:rPr>
      <w:sz w:val="22"/>
      <w:lang w:eastAsia="ja-JP"/>
    </w:rPr>
  </w:style>
  <w:style w:type="paragraph" w:customStyle="1" w:styleId="2Sections">
    <w:name w:val="2. Sections"/>
    <w:qFormat/>
    <w:rsid w:val="00F27E69"/>
    <w:pPr>
      <w:spacing w:before="240" w:after="120"/>
      <w:ind w:left="720" w:hanging="720"/>
      <w:outlineLvl w:val="0"/>
    </w:pPr>
    <w:rPr>
      <w:rFonts w:asciiTheme="minorHAnsi" w:hAnsiTheme="minorHAnsi" w:cs="Arial"/>
      <w:b/>
      <w:snapToGrid w:val="0"/>
      <w:sz w:val="32"/>
      <w:szCs w:val="32"/>
      <w:lang w:eastAsia="en-US"/>
    </w:rPr>
  </w:style>
  <w:style w:type="paragraph" w:customStyle="1" w:styleId="Bodytextitalics">
    <w:name w:val="Body text italics"/>
    <w:basedOn w:val="BodyText"/>
    <w:qFormat/>
    <w:rsid w:val="00FF1116"/>
    <w:pPr>
      <w:spacing w:after="120"/>
      <w:ind w:left="1146" w:hanging="720"/>
    </w:pPr>
    <w:rPr>
      <w:rFonts w:asciiTheme="minorHAnsi" w:eastAsiaTheme="minorHAnsi" w:hAnsiTheme="minorHAnsi" w:cstheme="minorBidi"/>
      <w:i/>
      <w:szCs w:val="22"/>
    </w:rPr>
  </w:style>
  <w:style w:type="paragraph" w:customStyle="1" w:styleId="3Bodytext">
    <w:name w:val="3. Body text"/>
    <w:basedOn w:val="ListParagraph"/>
    <w:qFormat/>
    <w:rsid w:val="00A20DD9"/>
    <w:pPr>
      <w:ind w:left="720" w:hanging="720"/>
    </w:pPr>
    <w:rPr>
      <w:rFonts w:eastAsiaTheme="minorHAnsi" w:cstheme="minorBidi"/>
      <w:snapToGrid/>
      <w:szCs w:val="22"/>
      <w:lang w:eastAsia="en-US"/>
    </w:rPr>
  </w:style>
  <w:style w:type="paragraph" w:customStyle="1" w:styleId="MinorOVRHeader">
    <w:name w:val="Minor OVR Header"/>
    <w:basedOn w:val="Header"/>
    <w:link w:val="MinorOVRHeaderChar"/>
    <w:rsid w:val="00190A8B"/>
    <w:pPr>
      <w:jc w:val="right"/>
    </w:pPr>
    <w:rPr>
      <w:rFonts w:asciiTheme="minorHAnsi" w:hAnsiTheme="minorHAnsi"/>
    </w:rPr>
  </w:style>
  <w:style w:type="character" w:customStyle="1" w:styleId="MinorOVRHeaderChar">
    <w:name w:val="Minor OVR Header Char"/>
    <w:basedOn w:val="HeaderChar"/>
    <w:link w:val="MinorOVRHeader"/>
    <w:rsid w:val="00190A8B"/>
    <w:rPr>
      <w:rFonts w:asciiTheme="minorHAnsi" w:hAnsiTheme="minorHAns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4083827">
      <w:bodyDiv w:val="1"/>
      <w:marLeft w:val="0"/>
      <w:marRight w:val="0"/>
      <w:marTop w:val="0"/>
      <w:marBottom w:val="0"/>
      <w:divBdr>
        <w:top w:val="none" w:sz="0" w:space="0" w:color="auto"/>
        <w:left w:val="none" w:sz="0" w:space="0" w:color="auto"/>
        <w:bottom w:val="none" w:sz="0" w:space="0" w:color="auto"/>
        <w:right w:val="none" w:sz="0" w:space="0" w:color="auto"/>
      </w:divBdr>
      <w:divsChild>
        <w:div w:id="2108386445">
          <w:marLeft w:val="360"/>
          <w:marRight w:val="0"/>
          <w:marTop w:val="200"/>
          <w:marBottom w:val="0"/>
          <w:divBdr>
            <w:top w:val="none" w:sz="0" w:space="0" w:color="auto"/>
            <w:left w:val="none" w:sz="0" w:space="0" w:color="auto"/>
            <w:bottom w:val="none" w:sz="0" w:space="0" w:color="auto"/>
            <w:right w:val="none" w:sz="0" w:space="0" w:color="auto"/>
          </w:divBdr>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83447363">
      <w:bodyDiv w:val="1"/>
      <w:marLeft w:val="0"/>
      <w:marRight w:val="0"/>
      <w:marTop w:val="0"/>
      <w:marBottom w:val="0"/>
      <w:divBdr>
        <w:top w:val="none" w:sz="0" w:space="0" w:color="auto"/>
        <w:left w:val="none" w:sz="0" w:space="0" w:color="auto"/>
        <w:bottom w:val="none" w:sz="0" w:space="0" w:color="auto"/>
        <w:right w:val="none" w:sz="0" w:space="0" w:color="auto"/>
      </w:divBdr>
    </w:div>
    <w:div w:id="31576538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17924242">
      <w:bodyDiv w:val="1"/>
      <w:marLeft w:val="0"/>
      <w:marRight w:val="0"/>
      <w:marTop w:val="0"/>
      <w:marBottom w:val="0"/>
      <w:divBdr>
        <w:top w:val="none" w:sz="0" w:space="0" w:color="auto"/>
        <w:left w:val="none" w:sz="0" w:space="0" w:color="auto"/>
        <w:bottom w:val="none" w:sz="0" w:space="0" w:color="auto"/>
        <w:right w:val="none" w:sz="0" w:space="0" w:color="auto"/>
      </w:divBdr>
    </w:div>
    <w:div w:id="376123258">
      <w:bodyDiv w:val="1"/>
      <w:marLeft w:val="0"/>
      <w:marRight w:val="0"/>
      <w:marTop w:val="0"/>
      <w:marBottom w:val="0"/>
      <w:divBdr>
        <w:top w:val="none" w:sz="0" w:space="0" w:color="auto"/>
        <w:left w:val="none" w:sz="0" w:space="0" w:color="auto"/>
        <w:bottom w:val="none" w:sz="0" w:space="0" w:color="auto"/>
        <w:right w:val="none" w:sz="0" w:space="0" w:color="auto"/>
      </w:divBdr>
    </w:div>
    <w:div w:id="596862982">
      <w:bodyDiv w:val="1"/>
      <w:marLeft w:val="0"/>
      <w:marRight w:val="0"/>
      <w:marTop w:val="0"/>
      <w:marBottom w:val="0"/>
      <w:divBdr>
        <w:top w:val="none" w:sz="0" w:space="0" w:color="auto"/>
        <w:left w:val="none" w:sz="0" w:space="0" w:color="auto"/>
        <w:bottom w:val="none" w:sz="0" w:space="0" w:color="auto"/>
        <w:right w:val="none" w:sz="0" w:space="0" w:color="auto"/>
      </w:divBdr>
      <w:divsChild>
        <w:div w:id="762259043">
          <w:marLeft w:val="1080"/>
          <w:marRight w:val="0"/>
          <w:marTop w:val="100"/>
          <w:marBottom w:val="0"/>
          <w:divBdr>
            <w:top w:val="none" w:sz="0" w:space="0" w:color="auto"/>
            <w:left w:val="none" w:sz="0" w:space="0" w:color="auto"/>
            <w:bottom w:val="none" w:sz="0" w:space="0" w:color="auto"/>
            <w:right w:val="none" w:sz="0" w:space="0" w:color="auto"/>
          </w:divBdr>
        </w:div>
        <w:div w:id="1988433769">
          <w:marLeft w:val="1080"/>
          <w:marRight w:val="0"/>
          <w:marTop w:val="100"/>
          <w:marBottom w:val="0"/>
          <w:divBdr>
            <w:top w:val="none" w:sz="0" w:space="0" w:color="auto"/>
            <w:left w:val="none" w:sz="0" w:space="0" w:color="auto"/>
            <w:bottom w:val="none" w:sz="0" w:space="0" w:color="auto"/>
            <w:right w:val="none" w:sz="0" w:space="0" w:color="auto"/>
          </w:divBdr>
        </w:div>
      </w:divsChild>
    </w:div>
    <w:div w:id="814372445">
      <w:bodyDiv w:val="1"/>
      <w:marLeft w:val="0"/>
      <w:marRight w:val="0"/>
      <w:marTop w:val="0"/>
      <w:marBottom w:val="0"/>
      <w:divBdr>
        <w:top w:val="none" w:sz="0" w:space="0" w:color="auto"/>
        <w:left w:val="none" w:sz="0" w:space="0" w:color="auto"/>
        <w:bottom w:val="none" w:sz="0" w:space="0" w:color="auto"/>
        <w:right w:val="none" w:sz="0" w:space="0" w:color="auto"/>
      </w:divBdr>
    </w:div>
    <w:div w:id="893737892">
      <w:bodyDiv w:val="1"/>
      <w:marLeft w:val="0"/>
      <w:marRight w:val="0"/>
      <w:marTop w:val="0"/>
      <w:marBottom w:val="0"/>
      <w:divBdr>
        <w:top w:val="none" w:sz="0" w:space="0" w:color="auto"/>
        <w:left w:val="none" w:sz="0" w:space="0" w:color="auto"/>
        <w:bottom w:val="none" w:sz="0" w:space="0" w:color="auto"/>
        <w:right w:val="none" w:sz="0" w:space="0" w:color="auto"/>
      </w:divBdr>
    </w:div>
    <w:div w:id="957879987">
      <w:bodyDiv w:val="1"/>
      <w:marLeft w:val="0"/>
      <w:marRight w:val="0"/>
      <w:marTop w:val="0"/>
      <w:marBottom w:val="0"/>
      <w:divBdr>
        <w:top w:val="none" w:sz="0" w:space="0" w:color="auto"/>
        <w:left w:val="none" w:sz="0" w:space="0" w:color="auto"/>
        <w:bottom w:val="none" w:sz="0" w:space="0" w:color="auto"/>
        <w:right w:val="none" w:sz="0" w:space="0" w:color="auto"/>
      </w:divBdr>
      <w:divsChild>
        <w:div w:id="1364940753">
          <w:marLeft w:val="547"/>
          <w:marRight w:val="0"/>
          <w:marTop w:val="82"/>
          <w:marBottom w:val="0"/>
          <w:divBdr>
            <w:top w:val="none" w:sz="0" w:space="0" w:color="auto"/>
            <w:left w:val="none" w:sz="0" w:space="0" w:color="auto"/>
            <w:bottom w:val="none" w:sz="0" w:space="0" w:color="auto"/>
            <w:right w:val="none" w:sz="0" w:space="0" w:color="auto"/>
          </w:divBdr>
        </w:div>
        <w:div w:id="1152218152">
          <w:marLeft w:val="1166"/>
          <w:marRight w:val="0"/>
          <w:marTop w:val="67"/>
          <w:marBottom w:val="0"/>
          <w:divBdr>
            <w:top w:val="none" w:sz="0" w:space="0" w:color="auto"/>
            <w:left w:val="none" w:sz="0" w:space="0" w:color="auto"/>
            <w:bottom w:val="none" w:sz="0" w:space="0" w:color="auto"/>
            <w:right w:val="none" w:sz="0" w:space="0" w:color="auto"/>
          </w:divBdr>
        </w:div>
        <w:div w:id="963972746">
          <w:marLeft w:val="1166"/>
          <w:marRight w:val="0"/>
          <w:marTop w:val="67"/>
          <w:marBottom w:val="0"/>
          <w:divBdr>
            <w:top w:val="none" w:sz="0" w:space="0" w:color="auto"/>
            <w:left w:val="none" w:sz="0" w:space="0" w:color="auto"/>
            <w:bottom w:val="none" w:sz="0" w:space="0" w:color="auto"/>
            <w:right w:val="none" w:sz="0" w:space="0" w:color="auto"/>
          </w:divBdr>
        </w:div>
        <w:div w:id="2115052702">
          <w:marLeft w:val="1166"/>
          <w:marRight w:val="0"/>
          <w:marTop w:val="67"/>
          <w:marBottom w:val="0"/>
          <w:divBdr>
            <w:top w:val="none" w:sz="0" w:space="0" w:color="auto"/>
            <w:left w:val="none" w:sz="0" w:space="0" w:color="auto"/>
            <w:bottom w:val="none" w:sz="0" w:space="0" w:color="auto"/>
            <w:right w:val="none" w:sz="0" w:space="0" w:color="auto"/>
          </w:divBdr>
        </w:div>
        <w:div w:id="1580824773">
          <w:marLeft w:val="1166"/>
          <w:marRight w:val="0"/>
          <w:marTop w:val="67"/>
          <w:marBottom w:val="0"/>
          <w:divBdr>
            <w:top w:val="none" w:sz="0" w:space="0" w:color="auto"/>
            <w:left w:val="none" w:sz="0" w:space="0" w:color="auto"/>
            <w:bottom w:val="none" w:sz="0" w:space="0" w:color="auto"/>
            <w:right w:val="none" w:sz="0" w:space="0" w:color="auto"/>
          </w:divBdr>
        </w:div>
      </w:divsChild>
    </w:div>
    <w:div w:id="964311974">
      <w:bodyDiv w:val="1"/>
      <w:marLeft w:val="0"/>
      <w:marRight w:val="0"/>
      <w:marTop w:val="0"/>
      <w:marBottom w:val="0"/>
      <w:divBdr>
        <w:top w:val="none" w:sz="0" w:space="0" w:color="auto"/>
        <w:left w:val="none" w:sz="0" w:space="0" w:color="auto"/>
        <w:bottom w:val="none" w:sz="0" w:space="0" w:color="auto"/>
        <w:right w:val="none" w:sz="0" w:space="0" w:color="auto"/>
      </w:divBdr>
    </w:div>
    <w:div w:id="104683598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5556">
      <w:bodyDiv w:val="1"/>
      <w:marLeft w:val="0"/>
      <w:marRight w:val="0"/>
      <w:marTop w:val="0"/>
      <w:marBottom w:val="0"/>
      <w:divBdr>
        <w:top w:val="none" w:sz="0" w:space="0" w:color="auto"/>
        <w:left w:val="none" w:sz="0" w:space="0" w:color="auto"/>
        <w:bottom w:val="none" w:sz="0" w:space="0" w:color="auto"/>
        <w:right w:val="none" w:sz="0" w:space="0" w:color="auto"/>
      </w:divBdr>
    </w:div>
    <w:div w:id="1297955122">
      <w:bodyDiv w:val="1"/>
      <w:marLeft w:val="0"/>
      <w:marRight w:val="0"/>
      <w:marTop w:val="0"/>
      <w:marBottom w:val="0"/>
      <w:divBdr>
        <w:top w:val="none" w:sz="0" w:space="0" w:color="auto"/>
        <w:left w:val="none" w:sz="0" w:space="0" w:color="auto"/>
        <w:bottom w:val="none" w:sz="0" w:space="0" w:color="auto"/>
        <w:right w:val="none" w:sz="0" w:space="0" w:color="auto"/>
      </w:divBdr>
    </w:div>
    <w:div w:id="1438792563">
      <w:bodyDiv w:val="1"/>
      <w:marLeft w:val="0"/>
      <w:marRight w:val="0"/>
      <w:marTop w:val="0"/>
      <w:marBottom w:val="0"/>
      <w:divBdr>
        <w:top w:val="none" w:sz="0" w:space="0" w:color="auto"/>
        <w:left w:val="none" w:sz="0" w:space="0" w:color="auto"/>
        <w:bottom w:val="none" w:sz="0" w:space="0" w:color="auto"/>
        <w:right w:val="none" w:sz="0" w:space="0" w:color="auto"/>
      </w:divBdr>
    </w:div>
    <w:div w:id="1441803919">
      <w:bodyDiv w:val="1"/>
      <w:marLeft w:val="0"/>
      <w:marRight w:val="0"/>
      <w:marTop w:val="0"/>
      <w:marBottom w:val="0"/>
      <w:divBdr>
        <w:top w:val="none" w:sz="0" w:space="0" w:color="auto"/>
        <w:left w:val="none" w:sz="0" w:space="0" w:color="auto"/>
        <w:bottom w:val="none" w:sz="0" w:space="0" w:color="auto"/>
        <w:right w:val="none" w:sz="0" w:space="0" w:color="auto"/>
      </w:divBdr>
    </w:div>
    <w:div w:id="1652827087">
      <w:bodyDiv w:val="1"/>
      <w:marLeft w:val="0"/>
      <w:marRight w:val="0"/>
      <w:marTop w:val="0"/>
      <w:marBottom w:val="0"/>
      <w:divBdr>
        <w:top w:val="none" w:sz="0" w:space="0" w:color="auto"/>
        <w:left w:val="none" w:sz="0" w:space="0" w:color="auto"/>
        <w:bottom w:val="none" w:sz="0" w:space="0" w:color="auto"/>
        <w:right w:val="none" w:sz="0" w:space="0" w:color="auto"/>
      </w:divBdr>
      <w:divsChild>
        <w:div w:id="1298686311">
          <w:marLeft w:val="0"/>
          <w:marRight w:val="0"/>
          <w:marTop w:val="0"/>
          <w:marBottom w:val="0"/>
          <w:divBdr>
            <w:top w:val="none" w:sz="0" w:space="0" w:color="auto"/>
            <w:left w:val="none" w:sz="0" w:space="0" w:color="auto"/>
            <w:bottom w:val="none" w:sz="0" w:space="0" w:color="auto"/>
            <w:right w:val="none" w:sz="0" w:space="0" w:color="auto"/>
          </w:divBdr>
          <w:divsChild>
            <w:div w:id="14652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926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079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82421-9CF8-45C2-9B35-51669420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16296</Words>
  <Characters>95911</Characters>
  <Application>Microsoft Office Word</Application>
  <DocSecurity>0</DocSecurity>
  <Lines>799</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2021-03-01T22:11:00Z</dcterms:created>
  <dcterms:modified xsi:type="dcterms:W3CDTF">2021-03-01T22:20:00Z</dcterms:modified>
</cp:coreProperties>
</file>