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DDE7A" w14:textId="425AE448" w:rsidR="00525187" w:rsidRPr="00D81EF6" w:rsidRDefault="00525187" w:rsidP="00237F3F">
      <w:pPr>
        <w:pStyle w:val="1MainTitle"/>
        <w:jc w:val="left"/>
        <w:rPr>
          <w:rFonts w:eastAsia="Calibri"/>
          <w:lang w:eastAsia="en-US"/>
        </w:rPr>
      </w:pPr>
      <w:r w:rsidRPr="00D81EF6">
        <w:rPr>
          <w:rFonts w:eastAsia="Calibri"/>
          <w:lang w:eastAsia="en-US"/>
        </w:rPr>
        <w:t>6.0</w:t>
      </w:r>
      <w:r w:rsidR="00275D46" w:rsidRPr="00D81EF6">
        <w:rPr>
          <w:rFonts w:eastAsia="Calibri"/>
          <w:lang w:eastAsia="en-US"/>
        </w:rPr>
        <w:t>7</w:t>
      </w:r>
      <w:r w:rsidR="00BF27A0" w:rsidRPr="00D81EF6">
        <w:rPr>
          <w:rFonts w:eastAsia="Calibri"/>
          <w:lang w:eastAsia="en-US"/>
        </w:rPr>
        <w:tab/>
      </w:r>
      <w:r w:rsidR="0024249A" w:rsidRPr="00D81EF6">
        <w:rPr>
          <w:rFonts w:eastAsia="Calibri"/>
          <w:lang w:eastAsia="en-US"/>
        </w:rPr>
        <w:t>MODAFINIL,</w:t>
      </w:r>
      <w:r w:rsidR="00237F3F" w:rsidRPr="00D81EF6">
        <w:rPr>
          <w:rFonts w:eastAsia="Calibri"/>
          <w:lang w:eastAsia="en-US"/>
        </w:rPr>
        <w:br/>
      </w:r>
      <w:r w:rsidR="00C46657" w:rsidRPr="00D81EF6">
        <w:rPr>
          <w:rFonts w:eastAsia="Calibri"/>
          <w:lang w:eastAsia="en-US"/>
        </w:rPr>
        <w:t>Tablet, 100 mg,</w:t>
      </w:r>
      <w:r w:rsidR="00237F3F" w:rsidRPr="00D81EF6">
        <w:rPr>
          <w:rFonts w:eastAsia="Calibri"/>
          <w:lang w:eastAsia="en-US"/>
        </w:rPr>
        <w:br/>
      </w:r>
      <w:r w:rsidRPr="00D81EF6">
        <w:rPr>
          <w:rFonts w:eastAsia="Calibri"/>
          <w:lang w:eastAsia="en-US"/>
        </w:rPr>
        <w:t>ARMODAFINIL</w:t>
      </w:r>
      <w:r w:rsidR="00237F3F" w:rsidRPr="00D81EF6">
        <w:rPr>
          <w:rFonts w:eastAsia="Calibri"/>
          <w:lang w:eastAsia="en-US"/>
        </w:rPr>
        <w:br/>
      </w:r>
      <w:r w:rsidR="00C46657" w:rsidRPr="00D81EF6">
        <w:rPr>
          <w:rFonts w:eastAsia="Calibri"/>
          <w:lang w:eastAsia="en-US"/>
        </w:rPr>
        <w:t xml:space="preserve">Tablet </w:t>
      </w:r>
      <w:r w:rsidRPr="00D81EF6">
        <w:rPr>
          <w:rFonts w:eastAsia="Calibri"/>
          <w:lang w:eastAsia="en-US"/>
        </w:rPr>
        <w:t>50 mg, 150 mg and 250 mg</w:t>
      </w:r>
      <w:r w:rsidR="00F43882" w:rsidRPr="00D81EF6">
        <w:rPr>
          <w:rFonts w:eastAsia="Calibri"/>
          <w:lang w:eastAsia="en-US"/>
        </w:rPr>
        <w:t xml:space="preserve">, </w:t>
      </w:r>
      <w:r w:rsidR="00237F3F" w:rsidRPr="00D81EF6">
        <w:rPr>
          <w:rFonts w:eastAsia="Calibri"/>
          <w:lang w:eastAsia="en-US"/>
        </w:rPr>
        <w:br/>
      </w:r>
      <w:r w:rsidR="00792E69" w:rsidRPr="00D81EF6">
        <w:rPr>
          <w:rFonts w:eastAsia="Calibri"/>
          <w:lang w:eastAsia="en-US"/>
        </w:rPr>
        <w:t>Various Sponsors</w:t>
      </w:r>
    </w:p>
    <w:p w14:paraId="0596616F" w14:textId="77777777" w:rsidR="008A50F1" w:rsidRPr="00D81EF6" w:rsidRDefault="00CE10C4" w:rsidP="00D62DF4">
      <w:pPr>
        <w:pStyle w:val="2-SectionHeading"/>
        <w:ind w:left="720"/>
      </w:pPr>
      <w:r w:rsidRPr="00D81EF6">
        <w:t xml:space="preserve">Purpose of </w:t>
      </w:r>
      <w:r w:rsidR="0004240E" w:rsidRPr="00D81EF6">
        <w:t>Application</w:t>
      </w:r>
      <w:r w:rsidR="00034905" w:rsidRPr="00D81EF6">
        <w:t xml:space="preserve"> </w:t>
      </w:r>
    </w:p>
    <w:p w14:paraId="19B0C1F1" w14:textId="50442C3F" w:rsidR="00BC25B5" w:rsidRPr="00D81EF6" w:rsidRDefault="00A9586A" w:rsidP="00ED3D30">
      <w:pPr>
        <w:pStyle w:val="3Bodytext"/>
        <w:jc w:val="both"/>
      </w:pPr>
      <w:r w:rsidRPr="00D81EF6">
        <w:t xml:space="preserve">The </w:t>
      </w:r>
      <w:r w:rsidR="00EC7E44" w:rsidRPr="00D81EF6">
        <w:t>minor submission</w:t>
      </w:r>
      <w:r w:rsidR="00076FC4" w:rsidRPr="00D81EF6">
        <w:t xml:space="preserve"> from the Austral</w:t>
      </w:r>
      <w:r w:rsidR="006F4C21" w:rsidRPr="00D81EF6">
        <w:t>as</w:t>
      </w:r>
      <w:r w:rsidR="00076FC4" w:rsidRPr="00D81EF6">
        <w:t>ian Sleep Association (ASA)</w:t>
      </w:r>
      <w:r w:rsidR="00EC7E44" w:rsidRPr="00D81EF6">
        <w:t xml:space="preserve"> sought to</w:t>
      </w:r>
      <w:r w:rsidR="00BC25B5" w:rsidRPr="00D81EF6">
        <w:t>:</w:t>
      </w:r>
    </w:p>
    <w:p w14:paraId="6680AC30" w14:textId="6F6FCF69" w:rsidR="002E74ED" w:rsidRPr="00D81EF6" w:rsidRDefault="00ED45A1" w:rsidP="00ED3D30">
      <w:pPr>
        <w:pStyle w:val="3Bodytext"/>
        <w:numPr>
          <w:ilvl w:val="0"/>
          <w:numId w:val="6"/>
        </w:numPr>
        <w:ind w:left="1077" w:hanging="357"/>
        <w:contextualSpacing/>
        <w:jc w:val="both"/>
      </w:pPr>
      <w:r w:rsidRPr="00D81EF6">
        <w:t>amend the restriction</w:t>
      </w:r>
      <w:r w:rsidR="00EC7E44" w:rsidRPr="00D81EF6">
        <w:t xml:space="preserve"> for modafinil and armodafinil </w:t>
      </w:r>
      <w:r w:rsidR="00875FD5" w:rsidRPr="00D81EF6">
        <w:t xml:space="preserve">to reflect contemporary </w:t>
      </w:r>
      <w:r w:rsidR="0053560A" w:rsidRPr="00D81EF6">
        <w:t>g</w:t>
      </w:r>
      <w:r w:rsidR="00875FD5" w:rsidRPr="00D81EF6">
        <w:t>uidelines on narcolepsy management</w:t>
      </w:r>
      <w:r w:rsidR="002E74ED" w:rsidRPr="00D81EF6">
        <w:t>;</w:t>
      </w:r>
    </w:p>
    <w:p w14:paraId="2F42ADCA" w14:textId="227BD2AA" w:rsidR="00A9586A" w:rsidRPr="00D81EF6" w:rsidRDefault="00A9586A" w:rsidP="00ED3D30">
      <w:pPr>
        <w:pStyle w:val="3Bodytext"/>
        <w:numPr>
          <w:ilvl w:val="0"/>
          <w:numId w:val="6"/>
        </w:numPr>
        <w:ind w:left="1077" w:hanging="357"/>
        <w:contextualSpacing/>
        <w:jc w:val="both"/>
      </w:pPr>
      <w:r w:rsidRPr="00D81EF6">
        <w:t>remove the requirement to resubmit sleep study reports before a switch from modafinil to armodafinil (or vice versa)</w:t>
      </w:r>
      <w:r w:rsidR="00EC7E44" w:rsidRPr="00D81EF6">
        <w:t>.</w:t>
      </w:r>
    </w:p>
    <w:p w14:paraId="34CA006F" w14:textId="77777777" w:rsidR="00A01432" w:rsidRPr="00D81EF6" w:rsidRDefault="00A01432" w:rsidP="00D62DF4">
      <w:pPr>
        <w:pStyle w:val="2-SectionHeading"/>
        <w:ind w:left="720"/>
      </w:pPr>
      <w:r w:rsidRPr="00D81EF6">
        <w:t xml:space="preserve">Background </w:t>
      </w:r>
    </w:p>
    <w:p w14:paraId="4C4AFCF8" w14:textId="77777777" w:rsidR="00A01432" w:rsidRPr="00D81EF6" w:rsidRDefault="00A01432" w:rsidP="00B16273">
      <w:pPr>
        <w:pStyle w:val="4-SubsectionHeading"/>
      </w:pPr>
      <w:r w:rsidRPr="00D81EF6">
        <w:t>Registration status</w:t>
      </w:r>
    </w:p>
    <w:p w14:paraId="035C7CE3" w14:textId="312FBD6C" w:rsidR="00A9586A" w:rsidRPr="00D81EF6" w:rsidRDefault="00A9586A" w:rsidP="00ED3D30">
      <w:pPr>
        <w:pStyle w:val="3Bodytext"/>
        <w:jc w:val="both"/>
      </w:pPr>
      <w:r w:rsidRPr="00D81EF6">
        <w:t xml:space="preserve">Modafinil </w:t>
      </w:r>
      <w:r w:rsidR="00875FD5" w:rsidRPr="00D81EF6">
        <w:t>and arm</w:t>
      </w:r>
      <w:r w:rsidRPr="00D81EF6">
        <w:t xml:space="preserve">odafinil </w:t>
      </w:r>
      <w:r w:rsidR="00603428" w:rsidRPr="00D81EF6">
        <w:t xml:space="preserve">are </w:t>
      </w:r>
      <w:r w:rsidRPr="00D81EF6">
        <w:t>TGA registered</w:t>
      </w:r>
      <w:r w:rsidR="00603428" w:rsidRPr="00D81EF6">
        <w:t xml:space="preserve"> for the following indications:</w:t>
      </w:r>
    </w:p>
    <w:p w14:paraId="0E2FD2DB" w14:textId="0C5F8A1B" w:rsidR="00A9586A" w:rsidRPr="00D81EF6" w:rsidRDefault="00C67FFA" w:rsidP="00ED3D30">
      <w:pPr>
        <w:pStyle w:val="3Bodytext"/>
        <w:numPr>
          <w:ilvl w:val="0"/>
          <w:numId w:val="6"/>
        </w:numPr>
        <w:ind w:left="1077" w:hanging="357"/>
        <w:contextualSpacing/>
        <w:jc w:val="both"/>
      </w:pPr>
      <w:r w:rsidRPr="00D81EF6">
        <w:t>The</w:t>
      </w:r>
      <w:r w:rsidR="00A9586A" w:rsidRPr="00D81EF6">
        <w:t xml:space="preserve"> improvement of wakefulness in patients with excessive daytime sleepi</w:t>
      </w:r>
      <w:r w:rsidR="005D30C8" w:rsidRPr="00D81EF6">
        <w:t>ness associated with narcolepsy;</w:t>
      </w:r>
    </w:p>
    <w:p w14:paraId="5B89A256" w14:textId="4C684E4A" w:rsidR="00A9586A" w:rsidRPr="00D81EF6" w:rsidRDefault="00A9586A" w:rsidP="00ED3D30">
      <w:pPr>
        <w:pStyle w:val="3Bodytext"/>
        <w:numPr>
          <w:ilvl w:val="0"/>
          <w:numId w:val="6"/>
        </w:numPr>
        <w:ind w:left="1077" w:hanging="357"/>
        <w:contextualSpacing/>
        <w:jc w:val="both"/>
      </w:pPr>
      <w:r w:rsidRPr="00D81EF6">
        <w:t>Treatment of excessive sleepiness associated with moderate to severe chr</w:t>
      </w:r>
      <w:r w:rsidR="005D30C8" w:rsidRPr="00D81EF6">
        <w:t>onic shift work sleep disorder;</w:t>
      </w:r>
    </w:p>
    <w:p w14:paraId="4A25AFA8" w14:textId="6FC259C1" w:rsidR="00A9586A" w:rsidRPr="00D81EF6" w:rsidRDefault="00A9586A" w:rsidP="00ED3D30">
      <w:pPr>
        <w:pStyle w:val="3Bodytext"/>
        <w:numPr>
          <w:ilvl w:val="0"/>
          <w:numId w:val="6"/>
        </w:numPr>
        <w:ind w:left="1077" w:hanging="357"/>
        <w:contextualSpacing/>
        <w:jc w:val="both"/>
      </w:pPr>
      <w:r w:rsidRPr="00D81EF6">
        <w:t xml:space="preserve">Adjunct to continuous positive airways pressure (CPAP) in obstructive sleep apnoea/hypopnoea syndrome in order to improve wakefulness. </w:t>
      </w:r>
    </w:p>
    <w:p w14:paraId="25AFB508" w14:textId="77777777" w:rsidR="00A01432" w:rsidRPr="00D81EF6" w:rsidRDefault="00A01432" w:rsidP="00B16273">
      <w:pPr>
        <w:pStyle w:val="4-SubsectionHeading"/>
      </w:pPr>
      <w:r w:rsidRPr="00D81EF6">
        <w:t xml:space="preserve">Previous PBAC consideration </w:t>
      </w:r>
    </w:p>
    <w:p w14:paraId="5A208EBB" w14:textId="5D656244" w:rsidR="009C3915" w:rsidRPr="00D81EF6" w:rsidRDefault="00EC7E44" w:rsidP="00ED3D30">
      <w:pPr>
        <w:pStyle w:val="3Bodytext"/>
        <w:jc w:val="both"/>
      </w:pPr>
      <w:r w:rsidRPr="00D81EF6">
        <w:t>T</w:t>
      </w:r>
      <w:r w:rsidR="009C3915" w:rsidRPr="00D81EF6">
        <w:t xml:space="preserve">he PBAC </w:t>
      </w:r>
      <w:r w:rsidRPr="00D81EF6">
        <w:t xml:space="preserve">previously considered </w:t>
      </w:r>
      <w:r w:rsidR="009C3915" w:rsidRPr="00D81EF6">
        <w:t xml:space="preserve">a submission </w:t>
      </w:r>
      <w:r w:rsidR="006F4C21" w:rsidRPr="00D81EF6">
        <w:t xml:space="preserve">from </w:t>
      </w:r>
      <w:r w:rsidR="00765288" w:rsidRPr="00D81EF6">
        <w:t xml:space="preserve">the </w:t>
      </w:r>
      <w:r w:rsidR="006F4C21" w:rsidRPr="00D81EF6">
        <w:t xml:space="preserve">ASA </w:t>
      </w:r>
      <w:r w:rsidR="009C3915" w:rsidRPr="00D81EF6">
        <w:t>request</w:t>
      </w:r>
      <w:r w:rsidR="007D290D" w:rsidRPr="00D81EF6">
        <w:t>ing</w:t>
      </w:r>
      <w:r w:rsidR="009C3915" w:rsidRPr="00D81EF6">
        <w:t xml:space="preserve"> an amendment to the PBS listing of modafinil to allow use as first line therapy for the treatment of narcolepsy </w:t>
      </w:r>
      <w:r w:rsidR="007D290D" w:rsidRPr="00D81EF6">
        <w:t xml:space="preserve">at its November 2008 meeting. </w:t>
      </w:r>
    </w:p>
    <w:p w14:paraId="559D040C" w14:textId="66C7D017" w:rsidR="00C04C36" w:rsidRPr="00D81EF6" w:rsidRDefault="00AA4A89" w:rsidP="000129CA">
      <w:pPr>
        <w:pStyle w:val="3Bodytext"/>
        <w:jc w:val="both"/>
      </w:pPr>
      <w:r w:rsidRPr="00D81EF6">
        <w:t xml:space="preserve">The key matters of concern from the </w:t>
      </w:r>
      <w:r w:rsidR="007D290D" w:rsidRPr="00D81EF6">
        <w:t>November</w:t>
      </w:r>
      <w:r w:rsidRPr="00D81EF6">
        <w:t xml:space="preserve"> 2008 submission are summarised in Table 1. </w:t>
      </w:r>
    </w:p>
    <w:p w14:paraId="77156306" w14:textId="77777777" w:rsidR="000129CA" w:rsidRDefault="000129CA">
      <w:pPr>
        <w:jc w:val="left"/>
        <w:rPr>
          <w:rStyle w:val="CommentReference"/>
          <w:rFonts w:ascii="Arial Narrow" w:hAnsi="Arial Narrow"/>
          <w:b/>
          <w:sz w:val="20"/>
          <w:szCs w:val="20"/>
        </w:rPr>
      </w:pPr>
      <w:r>
        <w:rPr>
          <w:rStyle w:val="CommentReference"/>
          <w:sz w:val="20"/>
          <w:szCs w:val="20"/>
        </w:rPr>
        <w:lastRenderedPageBreak/>
        <w:br w:type="page"/>
      </w:r>
    </w:p>
    <w:p w14:paraId="4D7AB852" w14:textId="1CA81409" w:rsidR="00F2205B" w:rsidRPr="00D81EF6" w:rsidRDefault="00F2205B" w:rsidP="00EB78AC">
      <w:pPr>
        <w:pStyle w:val="Tabletitles"/>
        <w:rPr>
          <w:rStyle w:val="CommentReference"/>
          <w:rFonts w:asciiTheme="minorHAnsi" w:eastAsiaTheme="minorHAnsi" w:hAnsiTheme="minorHAnsi" w:cstheme="minorBidi"/>
          <w:sz w:val="20"/>
          <w:szCs w:val="20"/>
        </w:rPr>
      </w:pPr>
      <w:r w:rsidRPr="00D81EF6">
        <w:rPr>
          <w:rStyle w:val="CommentReference"/>
          <w:sz w:val="20"/>
          <w:szCs w:val="20"/>
        </w:rPr>
        <w:t>Table 1</w:t>
      </w:r>
      <w:r w:rsidR="00E770D4" w:rsidRPr="00D81EF6">
        <w:rPr>
          <w:rStyle w:val="CommentReference"/>
          <w:sz w:val="20"/>
          <w:szCs w:val="20"/>
        </w:rPr>
        <w:t xml:space="preserve">: </w:t>
      </w:r>
      <w:r w:rsidR="007D290D" w:rsidRPr="00D81EF6">
        <w:rPr>
          <w:rStyle w:val="CommentReference"/>
          <w:sz w:val="20"/>
          <w:szCs w:val="20"/>
        </w:rPr>
        <w:t>PBAC</w:t>
      </w:r>
      <w:r w:rsidRPr="00D81EF6">
        <w:rPr>
          <w:rStyle w:val="CommentReference"/>
          <w:sz w:val="20"/>
          <w:szCs w:val="20"/>
        </w:rPr>
        <w:t xml:space="preserve"> matters of concern</w:t>
      </w:r>
      <w:r w:rsidR="007D290D" w:rsidRPr="00D81EF6">
        <w:rPr>
          <w:rStyle w:val="CommentReference"/>
          <w:sz w:val="20"/>
          <w:szCs w:val="20"/>
        </w:rPr>
        <w:t xml:space="preserve"> in previous consideration (November 2008)</w:t>
      </w:r>
    </w:p>
    <w:tbl>
      <w:tblPr>
        <w:tblStyle w:val="TableGrid"/>
        <w:tblW w:w="5000" w:type="pct"/>
        <w:tblLook w:val="04A0" w:firstRow="1" w:lastRow="0" w:firstColumn="1" w:lastColumn="0" w:noHBand="0" w:noVBand="1"/>
        <w:tblCaption w:val="Table 1: PBAC matters of concern in previous consideration (November 2008)"/>
      </w:tblPr>
      <w:tblGrid>
        <w:gridCol w:w="5806"/>
        <w:gridCol w:w="3210"/>
      </w:tblGrid>
      <w:tr w:rsidR="00487A29" w:rsidRPr="00D81EF6" w14:paraId="29D36AE9" w14:textId="77777777" w:rsidTr="000129CA">
        <w:trPr>
          <w:tblHeader/>
        </w:trPr>
        <w:tc>
          <w:tcPr>
            <w:tcW w:w="3220" w:type="pct"/>
          </w:tcPr>
          <w:p w14:paraId="45E6BEED" w14:textId="7D3A4DEA" w:rsidR="00004EF3" w:rsidRPr="00D81EF6" w:rsidRDefault="00004EF3" w:rsidP="00EC5EC2">
            <w:pPr>
              <w:pStyle w:val="3Bodytext"/>
              <w:numPr>
                <w:ilvl w:val="0"/>
                <w:numId w:val="0"/>
              </w:numPr>
              <w:rPr>
                <w:rFonts w:ascii="Arial Narrow" w:hAnsi="Arial Narrow" w:cs="Arial"/>
                <w:sz w:val="20"/>
                <w:szCs w:val="20"/>
              </w:rPr>
            </w:pPr>
            <w:r w:rsidRPr="00D81EF6">
              <w:rPr>
                <w:rFonts w:ascii="Arial Narrow" w:hAnsi="Arial Narrow" w:cs="Arial"/>
                <w:b/>
                <w:sz w:val="20"/>
                <w:szCs w:val="20"/>
              </w:rPr>
              <w:t>Matter of concern</w:t>
            </w:r>
          </w:p>
        </w:tc>
        <w:tc>
          <w:tcPr>
            <w:tcW w:w="1780" w:type="pct"/>
          </w:tcPr>
          <w:p w14:paraId="40377013" w14:textId="40CC0E08" w:rsidR="00004EF3" w:rsidRPr="00D81EF6" w:rsidRDefault="00004EF3" w:rsidP="00EC5EC2">
            <w:pPr>
              <w:pStyle w:val="3Bodytext"/>
              <w:numPr>
                <w:ilvl w:val="0"/>
                <w:numId w:val="0"/>
              </w:numPr>
              <w:rPr>
                <w:rFonts w:ascii="Arial Narrow" w:hAnsi="Arial Narrow" w:cs="Arial"/>
                <w:sz w:val="20"/>
                <w:szCs w:val="20"/>
              </w:rPr>
            </w:pPr>
            <w:r w:rsidRPr="00D81EF6">
              <w:rPr>
                <w:rFonts w:ascii="Arial Narrow" w:hAnsi="Arial Narrow" w:cs="Arial"/>
                <w:b/>
                <w:sz w:val="20"/>
                <w:szCs w:val="20"/>
              </w:rPr>
              <w:t>How the resubmission addresses it</w:t>
            </w:r>
          </w:p>
        </w:tc>
      </w:tr>
      <w:tr w:rsidR="00487A29" w:rsidRPr="00D81EF6" w14:paraId="299D66EC" w14:textId="77777777" w:rsidTr="00E149F1">
        <w:tc>
          <w:tcPr>
            <w:tcW w:w="3220" w:type="pct"/>
          </w:tcPr>
          <w:p w14:paraId="15803DBE" w14:textId="522F7757" w:rsidR="00004EF3" w:rsidRPr="00D81EF6" w:rsidRDefault="007D290D" w:rsidP="00001F19">
            <w:pPr>
              <w:pStyle w:val="TableText0"/>
            </w:pPr>
            <w:r w:rsidRPr="00D81EF6">
              <w:t>The PBAC</w:t>
            </w:r>
            <w:r w:rsidR="00004EF3" w:rsidRPr="00D81EF6">
              <w:t xml:space="preserve"> </w:t>
            </w:r>
            <w:r w:rsidRPr="00D81EF6">
              <w:t>considered there was</w:t>
            </w:r>
            <w:r w:rsidR="00004EF3" w:rsidRPr="00D81EF6">
              <w:t xml:space="preserve"> insufficient evidence to support the claim that placebo rather than </w:t>
            </w:r>
            <w:r w:rsidR="00F7548D" w:rsidRPr="00D81EF6">
              <w:t>dexamfetamine</w:t>
            </w:r>
            <w:r w:rsidR="00004EF3" w:rsidRPr="00D81EF6">
              <w:t xml:space="preserve"> </w:t>
            </w:r>
            <w:r w:rsidRPr="00D81EF6">
              <w:t>was</w:t>
            </w:r>
            <w:r w:rsidR="00004EF3" w:rsidRPr="00D81EF6">
              <w:t xml:space="preserve"> the appropriate comparator for modafinil in the first line setting</w:t>
            </w:r>
            <w:r w:rsidRPr="00D81EF6">
              <w:t>.</w:t>
            </w:r>
            <w:r w:rsidR="009F20A5" w:rsidRPr="00D81EF6">
              <w:t xml:space="preserve"> The Committee noted that the absence of a systematic review of the evidence was a significant impediment to its deliberations. </w:t>
            </w:r>
            <w:r w:rsidR="006F4C21" w:rsidRPr="00D81EF6">
              <w:t>(s</w:t>
            </w:r>
            <w:r w:rsidRPr="00D81EF6">
              <w:t>ection 12)</w:t>
            </w:r>
          </w:p>
        </w:tc>
        <w:tc>
          <w:tcPr>
            <w:tcW w:w="1780" w:type="pct"/>
          </w:tcPr>
          <w:p w14:paraId="73CD64B5" w14:textId="240A725C" w:rsidR="00004EF3" w:rsidRPr="00E149F1" w:rsidRDefault="00004EF3" w:rsidP="00EB78AC">
            <w:pPr>
              <w:pStyle w:val="ListBullet"/>
              <w:numPr>
                <w:ilvl w:val="0"/>
                <w:numId w:val="0"/>
              </w:numPr>
              <w:jc w:val="left"/>
              <w:rPr>
                <w:rFonts w:ascii="Arial Narrow" w:hAnsi="Arial Narrow"/>
                <w:sz w:val="20"/>
                <w:szCs w:val="20"/>
              </w:rPr>
            </w:pPr>
            <w:r w:rsidRPr="00D81EF6">
              <w:rPr>
                <w:rFonts w:ascii="Arial Narrow" w:hAnsi="Arial Narrow"/>
                <w:sz w:val="20"/>
                <w:szCs w:val="20"/>
              </w:rPr>
              <w:t xml:space="preserve">The submission </w:t>
            </w:r>
            <w:r w:rsidR="007D290D" w:rsidRPr="00D81EF6">
              <w:rPr>
                <w:rFonts w:ascii="Arial Narrow" w:hAnsi="Arial Narrow"/>
                <w:sz w:val="20"/>
                <w:szCs w:val="20"/>
              </w:rPr>
              <w:t>maintained that placebo was the appropriate comparator and</w:t>
            </w:r>
            <w:r w:rsidRPr="00D81EF6">
              <w:rPr>
                <w:rFonts w:ascii="Arial Narrow" w:hAnsi="Arial Narrow"/>
                <w:sz w:val="20"/>
                <w:szCs w:val="20"/>
              </w:rPr>
              <w:t xml:space="preserve"> </w:t>
            </w:r>
            <w:r w:rsidR="006C6518" w:rsidRPr="00D81EF6">
              <w:rPr>
                <w:rFonts w:ascii="Arial Narrow" w:hAnsi="Arial Narrow"/>
                <w:sz w:val="20"/>
                <w:szCs w:val="20"/>
              </w:rPr>
              <w:t>provided</w:t>
            </w:r>
            <w:r w:rsidR="006F4C21" w:rsidRPr="00D81EF6">
              <w:rPr>
                <w:rFonts w:ascii="Arial Narrow" w:hAnsi="Arial Narrow"/>
                <w:sz w:val="20"/>
                <w:szCs w:val="20"/>
              </w:rPr>
              <w:t xml:space="preserve"> data from</w:t>
            </w:r>
            <w:r w:rsidR="006C6518" w:rsidRPr="00D81EF6">
              <w:rPr>
                <w:rFonts w:ascii="Arial Narrow" w:hAnsi="Arial Narrow"/>
                <w:sz w:val="20"/>
                <w:szCs w:val="20"/>
              </w:rPr>
              <w:t xml:space="preserve"> </w:t>
            </w:r>
            <w:r w:rsidRPr="00D81EF6">
              <w:rPr>
                <w:rFonts w:ascii="Arial Narrow" w:hAnsi="Arial Narrow"/>
                <w:sz w:val="20"/>
                <w:szCs w:val="20"/>
              </w:rPr>
              <w:t xml:space="preserve">several published </w:t>
            </w:r>
            <w:r w:rsidR="006F4C21" w:rsidRPr="00D81EF6">
              <w:rPr>
                <w:rFonts w:ascii="Arial Narrow" w:hAnsi="Arial Narrow"/>
                <w:sz w:val="20"/>
                <w:szCs w:val="20"/>
              </w:rPr>
              <w:t>meta-</w:t>
            </w:r>
            <w:r w:rsidR="002E74ED" w:rsidRPr="00D81EF6">
              <w:rPr>
                <w:rFonts w:ascii="Arial Narrow" w:hAnsi="Arial Narrow"/>
                <w:sz w:val="20"/>
                <w:szCs w:val="20"/>
              </w:rPr>
              <w:t>analyses</w:t>
            </w:r>
            <w:r w:rsidRPr="00D81EF6">
              <w:rPr>
                <w:rFonts w:ascii="Arial Narrow" w:hAnsi="Arial Narrow"/>
                <w:sz w:val="20"/>
                <w:szCs w:val="20"/>
              </w:rPr>
              <w:t xml:space="preserve"> comparing modafinil to placebo</w:t>
            </w:r>
            <w:r w:rsidR="007D290D" w:rsidRPr="00D81EF6">
              <w:rPr>
                <w:rFonts w:ascii="Arial Narrow" w:hAnsi="Arial Narrow"/>
                <w:sz w:val="20"/>
                <w:szCs w:val="20"/>
              </w:rPr>
              <w:t>.</w:t>
            </w:r>
          </w:p>
        </w:tc>
      </w:tr>
      <w:tr w:rsidR="00487A29" w:rsidRPr="00D81EF6" w14:paraId="546E3374" w14:textId="77777777" w:rsidTr="00E149F1">
        <w:trPr>
          <w:trHeight w:val="792"/>
        </w:trPr>
        <w:tc>
          <w:tcPr>
            <w:tcW w:w="3220" w:type="pct"/>
          </w:tcPr>
          <w:p w14:paraId="1B8C18E0" w14:textId="426E838C" w:rsidR="00004EF3" w:rsidRPr="00D81EF6" w:rsidRDefault="007D290D">
            <w:pPr>
              <w:pStyle w:val="TableText0"/>
            </w:pPr>
            <w:r w:rsidRPr="00D81EF6">
              <w:t xml:space="preserve">The PBAC </w:t>
            </w:r>
            <w:r w:rsidR="00004EF3" w:rsidRPr="00D81EF6">
              <w:t xml:space="preserve">did not accept the premise of the submission that from a medical and legal view, </w:t>
            </w:r>
            <w:r w:rsidR="00F7548D" w:rsidRPr="00D81EF6">
              <w:t>dexamfetamine</w:t>
            </w:r>
            <w:r w:rsidR="00004EF3" w:rsidRPr="00D81EF6">
              <w:t xml:space="preserve"> </w:t>
            </w:r>
            <w:r w:rsidR="009733DF" w:rsidRPr="00D81EF6">
              <w:t>could</w:t>
            </w:r>
            <w:r w:rsidR="00004EF3" w:rsidRPr="00D81EF6">
              <w:t xml:space="preserve"> no longer be considered the standard of care for treatment </w:t>
            </w:r>
            <w:r w:rsidR="00D07E27" w:rsidRPr="00D81EF6">
              <w:t>of narcolepsy</w:t>
            </w:r>
            <w:r w:rsidR="009733DF" w:rsidRPr="00D81EF6">
              <w:t>.</w:t>
            </w:r>
            <w:r w:rsidR="009F20A5" w:rsidRPr="00D81EF6">
              <w:t xml:space="preserve"> (section 12)</w:t>
            </w:r>
          </w:p>
        </w:tc>
        <w:tc>
          <w:tcPr>
            <w:tcW w:w="1780" w:type="pct"/>
          </w:tcPr>
          <w:p w14:paraId="68A31BCB" w14:textId="3A8ACD07" w:rsidR="00004EF3" w:rsidRPr="00D81EF6" w:rsidRDefault="008C5E0E" w:rsidP="00E149F1">
            <w:pPr>
              <w:pStyle w:val="ListBullet"/>
              <w:numPr>
                <w:ilvl w:val="0"/>
                <w:numId w:val="0"/>
              </w:numPr>
              <w:contextualSpacing w:val="0"/>
              <w:jc w:val="left"/>
            </w:pPr>
            <w:r w:rsidRPr="00D81EF6">
              <w:rPr>
                <w:rFonts w:ascii="Arial Narrow" w:hAnsi="Arial Narrow"/>
                <w:sz w:val="20"/>
                <w:szCs w:val="20"/>
              </w:rPr>
              <w:t xml:space="preserve">The submission maintained that </w:t>
            </w:r>
            <w:r w:rsidR="00F7548D" w:rsidRPr="00D81EF6">
              <w:rPr>
                <w:rFonts w:ascii="Arial Narrow" w:hAnsi="Arial Narrow"/>
                <w:sz w:val="20"/>
                <w:szCs w:val="20"/>
              </w:rPr>
              <w:t>dexamfetamine</w:t>
            </w:r>
            <w:r w:rsidRPr="00D81EF6">
              <w:rPr>
                <w:rFonts w:ascii="Arial Narrow" w:hAnsi="Arial Narrow"/>
                <w:sz w:val="20"/>
                <w:szCs w:val="20"/>
              </w:rPr>
              <w:t xml:space="preserve"> could no longer be considered the standard of care</w:t>
            </w:r>
            <w:r w:rsidR="00D07E27" w:rsidRPr="00D81EF6">
              <w:rPr>
                <w:rFonts w:ascii="Arial Narrow" w:hAnsi="Arial Narrow"/>
                <w:sz w:val="20"/>
                <w:szCs w:val="20"/>
              </w:rPr>
              <w:t xml:space="preserve"> for treatment of narcolepsy</w:t>
            </w:r>
            <w:r w:rsidRPr="00D81EF6">
              <w:rPr>
                <w:rFonts w:ascii="Arial Narrow" w:hAnsi="Arial Narrow"/>
                <w:sz w:val="20"/>
                <w:szCs w:val="20"/>
              </w:rPr>
              <w:t xml:space="preserve"> from a medical and legal view</w:t>
            </w:r>
            <w:r w:rsidR="006F4C21" w:rsidRPr="00D81EF6">
              <w:rPr>
                <w:rFonts w:ascii="Arial Narrow" w:hAnsi="Arial Narrow"/>
                <w:sz w:val="20"/>
                <w:szCs w:val="20"/>
              </w:rPr>
              <w:t>.</w:t>
            </w:r>
          </w:p>
        </w:tc>
      </w:tr>
      <w:tr w:rsidR="00487A29" w:rsidRPr="00D81EF6" w14:paraId="0F7C1CCD" w14:textId="77777777" w:rsidTr="00E149F1">
        <w:tc>
          <w:tcPr>
            <w:tcW w:w="3220" w:type="pct"/>
          </w:tcPr>
          <w:p w14:paraId="7912A617" w14:textId="24B95F0A" w:rsidR="00F2205B" w:rsidRPr="00D81EF6" w:rsidRDefault="00F2205B" w:rsidP="00BD0B96">
            <w:pPr>
              <w:pStyle w:val="TableText0"/>
            </w:pPr>
            <w:r w:rsidRPr="00D81EF6">
              <w:t xml:space="preserve">The PBAC considered that the omission of </w:t>
            </w:r>
            <w:r w:rsidR="00D07E27" w:rsidRPr="00D81EF6">
              <w:t xml:space="preserve">an </w:t>
            </w:r>
            <w:r w:rsidRPr="00D81EF6">
              <w:t xml:space="preserve">economic analyses was inappropriate. It was noted that modafinil and </w:t>
            </w:r>
            <w:r w:rsidR="00F7548D" w:rsidRPr="00D81EF6">
              <w:t>dexamfetamine</w:t>
            </w:r>
            <w:r w:rsidRPr="00D81EF6">
              <w:t xml:space="preserve"> </w:t>
            </w:r>
            <w:r w:rsidR="00BD0B96" w:rsidRPr="00D81EF6">
              <w:t xml:space="preserve">had </w:t>
            </w:r>
            <w:r w:rsidRPr="00D81EF6">
              <w:t>drug costs of $3327 vs. $318 per year, respectively, for life long therapy and uncertain relative net clinical effect, particularly in the long term.</w:t>
            </w:r>
            <w:r w:rsidR="009F20A5" w:rsidRPr="00D81EF6">
              <w:t xml:space="preserve"> (section 12)</w:t>
            </w:r>
          </w:p>
        </w:tc>
        <w:tc>
          <w:tcPr>
            <w:tcW w:w="1780" w:type="pct"/>
          </w:tcPr>
          <w:p w14:paraId="5B7AC248" w14:textId="6842C2BD" w:rsidR="00F2205B" w:rsidRPr="00D81EF6" w:rsidRDefault="00F2205B" w:rsidP="00EB78AC">
            <w:pPr>
              <w:pStyle w:val="ListBullet"/>
              <w:numPr>
                <w:ilvl w:val="0"/>
                <w:numId w:val="0"/>
              </w:numPr>
              <w:jc w:val="left"/>
              <w:rPr>
                <w:rFonts w:ascii="Arial Narrow" w:hAnsi="Arial Narrow"/>
                <w:sz w:val="20"/>
                <w:szCs w:val="20"/>
              </w:rPr>
            </w:pPr>
            <w:r w:rsidRPr="00D81EF6">
              <w:rPr>
                <w:rFonts w:ascii="Arial Narrow" w:hAnsi="Arial Narrow"/>
                <w:sz w:val="20"/>
                <w:szCs w:val="20"/>
              </w:rPr>
              <w:t>The resubmission did not present an economic analysis</w:t>
            </w:r>
            <w:r w:rsidR="009733DF" w:rsidRPr="00D81EF6">
              <w:rPr>
                <w:rFonts w:ascii="Arial Narrow" w:hAnsi="Arial Narrow"/>
                <w:sz w:val="20"/>
                <w:szCs w:val="20"/>
              </w:rPr>
              <w:t>.</w:t>
            </w:r>
          </w:p>
        </w:tc>
      </w:tr>
    </w:tbl>
    <w:p w14:paraId="5899537D" w14:textId="40203EFA" w:rsidR="00B458E7" w:rsidRPr="00D81EF6" w:rsidRDefault="007D290D" w:rsidP="00EB78AC">
      <w:pPr>
        <w:pStyle w:val="TableFooter"/>
      </w:pPr>
      <w:r w:rsidRPr="00D81EF6">
        <w:t>Source: Compiled during the evaluation. Section references refer to the November 2008 modafinil PBAC Public Summary Document</w:t>
      </w:r>
    </w:p>
    <w:p w14:paraId="111E5505" w14:textId="34E90A03" w:rsidR="00585BD9" w:rsidRPr="00D81EF6" w:rsidRDefault="00585BD9" w:rsidP="00ED3D30">
      <w:pPr>
        <w:pStyle w:val="3Bodytext"/>
        <w:jc w:val="both"/>
      </w:pPr>
      <w:r w:rsidRPr="00D81EF6">
        <w:t>The PBAC has not previously considered armodafinil for first line therapy for the treatment of narcolepsy.</w:t>
      </w:r>
    </w:p>
    <w:p w14:paraId="6B31D9B9" w14:textId="2BAD162C" w:rsidR="00AC0AC0" w:rsidRPr="00D81EF6" w:rsidRDefault="00AC0AC0" w:rsidP="00E149F1">
      <w:pPr>
        <w:pStyle w:val="3-BodyText"/>
        <w:ind w:firstLine="720"/>
        <w:rPr>
          <w:i/>
        </w:rPr>
      </w:pPr>
      <w:r w:rsidRPr="00D81EF6">
        <w:rPr>
          <w:i/>
        </w:rPr>
        <w:t>For more detail on PBAC’s view, see section 6 PBAC outcome</w:t>
      </w:r>
    </w:p>
    <w:p w14:paraId="4C732A79" w14:textId="77777777" w:rsidR="00B17EE5" w:rsidRPr="00D81EF6" w:rsidRDefault="00B17EE5" w:rsidP="00D62DF4">
      <w:pPr>
        <w:pStyle w:val="2-SectionHeading"/>
        <w:ind w:left="720"/>
      </w:pPr>
      <w:r w:rsidRPr="00D81EF6">
        <w:t>Requested listing</w:t>
      </w:r>
    </w:p>
    <w:p w14:paraId="1B3CA53C" w14:textId="3D62F835" w:rsidR="00540010" w:rsidRPr="00D81EF6" w:rsidRDefault="00ED45A1" w:rsidP="00ED3D30">
      <w:pPr>
        <w:pStyle w:val="3Bodytext"/>
        <w:jc w:val="both"/>
      </w:pPr>
      <w:r w:rsidRPr="00D81EF6">
        <w:t>The submission requested removal of the clinical criteria ‘the treatment must be for use when therapy with dexamfetamine poses an unacceptable medical risk; or the treatment must be for use when intolerance to dexamfetamine is of a severity to necessitate treatment withdrawal’</w:t>
      </w:r>
      <w:r w:rsidR="00540010" w:rsidRPr="00D81EF6">
        <w:t xml:space="preserve"> f</w:t>
      </w:r>
      <w:r w:rsidRPr="00D81EF6">
        <w:t>r</w:t>
      </w:r>
      <w:r w:rsidR="00540010" w:rsidRPr="00D81EF6">
        <w:t>om the</w:t>
      </w:r>
      <w:r w:rsidRPr="00D81EF6">
        <w:t xml:space="preserve"> </w:t>
      </w:r>
      <w:r w:rsidR="00540010" w:rsidRPr="00D81EF6">
        <w:t>restriction</w:t>
      </w:r>
      <w:r w:rsidRPr="00D81EF6">
        <w:t>.</w:t>
      </w:r>
    </w:p>
    <w:p w14:paraId="1964C26D" w14:textId="27F80300" w:rsidR="006F4C21" w:rsidRPr="00D81EF6" w:rsidRDefault="006F4C21" w:rsidP="00ED3D30">
      <w:pPr>
        <w:pStyle w:val="3Bodytext"/>
        <w:jc w:val="both"/>
      </w:pPr>
      <w:r w:rsidRPr="00D81EF6">
        <w:t>The submission also requested removing the requirement to resubmit sleep study reports before a switch from modafinil to armodafinil (or vice versa)</w:t>
      </w:r>
      <w:r w:rsidR="00DE7917" w:rsidRPr="00D81EF6">
        <w:t>.</w:t>
      </w:r>
    </w:p>
    <w:p w14:paraId="24651DC0" w14:textId="44CFF85A" w:rsidR="006F4C21" w:rsidRPr="00D81EF6" w:rsidRDefault="002A1EF7" w:rsidP="00ED3D30">
      <w:pPr>
        <w:pStyle w:val="3Bodytext"/>
        <w:jc w:val="both"/>
        <w:rPr>
          <w:rFonts w:ascii="Arial Narrow" w:hAnsi="Arial Narrow" w:cstheme="minorHAnsi"/>
          <w:sz w:val="18"/>
          <w:szCs w:val="18"/>
        </w:rPr>
      </w:pPr>
      <w:r w:rsidRPr="00D81EF6">
        <w:t>Secretariat s</w:t>
      </w:r>
      <w:r w:rsidR="00B17EE5" w:rsidRPr="00D81EF6">
        <w:t>uggested additions are in italics and deletions are in strikethrough.</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2551"/>
      </w:tblGrid>
      <w:tr w:rsidR="00487A29" w:rsidRPr="00D81EF6" w14:paraId="09139D19" w14:textId="77777777" w:rsidTr="006F4C21">
        <w:trPr>
          <w:cantSplit/>
          <w:trHeight w:val="471"/>
        </w:trPr>
        <w:tc>
          <w:tcPr>
            <w:tcW w:w="2689" w:type="dxa"/>
          </w:tcPr>
          <w:p w14:paraId="563325BE" w14:textId="77777777" w:rsidR="006F4C21" w:rsidRPr="00D81EF6" w:rsidRDefault="006F4C21" w:rsidP="006F4C21">
            <w:pPr>
              <w:keepNext/>
              <w:ind w:left="-108"/>
              <w:rPr>
                <w:rFonts w:ascii="Arial Narrow" w:hAnsi="Arial Narrow" w:cs="Arial"/>
                <w:b/>
                <w:sz w:val="18"/>
                <w:szCs w:val="18"/>
              </w:rPr>
            </w:pPr>
            <w:r w:rsidRPr="00D81EF6">
              <w:rPr>
                <w:rFonts w:ascii="Arial Narrow" w:hAnsi="Arial Narrow" w:cs="Arial"/>
                <w:b/>
                <w:sz w:val="18"/>
                <w:szCs w:val="18"/>
              </w:rPr>
              <w:t>Name, Restriction,</w:t>
            </w:r>
          </w:p>
          <w:p w14:paraId="033BBF72" w14:textId="77777777" w:rsidR="006F4C21" w:rsidRPr="00D81EF6" w:rsidRDefault="006F4C21" w:rsidP="006F4C21">
            <w:pPr>
              <w:keepNext/>
              <w:ind w:left="-108"/>
              <w:rPr>
                <w:rFonts w:ascii="Arial Narrow" w:hAnsi="Arial Narrow" w:cs="Arial"/>
                <w:b/>
                <w:sz w:val="18"/>
                <w:szCs w:val="18"/>
              </w:rPr>
            </w:pPr>
            <w:r w:rsidRPr="00D81EF6">
              <w:rPr>
                <w:rFonts w:ascii="Arial Narrow" w:hAnsi="Arial Narrow" w:cs="Arial"/>
                <w:b/>
                <w:sz w:val="18"/>
                <w:szCs w:val="18"/>
              </w:rPr>
              <w:t>Manner of administration and form</w:t>
            </w:r>
          </w:p>
        </w:tc>
        <w:tc>
          <w:tcPr>
            <w:tcW w:w="1275" w:type="dxa"/>
          </w:tcPr>
          <w:p w14:paraId="262C2E97" w14:textId="77777777" w:rsidR="006F4C21" w:rsidRPr="00D81EF6" w:rsidRDefault="006F4C21" w:rsidP="006F4C21">
            <w:pPr>
              <w:keepNext/>
              <w:ind w:left="-108"/>
              <w:jc w:val="center"/>
              <w:rPr>
                <w:rFonts w:ascii="Arial Narrow" w:hAnsi="Arial Narrow" w:cs="Arial"/>
                <w:b/>
                <w:sz w:val="18"/>
                <w:szCs w:val="18"/>
              </w:rPr>
            </w:pPr>
            <w:r w:rsidRPr="00D81EF6">
              <w:rPr>
                <w:rFonts w:ascii="Arial Narrow" w:hAnsi="Arial Narrow" w:cs="Arial"/>
                <w:b/>
                <w:sz w:val="18"/>
                <w:szCs w:val="18"/>
              </w:rPr>
              <w:t>PBS item code</w:t>
            </w:r>
          </w:p>
        </w:tc>
        <w:tc>
          <w:tcPr>
            <w:tcW w:w="851" w:type="dxa"/>
          </w:tcPr>
          <w:p w14:paraId="080416DA" w14:textId="77777777" w:rsidR="006F4C21" w:rsidRPr="00D81EF6" w:rsidRDefault="006F4C21" w:rsidP="006F4C21">
            <w:pPr>
              <w:keepNext/>
              <w:ind w:left="-108"/>
              <w:jc w:val="center"/>
              <w:rPr>
                <w:rFonts w:ascii="Arial Narrow" w:hAnsi="Arial Narrow" w:cs="Arial"/>
                <w:b/>
                <w:sz w:val="18"/>
                <w:szCs w:val="18"/>
              </w:rPr>
            </w:pPr>
            <w:r w:rsidRPr="00D81EF6">
              <w:rPr>
                <w:rFonts w:ascii="Arial Narrow" w:hAnsi="Arial Narrow" w:cs="Arial"/>
                <w:b/>
                <w:sz w:val="18"/>
                <w:szCs w:val="18"/>
              </w:rPr>
              <w:t>Max. qty packs</w:t>
            </w:r>
          </w:p>
        </w:tc>
        <w:tc>
          <w:tcPr>
            <w:tcW w:w="850" w:type="dxa"/>
          </w:tcPr>
          <w:p w14:paraId="1FED51F5" w14:textId="77777777" w:rsidR="006F4C21" w:rsidRPr="00D81EF6" w:rsidRDefault="006F4C21" w:rsidP="006F4C21">
            <w:pPr>
              <w:keepNext/>
              <w:ind w:left="-108"/>
              <w:jc w:val="center"/>
              <w:rPr>
                <w:rFonts w:ascii="Arial Narrow" w:hAnsi="Arial Narrow" w:cs="Arial"/>
                <w:b/>
                <w:sz w:val="18"/>
                <w:szCs w:val="18"/>
              </w:rPr>
            </w:pPr>
            <w:r w:rsidRPr="00D81EF6">
              <w:rPr>
                <w:rFonts w:ascii="Arial Narrow" w:hAnsi="Arial Narrow" w:cs="Arial"/>
                <w:b/>
                <w:sz w:val="18"/>
                <w:szCs w:val="18"/>
              </w:rPr>
              <w:t>Max. qty units</w:t>
            </w:r>
          </w:p>
        </w:tc>
        <w:tc>
          <w:tcPr>
            <w:tcW w:w="709" w:type="dxa"/>
          </w:tcPr>
          <w:p w14:paraId="6E6DF6A6" w14:textId="77777777" w:rsidR="006F4C21" w:rsidRPr="00D81EF6" w:rsidRDefault="006F4C21" w:rsidP="006F4C21">
            <w:pPr>
              <w:keepNext/>
              <w:ind w:left="-108"/>
              <w:jc w:val="center"/>
              <w:rPr>
                <w:rFonts w:ascii="Arial Narrow" w:hAnsi="Arial Narrow" w:cs="Arial"/>
                <w:b/>
                <w:sz w:val="18"/>
                <w:szCs w:val="18"/>
              </w:rPr>
            </w:pPr>
            <w:r w:rsidRPr="00D81EF6">
              <w:rPr>
                <w:rFonts w:ascii="Arial Narrow" w:hAnsi="Arial Narrow" w:cs="Arial"/>
                <w:b/>
                <w:sz w:val="18"/>
                <w:szCs w:val="18"/>
              </w:rPr>
              <w:t>№.of</w:t>
            </w:r>
          </w:p>
          <w:p w14:paraId="0B9C258F" w14:textId="77777777" w:rsidR="006F4C21" w:rsidRPr="00D81EF6" w:rsidRDefault="006F4C21" w:rsidP="006F4C21">
            <w:pPr>
              <w:keepNext/>
              <w:ind w:left="-108"/>
              <w:jc w:val="center"/>
              <w:rPr>
                <w:rFonts w:ascii="Arial Narrow" w:hAnsi="Arial Narrow" w:cs="Arial"/>
                <w:b/>
                <w:sz w:val="18"/>
                <w:szCs w:val="18"/>
              </w:rPr>
            </w:pPr>
            <w:r w:rsidRPr="00D81EF6">
              <w:rPr>
                <w:rFonts w:ascii="Arial Narrow" w:hAnsi="Arial Narrow" w:cs="Arial"/>
                <w:b/>
                <w:sz w:val="18"/>
                <w:szCs w:val="18"/>
              </w:rPr>
              <w:t>Rpts</w:t>
            </w:r>
          </w:p>
        </w:tc>
        <w:tc>
          <w:tcPr>
            <w:tcW w:w="2551" w:type="dxa"/>
          </w:tcPr>
          <w:p w14:paraId="00599E1E" w14:textId="77777777" w:rsidR="006F4C21" w:rsidRPr="00D81EF6" w:rsidRDefault="006F4C21" w:rsidP="00CF66A2">
            <w:pPr>
              <w:keepNext/>
              <w:jc w:val="left"/>
              <w:rPr>
                <w:rFonts w:ascii="Arial Narrow" w:hAnsi="Arial Narrow" w:cs="Arial"/>
                <w:b/>
                <w:sz w:val="18"/>
                <w:szCs w:val="18"/>
              </w:rPr>
            </w:pPr>
            <w:r w:rsidRPr="00D81EF6">
              <w:rPr>
                <w:rFonts w:ascii="Arial Narrow" w:hAnsi="Arial Narrow" w:cs="Arial"/>
                <w:b/>
                <w:sz w:val="18"/>
                <w:szCs w:val="18"/>
              </w:rPr>
              <w:t>Proprietary Name and Manufacturer</w:t>
            </w:r>
          </w:p>
        </w:tc>
      </w:tr>
      <w:tr w:rsidR="006F4C21" w:rsidRPr="00D81EF6" w14:paraId="4449AC99" w14:textId="77777777" w:rsidTr="006F4C21">
        <w:trPr>
          <w:cantSplit/>
          <w:trHeight w:val="469"/>
        </w:trPr>
        <w:tc>
          <w:tcPr>
            <w:tcW w:w="2689" w:type="dxa"/>
          </w:tcPr>
          <w:p w14:paraId="507E8466" w14:textId="77777777" w:rsidR="006F4C21" w:rsidRPr="00D81EF6" w:rsidRDefault="006F4C21" w:rsidP="006F4C21">
            <w:pPr>
              <w:keepNext/>
              <w:ind w:left="-108"/>
              <w:rPr>
                <w:rFonts w:ascii="Arial Narrow" w:hAnsi="Arial Narrow" w:cs="Arial"/>
                <w:sz w:val="18"/>
                <w:szCs w:val="18"/>
              </w:rPr>
            </w:pPr>
            <w:r w:rsidRPr="00D81EF6">
              <w:rPr>
                <w:rFonts w:ascii="Arial Narrow" w:hAnsi="Arial Narrow" w:cs="Arial"/>
                <w:sz w:val="18"/>
                <w:szCs w:val="18"/>
              </w:rPr>
              <w:t>MODAFINIL</w:t>
            </w:r>
          </w:p>
          <w:p w14:paraId="20AA2DBD" w14:textId="77777777" w:rsidR="006F4C21" w:rsidRPr="00D81EF6" w:rsidRDefault="006F4C21" w:rsidP="006F4C21">
            <w:pPr>
              <w:keepNext/>
              <w:ind w:left="-108"/>
              <w:rPr>
                <w:rFonts w:ascii="Arial Narrow" w:hAnsi="Arial Narrow" w:cs="Arial"/>
                <w:sz w:val="18"/>
                <w:szCs w:val="18"/>
              </w:rPr>
            </w:pPr>
            <w:r w:rsidRPr="00D81EF6">
              <w:rPr>
                <w:rFonts w:ascii="Arial Narrow" w:hAnsi="Arial Narrow" w:cs="Arial"/>
                <w:sz w:val="18"/>
                <w:szCs w:val="18"/>
              </w:rPr>
              <w:t>modafinil 100 mg tablet, 60</w:t>
            </w:r>
          </w:p>
        </w:tc>
        <w:tc>
          <w:tcPr>
            <w:tcW w:w="1275" w:type="dxa"/>
          </w:tcPr>
          <w:p w14:paraId="3BA97D68" w14:textId="77777777" w:rsidR="006F4C21" w:rsidRPr="00D81EF6" w:rsidRDefault="006F4C21" w:rsidP="006F4C21">
            <w:pPr>
              <w:keepNext/>
              <w:rPr>
                <w:rFonts w:ascii="Arial Narrow" w:hAnsi="Arial Narrow" w:cs="Arial"/>
                <w:sz w:val="18"/>
                <w:szCs w:val="18"/>
              </w:rPr>
            </w:pPr>
          </w:p>
          <w:p w14:paraId="703CDF23" w14:textId="77777777" w:rsidR="006F4C21" w:rsidRPr="00D81EF6" w:rsidRDefault="006F4C21" w:rsidP="006F4C21">
            <w:pPr>
              <w:keepNext/>
              <w:ind w:left="-108"/>
              <w:jc w:val="center"/>
              <w:rPr>
                <w:rFonts w:ascii="Arial Narrow" w:hAnsi="Arial Narrow" w:cs="Arial"/>
                <w:sz w:val="18"/>
                <w:szCs w:val="18"/>
              </w:rPr>
            </w:pPr>
            <w:r w:rsidRPr="00D81EF6">
              <w:rPr>
                <w:rFonts w:ascii="Arial Narrow" w:hAnsi="Arial Narrow" w:cs="Arial"/>
                <w:sz w:val="18"/>
                <w:szCs w:val="18"/>
              </w:rPr>
              <w:t>8816B</w:t>
            </w:r>
          </w:p>
        </w:tc>
        <w:tc>
          <w:tcPr>
            <w:tcW w:w="851" w:type="dxa"/>
          </w:tcPr>
          <w:p w14:paraId="6A49322E" w14:textId="77777777" w:rsidR="006F4C21" w:rsidRPr="00D81EF6" w:rsidRDefault="006F4C21" w:rsidP="006F4C21">
            <w:pPr>
              <w:keepNext/>
              <w:rPr>
                <w:rFonts w:ascii="Arial Narrow" w:hAnsi="Arial Narrow" w:cs="Arial"/>
                <w:sz w:val="18"/>
                <w:szCs w:val="18"/>
              </w:rPr>
            </w:pPr>
          </w:p>
          <w:p w14:paraId="15170147" w14:textId="77777777" w:rsidR="006F4C21" w:rsidRPr="00D81EF6" w:rsidRDefault="006F4C21" w:rsidP="006F4C21">
            <w:pPr>
              <w:keepNext/>
              <w:jc w:val="center"/>
              <w:rPr>
                <w:rFonts w:ascii="Arial Narrow" w:hAnsi="Arial Narrow" w:cs="Arial"/>
                <w:sz w:val="18"/>
                <w:szCs w:val="18"/>
              </w:rPr>
            </w:pPr>
            <w:r w:rsidRPr="00D81EF6">
              <w:rPr>
                <w:rFonts w:ascii="Arial Narrow" w:hAnsi="Arial Narrow" w:cs="Arial"/>
                <w:sz w:val="18"/>
                <w:szCs w:val="18"/>
              </w:rPr>
              <w:t>2</w:t>
            </w:r>
          </w:p>
        </w:tc>
        <w:tc>
          <w:tcPr>
            <w:tcW w:w="850" w:type="dxa"/>
          </w:tcPr>
          <w:p w14:paraId="2E98D038" w14:textId="77777777" w:rsidR="006F4C21" w:rsidRPr="00D81EF6" w:rsidRDefault="006F4C21" w:rsidP="006F4C21">
            <w:pPr>
              <w:keepNext/>
              <w:rPr>
                <w:rFonts w:ascii="Arial Narrow" w:hAnsi="Arial Narrow" w:cs="Arial"/>
                <w:sz w:val="18"/>
                <w:szCs w:val="18"/>
              </w:rPr>
            </w:pPr>
          </w:p>
          <w:p w14:paraId="3778BC80" w14:textId="77777777" w:rsidR="006F4C21" w:rsidRPr="00D81EF6" w:rsidRDefault="006F4C21" w:rsidP="006F4C21">
            <w:pPr>
              <w:keepNext/>
              <w:ind w:left="-108"/>
              <w:jc w:val="center"/>
              <w:rPr>
                <w:rFonts w:ascii="Arial Narrow" w:hAnsi="Arial Narrow" w:cs="Arial"/>
                <w:sz w:val="18"/>
                <w:szCs w:val="18"/>
              </w:rPr>
            </w:pPr>
            <w:r w:rsidRPr="00D81EF6">
              <w:rPr>
                <w:rFonts w:ascii="Arial Narrow" w:hAnsi="Arial Narrow" w:cs="Arial"/>
                <w:sz w:val="18"/>
                <w:szCs w:val="18"/>
              </w:rPr>
              <w:t>120</w:t>
            </w:r>
          </w:p>
        </w:tc>
        <w:tc>
          <w:tcPr>
            <w:tcW w:w="709" w:type="dxa"/>
          </w:tcPr>
          <w:p w14:paraId="2DE45145" w14:textId="77777777" w:rsidR="006F4C21" w:rsidRPr="00D81EF6" w:rsidRDefault="006F4C21" w:rsidP="006F4C21">
            <w:pPr>
              <w:keepNext/>
              <w:rPr>
                <w:rFonts w:ascii="Arial Narrow" w:hAnsi="Arial Narrow" w:cs="Arial"/>
                <w:sz w:val="18"/>
                <w:szCs w:val="18"/>
              </w:rPr>
            </w:pPr>
          </w:p>
          <w:p w14:paraId="2B0E8495" w14:textId="77777777" w:rsidR="006F4C21" w:rsidRPr="00D81EF6" w:rsidRDefault="006F4C21" w:rsidP="006F4C21">
            <w:pPr>
              <w:keepNext/>
              <w:ind w:left="-108"/>
              <w:jc w:val="center"/>
              <w:rPr>
                <w:rFonts w:ascii="Arial Narrow" w:hAnsi="Arial Narrow" w:cs="Arial"/>
                <w:sz w:val="18"/>
                <w:szCs w:val="18"/>
              </w:rPr>
            </w:pPr>
            <w:r w:rsidRPr="00D81EF6">
              <w:rPr>
                <w:rFonts w:ascii="Arial Narrow" w:hAnsi="Arial Narrow" w:cs="Arial"/>
                <w:sz w:val="18"/>
                <w:szCs w:val="18"/>
              </w:rPr>
              <w:t>5</w:t>
            </w:r>
          </w:p>
        </w:tc>
        <w:tc>
          <w:tcPr>
            <w:tcW w:w="2551" w:type="dxa"/>
          </w:tcPr>
          <w:p w14:paraId="67010AAA" w14:textId="77777777" w:rsidR="006F4C21" w:rsidRPr="00D81EF6" w:rsidRDefault="006F4C21" w:rsidP="006F4C21">
            <w:pPr>
              <w:keepNext/>
              <w:rPr>
                <w:rFonts w:ascii="Arial Narrow" w:hAnsi="Arial Narrow" w:cs="Arial"/>
                <w:sz w:val="18"/>
                <w:szCs w:val="18"/>
              </w:rPr>
            </w:pPr>
          </w:p>
          <w:p w14:paraId="2E0300FD" w14:textId="77777777" w:rsidR="006F4C21" w:rsidRPr="00D81EF6" w:rsidRDefault="006F4C21" w:rsidP="006F4C21">
            <w:pPr>
              <w:keepNext/>
              <w:rPr>
                <w:rFonts w:ascii="Arial Narrow" w:hAnsi="Arial Narrow" w:cs="Arial"/>
                <w:sz w:val="18"/>
                <w:szCs w:val="18"/>
              </w:rPr>
            </w:pPr>
            <w:r w:rsidRPr="00D81EF6">
              <w:rPr>
                <w:rFonts w:ascii="Arial Narrow" w:hAnsi="Arial Narrow" w:cs="Arial"/>
                <w:sz w:val="18"/>
                <w:szCs w:val="18"/>
              </w:rPr>
              <w:t>Various brands and sponsors</w:t>
            </w:r>
          </w:p>
        </w:tc>
      </w:tr>
    </w:tbl>
    <w:p w14:paraId="596F3662" w14:textId="77777777" w:rsidR="006F4C21" w:rsidRPr="00D81EF6" w:rsidRDefault="006F4C21" w:rsidP="006F4C21"/>
    <w:p w14:paraId="1A862E69" w14:textId="77777777" w:rsidR="006F4C21" w:rsidRPr="00D81EF6" w:rsidRDefault="006F4C21" w:rsidP="00EF3CA4">
      <w:pPr>
        <w:keepNext/>
        <w:keepLines/>
        <w:rPr>
          <w:rFonts w:ascii="Arial Narrow" w:hAnsi="Arial Narrow"/>
          <w:b/>
          <w:sz w:val="18"/>
          <w:szCs w:val="18"/>
        </w:rPr>
      </w:pPr>
      <w:r w:rsidRPr="00D81EF6">
        <w:rPr>
          <w:rFonts w:ascii="Arial Narrow" w:hAnsi="Arial Narrow"/>
          <w:b/>
          <w:sz w:val="18"/>
          <w:szCs w:val="18"/>
        </w:rPr>
        <w:t>Restriction Summary 8665 / Treatment of Concept: 8694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765288" w:rsidRPr="00D81EF6" w14:paraId="68C73644" w14:textId="77777777" w:rsidTr="00ED0229">
        <w:tc>
          <w:tcPr>
            <w:tcW w:w="5000" w:type="pct"/>
            <w:tcBorders>
              <w:top w:val="single" w:sz="4" w:space="0" w:color="auto"/>
              <w:left w:val="single" w:sz="4" w:space="0" w:color="auto"/>
              <w:bottom w:val="single" w:sz="4" w:space="0" w:color="auto"/>
              <w:right w:val="single" w:sz="4" w:space="0" w:color="auto"/>
            </w:tcBorders>
          </w:tcPr>
          <w:p w14:paraId="2A786BAB" w14:textId="470D132F" w:rsidR="00765288" w:rsidRPr="00D81EF6" w:rsidRDefault="00765288" w:rsidP="00EF3CA4">
            <w:pPr>
              <w:keepNext/>
              <w:keepLines/>
              <w:rPr>
                <w:rFonts w:ascii="Arial Narrow" w:hAnsi="Arial Narrow" w:cs="Arial"/>
                <w:sz w:val="18"/>
                <w:szCs w:val="18"/>
              </w:rPr>
            </w:pPr>
            <w:r w:rsidRPr="00D81EF6">
              <w:rPr>
                <w:rFonts w:ascii="Arial Narrow" w:hAnsi="Arial Narrow" w:cs="Arial"/>
                <w:b/>
                <w:sz w:val="18"/>
                <w:szCs w:val="18"/>
              </w:rPr>
              <w:t xml:space="preserve">Category / Program:   </w:t>
            </w:r>
            <w:r w:rsidRPr="00D81EF6">
              <w:rPr>
                <w:rFonts w:ascii="Arial Narrow" w:hAnsi="Arial Narrow" w:cs="Arial"/>
                <w:sz w:val="18"/>
                <w:szCs w:val="18"/>
              </w:rPr>
              <w:t xml:space="preserve">GENERAL – General Schedule (Code GE) </w:t>
            </w:r>
          </w:p>
        </w:tc>
      </w:tr>
      <w:tr w:rsidR="00765288" w:rsidRPr="00D81EF6" w14:paraId="034F1A87" w14:textId="77777777" w:rsidTr="00ED0229">
        <w:trPr>
          <w:trHeight w:val="240"/>
        </w:trPr>
        <w:tc>
          <w:tcPr>
            <w:tcW w:w="5000" w:type="pct"/>
            <w:tcBorders>
              <w:top w:val="single" w:sz="4" w:space="0" w:color="auto"/>
              <w:left w:val="single" w:sz="4" w:space="0" w:color="auto"/>
              <w:bottom w:val="single" w:sz="4" w:space="0" w:color="auto"/>
              <w:right w:val="single" w:sz="4" w:space="0" w:color="auto"/>
            </w:tcBorders>
          </w:tcPr>
          <w:p w14:paraId="033780A6" w14:textId="71526568" w:rsidR="00765288" w:rsidRPr="00D81EF6" w:rsidRDefault="00765288" w:rsidP="00CF66A2">
            <w:pPr>
              <w:rPr>
                <w:rFonts w:ascii="Arial Narrow" w:hAnsi="Arial Narrow" w:cs="Arial"/>
                <w:b/>
                <w:sz w:val="18"/>
                <w:szCs w:val="18"/>
              </w:rPr>
            </w:pPr>
            <w:r w:rsidRPr="00D81EF6">
              <w:rPr>
                <w:rFonts w:ascii="Arial Narrow" w:hAnsi="Arial Narrow" w:cs="Arial"/>
                <w:b/>
                <w:sz w:val="18"/>
                <w:szCs w:val="18"/>
              </w:rPr>
              <w:t xml:space="preserve">Prescriber type:   </w:t>
            </w:r>
            <w:r w:rsidRPr="008B405F">
              <w:rPr>
                <w:rFonts w:ascii="Arial Narrow" w:hAnsi="Arial Narrow" w:cs="Arial"/>
                <w:sz w:val="18"/>
                <w:szCs w:val="18"/>
              </w:rPr>
              <w:fldChar w:fldCharType="begin">
                <w:ffData>
                  <w:name w:val=""/>
                  <w:enabled/>
                  <w:calcOnExit w:val="0"/>
                  <w:checkBox>
                    <w:sizeAuto/>
                    <w:default w:val="1"/>
                  </w:checkBox>
                </w:ffData>
              </w:fldChar>
            </w:r>
            <w:r w:rsidRPr="00D81EF6">
              <w:rPr>
                <w:rFonts w:ascii="Arial Narrow" w:hAnsi="Arial Narrow" w:cs="Arial"/>
                <w:sz w:val="18"/>
                <w:szCs w:val="18"/>
              </w:rPr>
              <w:instrText xml:space="preserve"> FORMCHECKBOX </w:instrText>
            </w:r>
            <w:r w:rsidR="000129CA">
              <w:rPr>
                <w:rFonts w:ascii="Arial Narrow" w:hAnsi="Arial Narrow" w:cs="Arial"/>
                <w:sz w:val="18"/>
                <w:szCs w:val="18"/>
              </w:rPr>
            </w:r>
            <w:r w:rsidR="000129CA">
              <w:rPr>
                <w:rFonts w:ascii="Arial Narrow" w:hAnsi="Arial Narrow" w:cs="Arial"/>
                <w:sz w:val="18"/>
                <w:szCs w:val="18"/>
              </w:rPr>
              <w:fldChar w:fldCharType="separate"/>
            </w:r>
            <w:r w:rsidRPr="008B405F">
              <w:rPr>
                <w:rFonts w:ascii="Arial Narrow" w:hAnsi="Arial Narrow" w:cs="Arial"/>
                <w:sz w:val="18"/>
                <w:szCs w:val="18"/>
              </w:rPr>
              <w:fldChar w:fldCharType="end"/>
            </w:r>
            <w:r w:rsidR="000129CA">
              <w:rPr>
                <w:rFonts w:ascii="Arial Narrow" w:hAnsi="Arial Narrow" w:cs="Arial"/>
                <w:sz w:val="18"/>
                <w:szCs w:val="18"/>
              </w:rPr>
              <w:t xml:space="preserve">Medical Practitioners </w:t>
            </w:r>
          </w:p>
        </w:tc>
      </w:tr>
      <w:tr w:rsidR="00765288" w:rsidRPr="00D81EF6" w14:paraId="4A741AC3" w14:textId="77777777" w:rsidTr="00ED0229">
        <w:tc>
          <w:tcPr>
            <w:tcW w:w="5000" w:type="pct"/>
            <w:tcBorders>
              <w:top w:val="single" w:sz="4" w:space="0" w:color="auto"/>
              <w:left w:val="single" w:sz="4" w:space="0" w:color="auto"/>
              <w:bottom w:val="single" w:sz="4" w:space="0" w:color="auto"/>
              <w:right w:val="single" w:sz="4" w:space="0" w:color="auto"/>
            </w:tcBorders>
          </w:tcPr>
          <w:p w14:paraId="4DF167FA" w14:textId="7C264319" w:rsidR="00765288" w:rsidRPr="00D81EF6" w:rsidRDefault="00765288" w:rsidP="006F4C21">
            <w:pPr>
              <w:rPr>
                <w:rFonts w:ascii="Arial Narrow" w:hAnsi="Arial Narrow" w:cs="Arial"/>
                <w:b/>
                <w:sz w:val="18"/>
                <w:szCs w:val="18"/>
              </w:rPr>
            </w:pPr>
            <w:r w:rsidRPr="00D81EF6">
              <w:rPr>
                <w:rFonts w:ascii="Arial Narrow" w:hAnsi="Arial Narrow" w:cs="Arial"/>
                <w:b/>
                <w:sz w:val="18"/>
                <w:szCs w:val="18"/>
              </w:rPr>
              <w:t>Restriction</w:t>
            </w:r>
            <w:r w:rsidR="00CF66A2" w:rsidRPr="00D81EF6">
              <w:rPr>
                <w:rFonts w:ascii="Arial Narrow" w:hAnsi="Arial Narrow" w:cs="Arial"/>
                <w:b/>
                <w:sz w:val="18"/>
                <w:szCs w:val="18"/>
              </w:rPr>
              <w:t xml:space="preserve"> type</w:t>
            </w:r>
            <w:r w:rsidRPr="00D81EF6">
              <w:rPr>
                <w:rFonts w:ascii="Arial Narrow" w:hAnsi="Arial Narrow" w:cs="Arial"/>
                <w:b/>
                <w:sz w:val="18"/>
                <w:szCs w:val="18"/>
              </w:rPr>
              <w:t xml:space="preserve"> / Method:</w:t>
            </w:r>
          </w:p>
          <w:p w14:paraId="2F0ABFFD" w14:textId="5ABB2049" w:rsidR="00765288" w:rsidRPr="00D81EF6" w:rsidRDefault="00765288" w:rsidP="006F4C21">
            <w:pPr>
              <w:rPr>
                <w:rFonts w:ascii="Arial Narrow" w:hAnsi="Arial Narrow" w:cs="Arial"/>
                <w:sz w:val="18"/>
                <w:szCs w:val="18"/>
              </w:rPr>
            </w:pPr>
            <w:r w:rsidRPr="008B405F">
              <w:rPr>
                <w:rFonts w:ascii="Arial Narrow" w:hAnsi="Arial Narrow" w:cs="Arial"/>
                <w:sz w:val="18"/>
                <w:szCs w:val="18"/>
              </w:rPr>
              <w:fldChar w:fldCharType="begin">
                <w:ffData>
                  <w:name w:val=""/>
                  <w:enabled/>
                  <w:calcOnExit w:val="0"/>
                  <w:checkBox>
                    <w:sizeAuto/>
                    <w:default w:val="1"/>
                  </w:checkBox>
                </w:ffData>
              </w:fldChar>
            </w:r>
            <w:r w:rsidRPr="00D81EF6">
              <w:rPr>
                <w:rFonts w:ascii="Arial Narrow" w:hAnsi="Arial Narrow" w:cs="Arial"/>
                <w:sz w:val="18"/>
                <w:szCs w:val="18"/>
              </w:rPr>
              <w:instrText xml:space="preserve"> FORMCHECKBOX </w:instrText>
            </w:r>
            <w:r w:rsidR="000129CA">
              <w:rPr>
                <w:rFonts w:ascii="Arial Narrow" w:hAnsi="Arial Narrow" w:cs="Arial"/>
                <w:sz w:val="18"/>
                <w:szCs w:val="18"/>
              </w:rPr>
            </w:r>
            <w:r w:rsidR="000129CA">
              <w:rPr>
                <w:rFonts w:ascii="Arial Narrow" w:hAnsi="Arial Narrow" w:cs="Arial"/>
                <w:sz w:val="18"/>
                <w:szCs w:val="18"/>
              </w:rPr>
              <w:fldChar w:fldCharType="separate"/>
            </w:r>
            <w:r w:rsidRPr="008B405F">
              <w:rPr>
                <w:rFonts w:ascii="Arial Narrow" w:hAnsi="Arial Narrow" w:cs="Arial"/>
                <w:sz w:val="18"/>
                <w:szCs w:val="18"/>
              </w:rPr>
              <w:fldChar w:fldCharType="end"/>
            </w:r>
            <w:r w:rsidRPr="00D81EF6">
              <w:rPr>
                <w:rFonts w:ascii="Arial Narrow" w:hAnsi="Arial Narrow" w:cs="Arial"/>
                <w:sz w:val="18"/>
                <w:szCs w:val="18"/>
              </w:rPr>
              <w:t xml:space="preserve">Authority Required – </w:t>
            </w:r>
            <w:r w:rsidR="00CF66A2" w:rsidRPr="00D81EF6">
              <w:rPr>
                <w:rFonts w:ascii="Arial Narrow" w:hAnsi="Arial Narrow" w:cs="Arial"/>
                <w:sz w:val="18"/>
                <w:szCs w:val="18"/>
              </w:rPr>
              <w:t>delayed assessment (</w:t>
            </w:r>
            <w:r w:rsidRPr="00D81EF6">
              <w:rPr>
                <w:rFonts w:ascii="Arial Narrow" w:hAnsi="Arial Narrow" w:cs="Arial"/>
                <w:sz w:val="18"/>
                <w:szCs w:val="18"/>
              </w:rPr>
              <w:t>In Writing</w:t>
            </w:r>
            <w:r w:rsidR="00CF66A2" w:rsidRPr="00D81EF6">
              <w:rPr>
                <w:rFonts w:ascii="Arial Narrow" w:hAnsi="Arial Narrow" w:cs="Arial"/>
                <w:sz w:val="18"/>
                <w:szCs w:val="18"/>
              </w:rPr>
              <w:t xml:space="preserve"> lodged via post or electronic upload)</w:t>
            </w:r>
          </w:p>
        </w:tc>
      </w:tr>
      <w:tr w:rsidR="00765288" w:rsidRPr="00D81EF6" w14:paraId="6945DCE8" w14:textId="77777777" w:rsidTr="00ED0229">
        <w:tc>
          <w:tcPr>
            <w:tcW w:w="5000" w:type="pct"/>
            <w:vAlign w:val="center"/>
            <w:hideMark/>
          </w:tcPr>
          <w:p w14:paraId="48E08B1E" w14:textId="77777777" w:rsidR="00765288" w:rsidRPr="00D81EF6" w:rsidRDefault="00765288" w:rsidP="006F4C21">
            <w:pPr>
              <w:rPr>
                <w:rFonts w:ascii="Arial Narrow" w:hAnsi="Arial Narrow"/>
                <w:sz w:val="18"/>
                <w:szCs w:val="18"/>
              </w:rPr>
            </w:pPr>
            <w:r w:rsidRPr="00D81EF6">
              <w:rPr>
                <w:rFonts w:ascii="Arial Narrow" w:hAnsi="Arial Narrow"/>
                <w:b/>
                <w:bCs/>
                <w:sz w:val="18"/>
                <w:szCs w:val="18"/>
              </w:rPr>
              <w:t>Indication:</w:t>
            </w:r>
            <w:r w:rsidRPr="00D81EF6">
              <w:rPr>
                <w:rFonts w:ascii="Arial Narrow" w:hAnsi="Arial Narrow"/>
                <w:sz w:val="18"/>
                <w:szCs w:val="18"/>
              </w:rPr>
              <w:t xml:space="preserve"> Narcolepsy</w:t>
            </w:r>
          </w:p>
        </w:tc>
      </w:tr>
      <w:tr w:rsidR="00765288" w:rsidRPr="00D81EF6" w14:paraId="056EB849" w14:textId="77777777" w:rsidTr="00ED0229">
        <w:tc>
          <w:tcPr>
            <w:tcW w:w="5000" w:type="pct"/>
            <w:vAlign w:val="center"/>
            <w:hideMark/>
          </w:tcPr>
          <w:p w14:paraId="6DEF03B9" w14:textId="77777777" w:rsidR="00765288" w:rsidRPr="00D81EF6" w:rsidRDefault="00765288" w:rsidP="006F4C21">
            <w:pPr>
              <w:rPr>
                <w:rFonts w:ascii="Arial Narrow" w:hAnsi="Arial Narrow"/>
                <w:sz w:val="18"/>
                <w:szCs w:val="18"/>
              </w:rPr>
            </w:pPr>
            <w:r w:rsidRPr="00D81EF6">
              <w:rPr>
                <w:rFonts w:ascii="Arial Narrow" w:hAnsi="Arial Narrow"/>
                <w:b/>
                <w:bCs/>
                <w:sz w:val="18"/>
                <w:szCs w:val="18"/>
              </w:rPr>
              <w:t>Treatment Phase:</w:t>
            </w:r>
            <w:r w:rsidRPr="00D81EF6">
              <w:rPr>
                <w:rFonts w:ascii="Arial Narrow" w:hAnsi="Arial Narrow"/>
                <w:sz w:val="18"/>
                <w:szCs w:val="18"/>
              </w:rPr>
              <w:t xml:space="preserve"> Initial treatment</w:t>
            </w:r>
          </w:p>
        </w:tc>
      </w:tr>
      <w:tr w:rsidR="00765288" w:rsidRPr="00D81EF6" w14:paraId="6C441ECE" w14:textId="77777777" w:rsidTr="00ED0229">
        <w:tc>
          <w:tcPr>
            <w:tcW w:w="5000" w:type="pct"/>
            <w:vAlign w:val="center"/>
          </w:tcPr>
          <w:p w14:paraId="407C6365" w14:textId="77777777" w:rsidR="00765288" w:rsidRPr="00D81EF6" w:rsidRDefault="00765288" w:rsidP="006F4C21">
            <w:pPr>
              <w:rPr>
                <w:rFonts w:ascii="Arial Narrow" w:hAnsi="Arial Narrow"/>
                <w:sz w:val="18"/>
                <w:szCs w:val="18"/>
              </w:rPr>
            </w:pPr>
            <w:r w:rsidRPr="00D81EF6">
              <w:rPr>
                <w:rFonts w:ascii="Arial Narrow" w:hAnsi="Arial Narrow"/>
                <w:b/>
                <w:bCs/>
                <w:sz w:val="18"/>
                <w:szCs w:val="18"/>
              </w:rPr>
              <w:t>Administrative Advice:</w:t>
            </w:r>
          </w:p>
          <w:p w14:paraId="7EFDDE3F" w14:textId="77777777" w:rsidR="00765288" w:rsidRPr="00D81EF6" w:rsidRDefault="00765288" w:rsidP="006F4C21">
            <w:pPr>
              <w:rPr>
                <w:rFonts w:ascii="Arial Narrow" w:hAnsi="Arial Narrow"/>
                <w:b/>
                <w:bCs/>
                <w:sz w:val="18"/>
                <w:szCs w:val="18"/>
              </w:rPr>
            </w:pPr>
            <w:r w:rsidRPr="00D81EF6">
              <w:rPr>
                <w:rFonts w:ascii="Arial Narrow" w:hAnsi="Arial Narrow"/>
                <w:sz w:val="18"/>
                <w:szCs w:val="18"/>
              </w:rPr>
              <w:t>This drug is not PBS-subsidised when used in combination with PBS-subsidised dexamfetamine sulfate or armodafinil.</w:t>
            </w:r>
          </w:p>
        </w:tc>
      </w:tr>
      <w:tr w:rsidR="00765288" w:rsidRPr="00D81EF6" w14:paraId="71C49F95" w14:textId="77777777" w:rsidTr="00ED0229">
        <w:tc>
          <w:tcPr>
            <w:tcW w:w="5000" w:type="pct"/>
            <w:vAlign w:val="center"/>
          </w:tcPr>
          <w:p w14:paraId="27DA037D" w14:textId="77777777" w:rsidR="00765288" w:rsidRPr="00D81EF6" w:rsidRDefault="00765288" w:rsidP="006F4C21">
            <w:pPr>
              <w:rPr>
                <w:rFonts w:ascii="Arial Narrow" w:hAnsi="Arial Narrow"/>
                <w:b/>
                <w:bCs/>
                <w:sz w:val="18"/>
                <w:szCs w:val="18"/>
              </w:rPr>
            </w:pPr>
            <w:r w:rsidRPr="00D81EF6">
              <w:rPr>
                <w:rFonts w:ascii="Arial Narrow" w:hAnsi="Arial Narrow"/>
                <w:b/>
                <w:bCs/>
                <w:sz w:val="18"/>
                <w:szCs w:val="18"/>
              </w:rPr>
              <w:t>Treatment criteria:</w:t>
            </w:r>
          </w:p>
        </w:tc>
      </w:tr>
      <w:tr w:rsidR="00765288" w:rsidRPr="00D81EF6" w14:paraId="00F88675" w14:textId="77777777" w:rsidTr="00ED0229">
        <w:tc>
          <w:tcPr>
            <w:tcW w:w="5000" w:type="pct"/>
            <w:vAlign w:val="center"/>
          </w:tcPr>
          <w:p w14:paraId="53AF23AD" w14:textId="77777777" w:rsidR="00765288" w:rsidRPr="00D81EF6" w:rsidRDefault="00765288" w:rsidP="006F4C21">
            <w:pPr>
              <w:rPr>
                <w:rFonts w:ascii="Arial Narrow" w:hAnsi="Arial Narrow"/>
                <w:bCs/>
                <w:sz w:val="18"/>
                <w:szCs w:val="18"/>
              </w:rPr>
            </w:pPr>
            <w:r w:rsidRPr="00D81EF6">
              <w:rPr>
                <w:rFonts w:ascii="Arial Narrow" w:hAnsi="Arial Narrow"/>
                <w:bCs/>
                <w:sz w:val="18"/>
                <w:szCs w:val="18"/>
              </w:rPr>
              <w:t>Must be treated by a qualified sleep medicine practitioner or neurologist</w:t>
            </w:r>
          </w:p>
        </w:tc>
      </w:tr>
      <w:tr w:rsidR="00765288" w:rsidRPr="00D81EF6" w14:paraId="5729E339" w14:textId="77777777" w:rsidTr="00ED0229">
        <w:tc>
          <w:tcPr>
            <w:tcW w:w="5000" w:type="pct"/>
            <w:vAlign w:val="center"/>
            <w:hideMark/>
          </w:tcPr>
          <w:p w14:paraId="2A389146" w14:textId="77777777" w:rsidR="00765288" w:rsidRPr="00D81EF6" w:rsidRDefault="00765288" w:rsidP="006F4C21">
            <w:pPr>
              <w:rPr>
                <w:rFonts w:ascii="Arial Narrow" w:hAnsi="Arial Narrow"/>
                <w:strike/>
                <w:sz w:val="18"/>
                <w:szCs w:val="18"/>
              </w:rPr>
            </w:pPr>
            <w:r w:rsidRPr="00D81EF6">
              <w:rPr>
                <w:rFonts w:ascii="Arial Narrow" w:hAnsi="Arial Narrow"/>
                <w:b/>
                <w:bCs/>
                <w:strike/>
                <w:sz w:val="18"/>
                <w:szCs w:val="18"/>
              </w:rPr>
              <w:t>Clinical criteria:</w:t>
            </w:r>
          </w:p>
        </w:tc>
      </w:tr>
      <w:tr w:rsidR="00765288" w:rsidRPr="00D81EF6" w14:paraId="6FBE0F86" w14:textId="77777777" w:rsidTr="00ED0229">
        <w:tc>
          <w:tcPr>
            <w:tcW w:w="5000" w:type="pct"/>
            <w:vAlign w:val="center"/>
            <w:hideMark/>
          </w:tcPr>
          <w:p w14:paraId="5C276E44" w14:textId="2BF6A59C" w:rsidR="00765288" w:rsidRPr="00D81EF6" w:rsidRDefault="00765288" w:rsidP="006F4C21">
            <w:pPr>
              <w:jc w:val="left"/>
              <w:rPr>
                <w:rFonts w:ascii="Arial Narrow" w:hAnsi="Arial Narrow"/>
                <w:strike/>
                <w:sz w:val="18"/>
                <w:szCs w:val="18"/>
              </w:rPr>
            </w:pPr>
            <w:r w:rsidRPr="00D81EF6">
              <w:rPr>
                <w:rFonts w:ascii="Arial Narrow" w:hAnsi="Arial Narrow"/>
                <w:strike/>
                <w:sz w:val="18"/>
                <w:szCs w:val="18"/>
              </w:rPr>
              <w:t>The treatment must be for use when therapy with dexamfetamine sulfate poses an unacceptable medical</w:t>
            </w:r>
            <w:r w:rsidR="00E149F1">
              <w:rPr>
                <w:rFonts w:ascii="Arial Narrow" w:hAnsi="Arial Narrow"/>
                <w:strike/>
                <w:sz w:val="18"/>
                <w:szCs w:val="18"/>
              </w:rPr>
              <w:t xml:space="preserve"> risk</w:t>
            </w:r>
            <w:r w:rsidRPr="00D81EF6">
              <w:rPr>
                <w:rFonts w:ascii="Arial Narrow" w:hAnsi="Arial Narrow"/>
                <w:strike/>
                <w:sz w:val="18"/>
                <w:szCs w:val="18"/>
              </w:rPr>
              <w:t xml:space="preserve"> </w:t>
            </w:r>
          </w:p>
        </w:tc>
      </w:tr>
      <w:tr w:rsidR="00765288" w:rsidRPr="00D81EF6" w14:paraId="7F853E9B" w14:textId="77777777" w:rsidTr="00ED0229">
        <w:tc>
          <w:tcPr>
            <w:tcW w:w="5000" w:type="pct"/>
            <w:vAlign w:val="center"/>
          </w:tcPr>
          <w:p w14:paraId="1E21534C" w14:textId="77777777" w:rsidR="00765288" w:rsidRPr="00D81EF6" w:rsidRDefault="00765288" w:rsidP="006F4C21">
            <w:pPr>
              <w:jc w:val="left"/>
              <w:rPr>
                <w:rFonts w:ascii="Arial Narrow" w:hAnsi="Arial Narrow"/>
                <w:b/>
                <w:strike/>
                <w:sz w:val="18"/>
                <w:szCs w:val="18"/>
              </w:rPr>
            </w:pPr>
            <w:r w:rsidRPr="00D81EF6">
              <w:rPr>
                <w:rFonts w:ascii="Arial Narrow" w:hAnsi="Arial Narrow"/>
                <w:b/>
                <w:strike/>
                <w:sz w:val="18"/>
                <w:szCs w:val="18"/>
              </w:rPr>
              <w:lastRenderedPageBreak/>
              <w:t>OR</w:t>
            </w:r>
          </w:p>
        </w:tc>
      </w:tr>
      <w:tr w:rsidR="00765288" w:rsidRPr="00D81EF6" w14:paraId="3783B352" w14:textId="77777777" w:rsidTr="00ED0229">
        <w:tc>
          <w:tcPr>
            <w:tcW w:w="5000" w:type="pct"/>
            <w:vAlign w:val="center"/>
          </w:tcPr>
          <w:p w14:paraId="189F6F76" w14:textId="77777777" w:rsidR="00765288" w:rsidRPr="00D81EF6" w:rsidRDefault="00765288" w:rsidP="006F4C21">
            <w:pPr>
              <w:jc w:val="left"/>
              <w:rPr>
                <w:rFonts w:ascii="Arial Narrow" w:hAnsi="Arial Narrow"/>
                <w:strike/>
                <w:sz w:val="18"/>
                <w:szCs w:val="18"/>
              </w:rPr>
            </w:pPr>
            <w:r w:rsidRPr="00D81EF6">
              <w:rPr>
                <w:rFonts w:ascii="Arial Narrow" w:hAnsi="Arial Narrow"/>
                <w:strike/>
                <w:sz w:val="18"/>
                <w:szCs w:val="18"/>
              </w:rPr>
              <w:t>The treatment must be for use when intolerance to dexamfetamine sulfate is of a severity to necessitate treatment withdrawal</w:t>
            </w:r>
          </w:p>
        </w:tc>
      </w:tr>
      <w:tr w:rsidR="00765288" w:rsidRPr="00D81EF6" w14:paraId="0FE810D9" w14:textId="77777777" w:rsidTr="00ED0229">
        <w:tc>
          <w:tcPr>
            <w:tcW w:w="5000" w:type="pct"/>
            <w:vAlign w:val="center"/>
            <w:hideMark/>
          </w:tcPr>
          <w:p w14:paraId="0C5ABBEC" w14:textId="77777777" w:rsidR="00765288" w:rsidRPr="00D81EF6" w:rsidRDefault="00765288" w:rsidP="006F4C21">
            <w:pPr>
              <w:rPr>
                <w:rFonts w:ascii="Arial Narrow" w:hAnsi="Arial Narrow"/>
                <w:strike/>
                <w:sz w:val="18"/>
                <w:szCs w:val="18"/>
              </w:rPr>
            </w:pPr>
            <w:r w:rsidRPr="00D81EF6">
              <w:rPr>
                <w:rFonts w:ascii="Arial Narrow" w:hAnsi="Arial Narrow"/>
                <w:b/>
                <w:bCs/>
                <w:strike/>
                <w:sz w:val="18"/>
                <w:szCs w:val="18"/>
              </w:rPr>
              <w:t>AND</w:t>
            </w:r>
          </w:p>
        </w:tc>
      </w:tr>
      <w:tr w:rsidR="00765288" w:rsidRPr="00D81EF6" w14:paraId="768EF9AA" w14:textId="77777777" w:rsidTr="00ED0229">
        <w:tc>
          <w:tcPr>
            <w:tcW w:w="5000" w:type="pct"/>
            <w:vAlign w:val="center"/>
            <w:hideMark/>
          </w:tcPr>
          <w:p w14:paraId="727E68FF" w14:textId="77777777" w:rsidR="00765288" w:rsidRPr="00D81EF6" w:rsidRDefault="00765288" w:rsidP="006F4C21">
            <w:pPr>
              <w:rPr>
                <w:rFonts w:ascii="Arial Narrow" w:hAnsi="Arial Narrow"/>
                <w:sz w:val="18"/>
                <w:szCs w:val="18"/>
              </w:rPr>
            </w:pPr>
            <w:r w:rsidRPr="00D81EF6">
              <w:rPr>
                <w:rFonts w:ascii="Arial Narrow" w:hAnsi="Arial Narrow"/>
                <w:b/>
                <w:bCs/>
                <w:sz w:val="18"/>
                <w:szCs w:val="18"/>
              </w:rPr>
              <w:t>Clinical criteria:</w:t>
            </w:r>
          </w:p>
        </w:tc>
      </w:tr>
      <w:tr w:rsidR="00765288" w:rsidRPr="00D81EF6" w14:paraId="76434375" w14:textId="77777777" w:rsidTr="00ED0229">
        <w:tc>
          <w:tcPr>
            <w:tcW w:w="5000" w:type="pct"/>
            <w:vAlign w:val="center"/>
            <w:hideMark/>
          </w:tcPr>
          <w:p w14:paraId="1AB3940C" w14:textId="77777777" w:rsidR="00765288" w:rsidRPr="00D81EF6" w:rsidRDefault="00765288" w:rsidP="006F4C21">
            <w:pPr>
              <w:rPr>
                <w:rFonts w:ascii="Arial Narrow" w:hAnsi="Arial Narrow"/>
                <w:sz w:val="18"/>
                <w:szCs w:val="18"/>
              </w:rPr>
            </w:pPr>
            <w:r w:rsidRPr="00D81EF6">
              <w:rPr>
                <w:rFonts w:ascii="Arial Narrow" w:hAnsi="Arial Narrow"/>
                <w:sz w:val="18"/>
                <w:szCs w:val="18"/>
              </w:rPr>
              <w:t>Patient must have experienced excessive daytime sleepiness, recurrent naps or lapses into sleep occurring almost daily for at least 3 months</w:t>
            </w:r>
          </w:p>
        </w:tc>
      </w:tr>
      <w:tr w:rsidR="00765288" w:rsidRPr="00D81EF6" w14:paraId="13640DA4" w14:textId="77777777" w:rsidTr="00ED0229">
        <w:tc>
          <w:tcPr>
            <w:tcW w:w="5000" w:type="pct"/>
            <w:vAlign w:val="center"/>
            <w:hideMark/>
          </w:tcPr>
          <w:p w14:paraId="7D03BC84" w14:textId="77777777" w:rsidR="00765288" w:rsidRPr="00D81EF6" w:rsidRDefault="00765288" w:rsidP="006F4C21">
            <w:pPr>
              <w:rPr>
                <w:rFonts w:ascii="Arial Narrow" w:hAnsi="Arial Narrow"/>
                <w:sz w:val="18"/>
                <w:szCs w:val="18"/>
              </w:rPr>
            </w:pPr>
            <w:r w:rsidRPr="00D81EF6">
              <w:rPr>
                <w:rFonts w:ascii="Arial Narrow" w:hAnsi="Arial Narrow"/>
                <w:b/>
                <w:bCs/>
                <w:sz w:val="18"/>
                <w:szCs w:val="18"/>
              </w:rPr>
              <w:t>AND</w:t>
            </w:r>
          </w:p>
        </w:tc>
      </w:tr>
      <w:tr w:rsidR="00765288" w:rsidRPr="00D81EF6" w14:paraId="44E99EBE" w14:textId="77777777" w:rsidTr="00ED0229">
        <w:tc>
          <w:tcPr>
            <w:tcW w:w="5000" w:type="pct"/>
            <w:vAlign w:val="center"/>
            <w:hideMark/>
          </w:tcPr>
          <w:p w14:paraId="4A33EBCB" w14:textId="77777777" w:rsidR="00765288" w:rsidRPr="00D81EF6" w:rsidRDefault="00765288" w:rsidP="006F4C21">
            <w:pPr>
              <w:rPr>
                <w:rFonts w:ascii="Arial Narrow" w:hAnsi="Arial Narrow"/>
                <w:sz w:val="18"/>
                <w:szCs w:val="18"/>
              </w:rPr>
            </w:pPr>
            <w:r w:rsidRPr="00D81EF6">
              <w:rPr>
                <w:rFonts w:ascii="Arial Narrow" w:hAnsi="Arial Narrow"/>
                <w:b/>
                <w:bCs/>
                <w:sz w:val="18"/>
                <w:szCs w:val="18"/>
              </w:rPr>
              <w:t>Clinical criteria:</w:t>
            </w:r>
          </w:p>
        </w:tc>
      </w:tr>
      <w:tr w:rsidR="00765288" w:rsidRPr="00D81EF6" w14:paraId="4DC97BFC" w14:textId="77777777" w:rsidTr="00ED0229">
        <w:tc>
          <w:tcPr>
            <w:tcW w:w="5000" w:type="pct"/>
            <w:vAlign w:val="center"/>
            <w:hideMark/>
          </w:tcPr>
          <w:p w14:paraId="11F70D64" w14:textId="77777777" w:rsidR="00765288" w:rsidRPr="00D81EF6" w:rsidRDefault="00765288" w:rsidP="006F4C21">
            <w:pPr>
              <w:rPr>
                <w:rFonts w:ascii="Arial Narrow" w:hAnsi="Arial Narrow"/>
                <w:sz w:val="18"/>
                <w:szCs w:val="18"/>
              </w:rPr>
            </w:pPr>
            <w:r w:rsidRPr="00D81EF6">
              <w:rPr>
                <w:rFonts w:ascii="Arial Narrow" w:hAnsi="Arial Narrow"/>
                <w:sz w:val="18"/>
                <w:szCs w:val="18"/>
              </w:rPr>
              <w:t>Patient must have a definite history of cataplexy;</w:t>
            </w:r>
          </w:p>
        </w:tc>
      </w:tr>
      <w:tr w:rsidR="00765288" w:rsidRPr="00D81EF6" w14:paraId="0B176B89" w14:textId="77777777" w:rsidTr="00ED0229">
        <w:tc>
          <w:tcPr>
            <w:tcW w:w="5000" w:type="pct"/>
            <w:vAlign w:val="center"/>
          </w:tcPr>
          <w:p w14:paraId="1973D0A1" w14:textId="77777777" w:rsidR="00765288" w:rsidRPr="00D81EF6" w:rsidRDefault="00765288" w:rsidP="006F4C21">
            <w:pPr>
              <w:rPr>
                <w:rFonts w:ascii="Arial Narrow" w:hAnsi="Arial Narrow"/>
                <w:b/>
                <w:sz w:val="18"/>
                <w:szCs w:val="18"/>
              </w:rPr>
            </w:pPr>
            <w:r w:rsidRPr="00D81EF6">
              <w:rPr>
                <w:rFonts w:ascii="Arial Narrow" w:hAnsi="Arial Narrow"/>
                <w:b/>
                <w:sz w:val="18"/>
                <w:szCs w:val="18"/>
              </w:rPr>
              <w:t>OR</w:t>
            </w:r>
          </w:p>
        </w:tc>
      </w:tr>
      <w:tr w:rsidR="00765288" w:rsidRPr="00D81EF6" w14:paraId="196BCBE8" w14:textId="77777777" w:rsidTr="00ED0229">
        <w:tc>
          <w:tcPr>
            <w:tcW w:w="5000" w:type="pct"/>
            <w:vAlign w:val="center"/>
          </w:tcPr>
          <w:p w14:paraId="3A102BC4" w14:textId="77777777" w:rsidR="00765288" w:rsidRPr="00D81EF6" w:rsidRDefault="00765288" w:rsidP="006F4C21">
            <w:pPr>
              <w:rPr>
                <w:rFonts w:ascii="Arial Narrow" w:hAnsi="Arial Narrow"/>
                <w:sz w:val="18"/>
                <w:szCs w:val="18"/>
              </w:rPr>
            </w:pPr>
            <w:r w:rsidRPr="00D81EF6">
              <w:rPr>
                <w:rFonts w:ascii="Arial Narrow" w:hAnsi="Arial Narrow"/>
                <w:sz w:val="18"/>
                <w:szCs w:val="18"/>
              </w:rPr>
              <w:t>Patient must have a mean sleep latency less than or equal to 10 minutes on a Multiple Sleep Latency Test (MSLT);</w:t>
            </w:r>
          </w:p>
        </w:tc>
      </w:tr>
      <w:tr w:rsidR="00765288" w:rsidRPr="00D81EF6" w14:paraId="14D74AF8" w14:textId="77777777" w:rsidTr="00ED0229">
        <w:tc>
          <w:tcPr>
            <w:tcW w:w="5000" w:type="pct"/>
            <w:vAlign w:val="center"/>
          </w:tcPr>
          <w:p w14:paraId="08A74A3A" w14:textId="77777777" w:rsidR="00765288" w:rsidRPr="00D81EF6" w:rsidRDefault="00765288" w:rsidP="006F4C21">
            <w:pPr>
              <w:rPr>
                <w:rFonts w:ascii="Arial Narrow" w:hAnsi="Arial Narrow"/>
                <w:b/>
                <w:sz w:val="18"/>
                <w:szCs w:val="18"/>
              </w:rPr>
            </w:pPr>
            <w:r w:rsidRPr="00D81EF6">
              <w:rPr>
                <w:rFonts w:ascii="Arial Narrow" w:hAnsi="Arial Narrow"/>
                <w:b/>
                <w:sz w:val="18"/>
                <w:szCs w:val="18"/>
              </w:rPr>
              <w:t>OR</w:t>
            </w:r>
          </w:p>
        </w:tc>
      </w:tr>
      <w:tr w:rsidR="00765288" w:rsidRPr="00D81EF6" w14:paraId="6579784C" w14:textId="77777777" w:rsidTr="00ED0229">
        <w:tc>
          <w:tcPr>
            <w:tcW w:w="5000" w:type="pct"/>
            <w:vAlign w:val="center"/>
          </w:tcPr>
          <w:p w14:paraId="6A9EB458" w14:textId="77777777" w:rsidR="00765288" w:rsidRPr="00D81EF6" w:rsidRDefault="00765288" w:rsidP="006F4C21">
            <w:pPr>
              <w:rPr>
                <w:rFonts w:ascii="Arial Narrow" w:hAnsi="Arial Narrow"/>
                <w:sz w:val="18"/>
                <w:szCs w:val="18"/>
              </w:rPr>
            </w:pPr>
            <w:r w:rsidRPr="00D81EF6">
              <w:rPr>
                <w:rFonts w:ascii="Arial Narrow" w:hAnsi="Arial Narrow"/>
                <w:sz w:val="18"/>
                <w:szCs w:val="18"/>
              </w:rPr>
              <w:t>Patient must have an electroencephalographic (EEG) recording showing the pathologically rapid development of REM sleep</w:t>
            </w:r>
          </w:p>
        </w:tc>
      </w:tr>
      <w:tr w:rsidR="00765288" w:rsidRPr="00D81EF6" w14:paraId="32AEF508" w14:textId="77777777" w:rsidTr="00ED0229">
        <w:tc>
          <w:tcPr>
            <w:tcW w:w="5000" w:type="pct"/>
            <w:vAlign w:val="center"/>
            <w:hideMark/>
          </w:tcPr>
          <w:p w14:paraId="6F308017" w14:textId="77777777" w:rsidR="00765288" w:rsidRPr="00D81EF6" w:rsidRDefault="00765288" w:rsidP="006F4C21">
            <w:pPr>
              <w:rPr>
                <w:rFonts w:ascii="Arial Narrow" w:hAnsi="Arial Narrow"/>
                <w:sz w:val="18"/>
                <w:szCs w:val="18"/>
              </w:rPr>
            </w:pPr>
            <w:r w:rsidRPr="00D81EF6">
              <w:rPr>
                <w:rFonts w:ascii="Arial Narrow" w:hAnsi="Arial Narrow"/>
                <w:b/>
                <w:bCs/>
                <w:sz w:val="18"/>
                <w:szCs w:val="18"/>
              </w:rPr>
              <w:t>AND</w:t>
            </w:r>
          </w:p>
        </w:tc>
      </w:tr>
      <w:tr w:rsidR="00765288" w:rsidRPr="00D81EF6" w14:paraId="5067231E" w14:textId="77777777" w:rsidTr="00ED0229">
        <w:tc>
          <w:tcPr>
            <w:tcW w:w="5000" w:type="pct"/>
            <w:vAlign w:val="center"/>
            <w:hideMark/>
          </w:tcPr>
          <w:p w14:paraId="471A20BF" w14:textId="77777777" w:rsidR="00765288" w:rsidRPr="00D81EF6" w:rsidRDefault="00765288" w:rsidP="006F4C21">
            <w:pPr>
              <w:rPr>
                <w:rFonts w:ascii="Arial Narrow" w:hAnsi="Arial Narrow"/>
                <w:sz w:val="18"/>
                <w:szCs w:val="18"/>
              </w:rPr>
            </w:pPr>
            <w:r w:rsidRPr="00D81EF6">
              <w:rPr>
                <w:rFonts w:ascii="Arial Narrow" w:hAnsi="Arial Narrow"/>
                <w:b/>
                <w:bCs/>
                <w:sz w:val="18"/>
                <w:szCs w:val="18"/>
              </w:rPr>
              <w:t>Clinical criteria:</w:t>
            </w:r>
          </w:p>
        </w:tc>
      </w:tr>
      <w:tr w:rsidR="00765288" w:rsidRPr="00D81EF6" w14:paraId="2A0D6480" w14:textId="77777777" w:rsidTr="00ED0229">
        <w:tc>
          <w:tcPr>
            <w:tcW w:w="5000" w:type="pct"/>
            <w:vAlign w:val="center"/>
            <w:hideMark/>
          </w:tcPr>
          <w:p w14:paraId="64FBC6FA" w14:textId="77777777" w:rsidR="00765288" w:rsidRPr="00D81EF6" w:rsidRDefault="00765288" w:rsidP="006F4C21">
            <w:pPr>
              <w:autoSpaceDE w:val="0"/>
              <w:autoSpaceDN w:val="0"/>
              <w:adjustRightInd w:val="0"/>
              <w:rPr>
                <w:rFonts w:ascii="Arial Narrow" w:hAnsi="Arial Narrow" w:cs="Arial Narrow"/>
                <w:iCs/>
                <w:sz w:val="20"/>
                <w:szCs w:val="20"/>
              </w:rPr>
            </w:pPr>
            <w:r w:rsidRPr="00D81EF6">
              <w:rPr>
                <w:rFonts w:ascii="Arial Narrow" w:hAnsi="Arial Narrow" w:cs="Arial Narrow"/>
                <w:iCs/>
                <w:sz w:val="18"/>
                <w:szCs w:val="18"/>
              </w:rPr>
              <w:t>Patient must not have any medical or psychiatric disorder that could otherwise account for the hypersomnia</w:t>
            </w:r>
          </w:p>
        </w:tc>
      </w:tr>
      <w:tr w:rsidR="00765288" w:rsidRPr="00D81EF6" w14:paraId="2163A148" w14:textId="77777777" w:rsidTr="00ED0229">
        <w:tc>
          <w:tcPr>
            <w:tcW w:w="5000" w:type="pct"/>
            <w:vAlign w:val="center"/>
            <w:hideMark/>
          </w:tcPr>
          <w:p w14:paraId="377B675A" w14:textId="77777777" w:rsidR="00765288" w:rsidRPr="00D81EF6" w:rsidRDefault="00765288" w:rsidP="006F4C21">
            <w:pPr>
              <w:rPr>
                <w:rFonts w:ascii="Arial Narrow" w:hAnsi="Arial Narrow"/>
                <w:b/>
                <w:bCs/>
                <w:strike/>
                <w:sz w:val="18"/>
                <w:szCs w:val="18"/>
              </w:rPr>
            </w:pPr>
            <w:r w:rsidRPr="00D81EF6">
              <w:rPr>
                <w:rFonts w:ascii="Arial Narrow" w:hAnsi="Arial Narrow"/>
                <w:b/>
                <w:bCs/>
                <w:strike/>
                <w:sz w:val="18"/>
                <w:szCs w:val="18"/>
              </w:rPr>
              <w:t>Prescribing Instructions:</w:t>
            </w:r>
          </w:p>
          <w:p w14:paraId="1438B34D"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The presence of any one of the following indicates treatment with dexamfetamine sulfate poses an unacceptable medical risk:</w:t>
            </w:r>
          </w:p>
          <w:p w14:paraId="5E434F03"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(a) a psychiatric disorder;</w:t>
            </w:r>
          </w:p>
          <w:p w14:paraId="573B0F37"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(b) a cardiovascular disorder;</w:t>
            </w:r>
          </w:p>
          <w:p w14:paraId="0FC384C1"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(c) a history of substance abuse;</w:t>
            </w:r>
          </w:p>
          <w:p w14:paraId="5AC8966F"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(d) glaucoma;</w:t>
            </w:r>
          </w:p>
          <w:p w14:paraId="5C40149D"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(e) any other absolute contraindication to dexamfetamine sulfate as specified in the TGA-approved Product Information.</w:t>
            </w:r>
          </w:p>
        </w:tc>
      </w:tr>
      <w:tr w:rsidR="00765288" w:rsidRPr="00D81EF6" w14:paraId="47DBA7DC" w14:textId="77777777" w:rsidTr="00ED0229">
        <w:tc>
          <w:tcPr>
            <w:tcW w:w="5000" w:type="pct"/>
            <w:vAlign w:val="center"/>
            <w:hideMark/>
          </w:tcPr>
          <w:p w14:paraId="53B685FF" w14:textId="77777777" w:rsidR="00765288" w:rsidRPr="00D81EF6" w:rsidRDefault="00765288" w:rsidP="006F4C21">
            <w:pPr>
              <w:jc w:val="left"/>
              <w:rPr>
                <w:rFonts w:ascii="Arial Narrow" w:hAnsi="Arial Narrow"/>
                <w:sz w:val="18"/>
                <w:szCs w:val="18"/>
              </w:rPr>
            </w:pPr>
            <w:r w:rsidRPr="00D81EF6">
              <w:rPr>
                <w:rFonts w:ascii="Arial Narrow" w:hAnsi="Arial Narrow"/>
                <w:b/>
                <w:bCs/>
                <w:sz w:val="18"/>
                <w:szCs w:val="18"/>
              </w:rPr>
              <w:t>Prescribing Instructions:</w:t>
            </w:r>
          </w:p>
          <w:p w14:paraId="1C3F6A3F" w14:textId="77777777" w:rsidR="00765288" w:rsidRPr="00D81EF6" w:rsidRDefault="00765288" w:rsidP="006F4C21">
            <w:pPr>
              <w:jc w:val="left"/>
              <w:rPr>
                <w:rFonts w:ascii="Arial Narrow" w:hAnsi="Arial Narrow"/>
                <w:sz w:val="18"/>
                <w:szCs w:val="18"/>
              </w:rPr>
            </w:pPr>
            <w:r w:rsidRPr="00D81EF6">
              <w:rPr>
                <w:rFonts w:ascii="Arial Narrow" w:hAnsi="Arial Narrow"/>
                <w:sz w:val="18"/>
                <w:szCs w:val="18"/>
              </w:rPr>
              <w:t>The MSLT must be preceded by nocturnal polysomnography. Sleep prior to the MSLT must be at least 6 hours in duration.</w:t>
            </w:r>
          </w:p>
        </w:tc>
      </w:tr>
      <w:tr w:rsidR="00765288" w:rsidRPr="00D81EF6" w14:paraId="5F6F99E6" w14:textId="77777777" w:rsidTr="00ED0229">
        <w:tc>
          <w:tcPr>
            <w:tcW w:w="5000" w:type="pct"/>
            <w:vAlign w:val="center"/>
            <w:hideMark/>
          </w:tcPr>
          <w:p w14:paraId="79001AB4" w14:textId="77777777" w:rsidR="00765288" w:rsidRPr="00D81EF6" w:rsidRDefault="00765288" w:rsidP="006F4C21">
            <w:pPr>
              <w:rPr>
                <w:rFonts w:ascii="Arial Narrow" w:hAnsi="Arial Narrow"/>
                <w:b/>
                <w:bCs/>
                <w:sz w:val="18"/>
                <w:szCs w:val="18"/>
              </w:rPr>
            </w:pPr>
            <w:r w:rsidRPr="00D81EF6">
              <w:rPr>
                <w:rFonts w:ascii="Arial Narrow" w:hAnsi="Arial Narrow"/>
                <w:b/>
                <w:bCs/>
                <w:sz w:val="18"/>
                <w:szCs w:val="18"/>
              </w:rPr>
              <w:t>Prescribing Instructions:</w:t>
            </w:r>
          </w:p>
          <w:p w14:paraId="140D677A" w14:textId="77777777" w:rsidR="00765288" w:rsidRPr="00D81EF6" w:rsidRDefault="00765288" w:rsidP="006F4C21">
            <w:pPr>
              <w:rPr>
                <w:rFonts w:ascii="Arial Narrow" w:hAnsi="Arial Narrow"/>
                <w:bCs/>
                <w:sz w:val="18"/>
                <w:szCs w:val="18"/>
              </w:rPr>
            </w:pPr>
            <w:r w:rsidRPr="00D81EF6">
              <w:rPr>
                <w:rFonts w:ascii="Arial Narrow" w:hAnsi="Arial Narrow"/>
                <w:bCs/>
                <w:sz w:val="18"/>
                <w:szCs w:val="18"/>
              </w:rPr>
              <w:t>The authority application must be made in writing and must include the following:</w:t>
            </w:r>
          </w:p>
          <w:p w14:paraId="61475F00" w14:textId="77777777" w:rsidR="00765288" w:rsidRPr="00D81EF6" w:rsidRDefault="00765288" w:rsidP="006F4C21">
            <w:pPr>
              <w:rPr>
                <w:rFonts w:ascii="Arial Narrow" w:hAnsi="Arial Narrow"/>
                <w:bCs/>
                <w:sz w:val="18"/>
                <w:szCs w:val="18"/>
              </w:rPr>
            </w:pPr>
            <w:r w:rsidRPr="00D81EF6">
              <w:rPr>
                <w:rFonts w:ascii="Arial Narrow" w:hAnsi="Arial Narrow"/>
                <w:bCs/>
                <w:sz w:val="18"/>
                <w:szCs w:val="18"/>
              </w:rPr>
              <w:t>(a) a completed authority prescription form; and</w:t>
            </w:r>
          </w:p>
          <w:p w14:paraId="0A147F3C" w14:textId="77777777" w:rsidR="00765288" w:rsidRPr="00D81EF6" w:rsidRDefault="00765288" w:rsidP="006F4C21">
            <w:pPr>
              <w:rPr>
                <w:rFonts w:ascii="Arial Narrow" w:hAnsi="Arial Narrow"/>
                <w:bCs/>
                <w:sz w:val="18"/>
                <w:szCs w:val="18"/>
              </w:rPr>
            </w:pPr>
            <w:r w:rsidRPr="00D81EF6">
              <w:rPr>
                <w:rFonts w:ascii="Arial Narrow" w:hAnsi="Arial Narrow"/>
                <w:bCs/>
                <w:sz w:val="18"/>
                <w:szCs w:val="18"/>
              </w:rPr>
              <w:t>(b) a completed Narcolepsy Initial PBS authority application and Supporting information form; and</w:t>
            </w:r>
          </w:p>
          <w:p w14:paraId="4F61DA6B" w14:textId="77777777" w:rsidR="00765288" w:rsidRPr="00D81EF6" w:rsidRDefault="00765288" w:rsidP="006F4C21">
            <w:pPr>
              <w:rPr>
                <w:rFonts w:ascii="Arial Narrow" w:hAnsi="Arial Narrow"/>
                <w:bCs/>
                <w:strike/>
                <w:sz w:val="18"/>
                <w:szCs w:val="18"/>
              </w:rPr>
            </w:pPr>
            <w:r w:rsidRPr="00D81EF6">
              <w:rPr>
                <w:rFonts w:ascii="Arial Narrow" w:hAnsi="Arial Narrow"/>
                <w:bCs/>
                <w:strike/>
                <w:sz w:val="18"/>
                <w:szCs w:val="18"/>
              </w:rPr>
              <w:t>(c) details of the contraindication or intolerance to dexamfetamine sulfate; and</w:t>
            </w:r>
          </w:p>
          <w:p w14:paraId="7805087E" w14:textId="77777777" w:rsidR="00765288" w:rsidRPr="00D81EF6" w:rsidRDefault="00765288" w:rsidP="006F4C21">
            <w:pPr>
              <w:rPr>
                <w:rFonts w:ascii="Arial Narrow" w:hAnsi="Arial Narrow"/>
                <w:bCs/>
                <w:sz w:val="18"/>
                <w:szCs w:val="18"/>
              </w:rPr>
            </w:pPr>
            <w:r w:rsidRPr="00D81EF6">
              <w:rPr>
                <w:rFonts w:ascii="Arial Narrow" w:hAnsi="Arial Narrow"/>
                <w:bCs/>
                <w:sz w:val="18"/>
                <w:szCs w:val="18"/>
              </w:rPr>
              <w:t>(d) either:</w:t>
            </w:r>
          </w:p>
          <w:p w14:paraId="7423D0DE" w14:textId="77777777" w:rsidR="00765288" w:rsidRPr="00D81EF6" w:rsidRDefault="00765288" w:rsidP="006F4C21">
            <w:pPr>
              <w:rPr>
                <w:rFonts w:ascii="Arial Narrow" w:hAnsi="Arial Narrow"/>
                <w:bCs/>
                <w:sz w:val="18"/>
                <w:szCs w:val="18"/>
              </w:rPr>
            </w:pPr>
            <w:r w:rsidRPr="00D81EF6">
              <w:rPr>
                <w:rFonts w:ascii="Arial Narrow" w:hAnsi="Arial Narrow"/>
                <w:bCs/>
                <w:sz w:val="18"/>
                <w:szCs w:val="18"/>
              </w:rPr>
              <w:t>(i) the result and date of the polysomnography test and Multiple Sleep Latency Test (MSLT) conducted by, or under the supervision of, a qualified sleep medicine practitioner; or</w:t>
            </w:r>
          </w:p>
          <w:p w14:paraId="1D10C1AC" w14:textId="77777777" w:rsidR="00765288" w:rsidRPr="00D81EF6" w:rsidRDefault="00765288" w:rsidP="006F4C21">
            <w:pPr>
              <w:rPr>
                <w:rFonts w:ascii="Arial Narrow" w:hAnsi="Arial Narrow"/>
                <w:bCs/>
                <w:sz w:val="18"/>
                <w:szCs w:val="18"/>
              </w:rPr>
            </w:pPr>
            <w:r w:rsidRPr="00D81EF6">
              <w:rPr>
                <w:rFonts w:ascii="Arial Narrow" w:hAnsi="Arial Narrow"/>
                <w:bCs/>
                <w:sz w:val="18"/>
                <w:szCs w:val="18"/>
              </w:rPr>
              <w:t>(ii) the result and date of the electroencephalograph (EEG), conducted by, or under the supervision of, a neurologist.</w:t>
            </w:r>
          </w:p>
          <w:p w14:paraId="26E2A20D" w14:textId="4A9E267C" w:rsidR="00765288" w:rsidRPr="00D81EF6" w:rsidRDefault="00765288" w:rsidP="006F4C21">
            <w:pPr>
              <w:rPr>
                <w:rFonts w:ascii="Arial Narrow" w:hAnsi="Arial Narrow"/>
                <w:sz w:val="18"/>
                <w:szCs w:val="18"/>
              </w:rPr>
            </w:pPr>
            <w:r w:rsidRPr="00D81EF6">
              <w:rPr>
                <w:rFonts w:ascii="Arial Narrow" w:hAnsi="Arial Narrow"/>
                <w:bCs/>
                <w:sz w:val="18"/>
                <w:szCs w:val="18"/>
              </w:rPr>
              <w:t xml:space="preserve">The polysomnography, MSLT or EEG test reports must be provided with the authority application </w:t>
            </w:r>
            <w:r w:rsidRPr="00D81EF6">
              <w:rPr>
                <w:rFonts w:ascii="Arial Narrow" w:hAnsi="Arial Narrow"/>
                <w:bCs/>
                <w:i/>
                <w:sz w:val="18"/>
                <w:szCs w:val="18"/>
              </w:rPr>
              <w:t>except for the diagnosis of narcolepsy with history of cataplexy</w:t>
            </w:r>
            <w:r w:rsidRPr="00D81EF6">
              <w:rPr>
                <w:rFonts w:ascii="Arial Narrow" w:hAnsi="Arial Narrow"/>
                <w:bCs/>
                <w:sz w:val="18"/>
                <w:szCs w:val="18"/>
              </w:rPr>
              <w:t>.</w:t>
            </w:r>
          </w:p>
        </w:tc>
      </w:tr>
      <w:tr w:rsidR="00765288" w:rsidRPr="00D81EF6" w14:paraId="34C59E3B" w14:textId="77777777" w:rsidTr="00ED0229">
        <w:tc>
          <w:tcPr>
            <w:tcW w:w="5000" w:type="pct"/>
            <w:vAlign w:val="center"/>
            <w:hideMark/>
          </w:tcPr>
          <w:p w14:paraId="7B6ABC69" w14:textId="77777777" w:rsidR="00765288" w:rsidRPr="00D81EF6" w:rsidRDefault="00765288" w:rsidP="006F4C21">
            <w:pPr>
              <w:rPr>
                <w:rFonts w:ascii="Arial Narrow" w:hAnsi="Arial Narrow"/>
                <w:strike/>
                <w:sz w:val="18"/>
                <w:szCs w:val="18"/>
              </w:rPr>
            </w:pPr>
            <w:r w:rsidRPr="00D81EF6">
              <w:rPr>
                <w:rFonts w:ascii="Arial Narrow" w:hAnsi="Arial Narrow"/>
                <w:b/>
                <w:bCs/>
                <w:strike/>
                <w:sz w:val="18"/>
                <w:szCs w:val="18"/>
              </w:rPr>
              <w:t>Administrative Advice:</w:t>
            </w:r>
          </w:p>
          <w:p w14:paraId="48CB0A25"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Any queries concerning the arrangements to prescribe may be directed to Services Australia on 1800 700 270 (hours of operation 8 a.m. to 5 p.m. EST Monday to Friday).</w:t>
            </w:r>
          </w:p>
          <w:p w14:paraId="30510CFA"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Prescribing information (including Authority Application forms and other relevant documentation as applicable) is available on the Services Australia website at www.servicesaustralia.gov.au</w:t>
            </w:r>
          </w:p>
          <w:p w14:paraId="306B9D00"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Applications for authority to prescribe should be submitted online using the form upload facility in Health Professional Online Services (HPOS) at www.servicesaustralia.gov.au/hpos</w:t>
            </w:r>
          </w:p>
          <w:p w14:paraId="2B72DC19"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Or mailed to:</w:t>
            </w:r>
          </w:p>
          <w:p w14:paraId="70726F6A"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Services Australia</w:t>
            </w:r>
          </w:p>
          <w:p w14:paraId="71292885"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Complex Drugs</w:t>
            </w:r>
          </w:p>
          <w:p w14:paraId="53046FA0"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Reply Paid 9826</w:t>
            </w:r>
          </w:p>
          <w:p w14:paraId="6C3B29F5"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HOBART TAS 7001</w:t>
            </w:r>
          </w:p>
        </w:tc>
      </w:tr>
      <w:tr w:rsidR="00765288" w:rsidRPr="00D81EF6" w14:paraId="2190A7B2" w14:textId="77777777" w:rsidTr="00ED0229">
        <w:tc>
          <w:tcPr>
            <w:tcW w:w="5000" w:type="pct"/>
            <w:vAlign w:val="center"/>
          </w:tcPr>
          <w:p w14:paraId="2CC22EC6" w14:textId="77777777" w:rsidR="00765288" w:rsidRPr="00D81EF6" w:rsidRDefault="00765288" w:rsidP="00765288">
            <w:pPr>
              <w:rPr>
                <w:rFonts w:ascii="Arial Narrow" w:hAnsi="Arial Narrow"/>
                <w:sz w:val="18"/>
                <w:szCs w:val="18"/>
              </w:rPr>
            </w:pPr>
            <w:r w:rsidRPr="00D81EF6">
              <w:rPr>
                <w:rFonts w:ascii="Arial Narrow" w:hAnsi="Arial Narrow"/>
                <w:b/>
                <w:bCs/>
                <w:sz w:val="18"/>
                <w:szCs w:val="18"/>
              </w:rPr>
              <w:t>Administrative Advice:</w:t>
            </w:r>
          </w:p>
          <w:p w14:paraId="5F4D3E46" w14:textId="62C40380" w:rsidR="00765288" w:rsidRPr="00D81EF6" w:rsidRDefault="00765288" w:rsidP="006F4C21">
            <w:pPr>
              <w:jc w:val="left"/>
              <w:rPr>
                <w:rFonts w:ascii="Arial Narrow" w:hAnsi="Arial Narrow"/>
                <w:sz w:val="18"/>
                <w:szCs w:val="18"/>
              </w:rPr>
            </w:pPr>
            <w:r w:rsidRPr="00D81EF6">
              <w:rPr>
                <w:rFonts w:ascii="Arial Narrow" w:hAnsi="Arial Narrow"/>
                <w:sz w:val="18"/>
                <w:szCs w:val="18"/>
              </w:rPr>
              <w:t>Any queries concerning the arrangements to prescribe may be directed to Services Australia on 1800 700 270 (hours of operation 8 a.m. to 5 p.m. EST Monday to Friday).</w:t>
            </w:r>
          </w:p>
          <w:p w14:paraId="315AF9E4" w14:textId="77777777" w:rsidR="00765288" w:rsidRPr="00D81EF6" w:rsidRDefault="00765288" w:rsidP="006F4C21">
            <w:pPr>
              <w:jc w:val="left"/>
              <w:rPr>
                <w:rFonts w:ascii="Arial Narrow" w:hAnsi="Arial Narrow"/>
                <w:sz w:val="18"/>
                <w:szCs w:val="18"/>
              </w:rPr>
            </w:pPr>
            <w:r w:rsidRPr="00D81EF6">
              <w:rPr>
                <w:rFonts w:ascii="Arial Narrow" w:hAnsi="Arial Narrow"/>
                <w:sz w:val="18"/>
                <w:szCs w:val="18"/>
              </w:rPr>
              <w:t>Prescribing information (including Authority Application forms and other relevant documentation as applicable) is available on the Services Australia website at www.servicesaustralia.gov.au</w:t>
            </w:r>
          </w:p>
          <w:p w14:paraId="0A318057" w14:textId="77777777" w:rsidR="00765288" w:rsidRPr="00D81EF6" w:rsidRDefault="00765288" w:rsidP="006F4C21">
            <w:pPr>
              <w:jc w:val="left"/>
              <w:rPr>
                <w:rFonts w:ascii="Arial Narrow" w:hAnsi="Arial Narrow"/>
                <w:sz w:val="18"/>
                <w:szCs w:val="18"/>
              </w:rPr>
            </w:pPr>
            <w:r w:rsidRPr="00D81EF6">
              <w:rPr>
                <w:rFonts w:ascii="Arial Narrow" w:hAnsi="Arial Narrow"/>
                <w:sz w:val="18"/>
                <w:szCs w:val="18"/>
              </w:rPr>
              <w:t>Applications for authority to prescribe should be submitted online using the form upload facility in Health Professional Online Services (HPOS) at www.servicesaustralia.gov.au/hpos</w:t>
            </w:r>
          </w:p>
          <w:p w14:paraId="28153B49" w14:textId="77777777" w:rsidR="00765288" w:rsidRPr="00D81EF6" w:rsidRDefault="00765288" w:rsidP="006F4C21">
            <w:pPr>
              <w:jc w:val="left"/>
              <w:rPr>
                <w:rFonts w:ascii="Arial Narrow" w:hAnsi="Arial Narrow"/>
                <w:sz w:val="18"/>
                <w:szCs w:val="18"/>
              </w:rPr>
            </w:pPr>
            <w:r w:rsidRPr="00D81EF6">
              <w:rPr>
                <w:rFonts w:ascii="Arial Narrow" w:hAnsi="Arial Narrow"/>
                <w:sz w:val="18"/>
                <w:szCs w:val="18"/>
              </w:rPr>
              <w:t>Or mailed to:</w:t>
            </w:r>
          </w:p>
          <w:p w14:paraId="51902367" w14:textId="77777777" w:rsidR="00765288" w:rsidRPr="00D81EF6" w:rsidRDefault="00765288" w:rsidP="006F4C21">
            <w:pPr>
              <w:jc w:val="left"/>
              <w:rPr>
                <w:rFonts w:ascii="Arial Narrow" w:hAnsi="Arial Narrow"/>
                <w:sz w:val="18"/>
                <w:szCs w:val="18"/>
              </w:rPr>
            </w:pPr>
            <w:r w:rsidRPr="00D81EF6">
              <w:rPr>
                <w:rFonts w:ascii="Arial Narrow" w:hAnsi="Arial Narrow"/>
                <w:sz w:val="18"/>
                <w:szCs w:val="18"/>
              </w:rPr>
              <w:t>Services Australia</w:t>
            </w:r>
          </w:p>
          <w:p w14:paraId="21AB15FD" w14:textId="77777777" w:rsidR="00765288" w:rsidRPr="00D81EF6" w:rsidRDefault="00765288" w:rsidP="006F4C21">
            <w:pPr>
              <w:jc w:val="left"/>
              <w:rPr>
                <w:rFonts w:ascii="Arial Narrow" w:hAnsi="Arial Narrow"/>
                <w:sz w:val="18"/>
                <w:szCs w:val="18"/>
              </w:rPr>
            </w:pPr>
            <w:r w:rsidRPr="00D81EF6">
              <w:rPr>
                <w:rFonts w:ascii="Arial Narrow" w:hAnsi="Arial Narrow"/>
                <w:sz w:val="18"/>
                <w:szCs w:val="18"/>
              </w:rPr>
              <w:lastRenderedPageBreak/>
              <w:t>Complex Drugs</w:t>
            </w:r>
          </w:p>
          <w:p w14:paraId="3B775025" w14:textId="77777777" w:rsidR="00765288" w:rsidRPr="00D81EF6" w:rsidRDefault="00765288" w:rsidP="006F4C21">
            <w:pPr>
              <w:jc w:val="left"/>
              <w:rPr>
                <w:rFonts w:ascii="Arial Narrow" w:hAnsi="Arial Narrow"/>
                <w:sz w:val="18"/>
                <w:szCs w:val="18"/>
              </w:rPr>
            </w:pPr>
            <w:r w:rsidRPr="00D81EF6">
              <w:rPr>
                <w:rFonts w:ascii="Arial Narrow" w:hAnsi="Arial Narrow"/>
                <w:sz w:val="18"/>
                <w:szCs w:val="18"/>
              </w:rPr>
              <w:t>Reply Paid 9826</w:t>
            </w:r>
          </w:p>
          <w:p w14:paraId="6B4A6EFC" w14:textId="77777777" w:rsidR="00765288" w:rsidRPr="00D81EF6" w:rsidRDefault="00765288" w:rsidP="006F4C21">
            <w:pPr>
              <w:rPr>
                <w:rFonts w:ascii="Arial Narrow" w:hAnsi="Arial Narrow"/>
                <w:b/>
                <w:bCs/>
                <w:sz w:val="18"/>
                <w:szCs w:val="18"/>
              </w:rPr>
            </w:pPr>
            <w:r w:rsidRPr="00D81EF6">
              <w:rPr>
                <w:rFonts w:ascii="Arial Narrow" w:hAnsi="Arial Narrow"/>
                <w:sz w:val="18"/>
                <w:szCs w:val="18"/>
              </w:rPr>
              <w:t>HOBART TAS 7001</w:t>
            </w:r>
          </w:p>
        </w:tc>
      </w:tr>
    </w:tbl>
    <w:p w14:paraId="6A142F43" w14:textId="4903005C" w:rsidR="006F4C21" w:rsidRPr="00D81EF6" w:rsidRDefault="006F4C21" w:rsidP="006F4C21">
      <w:pPr>
        <w:rPr>
          <w:rFonts w:ascii="Arial Narrow" w:hAnsi="Arial Narrow"/>
          <w:b/>
          <w:sz w:val="18"/>
          <w:szCs w:val="18"/>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709"/>
        <w:gridCol w:w="1842"/>
      </w:tblGrid>
      <w:tr w:rsidR="00487A29" w:rsidRPr="00D81EF6" w14:paraId="02CE25EA" w14:textId="77777777" w:rsidTr="006F4C21">
        <w:trPr>
          <w:cantSplit/>
          <w:trHeight w:val="471"/>
        </w:trPr>
        <w:tc>
          <w:tcPr>
            <w:tcW w:w="2689" w:type="dxa"/>
          </w:tcPr>
          <w:p w14:paraId="236614ED" w14:textId="77777777" w:rsidR="006F4C21" w:rsidRPr="00D81EF6" w:rsidRDefault="006F4C21" w:rsidP="006F4C21">
            <w:pPr>
              <w:keepNext/>
              <w:ind w:left="-108"/>
              <w:rPr>
                <w:rFonts w:ascii="Arial Narrow" w:hAnsi="Arial Narrow" w:cs="Arial"/>
                <w:b/>
                <w:sz w:val="18"/>
                <w:szCs w:val="18"/>
              </w:rPr>
            </w:pPr>
            <w:r w:rsidRPr="00D81EF6">
              <w:rPr>
                <w:rFonts w:ascii="Arial Narrow" w:hAnsi="Arial Narrow" w:cs="Arial"/>
                <w:b/>
                <w:sz w:val="18"/>
                <w:szCs w:val="18"/>
              </w:rPr>
              <w:t>Name, Restriction,</w:t>
            </w:r>
          </w:p>
          <w:p w14:paraId="1E3D9E0B" w14:textId="77777777" w:rsidR="006F4C21" w:rsidRPr="00D81EF6" w:rsidRDefault="006F4C21" w:rsidP="006F4C21">
            <w:pPr>
              <w:keepNext/>
              <w:ind w:left="-108"/>
              <w:rPr>
                <w:rFonts w:ascii="Arial Narrow" w:hAnsi="Arial Narrow" w:cs="Arial"/>
                <w:b/>
                <w:sz w:val="18"/>
                <w:szCs w:val="18"/>
              </w:rPr>
            </w:pPr>
            <w:r w:rsidRPr="00D81EF6">
              <w:rPr>
                <w:rFonts w:ascii="Arial Narrow" w:hAnsi="Arial Narrow" w:cs="Arial"/>
                <w:b/>
                <w:sz w:val="18"/>
                <w:szCs w:val="18"/>
              </w:rPr>
              <w:t>Manner of administration and form</w:t>
            </w:r>
          </w:p>
        </w:tc>
        <w:tc>
          <w:tcPr>
            <w:tcW w:w="1275" w:type="dxa"/>
          </w:tcPr>
          <w:p w14:paraId="3CE4CC96" w14:textId="77777777" w:rsidR="006F4C21" w:rsidRPr="00D81EF6" w:rsidRDefault="006F4C21" w:rsidP="006F4C21">
            <w:pPr>
              <w:keepNext/>
              <w:ind w:left="-108"/>
              <w:jc w:val="center"/>
              <w:rPr>
                <w:rFonts w:ascii="Arial Narrow" w:hAnsi="Arial Narrow" w:cs="Arial"/>
                <w:b/>
                <w:sz w:val="18"/>
                <w:szCs w:val="18"/>
              </w:rPr>
            </w:pPr>
            <w:r w:rsidRPr="00D81EF6">
              <w:rPr>
                <w:rFonts w:ascii="Arial Narrow" w:hAnsi="Arial Narrow" w:cs="Arial"/>
                <w:b/>
                <w:sz w:val="18"/>
                <w:szCs w:val="18"/>
              </w:rPr>
              <w:t>PBS item code</w:t>
            </w:r>
          </w:p>
        </w:tc>
        <w:tc>
          <w:tcPr>
            <w:tcW w:w="851" w:type="dxa"/>
          </w:tcPr>
          <w:p w14:paraId="30896000" w14:textId="77777777" w:rsidR="006F4C21" w:rsidRPr="00D81EF6" w:rsidRDefault="006F4C21" w:rsidP="006F4C21">
            <w:pPr>
              <w:keepNext/>
              <w:ind w:left="-108"/>
              <w:jc w:val="center"/>
              <w:rPr>
                <w:rFonts w:ascii="Arial Narrow" w:hAnsi="Arial Narrow" w:cs="Arial"/>
                <w:b/>
                <w:sz w:val="18"/>
                <w:szCs w:val="18"/>
              </w:rPr>
            </w:pPr>
            <w:r w:rsidRPr="00D81EF6">
              <w:rPr>
                <w:rFonts w:ascii="Arial Narrow" w:hAnsi="Arial Narrow" w:cs="Arial"/>
                <w:b/>
                <w:sz w:val="18"/>
                <w:szCs w:val="18"/>
              </w:rPr>
              <w:t>Max. qty packs</w:t>
            </w:r>
          </w:p>
        </w:tc>
        <w:tc>
          <w:tcPr>
            <w:tcW w:w="850" w:type="dxa"/>
          </w:tcPr>
          <w:p w14:paraId="21349ABF" w14:textId="77777777" w:rsidR="006F4C21" w:rsidRPr="00D81EF6" w:rsidRDefault="006F4C21" w:rsidP="006F4C21">
            <w:pPr>
              <w:keepNext/>
              <w:ind w:left="-108"/>
              <w:jc w:val="center"/>
              <w:rPr>
                <w:rFonts w:ascii="Arial Narrow" w:hAnsi="Arial Narrow" w:cs="Arial"/>
                <w:b/>
                <w:sz w:val="18"/>
                <w:szCs w:val="18"/>
              </w:rPr>
            </w:pPr>
            <w:r w:rsidRPr="00D81EF6">
              <w:rPr>
                <w:rFonts w:ascii="Arial Narrow" w:hAnsi="Arial Narrow" w:cs="Arial"/>
                <w:b/>
                <w:sz w:val="18"/>
                <w:szCs w:val="18"/>
              </w:rPr>
              <w:t>Max. qty units</w:t>
            </w:r>
          </w:p>
        </w:tc>
        <w:tc>
          <w:tcPr>
            <w:tcW w:w="709" w:type="dxa"/>
          </w:tcPr>
          <w:p w14:paraId="7A215472" w14:textId="77777777" w:rsidR="006F4C21" w:rsidRPr="00D81EF6" w:rsidRDefault="006F4C21" w:rsidP="006F4C21">
            <w:pPr>
              <w:keepNext/>
              <w:ind w:left="-108"/>
              <w:jc w:val="center"/>
              <w:rPr>
                <w:rFonts w:ascii="Arial Narrow" w:hAnsi="Arial Narrow" w:cs="Arial"/>
                <w:b/>
                <w:sz w:val="18"/>
                <w:szCs w:val="18"/>
              </w:rPr>
            </w:pPr>
            <w:r w:rsidRPr="00D81EF6">
              <w:rPr>
                <w:rFonts w:ascii="Arial Narrow" w:hAnsi="Arial Narrow" w:cs="Arial"/>
                <w:b/>
                <w:sz w:val="18"/>
                <w:szCs w:val="18"/>
              </w:rPr>
              <w:t>№.of</w:t>
            </w:r>
          </w:p>
          <w:p w14:paraId="6BB1890E" w14:textId="77777777" w:rsidR="006F4C21" w:rsidRPr="00D81EF6" w:rsidRDefault="006F4C21" w:rsidP="006F4C21">
            <w:pPr>
              <w:keepNext/>
              <w:ind w:left="-108"/>
              <w:jc w:val="center"/>
              <w:rPr>
                <w:rFonts w:ascii="Arial Narrow" w:hAnsi="Arial Narrow" w:cs="Arial"/>
                <w:b/>
                <w:sz w:val="18"/>
                <w:szCs w:val="18"/>
              </w:rPr>
            </w:pPr>
            <w:r w:rsidRPr="00D81EF6">
              <w:rPr>
                <w:rFonts w:ascii="Arial Narrow" w:hAnsi="Arial Narrow" w:cs="Arial"/>
                <w:b/>
                <w:sz w:val="18"/>
                <w:szCs w:val="18"/>
              </w:rPr>
              <w:t>Rpts</w:t>
            </w:r>
          </w:p>
        </w:tc>
        <w:tc>
          <w:tcPr>
            <w:tcW w:w="2551" w:type="dxa"/>
            <w:gridSpan w:val="2"/>
          </w:tcPr>
          <w:p w14:paraId="14E3D0CE" w14:textId="77777777" w:rsidR="006F4C21" w:rsidRPr="00D81EF6" w:rsidRDefault="006F4C21" w:rsidP="006F4C21">
            <w:pPr>
              <w:keepNext/>
              <w:rPr>
                <w:rFonts w:ascii="Arial Narrow" w:hAnsi="Arial Narrow" w:cs="Arial"/>
                <w:b/>
                <w:sz w:val="18"/>
                <w:szCs w:val="18"/>
              </w:rPr>
            </w:pPr>
            <w:r w:rsidRPr="00D81EF6">
              <w:rPr>
                <w:rFonts w:ascii="Arial Narrow" w:hAnsi="Arial Narrow" w:cs="Arial"/>
                <w:b/>
                <w:sz w:val="18"/>
                <w:szCs w:val="18"/>
              </w:rPr>
              <w:t>Proprietary Name and Manufacturer</w:t>
            </w:r>
          </w:p>
        </w:tc>
      </w:tr>
      <w:tr w:rsidR="006F4C21" w:rsidRPr="00D81EF6" w14:paraId="731E6E60" w14:textId="77777777" w:rsidTr="006F4C21">
        <w:trPr>
          <w:cantSplit/>
          <w:trHeight w:val="327"/>
        </w:trPr>
        <w:tc>
          <w:tcPr>
            <w:tcW w:w="2689" w:type="dxa"/>
          </w:tcPr>
          <w:p w14:paraId="39912287" w14:textId="77777777" w:rsidR="006F4C21" w:rsidRPr="00D81EF6" w:rsidRDefault="006F4C21" w:rsidP="006F4C21">
            <w:pPr>
              <w:keepNext/>
              <w:ind w:left="-108"/>
              <w:rPr>
                <w:rFonts w:ascii="Arial Narrow" w:hAnsi="Arial Narrow" w:cs="Arial"/>
                <w:sz w:val="18"/>
                <w:szCs w:val="18"/>
              </w:rPr>
            </w:pPr>
            <w:r w:rsidRPr="00D81EF6">
              <w:rPr>
                <w:rFonts w:ascii="Arial Narrow" w:hAnsi="Arial Narrow" w:cs="Arial"/>
                <w:sz w:val="18"/>
                <w:szCs w:val="18"/>
              </w:rPr>
              <w:t>ARMODAFINIL</w:t>
            </w:r>
          </w:p>
          <w:p w14:paraId="0FE66872" w14:textId="77777777" w:rsidR="006F4C21" w:rsidRPr="00D81EF6" w:rsidRDefault="006F4C21" w:rsidP="006F4C21">
            <w:pPr>
              <w:keepNext/>
              <w:ind w:left="-108"/>
              <w:rPr>
                <w:rFonts w:ascii="Arial Narrow" w:hAnsi="Arial Narrow" w:cs="Arial"/>
                <w:sz w:val="18"/>
                <w:szCs w:val="18"/>
              </w:rPr>
            </w:pPr>
            <w:r w:rsidRPr="00D81EF6">
              <w:rPr>
                <w:rFonts w:ascii="Arial Narrow" w:hAnsi="Arial Narrow" w:cs="Arial"/>
                <w:sz w:val="18"/>
                <w:szCs w:val="18"/>
              </w:rPr>
              <w:t>armodafinil 50 mg tablet, 30</w:t>
            </w:r>
          </w:p>
          <w:p w14:paraId="154187E7" w14:textId="77777777" w:rsidR="006F4C21" w:rsidRPr="00D81EF6" w:rsidRDefault="006F4C21" w:rsidP="006F4C21">
            <w:pPr>
              <w:keepNext/>
              <w:ind w:left="-108"/>
              <w:rPr>
                <w:rFonts w:ascii="Arial Narrow" w:hAnsi="Arial Narrow" w:cs="Arial"/>
                <w:sz w:val="18"/>
                <w:szCs w:val="18"/>
              </w:rPr>
            </w:pPr>
            <w:r w:rsidRPr="00D81EF6">
              <w:rPr>
                <w:rFonts w:ascii="Arial Narrow" w:hAnsi="Arial Narrow" w:cs="Arial"/>
                <w:sz w:val="18"/>
                <w:szCs w:val="18"/>
              </w:rPr>
              <w:t>armodafinil 150 mg tablet, 30</w:t>
            </w:r>
          </w:p>
          <w:p w14:paraId="4B620102" w14:textId="2D88E439" w:rsidR="006F4C21" w:rsidRPr="00D81EF6" w:rsidRDefault="006F4C21" w:rsidP="00E149F1">
            <w:pPr>
              <w:keepNext/>
              <w:ind w:left="-108"/>
              <w:rPr>
                <w:rFonts w:ascii="Arial Narrow" w:hAnsi="Arial Narrow" w:cs="Arial"/>
                <w:sz w:val="18"/>
                <w:szCs w:val="18"/>
              </w:rPr>
            </w:pPr>
            <w:r w:rsidRPr="00D81EF6">
              <w:rPr>
                <w:rFonts w:ascii="Arial Narrow" w:hAnsi="Arial Narrow" w:cs="Arial"/>
                <w:sz w:val="18"/>
                <w:szCs w:val="18"/>
              </w:rPr>
              <w:t>armodafinil 250 mg tablet, 30</w:t>
            </w:r>
          </w:p>
        </w:tc>
        <w:tc>
          <w:tcPr>
            <w:tcW w:w="1275" w:type="dxa"/>
          </w:tcPr>
          <w:p w14:paraId="09CD97BA" w14:textId="77777777" w:rsidR="006F4C21" w:rsidRPr="00D81EF6" w:rsidRDefault="006F4C21" w:rsidP="006F4C21">
            <w:pPr>
              <w:keepNext/>
              <w:jc w:val="center"/>
              <w:rPr>
                <w:rFonts w:ascii="Arial Narrow" w:hAnsi="Arial Narrow" w:cs="Arial"/>
                <w:sz w:val="18"/>
                <w:szCs w:val="18"/>
              </w:rPr>
            </w:pPr>
          </w:p>
          <w:p w14:paraId="2F42608F" w14:textId="77777777" w:rsidR="006F4C21" w:rsidRPr="00D81EF6" w:rsidRDefault="006F4C21" w:rsidP="006F4C21">
            <w:pPr>
              <w:keepNext/>
              <w:jc w:val="center"/>
              <w:rPr>
                <w:rFonts w:ascii="Arial Narrow" w:hAnsi="Arial Narrow" w:cs="Arial"/>
                <w:sz w:val="18"/>
                <w:szCs w:val="18"/>
              </w:rPr>
            </w:pPr>
            <w:r w:rsidRPr="00D81EF6">
              <w:rPr>
                <w:rFonts w:ascii="Arial Narrow" w:hAnsi="Arial Narrow" w:cs="Arial"/>
                <w:sz w:val="18"/>
                <w:szCs w:val="18"/>
              </w:rPr>
              <w:t>10922W</w:t>
            </w:r>
          </w:p>
          <w:p w14:paraId="207F2B50" w14:textId="77777777" w:rsidR="006F4C21" w:rsidRPr="00D81EF6" w:rsidRDefault="006F4C21" w:rsidP="006F4C21">
            <w:pPr>
              <w:keepNext/>
              <w:jc w:val="center"/>
              <w:rPr>
                <w:rFonts w:ascii="Arial Narrow" w:hAnsi="Arial Narrow" w:cs="Arial"/>
                <w:sz w:val="18"/>
                <w:szCs w:val="18"/>
              </w:rPr>
            </w:pPr>
            <w:r w:rsidRPr="00D81EF6">
              <w:rPr>
                <w:rFonts w:ascii="Arial Narrow" w:hAnsi="Arial Narrow" w:cs="Arial"/>
                <w:sz w:val="18"/>
                <w:szCs w:val="18"/>
              </w:rPr>
              <w:t>10912H</w:t>
            </w:r>
          </w:p>
          <w:p w14:paraId="49AD5BFA" w14:textId="77777777" w:rsidR="006F4C21" w:rsidRPr="00D81EF6" w:rsidRDefault="006F4C21" w:rsidP="006F4C21">
            <w:pPr>
              <w:keepNext/>
              <w:jc w:val="center"/>
              <w:rPr>
                <w:rFonts w:ascii="Arial Narrow" w:hAnsi="Arial Narrow" w:cs="Arial"/>
                <w:sz w:val="18"/>
                <w:szCs w:val="18"/>
              </w:rPr>
            </w:pPr>
            <w:r w:rsidRPr="00D81EF6">
              <w:rPr>
                <w:rFonts w:ascii="Arial Narrow" w:hAnsi="Arial Narrow" w:cs="Arial"/>
                <w:sz w:val="18"/>
                <w:szCs w:val="18"/>
              </w:rPr>
              <w:t>10919Q</w:t>
            </w:r>
          </w:p>
        </w:tc>
        <w:tc>
          <w:tcPr>
            <w:tcW w:w="851" w:type="dxa"/>
          </w:tcPr>
          <w:p w14:paraId="1AAE5D57" w14:textId="77777777" w:rsidR="006F4C21" w:rsidRPr="00D81EF6" w:rsidRDefault="006F4C21" w:rsidP="006F4C21">
            <w:pPr>
              <w:keepNext/>
              <w:jc w:val="center"/>
              <w:rPr>
                <w:rFonts w:ascii="Arial Narrow" w:hAnsi="Arial Narrow" w:cs="Arial"/>
                <w:sz w:val="18"/>
                <w:szCs w:val="18"/>
              </w:rPr>
            </w:pPr>
          </w:p>
          <w:p w14:paraId="2E3F8C14" w14:textId="77777777" w:rsidR="006F4C21" w:rsidRPr="00D81EF6" w:rsidRDefault="006F4C21" w:rsidP="006F4C21">
            <w:pPr>
              <w:keepNext/>
              <w:jc w:val="center"/>
              <w:rPr>
                <w:rFonts w:ascii="Arial Narrow" w:hAnsi="Arial Narrow" w:cs="Arial"/>
                <w:sz w:val="18"/>
                <w:szCs w:val="18"/>
              </w:rPr>
            </w:pPr>
            <w:r w:rsidRPr="00D81EF6">
              <w:rPr>
                <w:rFonts w:ascii="Arial Narrow" w:hAnsi="Arial Narrow" w:cs="Arial"/>
                <w:sz w:val="18"/>
                <w:szCs w:val="18"/>
              </w:rPr>
              <w:t>2</w:t>
            </w:r>
          </w:p>
          <w:p w14:paraId="56ED9AF4" w14:textId="77777777" w:rsidR="006F4C21" w:rsidRPr="00D81EF6" w:rsidRDefault="006F4C21" w:rsidP="006F4C21">
            <w:pPr>
              <w:keepNext/>
              <w:jc w:val="center"/>
              <w:rPr>
                <w:rFonts w:ascii="Arial Narrow" w:hAnsi="Arial Narrow" w:cs="Arial"/>
                <w:sz w:val="18"/>
                <w:szCs w:val="18"/>
              </w:rPr>
            </w:pPr>
            <w:r w:rsidRPr="00D81EF6">
              <w:rPr>
                <w:rFonts w:ascii="Arial Narrow" w:hAnsi="Arial Narrow" w:cs="Arial"/>
                <w:sz w:val="18"/>
                <w:szCs w:val="18"/>
              </w:rPr>
              <w:t>1</w:t>
            </w:r>
          </w:p>
          <w:p w14:paraId="745E6B9D" w14:textId="77777777" w:rsidR="006F4C21" w:rsidRPr="00D81EF6" w:rsidRDefault="006F4C21" w:rsidP="006F4C21">
            <w:pPr>
              <w:keepNext/>
              <w:jc w:val="center"/>
              <w:rPr>
                <w:rFonts w:ascii="Arial Narrow" w:hAnsi="Arial Narrow" w:cs="Arial"/>
                <w:sz w:val="18"/>
                <w:szCs w:val="18"/>
              </w:rPr>
            </w:pPr>
            <w:r w:rsidRPr="00D81EF6">
              <w:rPr>
                <w:rFonts w:ascii="Arial Narrow" w:hAnsi="Arial Narrow" w:cs="Arial"/>
                <w:sz w:val="18"/>
                <w:szCs w:val="18"/>
              </w:rPr>
              <w:t>1</w:t>
            </w:r>
          </w:p>
        </w:tc>
        <w:tc>
          <w:tcPr>
            <w:tcW w:w="850" w:type="dxa"/>
          </w:tcPr>
          <w:p w14:paraId="6553523B" w14:textId="77777777" w:rsidR="006F4C21" w:rsidRPr="00D81EF6" w:rsidRDefault="006F4C21" w:rsidP="006F4C21">
            <w:pPr>
              <w:keepNext/>
              <w:ind w:left="-108"/>
              <w:jc w:val="center"/>
              <w:rPr>
                <w:rFonts w:ascii="Arial Narrow" w:hAnsi="Arial Narrow" w:cs="Arial"/>
                <w:sz w:val="18"/>
                <w:szCs w:val="18"/>
              </w:rPr>
            </w:pPr>
          </w:p>
          <w:p w14:paraId="4886865D" w14:textId="77777777" w:rsidR="006F4C21" w:rsidRPr="00D81EF6" w:rsidRDefault="006F4C21" w:rsidP="006F4C21">
            <w:pPr>
              <w:keepNext/>
              <w:ind w:left="-108"/>
              <w:jc w:val="center"/>
              <w:rPr>
                <w:rFonts w:ascii="Arial Narrow" w:hAnsi="Arial Narrow" w:cs="Arial"/>
                <w:sz w:val="18"/>
                <w:szCs w:val="18"/>
              </w:rPr>
            </w:pPr>
            <w:r w:rsidRPr="00D81EF6">
              <w:rPr>
                <w:rFonts w:ascii="Arial Narrow" w:hAnsi="Arial Narrow" w:cs="Arial"/>
                <w:sz w:val="18"/>
                <w:szCs w:val="18"/>
              </w:rPr>
              <w:t>60</w:t>
            </w:r>
          </w:p>
          <w:p w14:paraId="6BDD6AF5" w14:textId="77777777" w:rsidR="006F4C21" w:rsidRPr="00D81EF6" w:rsidRDefault="006F4C21" w:rsidP="006F4C21">
            <w:pPr>
              <w:keepNext/>
              <w:ind w:left="-108"/>
              <w:jc w:val="center"/>
              <w:rPr>
                <w:rFonts w:ascii="Arial Narrow" w:hAnsi="Arial Narrow" w:cs="Arial"/>
                <w:sz w:val="18"/>
                <w:szCs w:val="18"/>
              </w:rPr>
            </w:pPr>
            <w:r w:rsidRPr="00D81EF6">
              <w:rPr>
                <w:rFonts w:ascii="Arial Narrow" w:hAnsi="Arial Narrow" w:cs="Arial"/>
                <w:sz w:val="18"/>
                <w:szCs w:val="18"/>
              </w:rPr>
              <w:t>30</w:t>
            </w:r>
          </w:p>
          <w:p w14:paraId="285D3CA8" w14:textId="77777777" w:rsidR="006F4C21" w:rsidRPr="00D81EF6" w:rsidRDefault="006F4C21" w:rsidP="006F4C21">
            <w:pPr>
              <w:keepNext/>
              <w:ind w:left="-108"/>
              <w:jc w:val="center"/>
              <w:rPr>
                <w:rFonts w:ascii="Arial Narrow" w:hAnsi="Arial Narrow" w:cs="Arial"/>
                <w:sz w:val="18"/>
                <w:szCs w:val="18"/>
              </w:rPr>
            </w:pPr>
            <w:r w:rsidRPr="00D81EF6">
              <w:rPr>
                <w:rFonts w:ascii="Arial Narrow" w:hAnsi="Arial Narrow" w:cs="Arial"/>
                <w:sz w:val="18"/>
                <w:szCs w:val="18"/>
              </w:rPr>
              <w:t>30</w:t>
            </w:r>
          </w:p>
        </w:tc>
        <w:tc>
          <w:tcPr>
            <w:tcW w:w="709" w:type="dxa"/>
          </w:tcPr>
          <w:p w14:paraId="1BECB20E" w14:textId="77777777" w:rsidR="006F4C21" w:rsidRPr="00D81EF6" w:rsidRDefault="006F4C21" w:rsidP="006F4C21">
            <w:pPr>
              <w:keepNext/>
              <w:ind w:left="-108"/>
              <w:jc w:val="center"/>
              <w:rPr>
                <w:rFonts w:ascii="Arial Narrow" w:hAnsi="Arial Narrow" w:cs="Arial"/>
                <w:sz w:val="18"/>
                <w:szCs w:val="18"/>
              </w:rPr>
            </w:pPr>
          </w:p>
          <w:p w14:paraId="62777F54" w14:textId="77777777" w:rsidR="006F4C21" w:rsidRPr="00D81EF6" w:rsidRDefault="006F4C21" w:rsidP="006F4C21">
            <w:pPr>
              <w:keepNext/>
              <w:ind w:left="-108"/>
              <w:jc w:val="center"/>
              <w:rPr>
                <w:rFonts w:ascii="Arial Narrow" w:hAnsi="Arial Narrow" w:cs="Arial"/>
                <w:sz w:val="18"/>
                <w:szCs w:val="18"/>
              </w:rPr>
            </w:pPr>
            <w:r w:rsidRPr="00D81EF6">
              <w:rPr>
                <w:rFonts w:ascii="Arial Narrow" w:hAnsi="Arial Narrow" w:cs="Arial"/>
                <w:sz w:val="18"/>
                <w:szCs w:val="18"/>
              </w:rPr>
              <w:t>5</w:t>
            </w:r>
          </w:p>
          <w:p w14:paraId="1D5C94DB" w14:textId="77777777" w:rsidR="006F4C21" w:rsidRPr="00D81EF6" w:rsidRDefault="006F4C21" w:rsidP="006F4C21">
            <w:pPr>
              <w:keepNext/>
              <w:ind w:left="-108"/>
              <w:jc w:val="center"/>
              <w:rPr>
                <w:rFonts w:ascii="Arial Narrow" w:hAnsi="Arial Narrow" w:cs="Arial"/>
                <w:sz w:val="18"/>
                <w:szCs w:val="18"/>
              </w:rPr>
            </w:pPr>
            <w:r w:rsidRPr="00D81EF6">
              <w:rPr>
                <w:rFonts w:ascii="Arial Narrow" w:hAnsi="Arial Narrow" w:cs="Arial"/>
                <w:sz w:val="18"/>
                <w:szCs w:val="18"/>
              </w:rPr>
              <w:t>5</w:t>
            </w:r>
          </w:p>
          <w:p w14:paraId="03C75926" w14:textId="77777777" w:rsidR="006F4C21" w:rsidRPr="00D81EF6" w:rsidRDefault="006F4C21" w:rsidP="006F4C21">
            <w:pPr>
              <w:keepNext/>
              <w:ind w:left="-108"/>
              <w:jc w:val="center"/>
              <w:rPr>
                <w:rFonts w:ascii="Arial Narrow" w:hAnsi="Arial Narrow" w:cs="Arial"/>
                <w:sz w:val="18"/>
                <w:szCs w:val="18"/>
              </w:rPr>
            </w:pPr>
            <w:r w:rsidRPr="00D81EF6">
              <w:rPr>
                <w:rFonts w:ascii="Arial Narrow" w:hAnsi="Arial Narrow" w:cs="Arial"/>
                <w:sz w:val="18"/>
                <w:szCs w:val="18"/>
              </w:rPr>
              <w:t>5</w:t>
            </w:r>
          </w:p>
        </w:tc>
        <w:tc>
          <w:tcPr>
            <w:tcW w:w="709" w:type="dxa"/>
          </w:tcPr>
          <w:p w14:paraId="11B3B424" w14:textId="77777777" w:rsidR="006F4C21" w:rsidRPr="00D81EF6" w:rsidRDefault="006F4C21" w:rsidP="006F4C21">
            <w:pPr>
              <w:keepNext/>
              <w:rPr>
                <w:rFonts w:ascii="Arial Narrow" w:hAnsi="Arial Narrow" w:cs="Arial"/>
                <w:sz w:val="18"/>
                <w:szCs w:val="18"/>
              </w:rPr>
            </w:pPr>
            <w:r w:rsidRPr="00D81EF6">
              <w:rPr>
                <w:rFonts w:ascii="Arial Narrow" w:hAnsi="Arial Narrow" w:cs="Arial"/>
                <w:sz w:val="18"/>
                <w:szCs w:val="18"/>
              </w:rPr>
              <w:t>Nuvigil</w:t>
            </w:r>
          </w:p>
        </w:tc>
        <w:tc>
          <w:tcPr>
            <w:tcW w:w="1842" w:type="dxa"/>
          </w:tcPr>
          <w:p w14:paraId="3612786F" w14:textId="77777777" w:rsidR="006F4C21" w:rsidRPr="00D81EF6" w:rsidRDefault="006F4C21" w:rsidP="006F4C21">
            <w:pPr>
              <w:keepNext/>
              <w:rPr>
                <w:rFonts w:ascii="Arial Narrow" w:hAnsi="Arial Narrow" w:cs="Arial"/>
                <w:sz w:val="18"/>
                <w:szCs w:val="18"/>
              </w:rPr>
            </w:pPr>
            <w:r w:rsidRPr="00D81EF6">
              <w:rPr>
                <w:rFonts w:ascii="Arial Narrow" w:hAnsi="Arial Narrow" w:cs="Arial"/>
                <w:sz w:val="18"/>
                <w:szCs w:val="18"/>
              </w:rPr>
              <w:t>Teva Pharma Australia</w:t>
            </w:r>
          </w:p>
          <w:p w14:paraId="7DA30C5E" w14:textId="77777777" w:rsidR="006F4C21" w:rsidRPr="00D81EF6" w:rsidRDefault="006F4C21" w:rsidP="006F4C21">
            <w:pPr>
              <w:keepNext/>
              <w:rPr>
                <w:rFonts w:ascii="Arial Narrow" w:hAnsi="Arial Narrow" w:cs="Arial"/>
                <w:sz w:val="18"/>
                <w:szCs w:val="18"/>
              </w:rPr>
            </w:pPr>
            <w:r w:rsidRPr="00D81EF6">
              <w:rPr>
                <w:rFonts w:ascii="Arial Narrow" w:hAnsi="Arial Narrow" w:cs="Arial"/>
                <w:sz w:val="18"/>
                <w:szCs w:val="18"/>
              </w:rPr>
              <w:t>Pty Limited</w:t>
            </w:r>
          </w:p>
        </w:tc>
      </w:tr>
    </w:tbl>
    <w:p w14:paraId="717D5F5E" w14:textId="77777777" w:rsidR="006F4C21" w:rsidRPr="00D81EF6" w:rsidRDefault="006F4C21" w:rsidP="006F4C21">
      <w:pPr>
        <w:rPr>
          <w:rFonts w:ascii="Arial Narrow" w:hAnsi="Arial Narrow"/>
          <w:b/>
          <w:sz w:val="18"/>
          <w:szCs w:val="18"/>
        </w:rPr>
      </w:pPr>
    </w:p>
    <w:p w14:paraId="71C09B25" w14:textId="77777777" w:rsidR="006F4C21" w:rsidRPr="00D81EF6" w:rsidRDefault="006F4C21" w:rsidP="006F4C21">
      <w:pPr>
        <w:rPr>
          <w:rFonts w:ascii="Arial Narrow" w:hAnsi="Arial Narrow"/>
          <w:b/>
          <w:sz w:val="18"/>
          <w:szCs w:val="18"/>
        </w:rPr>
      </w:pPr>
      <w:r w:rsidRPr="00D81EF6">
        <w:rPr>
          <w:rFonts w:ascii="Arial Narrow" w:hAnsi="Arial Narrow"/>
          <w:b/>
          <w:sz w:val="18"/>
          <w:szCs w:val="18"/>
        </w:rPr>
        <w:t xml:space="preserve">Restriction Summary 8665 / Treatment of Concept: 8694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765288" w:rsidRPr="00D81EF6" w14:paraId="552BA21F" w14:textId="77777777" w:rsidTr="00ED0229">
        <w:tc>
          <w:tcPr>
            <w:tcW w:w="5000" w:type="pct"/>
            <w:tcBorders>
              <w:top w:val="single" w:sz="4" w:space="0" w:color="auto"/>
              <w:left w:val="single" w:sz="4" w:space="0" w:color="auto"/>
              <w:bottom w:val="single" w:sz="4" w:space="0" w:color="auto"/>
              <w:right w:val="single" w:sz="4" w:space="0" w:color="auto"/>
            </w:tcBorders>
          </w:tcPr>
          <w:p w14:paraId="615D58FC" w14:textId="53B7781D" w:rsidR="00765288" w:rsidRPr="00D81EF6" w:rsidRDefault="00765288" w:rsidP="006F4C21">
            <w:pPr>
              <w:rPr>
                <w:rFonts w:ascii="Arial Narrow" w:hAnsi="Arial Narrow" w:cs="Arial"/>
                <w:sz w:val="18"/>
                <w:szCs w:val="18"/>
              </w:rPr>
            </w:pPr>
            <w:r w:rsidRPr="00D81EF6">
              <w:rPr>
                <w:rFonts w:ascii="Arial Narrow" w:hAnsi="Arial Narrow" w:cs="Arial"/>
                <w:b/>
                <w:sz w:val="18"/>
                <w:szCs w:val="18"/>
              </w:rPr>
              <w:t xml:space="preserve">Category / Program:   </w:t>
            </w:r>
            <w:r w:rsidRPr="00D81EF6">
              <w:rPr>
                <w:rFonts w:ascii="Arial Narrow" w:hAnsi="Arial Narrow" w:cs="Arial"/>
                <w:sz w:val="18"/>
                <w:szCs w:val="18"/>
              </w:rPr>
              <w:t xml:space="preserve">GENERAL – General Schedule (Code GE) </w:t>
            </w:r>
          </w:p>
        </w:tc>
      </w:tr>
      <w:tr w:rsidR="00765288" w:rsidRPr="00D81EF6" w14:paraId="0202C102" w14:textId="77777777" w:rsidTr="00ED0229">
        <w:trPr>
          <w:trHeight w:val="240"/>
        </w:trPr>
        <w:tc>
          <w:tcPr>
            <w:tcW w:w="5000" w:type="pct"/>
            <w:tcBorders>
              <w:top w:val="single" w:sz="4" w:space="0" w:color="auto"/>
              <w:left w:val="single" w:sz="4" w:space="0" w:color="auto"/>
              <w:bottom w:val="single" w:sz="4" w:space="0" w:color="auto"/>
              <w:right w:val="single" w:sz="4" w:space="0" w:color="auto"/>
            </w:tcBorders>
          </w:tcPr>
          <w:p w14:paraId="00F64005" w14:textId="4A01D3C3" w:rsidR="00765288" w:rsidRPr="00D81EF6" w:rsidRDefault="00765288" w:rsidP="00CF66A2">
            <w:pPr>
              <w:rPr>
                <w:rFonts w:ascii="Arial Narrow" w:hAnsi="Arial Narrow" w:cs="Arial"/>
                <w:b/>
                <w:sz w:val="18"/>
                <w:szCs w:val="18"/>
              </w:rPr>
            </w:pPr>
            <w:r w:rsidRPr="00D81EF6">
              <w:rPr>
                <w:rFonts w:ascii="Arial Narrow" w:hAnsi="Arial Narrow" w:cs="Arial"/>
                <w:b/>
                <w:sz w:val="18"/>
                <w:szCs w:val="18"/>
              </w:rPr>
              <w:t xml:space="preserve">Prescriber type:   </w:t>
            </w:r>
            <w:r w:rsidRPr="008B405F">
              <w:rPr>
                <w:rFonts w:ascii="Arial Narrow" w:hAnsi="Arial Narrow" w:cs="Arial"/>
                <w:sz w:val="18"/>
                <w:szCs w:val="18"/>
              </w:rPr>
              <w:fldChar w:fldCharType="begin">
                <w:ffData>
                  <w:name w:val=""/>
                  <w:enabled/>
                  <w:calcOnExit w:val="0"/>
                  <w:checkBox>
                    <w:sizeAuto/>
                    <w:default w:val="1"/>
                  </w:checkBox>
                </w:ffData>
              </w:fldChar>
            </w:r>
            <w:r w:rsidRPr="00D81EF6">
              <w:rPr>
                <w:rFonts w:ascii="Arial Narrow" w:hAnsi="Arial Narrow" w:cs="Arial"/>
                <w:sz w:val="18"/>
                <w:szCs w:val="18"/>
              </w:rPr>
              <w:instrText xml:space="preserve"> FORMCHECKBOX </w:instrText>
            </w:r>
            <w:r w:rsidR="000129CA">
              <w:rPr>
                <w:rFonts w:ascii="Arial Narrow" w:hAnsi="Arial Narrow" w:cs="Arial"/>
                <w:sz w:val="18"/>
                <w:szCs w:val="18"/>
              </w:rPr>
            </w:r>
            <w:r w:rsidR="000129CA">
              <w:rPr>
                <w:rFonts w:ascii="Arial Narrow" w:hAnsi="Arial Narrow" w:cs="Arial"/>
                <w:sz w:val="18"/>
                <w:szCs w:val="18"/>
              </w:rPr>
              <w:fldChar w:fldCharType="separate"/>
            </w:r>
            <w:r w:rsidRPr="008B405F">
              <w:rPr>
                <w:rFonts w:ascii="Arial Narrow" w:hAnsi="Arial Narrow" w:cs="Arial"/>
                <w:sz w:val="18"/>
                <w:szCs w:val="18"/>
              </w:rPr>
              <w:fldChar w:fldCharType="end"/>
            </w:r>
            <w:r w:rsidR="000129CA">
              <w:rPr>
                <w:rFonts w:ascii="Arial Narrow" w:hAnsi="Arial Narrow" w:cs="Arial"/>
                <w:sz w:val="18"/>
                <w:szCs w:val="18"/>
              </w:rPr>
              <w:t>Medical Practitioners</w:t>
            </w:r>
          </w:p>
        </w:tc>
      </w:tr>
      <w:tr w:rsidR="00765288" w:rsidRPr="00D81EF6" w14:paraId="549AE6E8" w14:textId="77777777" w:rsidTr="00ED0229">
        <w:tc>
          <w:tcPr>
            <w:tcW w:w="5000" w:type="pct"/>
            <w:tcBorders>
              <w:top w:val="single" w:sz="4" w:space="0" w:color="auto"/>
              <w:left w:val="single" w:sz="4" w:space="0" w:color="auto"/>
              <w:bottom w:val="single" w:sz="4" w:space="0" w:color="auto"/>
              <w:right w:val="single" w:sz="4" w:space="0" w:color="auto"/>
            </w:tcBorders>
          </w:tcPr>
          <w:p w14:paraId="4A4D464F" w14:textId="086DA63A" w:rsidR="00765288" w:rsidRPr="00D81EF6" w:rsidRDefault="00765288" w:rsidP="006F4C21">
            <w:pPr>
              <w:rPr>
                <w:rFonts w:ascii="Arial Narrow" w:hAnsi="Arial Narrow" w:cs="Arial"/>
                <w:b/>
                <w:sz w:val="18"/>
                <w:szCs w:val="18"/>
              </w:rPr>
            </w:pPr>
            <w:r w:rsidRPr="00D81EF6">
              <w:rPr>
                <w:rFonts w:ascii="Arial Narrow" w:hAnsi="Arial Narrow" w:cs="Arial"/>
                <w:b/>
                <w:sz w:val="18"/>
                <w:szCs w:val="18"/>
              </w:rPr>
              <w:t xml:space="preserve">Restriction </w:t>
            </w:r>
            <w:r w:rsidR="00CF66A2" w:rsidRPr="00D81EF6">
              <w:rPr>
                <w:rFonts w:ascii="Arial Narrow" w:hAnsi="Arial Narrow" w:cs="Arial"/>
                <w:b/>
                <w:sz w:val="18"/>
                <w:szCs w:val="18"/>
              </w:rPr>
              <w:t xml:space="preserve">type </w:t>
            </w:r>
            <w:r w:rsidRPr="00D81EF6">
              <w:rPr>
                <w:rFonts w:ascii="Arial Narrow" w:hAnsi="Arial Narrow" w:cs="Arial"/>
                <w:b/>
                <w:sz w:val="18"/>
                <w:szCs w:val="18"/>
              </w:rPr>
              <w:t>l / Method:</w:t>
            </w:r>
          </w:p>
          <w:p w14:paraId="2B0AB3A7" w14:textId="4112B3BB" w:rsidR="00765288" w:rsidRPr="00D81EF6" w:rsidRDefault="00765288" w:rsidP="006F4C21">
            <w:pPr>
              <w:rPr>
                <w:rFonts w:ascii="Arial Narrow" w:hAnsi="Arial Narrow" w:cs="Arial"/>
                <w:sz w:val="18"/>
                <w:szCs w:val="18"/>
              </w:rPr>
            </w:pPr>
            <w:r w:rsidRPr="008B405F">
              <w:rPr>
                <w:rFonts w:ascii="Arial Narrow" w:hAnsi="Arial Narrow" w:cs="Arial"/>
                <w:sz w:val="18"/>
                <w:szCs w:val="18"/>
              </w:rPr>
              <w:fldChar w:fldCharType="begin">
                <w:ffData>
                  <w:name w:val=""/>
                  <w:enabled/>
                  <w:calcOnExit w:val="0"/>
                  <w:checkBox>
                    <w:sizeAuto/>
                    <w:default w:val="1"/>
                  </w:checkBox>
                </w:ffData>
              </w:fldChar>
            </w:r>
            <w:r w:rsidRPr="00D81EF6">
              <w:rPr>
                <w:rFonts w:ascii="Arial Narrow" w:hAnsi="Arial Narrow" w:cs="Arial"/>
                <w:sz w:val="18"/>
                <w:szCs w:val="18"/>
              </w:rPr>
              <w:instrText xml:space="preserve"> FORMCHECKBOX </w:instrText>
            </w:r>
            <w:r w:rsidR="000129CA">
              <w:rPr>
                <w:rFonts w:ascii="Arial Narrow" w:hAnsi="Arial Narrow" w:cs="Arial"/>
                <w:sz w:val="18"/>
                <w:szCs w:val="18"/>
              </w:rPr>
            </w:r>
            <w:r w:rsidR="000129CA">
              <w:rPr>
                <w:rFonts w:ascii="Arial Narrow" w:hAnsi="Arial Narrow" w:cs="Arial"/>
                <w:sz w:val="18"/>
                <w:szCs w:val="18"/>
              </w:rPr>
              <w:fldChar w:fldCharType="separate"/>
            </w:r>
            <w:r w:rsidRPr="008B405F">
              <w:rPr>
                <w:rFonts w:ascii="Arial Narrow" w:hAnsi="Arial Narrow" w:cs="Arial"/>
                <w:sz w:val="18"/>
                <w:szCs w:val="18"/>
              </w:rPr>
              <w:fldChar w:fldCharType="end"/>
            </w:r>
            <w:r w:rsidRPr="00D81EF6">
              <w:rPr>
                <w:rFonts w:ascii="Arial Narrow" w:hAnsi="Arial Narrow" w:cs="Arial"/>
                <w:sz w:val="18"/>
                <w:szCs w:val="18"/>
              </w:rPr>
              <w:t xml:space="preserve">Authority Required – </w:t>
            </w:r>
            <w:r w:rsidR="00CF66A2" w:rsidRPr="00D81EF6">
              <w:rPr>
                <w:rFonts w:ascii="Arial Narrow" w:hAnsi="Arial Narrow" w:cs="Arial"/>
                <w:sz w:val="18"/>
                <w:szCs w:val="18"/>
              </w:rPr>
              <w:t>delayed assessment (</w:t>
            </w:r>
            <w:r w:rsidRPr="00D81EF6">
              <w:rPr>
                <w:rFonts w:ascii="Arial Narrow" w:hAnsi="Arial Narrow" w:cs="Arial"/>
                <w:sz w:val="18"/>
                <w:szCs w:val="18"/>
              </w:rPr>
              <w:t>In Writing</w:t>
            </w:r>
            <w:r w:rsidR="00CF66A2" w:rsidRPr="00D81EF6">
              <w:rPr>
                <w:rFonts w:ascii="Arial Narrow" w:hAnsi="Arial Narrow" w:cs="Arial"/>
                <w:sz w:val="18"/>
                <w:szCs w:val="18"/>
              </w:rPr>
              <w:t xml:space="preserve"> lodged via post or electronic upload)</w:t>
            </w:r>
          </w:p>
        </w:tc>
      </w:tr>
      <w:tr w:rsidR="00765288" w:rsidRPr="00D81EF6" w14:paraId="4FD4CF84" w14:textId="77777777" w:rsidTr="00ED0229">
        <w:tc>
          <w:tcPr>
            <w:tcW w:w="5000" w:type="pct"/>
            <w:vAlign w:val="center"/>
            <w:hideMark/>
          </w:tcPr>
          <w:p w14:paraId="7229FCD1" w14:textId="77777777" w:rsidR="00765288" w:rsidRPr="00D81EF6" w:rsidRDefault="00765288" w:rsidP="006F4C21">
            <w:pPr>
              <w:rPr>
                <w:rFonts w:ascii="Arial Narrow" w:hAnsi="Arial Narrow"/>
                <w:sz w:val="18"/>
                <w:szCs w:val="18"/>
              </w:rPr>
            </w:pPr>
            <w:r w:rsidRPr="00D81EF6">
              <w:rPr>
                <w:rFonts w:ascii="Arial Narrow" w:hAnsi="Arial Narrow"/>
                <w:b/>
                <w:bCs/>
                <w:sz w:val="18"/>
                <w:szCs w:val="18"/>
              </w:rPr>
              <w:t>Indication:</w:t>
            </w:r>
            <w:r w:rsidRPr="00D81EF6">
              <w:rPr>
                <w:rFonts w:ascii="Arial Narrow" w:hAnsi="Arial Narrow"/>
                <w:sz w:val="18"/>
                <w:szCs w:val="18"/>
              </w:rPr>
              <w:t xml:space="preserve"> Narcolepsy</w:t>
            </w:r>
          </w:p>
        </w:tc>
      </w:tr>
      <w:tr w:rsidR="00765288" w:rsidRPr="00D81EF6" w14:paraId="50F142B4" w14:textId="77777777" w:rsidTr="00ED0229">
        <w:tc>
          <w:tcPr>
            <w:tcW w:w="5000" w:type="pct"/>
            <w:vAlign w:val="center"/>
            <w:hideMark/>
          </w:tcPr>
          <w:p w14:paraId="0BF1A91C" w14:textId="77777777" w:rsidR="00765288" w:rsidRPr="00D81EF6" w:rsidRDefault="00765288" w:rsidP="006F4C21">
            <w:pPr>
              <w:rPr>
                <w:rFonts w:ascii="Arial Narrow" w:hAnsi="Arial Narrow"/>
                <w:sz w:val="18"/>
                <w:szCs w:val="18"/>
              </w:rPr>
            </w:pPr>
            <w:r w:rsidRPr="00D81EF6">
              <w:rPr>
                <w:rFonts w:ascii="Arial Narrow" w:hAnsi="Arial Narrow"/>
                <w:b/>
                <w:bCs/>
                <w:sz w:val="18"/>
                <w:szCs w:val="18"/>
              </w:rPr>
              <w:t>Treatment Phase:</w:t>
            </w:r>
            <w:r w:rsidRPr="00D81EF6">
              <w:rPr>
                <w:rFonts w:ascii="Arial Narrow" w:hAnsi="Arial Narrow"/>
                <w:sz w:val="18"/>
                <w:szCs w:val="18"/>
              </w:rPr>
              <w:t xml:space="preserve"> Initial treatment</w:t>
            </w:r>
          </w:p>
        </w:tc>
      </w:tr>
      <w:tr w:rsidR="00765288" w:rsidRPr="00D81EF6" w14:paraId="4381DD1C" w14:textId="77777777" w:rsidTr="00ED0229">
        <w:tc>
          <w:tcPr>
            <w:tcW w:w="5000" w:type="pct"/>
            <w:vAlign w:val="center"/>
          </w:tcPr>
          <w:p w14:paraId="4E16DECD" w14:textId="77777777" w:rsidR="00765288" w:rsidRPr="00D81EF6" w:rsidRDefault="00765288" w:rsidP="006F4C21">
            <w:pPr>
              <w:rPr>
                <w:rFonts w:ascii="Arial Narrow" w:hAnsi="Arial Narrow"/>
                <w:b/>
                <w:bCs/>
                <w:sz w:val="18"/>
                <w:szCs w:val="18"/>
              </w:rPr>
            </w:pPr>
            <w:r w:rsidRPr="00D81EF6">
              <w:rPr>
                <w:rFonts w:ascii="Arial Narrow" w:hAnsi="Arial Narrow"/>
                <w:b/>
                <w:bCs/>
                <w:sz w:val="18"/>
                <w:szCs w:val="18"/>
              </w:rPr>
              <w:t>Administrative Advice:</w:t>
            </w:r>
          </w:p>
          <w:p w14:paraId="5E6E2B59" w14:textId="77777777" w:rsidR="00765288" w:rsidRPr="00D81EF6" w:rsidRDefault="00765288" w:rsidP="006F4C21">
            <w:pPr>
              <w:rPr>
                <w:rFonts w:ascii="Arial Narrow" w:hAnsi="Arial Narrow"/>
                <w:b/>
                <w:bCs/>
                <w:sz w:val="18"/>
                <w:szCs w:val="18"/>
              </w:rPr>
            </w:pPr>
            <w:r w:rsidRPr="00D81EF6">
              <w:rPr>
                <w:rFonts w:ascii="Arial Narrow" w:hAnsi="Arial Narrow"/>
                <w:bCs/>
                <w:sz w:val="18"/>
                <w:szCs w:val="18"/>
              </w:rPr>
              <w:t>This drug is not PBS-subsidised when used in combination with PBS-subsidised dexamfetamine sulfate or modafinil.</w:t>
            </w:r>
          </w:p>
        </w:tc>
      </w:tr>
      <w:tr w:rsidR="00765288" w:rsidRPr="00D81EF6" w14:paraId="4846ED2D" w14:textId="77777777" w:rsidTr="00ED0229">
        <w:tc>
          <w:tcPr>
            <w:tcW w:w="5000" w:type="pct"/>
            <w:vAlign w:val="center"/>
          </w:tcPr>
          <w:p w14:paraId="39B0A216" w14:textId="77777777" w:rsidR="00765288" w:rsidRPr="00D81EF6" w:rsidRDefault="00765288" w:rsidP="006F4C21">
            <w:pPr>
              <w:rPr>
                <w:rFonts w:ascii="Arial Narrow" w:hAnsi="Arial Narrow"/>
                <w:b/>
                <w:bCs/>
                <w:sz w:val="18"/>
                <w:szCs w:val="18"/>
              </w:rPr>
            </w:pPr>
            <w:r w:rsidRPr="00D81EF6">
              <w:rPr>
                <w:rFonts w:ascii="Arial Narrow" w:hAnsi="Arial Narrow"/>
                <w:b/>
                <w:bCs/>
                <w:sz w:val="18"/>
                <w:szCs w:val="18"/>
              </w:rPr>
              <w:t>Treatment criteria:</w:t>
            </w:r>
          </w:p>
        </w:tc>
      </w:tr>
      <w:tr w:rsidR="00765288" w:rsidRPr="00D81EF6" w14:paraId="5AC3A045" w14:textId="77777777" w:rsidTr="00ED0229">
        <w:tc>
          <w:tcPr>
            <w:tcW w:w="5000" w:type="pct"/>
            <w:vAlign w:val="center"/>
          </w:tcPr>
          <w:p w14:paraId="46E1AD56" w14:textId="77777777" w:rsidR="00765288" w:rsidRPr="00D81EF6" w:rsidRDefault="00765288" w:rsidP="006F4C21">
            <w:pPr>
              <w:rPr>
                <w:rFonts w:ascii="Arial Narrow" w:hAnsi="Arial Narrow"/>
                <w:bCs/>
                <w:sz w:val="18"/>
                <w:szCs w:val="18"/>
              </w:rPr>
            </w:pPr>
            <w:r w:rsidRPr="00D81EF6">
              <w:rPr>
                <w:rFonts w:ascii="Arial Narrow" w:hAnsi="Arial Narrow"/>
                <w:bCs/>
                <w:sz w:val="18"/>
                <w:szCs w:val="18"/>
              </w:rPr>
              <w:t>Must be treated by a qualified sleep medicine practitioner or neurologist</w:t>
            </w:r>
          </w:p>
        </w:tc>
      </w:tr>
      <w:tr w:rsidR="00765288" w:rsidRPr="00D81EF6" w14:paraId="59192D96" w14:textId="77777777" w:rsidTr="00ED0229">
        <w:tc>
          <w:tcPr>
            <w:tcW w:w="5000" w:type="pct"/>
            <w:vAlign w:val="center"/>
            <w:hideMark/>
          </w:tcPr>
          <w:p w14:paraId="7746257D" w14:textId="77777777" w:rsidR="00765288" w:rsidRPr="00D81EF6" w:rsidRDefault="00765288" w:rsidP="006F4C21">
            <w:pPr>
              <w:rPr>
                <w:rFonts w:ascii="Arial Narrow" w:hAnsi="Arial Narrow"/>
                <w:strike/>
                <w:sz w:val="18"/>
                <w:szCs w:val="18"/>
              </w:rPr>
            </w:pPr>
            <w:r w:rsidRPr="00D81EF6">
              <w:rPr>
                <w:rFonts w:ascii="Arial Narrow" w:hAnsi="Arial Narrow"/>
                <w:b/>
                <w:bCs/>
                <w:strike/>
                <w:sz w:val="18"/>
                <w:szCs w:val="18"/>
              </w:rPr>
              <w:t>Clinical criteria:</w:t>
            </w:r>
          </w:p>
        </w:tc>
      </w:tr>
      <w:tr w:rsidR="00765288" w:rsidRPr="00D81EF6" w14:paraId="0ACCD54E" w14:textId="77777777" w:rsidTr="00ED0229">
        <w:tc>
          <w:tcPr>
            <w:tcW w:w="5000" w:type="pct"/>
            <w:vAlign w:val="center"/>
            <w:hideMark/>
          </w:tcPr>
          <w:p w14:paraId="543EDDB9" w14:textId="28E6E354" w:rsidR="00765288" w:rsidRPr="00D81EF6" w:rsidRDefault="00765288" w:rsidP="006F4C21">
            <w:pPr>
              <w:jc w:val="left"/>
              <w:rPr>
                <w:rFonts w:ascii="Arial Narrow" w:hAnsi="Arial Narrow"/>
                <w:strike/>
                <w:sz w:val="18"/>
                <w:szCs w:val="18"/>
              </w:rPr>
            </w:pPr>
            <w:r w:rsidRPr="00D81EF6">
              <w:rPr>
                <w:rFonts w:ascii="Arial Narrow" w:hAnsi="Arial Narrow"/>
                <w:strike/>
                <w:sz w:val="18"/>
                <w:szCs w:val="18"/>
              </w:rPr>
              <w:t>The treatment must be for use when therapy with dexamfetamine sulfat</w:t>
            </w:r>
            <w:r w:rsidR="00E149F1">
              <w:rPr>
                <w:rFonts w:ascii="Arial Narrow" w:hAnsi="Arial Narrow"/>
                <w:strike/>
                <w:sz w:val="18"/>
                <w:szCs w:val="18"/>
              </w:rPr>
              <w:t>e poses an unacceptable medical risk</w:t>
            </w:r>
          </w:p>
        </w:tc>
      </w:tr>
      <w:tr w:rsidR="00765288" w:rsidRPr="00D81EF6" w14:paraId="5D26B5A9" w14:textId="77777777" w:rsidTr="00ED0229">
        <w:tc>
          <w:tcPr>
            <w:tcW w:w="5000" w:type="pct"/>
            <w:vAlign w:val="center"/>
          </w:tcPr>
          <w:p w14:paraId="3354F423" w14:textId="77777777" w:rsidR="00765288" w:rsidRPr="00D81EF6" w:rsidRDefault="00765288" w:rsidP="006F4C21">
            <w:pPr>
              <w:jc w:val="left"/>
              <w:rPr>
                <w:rFonts w:ascii="Arial Narrow" w:hAnsi="Arial Narrow"/>
                <w:b/>
                <w:strike/>
                <w:sz w:val="18"/>
                <w:szCs w:val="18"/>
              </w:rPr>
            </w:pPr>
            <w:r w:rsidRPr="00D81EF6">
              <w:rPr>
                <w:rFonts w:ascii="Arial Narrow" w:hAnsi="Arial Narrow"/>
                <w:b/>
                <w:strike/>
                <w:sz w:val="18"/>
                <w:szCs w:val="18"/>
              </w:rPr>
              <w:t>OR</w:t>
            </w:r>
          </w:p>
        </w:tc>
      </w:tr>
      <w:tr w:rsidR="00765288" w:rsidRPr="00D81EF6" w14:paraId="4CDB07B8" w14:textId="77777777" w:rsidTr="00ED0229">
        <w:tc>
          <w:tcPr>
            <w:tcW w:w="5000" w:type="pct"/>
            <w:vAlign w:val="center"/>
          </w:tcPr>
          <w:p w14:paraId="6517606C" w14:textId="77777777" w:rsidR="00765288" w:rsidRPr="00D81EF6" w:rsidRDefault="00765288" w:rsidP="006F4C21">
            <w:pPr>
              <w:jc w:val="left"/>
              <w:rPr>
                <w:rFonts w:ascii="Arial Narrow" w:hAnsi="Arial Narrow"/>
                <w:strike/>
                <w:sz w:val="18"/>
                <w:szCs w:val="18"/>
              </w:rPr>
            </w:pPr>
            <w:r w:rsidRPr="00D81EF6">
              <w:rPr>
                <w:rFonts w:ascii="Arial Narrow" w:hAnsi="Arial Narrow"/>
                <w:strike/>
                <w:sz w:val="18"/>
                <w:szCs w:val="18"/>
              </w:rPr>
              <w:t>The treatment must be for use when intolerance to dexamfetamine sulfate is of a severity to necessitate treatment withdrawal</w:t>
            </w:r>
          </w:p>
        </w:tc>
      </w:tr>
      <w:tr w:rsidR="00765288" w:rsidRPr="00D81EF6" w14:paraId="201FC3E8" w14:textId="77777777" w:rsidTr="00ED0229">
        <w:tc>
          <w:tcPr>
            <w:tcW w:w="5000" w:type="pct"/>
            <w:vAlign w:val="center"/>
            <w:hideMark/>
          </w:tcPr>
          <w:p w14:paraId="3E74C113" w14:textId="77777777" w:rsidR="00765288" w:rsidRPr="00D81EF6" w:rsidRDefault="00765288" w:rsidP="006F4C21">
            <w:pPr>
              <w:rPr>
                <w:rFonts w:ascii="Arial Narrow" w:hAnsi="Arial Narrow"/>
                <w:strike/>
                <w:sz w:val="18"/>
                <w:szCs w:val="18"/>
              </w:rPr>
            </w:pPr>
            <w:r w:rsidRPr="00D81EF6">
              <w:rPr>
                <w:rFonts w:ascii="Arial Narrow" w:hAnsi="Arial Narrow"/>
                <w:b/>
                <w:bCs/>
                <w:strike/>
                <w:sz w:val="18"/>
                <w:szCs w:val="18"/>
              </w:rPr>
              <w:t>AND</w:t>
            </w:r>
          </w:p>
        </w:tc>
      </w:tr>
      <w:tr w:rsidR="00765288" w:rsidRPr="00D81EF6" w14:paraId="69993A59" w14:textId="77777777" w:rsidTr="00ED0229">
        <w:tc>
          <w:tcPr>
            <w:tcW w:w="5000" w:type="pct"/>
            <w:vAlign w:val="center"/>
            <w:hideMark/>
          </w:tcPr>
          <w:p w14:paraId="307A9454" w14:textId="77777777" w:rsidR="00765288" w:rsidRPr="00D81EF6" w:rsidRDefault="00765288" w:rsidP="006F4C21">
            <w:pPr>
              <w:rPr>
                <w:rFonts w:ascii="Arial Narrow" w:hAnsi="Arial Narrow"/>
                <w:sz w:val="18"/>
                <w:szCs w:val="18"/>
              </w:rPr>
            </w:pPr>
            <w:r w:rsidRPr="00D81EF6">
              <w:rPr>
                <w:rFonts w:ascii="Arial Narrow" w:hAnsi="Arial Narrow"/>
                <w:b/>
                <w:bCs/>
                <w:sz w:val="18"/>
                <w:szCs w:val="18"/>
              </w:rPr>
              <w:t>Clinical criteria:</w:t>
            </w:r>
          </w:p>
        </w:tc>
      </w:tr>
      <w:tr w:rsidR="00765288" w:rsidRPr="00D81EF6" w14:paraId="09EC699A" w14:textId="77777777" w:rsidTr="00ED0229">
        <w:tc>
          <w:tcPr>
            <w:tcW w:w="5000" w:type="pct"/>
            <w:vAlign w:val="center"/>
            <w:hideMark/>
          </w:tcPr>
          <w:p w14:paraId="27ABEE94" w14:textId="77777777" w:rsidR="00765288" w:rsidRPr="00D81EF6" w:rsidRDefault="00765288" w:rsidP="006F4C21">
            <w:pPr>
              <w:rPr>
                <w:rFonts w:ascii="Arial Narrow" w:hAnsi="Arial Narrow"/>
                <w:sz w:val="18"/>
                <w:szCs w:val="18"/>
              </w:rPr>
            </w:pPr>
            <w:r w:rsidRPr="00D81EF6">
              <w:rPr>
                <w:rFonts w:ascii="Arial Narrow" w:hAnsi="Arial Narrow"/>
                <w:sz w:val="18"/>
                <w:szCs w:val="18"/>
              </w:rPr>
              <w:t>Patient must have experienced excessive daytime sleepiness, recurrent naps or lapses into sleep occurring almost daily for at least 3 months</w:t>
            </w:r>
          </w:p>
        </w:tc>
      </w:tr>
      <w:tr w:rsidR="00765288" w:rsidRPr="00D81EF6" w14:paraId="2416217E" w14:textId="77777777" w:rsidTr="00ED0229">
        <w:tc>
          <w:tcPr>
            <w:tcW w:w="5000" w:type="pct"/>
            <w:vAlign w:val="center"/>
            <w:hideMark/>
          </w:tcPr>
          <w:p w14:paraId="737329C3" w14:textId="77777777" w:rsidR="00765288" w:rsidRPr="00D81EF6" w:rsidRDefault="00765288" w:rsidP="006F4C21">
            <w:pPr>
              <w:rPr>
                <w:rFonts w:ascii="Arial Narrow" w:hAnsi="Arial Narrow"/>
                <w:sz w:val="18"/>
                <w:szCs w:val="18"/>
              </w:rPr>
            </w:pPr>
            <w:r w:rsidRPr="00D81EF6">
              <w:rPr>
                <w:rFonts w:ascii="Arial Narrow" w:hAnsi="Arial Narrow"/>
                <w:b/>
                <w:bCs/>
                <w:sz w:val="18"/>
                <w:szCs w:val="18"/>
              </w:rPr>
              <w:t>AND</w:t>
            </w:r>
          </w:p>
        </w:tc>
      </w:tr>
      <w:tr w:rsidR="00765288" w:rsidRPr="00D81EF6" w14:paraId="1F223D09" w14:textId="77777777" w:rsidTr="00ED0229">
        <w:tc>
          <w:tcPr>
            <w:tcW w:w="5000" w:type="pct"/>
            <w:vAlign w:val="center"/>
            <w:hideMark/>
          </w:tcPr>
          <w:p w14:paraId="713F2959" w14:textId="77777777" w:rsidR="00765288" w:rsidRPr="00D81EF6" w:rsidRDefault="00765288" w:rsidP="006F4C21">
            <w:pPr>
              <w:rPr>
                <w:rFonts w:ascii="Arial Narrow" w:hAnsi="Arial Narrow"/>
                <w:sz w:val="18"/>
                <w:szCs w:val="18"/>
              </w:rPr>
            </w:pPr>
            <w:r w:rsidRPr="00D81EF6">
              <w:rPr>
                <w:rFonts w:ascii="Arial Narrow" w:hAnsi="Arial Narrow"/>
                <w:b/>
                <w:bCs/>
                <w:sz w:val="18"/>
                <w:szCs w:val="18"/>
              </w:rPr>
              <w:t>Clinical criteria:</w:t>
            </w:r>
          </w:p>
        </w:tc>
      </w:tr>
      <w:tr w:rsidR="00765288" w:rsidRPr="00D81EF6" w14:paraId="44926353" w14:textId="77777777" w:rsidTr="00ED0229">
        <w:tc>
          <w:tcPr>
            <w:tcW w:w="5000" w:type="pct"/>
            <w:vAlign w:val="center"/>
            <w:hideMark/>
          </w:tcPr>
          <w:p w14:paraId="456EBE96" w14:textId="77777777" w:rsidR="00765288" w:rsidRPr="00D81EF6" w:rsidRDefault="00765288" w:rsidP="006F4C21">
            <w:pPr>
              <w:rPr>
                <w:rFonts w:ascii="Arial Narrow" w:hAnsi="Arial Narrow"/>
                <w:sz w:val="18"/>
                <w:szCs w:val="18"/>
              </w:rPr>
            </w:pPr>
            <w:r w:rsidRPr="00D81EF6">
              <w:rPr>
                <w:rFonts w:ascii="Arial Narrow" w:hAnsi="Arial Narrow"/>
                <w:sz w:val="18"/>
                <w:szCs w:val="18"/>
              </w:rPr>
              <w:t>Patient must have a definite history of cataplexy;</w:t>
            </w:r>
          </w:p>
        </w:tc>
      </w:tr>
      <w:tr w:rsidR="00765288" w:rsidRPr="00D81EF6" w14:paraId="7F6FFF97" w14:textId="77777777" w:rsidTr="00ED0229">
        <w:tc>
          <w:tcPr>
            <w:tcW w:w="5000" w:type="pct"/>
            <w:vAlign w:val="center"/>
          </w:tcPr>
          <w:p w14:paraId="78DADD7D" w14:textId="77777777" w:rsidR="00765288" w:rsidRPr="00D81EF6" w:rsidRDefault="00765288" w:rsidP="006F4C21">
            <w:pPr>
              <w:rPr>
                <w:rFonts w:ascii="Arial Narrow" w:hAnsi="Arial Narrow"/>
                <w:b/>
                <w:sz w:val="18"/>
                <w:szCs w:val="18"/>
              </w:rPr>
            </w:pPr>
            <w:r w:rsidRPr="00D81EF6">
              <w:rPr>
                <w:rFonts w:ascii="Arial Narrow" w:hAnsi="Arial Narrow"/>
                <w:b/>
                <w:sz w:val="18"/>
                <w:szCs w:val="18"/>
              </w:rPr>
              <w:t>OR</w:t>
            </w:r>
          </w:p>
        </w:tc>
      </w:tr>
      <w:tr w:rsidR="00765288" w:rsidRPr="00D81EF6" w14:paraId="2368DCF4" w14:textId="77777777" w:rsidTr="00ED0229">
        <w:tc>
          <w:tcPr>
            <w:tcW w:w="5000" w:type="pct"/>
            <w:vAlign w:val="center"/>
          </w:tcPr>
          <w:p w14:paraId="3DE55E8B" w14:textId="77777777" w:rsidR="00765288" w:rsidRPr="00D81EF6" w:rsidRDefault="00765288" w:rsidP="006F4C21">
            <w:pPr>
              <w:rPr>
                <w:rFonts w:ascii="Arial Narrow" w:hAnsi="Arial Narrow"/>
                <w:sz w:val="18"/>
                <w:szCs w:val="18"/>
              </w:rPr>
            </w:pPr>
            <w:r w:rsidRPr="00D81EF6">
              <w:rPr>
                <w:rFonts w:ascii="Arial Narrow" w:hAnsi="Arial Narrow"/>
                <w:sz w:val="18"/>
                <w:szCs w:val="18"/>
              </w:rPr>
              <w:t>Patient must have a mean sleep latency less than or equal to 10 minutes on a Multiple Sleep Latency Test (MSLT);</w:t>
            </w:r>
          </w:p>
        </w:tc>
      </w:tr>
      <w:tr w:rsidR="00765288" w:rsidRPr="00D81EF6" w14:paraId="73469898" w14:textId="77777777" w:rsidTr="00ED0229">
        <w:tc>
          <w:tcPr>
            <w:tcW w:w="5000" w:type="pct"/>
            <w:vAlign w:val="center"/>
          </w:tcPr>
          <w:p w14:paraId="2BB253D3" w14:textId="77777777" w:rsidR="00765288" w:rsidRPr="00D81EF6" w:rsidRDefault="00765288" w:rsidP="006F4C21">
            <w:pPr>
              <w:rPr>
                <w:rFonts w:ascii="Arial Narrow" w:hAnsi="Arial Narrow"/>
                <w:b/>
                <w:sz w:val="18"/>
                <w:szCs w:val="18"/>
              </w:rPr>
            </w:pPr>
            <w:r w:rsidRPr="00D81EF6">
              <w:rPr>
                <w:rFonts w:ascii="Arial Narrow" w:hAnsi="Arial Narrow"/>
                <w:b/>
                <w:sz w:val="18"/>
                <w:szCs w:val="18"/>
              </w:rPr>
              <w:t>OR</w:t>
            </w:r>
          </w:p>
        </w:tc>
      </w:tr>
      <w:tr w:rsidR="00765288" w:rsidRPr="00D81EF6" w14:paraId="709BB638" w14:textId="77777777" w:rsidTr="00ED0229">
        <w:tc>
          <w:tcPr>
            <w:tcW w:w="5000" w:type="pct"/>
            <w:vAlign w:val="center"/>
          </w:tcPr>
          <w:p w14:paraId="4FBBBF03" w14:textId="77777777" w:rsidR="00765288" w:rsidRPr="00D81EF6" w:rsidRDefault="00765288" w:rsidP="006F4C21">
            <w:pPr>
              <w:rPr>
                <w:rFonts w:ascii="Arial Narrow" w:hAnsi="Arial Narrow"/>
                <w:sz w:val="18"/>
                <w:szCs w:val="18"/>
              </w:rPr>
            </w:pPr>
            <w:r w:rsidRPr="00D81EF6">
              <w:rPr>
                <w:rFonts w:ascii="Arial Narrow" w:hAnsi="Arial Narrow"/>
                <w:sz w:val="18"/>
                <w:szCs w:val="18"/>
              </w:rPr>
              <w:t>Patient must have an electroencephalographic (EEG) recording showing the pathologically rapid development of REM sleep</w:t>
            </w:r>
          </w:p>
        </w:tc>
      </w:tr>
      <w:tr w:rsidR="00765288" w:rsidRPr="00D81EF6" w14:paraId="68E3AC05" w14:textId="77777777" w:rsidTr="00ED0229">
        <w:tc>
          <w:tcPr>
            <w:tcW w:w="5000" w:type="pct"/>
            <w:vAlign w:val="center"/>
            <w:hideMark/>
          </w:tcPr>
          <w:p w14:paraId="48A123B5" w14:textId="77777777" w:rsidR="00765288" w:rsidRPr="00D81EF6" w:rsidRDefault="00765288" w:rsidP="006F4C21">
            <w:pPr>
              <w:rPr>
                <w:rFonts w:ascii="Arial Narrow" w:hAnsi="Arial Narrow"/>
                <w:sz w:val="18"/>
                <w:szCs w:val="18"/>
              </w:rPr>
            </w:pPr>
            <w:r w:rsidRPr="00D81EF6">
              <w:rPr>
                <w:rFonts w:ascii="Arial Narrow" w:hAnsi="Arial Narrow"/>
                <w:b/>
                <w:bCs/>
                <w:sz w:val="18"/>
                <w:szCs w:val="18"/>
              </w:rPr>
              <w:t>AND</w:t>
            </w:r>
          </w:p>
        </w:tc>
      </w:tr>
      <w:tr w:rsidR="00765288" w:rsidRPr="00D81EF6" w14:paraId="28AF5234" w14:textId="77777777" w:rsidTr="00ED0229">
        <w:tc>
          <w:tcPr>
            <w:tcW w:w="5000" w:type="pct"/>
            <w:vAlign w:val="center"/>
            <w:hideMark/>
          </w:tcPr>
          <w:p w14:paraId="3C9B30E3" w14:textId="77777777" w:rsidR="00765288" w:rsidRPr="00D81EF6" w:rsidRDefault="00765288" w:rsidP="006F4C21">
            <w:pPr>
              <w:rPr>
                <w:rFonts w:ascii="Arial Narrow" w:hAnsi="Arial Narrow"/>
                <w:sz w:val="18"/>
                <w:szCs w:val="18"/>
              </w:rPr>
            </w:pPr>
            <w:r w:rsidRPr="00D81EF6">
              <w:rPr>
                <w:rFonts w:ascii="Arial Narrow" w:hAnsi="Arial Narrow"/>
                <w:b/>
                <w:bCs/>
                <w:sz w:val="18"/>
                <w:szCs w:val="18"/>
              </w:rPr>
              <w:t>Clinical criteria:</w:t>
            </w:r>
          </w:p>
        </w:tc>
      </w:tr>
      <w:tr w:rsidR="00765288" w:rsidRPr="00D81EF6" w14:paraId="5CA646F0" w14:textId="77777777" w:rsidTr="00ED0229">
        <w:tc>
          <w:tcPr>
            <w:tcW w:w="5000" w:type="pct"/>
            <w:vAlign w:val="center"/>
            <w:hideMark/>
          </w:tcPr>
          <w:p w14:paraId="0E7FECA6" w14:textId="77777777" w:rsidR="00765288" w:rsidRPr="00D81EF6" w:rsidRDefault="00765288" w:rsidP="006F4C21">
            <w:pPr>
              <w:autoSpaceDE w:val="0"/>
              <w:autoSpaceDN w:val="0"/>
              <w:adjustRightInd w:val="0"/>
              <w:rPr>
                <w:rFonts w:ascii="Arial Narrow" w:hAnsi="Arial Narrow" w:cs="Arial Narrow"/>
                <w:iCs/>
                <w:sz w:val="20"/>
                <w:szCs w:val="20"/>
              </w:rPr>
            </w:pPr>
            <w:r w:rsidRPr="00D81EF6">
              <w:rPr>
                <w:rFonts w:ascii="Arial Narrow" w:hAnsi="Arial Narrow" w:cs="Arial Narrow"/>
                <w:iCs/>
                <w:sz w:val="18"/>
                <w:szCs w:val="18"/>
              </w:rPr>
              <w:t>Patient must not have any medical or psychiatric disorder that could otherwise account for the hypersomnia</w:t>
            </w:r>
          </w:p>
        </w:tc>
      </w:tr>
      <w:tr w:rsidR="00765288" w:rsidRPr="00D81EF6" w14:paraId="3274CC4C" w14:textId="77777777" w:rsidTr="00ED0229">
        <w:tc>
          <w:tcPr>
            <w:tcW w:w="5000" w:type="pct"/>
            <w:vAlign w:val="center"/>
            <w:hideMark/>
          </w:tcPr>
          <w:p w14:paraId="771309CE" w14:textId="77777777" w:rsidR="00765288" w:rsidRPr="00D81EF6" w:rsidRDefault="00765288" w:rsidP="006F4C21">
            <w:pPr>
              <w:rPr>
                <w:rFonts w:ascii="Arial Narrow" w:hAnsi="Arial Narrow"/>
                <w:b/>
                <w:bCs/>
                <w:strike/>
                <w:sz w:val="18"/>
                <w:szCs w:val="18"/>
              </w:rPr>
            </w:pPr>
            <w:r w:rsidRPr="00D81EF6">
              <w:rPr>
                <w:rFonts w:ascii="Arial Narrow" w:hAnsi="Arial Narrow"/>
                <w:b/>
                <w:bCs/>
                <w:strike/>
                <w:sz w:val="18"/>
                <w:szCs w:val="18"/>
              </w:rPr>
              <w:t>Prescribing Instructions:</w:t>
            </w:r>
          </w:p>
          <w:p w14:paraId="306C12A8"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The presence of any one of the following indicates treatment with dexamfetamine sulfate poses an unacceptable medical risk:</w:t>
            </w:r>
          </w:p>
          <w:p w14:paraId="3D148362"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(a) a psychiatric disorder;</w:t>
            </w:r>
          </w:p>
          <w:p w14:paraId="570123F6"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(b) a cardiovascular disorder;</w:t>
            </w:r>
          </w:p>
          <w:p w14:paraId="61CD7AA4"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(c) a history of substance abuse;</w:t>
            </w:r>
          </w:p>
          <w:p w14:paraId="22E6E376"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(d) glaucoma;</w:t>
            </w:r>
          </w:p>
          <w:p w14:paraId="0EB0DF57"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(e) any other absolute contraindication to dexamfetamine sulfate as specified in the TGA-approved Product Information.</w:t>
            </w:r>
          </w:p>
        </w:tc>
      </w:tr>
      <w:tr w:rsidR="00765288" w:rsidRPr="00D81EF6" w14:paraId="0876B3FE" w14:textId="77777777" w:rsidTr="00ED0229">
        <w:tc>
          <w:tcPr>
            <w:tcW w:w="5000" w:type="pct"/>
            <w:vAlign w:val="center"/>
            <w:hideMark/>
          </w:tcPr>
          <w:p w14:paraId="14CF4A8B" w14:textId="77777777" w:rsidR="00765288" w:rsidRPr="00D81EF6" w:rsidRDefault="00765288" w:rsidP="006F4C21">
            <w:pPr>
              <w:jc w:val="left"/>
              <w:rPr>
                <w:rFonts w:ascii="Arial Narrow" w:hAnsi="Arial Narrow"/>
                <w:sz w:val="18"/>
                <w:szCs w:val="18"/>
              </w:rPr>
            </w:pPr>
            <w:r w:rsidRPr="00D81EF6">
              <w:rPr>
                <w:rFonts w:ascii="Arial Narrow" w:hAnsi="Arial Narrow"/>
                <w:b/>
                <w:bCs/>
                <w:sz w:val="18"/>
                <w:szCs w:val="18"/>
              </w:rPr>
              <w:t>Prescribing Instructions:</w:t>
            </w:r>
          </w:p>
          <w:p w14:paraId="6F6B750F" w14:textId="77777777" w:rsidR="00765288" w:rsidRPr="00D81EF6" w:rsidRDefault="00765288" w:rsidP="006F4C21">
            <w:pPr>
              <w:jc w:val="left"/>
              <w:rPr>
                <w:rFonts w:ascii="Arial Narrow" w:hAnsi="Arial Narrow"/>
                <w:sz w:val="18"/>
                <w:szCs w:val="18"/>
              </w:rPr>
            </w:pPr>
            <w:r w:rsidRPr="00D81EF6">
              <w:rPr>
                <w:rFonts w:ascii="Arial Narrow" w:hAnsi="Arial Narrow"/>
                <w:sz w:val="18"/>
                <w:szCs w:val="18"/>
              </w:rPr>
              <w:t>The MSLT must be preceded by nocturnal polysomnography. Sleep prior to the MSLT must be at least 6 hours in duration.</w:t>
            </w:r>
          </w:p>
        </w:tc>
      </w:tr>
      <w:tr w:rsidR="00765288" w:rsidRPr="00D81EF6" w14:paraId="0FAA9222" w14:textId="77777777" w:rsidTr="00ED0229">
        <w:tc>
          <w:tcPr>
            <w:tcW w:w="5000" w:type="pct"/>
            <w:vAlign w:val="center"/>
            <w:hideMark/>
          </w:tcPr>
          <w:p w14:paraId="5A6FF337" w14:textId="77777777" w:rsidR="00765288" w:rsidRPr="00D81EF6" w:rsidRDefault="00765288" w:rsidP="006F4C21">
            <w:pPr>
              <w:rPr>
                <w:rFonts w:ascii="Arial Narrow" w:hAnsi="Arial Narrow"/>
                <w:b/>
                <w:bCs/>
                <w:sz w:val="18"/>
                <w:szCs w:val="18"/>
              </w:rPr>
            </w:pPr>
            <w:r w:rsidRPr="00D81EF6">
              <w:rPr>
                <w:rFonts w:ascii="Arial Narrow" w:hAnsi="Arial Narrow"/>
                <w:b/>
                <w:bCs/>
                <w:sz w:val="18"/>
                <w:szCs w:val="18"/>
              </w:rPr>
              <w:t>Prescribing Instructions:</w:t>
            </w:r>
          </w:p>
          <w:p w14:paraId="13D25861" w14:textId="77777777" w:rsidR="00765288" w:rsidRPr="00D81EF6" w:rsidRDefault="00765288" w:rsidP="006F4C21">
            <w:pPr>
              <w:rPr>
                <w:rFonts w:ascii="Arial Narrow" w:hAnsi="Arial Narrow"/>
                <w:bCs/>
                <w:sz w:val="18"/>
                <w:szCs w:val="18"/>
              </w:rPr>
            </w:pPr>
            <w:r w:rsidRPr="00D81EF6">
              <w:rPr>
                <w:rFonts w:ascii="Arial Narrow" w:hAnsi="Arial Narrow"/>
                <w:bCs/>
                <w:sz w:val="18"/>
                <w:szCs w:val="18"/>
              </w:rPr>
              <w:t>The authority application must be made in writing and must include the following:</w:t>
            </w:r>
          </w:p>
          <w:p w14:paraId="07953B16" w14:textId="77777777" w:rsidR="00765288" w:rsidRPr="00D81EF6" w:rsidRDefault="00765288" w:rsidP="006F4C21">
            <w:pPr>
              <w:rPr>
                <w:rFonts w:ascii="Arial Narrow" w:hAnsi="Arial Narrow"/>
                <w:bCs/>
                <w:sz w:val="18"/>
                <w:szCs w:val="18"/>
              </w:rPr>
            </w:pPr>
            <w:r w:rsidRPr="00D81EF6">
              <w:rPr>
                <w:rFonts w:ascii="Arial Narrow" w:hAnsi="Arial Narrow"/>
                <w:bCs/>
                <w:sz w:val="18"/>
                <w:szCs w:val="18"/>
              </w:rPr>
              <w:t>(a) a completed authority prescription form; and</w:t>
            </w:r>
          </w:p>
          <w:p w14:paraId="0308772A" w14:textId="77777777" w:rsidR="00765288" w:rsidRPr="00D81EF6" w:rsidRDefault="00765288" w:rsidP="006F4C21">
            <w:pPr>
              <w:rPr>
                <w:rFonts w:ascii="Arial Narrow" w:hAnsi="Arial Narrow"/>
                <w:bCs/>
                <w:sz w:val="18"/>
                <w:szCs w:val="18"/>
              </w:rPr>
            </w:pPr>
            <w:r w:rsidRPr="00D81EF6">
              <w:rPr>
                <w:rFonts w:ascii="Arial Narrow" w:hAnsi="Arial Narrow"/>
                <w:bCs/>
                <w:sz w:val="18"/>
                <w:szCs w:val="18"/>
              </w:rPr>
              <w:t>(b) a completed Narcolepsy Initial PBS authority application and Supporting information form; and</w:t>
            </w:r>
          </w:p>
          <w:p w14:paraId="76D03443" w14:textId="77777777" w:rsidR="00765288" w:rsidRPr="00D81EF6" w:rsidRDefault="00765288" w:rsidP="006F4C21">
            <w:pPr>
              <w:rPr>
                <w:rFonts w:ascii="Arial Narrow" w:hAnsi="Arial Narrow"/>
                <w:bCs/>
                <w:strike/>
                <w:sz w:val="18"/>
                <w:szCs w:val="18"/>
              </w:rPr>
            </w:pPr>
            <w:r w:rsidRPr="00D81EF6">
              <w:rPr>
                <w:rFonts w:ascii="Arial Narrow" w:hAnsi="Arial Narrow"/>
                <w:bCs/>
                <w:strike/>
                <w:sz w:val="18"/>
                <w:szCs w:val="18"/>
              </w:rPr>
              <w:t>(c) details of the contraindication or intolerance to dexamfetamine sulfate; and</w:t>
            </w:r>
          </w:p>
          <w:p w14:paraId="2C71DC6A" w14:textId="77777777" w:rsidR="00765288" w:rsidRPr="00D81EF6" w:rsidRDefault="00765288" w:rsidP="006F4C21">
            <w:pPr>
              <w:rPr>
                <w:rFonts w:ascii="Arial Narrow" w:hAnsi="Arial Narrow"/>
                <w:bCs/>
                <w:sz w:val="18"/>
                <w:szCs w:val="18"/>
              </w:rPr>
            </w:pPr>
            <w:r w:rsidRPr="00D81EF6">
              <w:rPr>
                <w:rFonts w:ascii="Arial Narrow" w:hAnsi="Arial Narrow"/>
                <w:bCs/>
                <w:sz w:val="18"/>
                <w:szCs w:val="18"/>
              </w:rPr>
              <w:t>(d) either:</w:t>
            </w:r>
          </w:p>
          <w:p w14:paraId="27219278" w14:textId="77777777" w:rsidR="00765288" w:rsidRPr="00D81EF6" w:rsidRDefault="00765288" w:rsidP="006F4C21">
            <w:pPr>
              <w:rPr>
                <w:rFonts w:ascii="Arial Narrow" w:hAnsi="Arial Narrow"/>
                <w:bCs/>
                <w:sz w:val="18"/>
                <w:szCs w:val="18"/>
              </w:rPr>
            </w:pPr>
            <w:r w:rsidRPr="00D81EF6">
              <w:rPr>
                <w:rFonts w:ascii="Arial Narrow" w:hAnsi="Arial Narrow"/>
                <w:bCs/>
                <w:sz w:val="18"/>
                <w:szCs w:val="18"/>
              </w:rPr>
              <w:lastRenderedPageBreak/>
              <w:t>(i) the result and date of the polysomnography test and Multiple Sleep Latency Test (MSLT) conducted by, or under the supervision of, a qualified sleep medicine practitioner; or</w:t>
            </w:r>
          </w:p>
          <w:p w14:paraId="4DFCD5C4" w14:textId="77777777" w:rsidR="00765288" w:rsidRPr="00D81EF6" w:rsidRDefault="00765288" w:rsidP="006F4C21">
            <w:pPr>
              <w:rPr>
                <w:rFonts w:ascii="Arial Narrow" w:hAnsi="Arial Narrow"/>
                <w:bCs/>
                <w:sz w:val="18"/>
                <w:szCs w:val="18"/>
              </w:rPr>
            </w:pPr>
            <w:r w:rsidRPr="00D81EF6">
              <w:rPr>
                <w:rFonts w:ascii="Arial Narrow" w:hAnsi="Arial Narrow"/>
                <w:bCs/>
                <w:sz w:val="18"/>
                <w:szCs w:val="18"/>
              </w:rPr>
              <w:t>(ii) the result and date of the electroencephalograph (EEG), conducted by, or under the supervision of, a neurologist.</w:t>
            </w:r>
          </w:p>
          <w:p w14:paraId="77A1A7AD" w14:textId="0C030863" w:rsidR="00765288" w:rsidRPr="00D81EF6" w:rsidRDefault="00765288" w:rsidP="007F0BBC">
            <w:pPr>
              <w:rPr>
                <w:rFonts w:ascii="Arial Narrow" w:hAnsi="Arial Narrow"/>
                <w:sz w:val="18"/>
                <w:szCs w:val="18"/>
              </w:rPr>
            </w:pPr>
            <w:r w:rsidRPr="00D81EF6">
              <w:rPr>
                <w:rFonts w:ascii="Arial Narrow" w:hAnsi="Arial Narrow"/>
                <w:bCs/>
                <w:sz w:val="18"/>
                <w:szCs w:val="18"/>
              </w:rPr>
              <w:t xml:space="preserve">The polysomnography, MSLT or EEG test reports must be provided with the authority application </w:t>
            </w:r>
            <w:r w:rsidRPr="00D81EF6">
              <w:rPr>
                <w:rFonts w:ascii="Arial Narrow" w:hAnsi="Arial Narrow"/>
                <w:bCs/>
                <w:i/>
                <w:sz w:val="18"/>
                <w:szCs w:val="18"/>
              </w:rPr>
              <w:t>except for the diagnosis of narcolepsy with history of cataplexy.</w:t>
            </w:r>
          </w:p>
        </w:tc>
      </w:tr>
      <w:tr w:rsidR="00765288" w:rsidRPr="00D81EF6" w14:paraId="0ED6CAE8" w14:textId="77777777" w:rsidTr="00ED0229">
        <w:tc>
          <w:tcPr>
            <w:tcW w:w="5000" w:type="pct"/>
            <w:vAlign w:val="center"/>
            <w:hideMark/>
          </w:tcPr>
          <w:p w14:paraId="3FFFDAB8" w14:textId="77777777" w:rsidR="00765288" w:rsidRPr="00D81EF6" w:rsidRDefault="00765288" w:rsidP="006F4C21">
            <w:pPr>
              <w:rPr>
                <w:rFonts w:ascii="Arial Narrow" w:hAnsi="Arial Narrow"/>
                <w:strike/>
                <w:sz w:val="18"/>
                <w:szCs w:val="18"/>
              </w:rPr>
            </w:pPr>
            <w:r w:rsidRPr="00D81EF6">
              <w:rPr>
                <w:rFonts w:ascii="Arial Narrow" w:hAnsi="Arial Narrow"/>
                <w:b/>
                <w:bCs/>
                <w:strike/>
                <w:sz w:val="18"/>
                <w:szCs w:val="18"/>
              </w:rPr>
              <w:lastRenderedPageBreak/>
              <w:t>Administrative Advice:</w:t>
            </w:r>
          </w:p>
          <w:p w14:paraId="55769BD6"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Any queries concerning the arrangements to prescribe may be directed to Services Australia on 1800 700 270 (hours of operation 8 a.m. to 5 p.m. EST Monday to Friday).</w:t>
            </w:r>
          </w:p>
          <w:p w14:paraId="42453629"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Prescribing information (including Authority Application forms and other relevant documentation as applicable) is available on the Services Australia website at www.servicesaustralia.gov.au</w:t>
            </w:r>
          </w:p>
          <w:p w14:paraId="743B9F6E"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Applications for authority to prescribe should be submitted online using the form upload facility in Health Professional Online Services (HPOS) at www.servicesaustralia.gov.au/hpos</w:t>
            </w:r>
          </w:p>
          <w:p w14:paraId="2E602550"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Or mailed to:</w:t>
            </w:r>
          </w:p>
          <w:p w14:paraId="39844CB3"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Services Australia</w:t>
            </w:r>
          </w:p>
          <w:p w14:paraId="237F3251"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Complex Drugs</w:t>
            </w:r>
          </w:p>
          <w:p w14:paraId="61BA053F"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Reply Paid 9826</w:t>
            </w:r>
          </w:p>
          <w:p w14:paraId="38682817"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HOBART TAS 7001</w:t>
            </w:r>
          </w:p>
        </w:tc>
      </w:tr>
      <w:tr w:rsidR="00765288" w:rsidRPr="00D81EF6" w14:paraId="1CFCAC96" w14:textId="77777777" w:rsidTr="00ED0229">
        <w:tc>
          <w:tcPr>
            <w:tcW w:w="5000" w:type="pct"/>
            <w:vAlign w:val="center"/>
          </w:tcPr>
          <w:p w14:paraId="480367FC" w14:textId="77777777" w:rsidR="00765288" w:rsidRPr="00D81EF6" w:rsidRDefault="00765288" w:rsidP="00765288">
            <w:pPr>
              <w:rPr>
                <w:rFonts w:ascii="Arial Narrow" w:hAnsi="Arial Narrow"/>
                <w:sz w:val="18"/>
                <w:szCs w:val="18"/>
              </w:rPr>
            </w:pPr>
            <w:r w:rsidRPr="00D81EF6">
              <w:rPr>
                <w:rFonts w:ascii="Arial Narrow" w:hAnsi="Arial Narrow"/>
                <w:b/>
                <w:bCs/>
                <w:sz w:val="18"/>
                <w:szCs w:val="18"/>
              </w:rPr>
              <w:t>Administrative Advice:</w:t>
            </w:r>
          </w:p>
          <w:p w14:paraId="785CC7B0" w14:textId="77777777" w:rsidR="00765288" w:rsidRPr="00D81EF6" w:rsidRDefault="00765288" w:rsidP="006F4C21">
            <w:pPr>
              <w:jc w:val="left"/>
              <w:rPr>
                <w:rFonts w:ascii="Arial Narrow" w:hAnsi="Arial Narrow"/>
                <w:sz w:val="18"/>
                <w:szCs w:val="18"/>
              </w:rPr>
            </w:pPr>
            <w:r w:rsidRPr="00D81EF6">
              <w:rPr>
                <w:rFonts w:ascii="Arial Narrow" w:hAnsi="Arial Narrow"/>
                <w:sz w:val="18"/>
                <w:szCs w:val="18"/>
              </w:rPr>
              <w:t>Any queries concerning the arrangements to prescribe may be directed to Services Australia on 1800 700 270 (hours of operation 8 a.m. to 5 p.m. EST Monday to Friday).</w:t>
            </w:r>
          </w:p>
          <w:p w14:paraId="1A659770" w14:textId="77777777" w:rsidR="00765288" w:rsidRPr="00D81EF6" w:rsidRDefault="00765288" w:rsidP="006F4C21">
            <w:pPr>
              <w:jc w:val="left"/>
              <w:rPr>
                <w:rFonts w:ascii="Arial Narrow" w:hAnsi="Arial Narrow"/>
                <w:sz w:val="18"/>
                <w:szCs w:val="18"/>
              </w:rPr>
            </w:pPr>
            <w:r w:rsidRPr="00D81EF6">
              <w:rPr>
                <w:rFonts w:ascii="Arial Narrow" w:hAnsi="Arial Narrow"/>
                <w:sz w:val="18"/>
                <w:szCs w:val="18"/>
              </w:rPr>
              <w:t>Prescribing information (including Authority Application forms and other relevant documentation as applicable) is available on the Services Australia website at www.servicesaustralia.gov.au</w:t>
            </w:r>
          </w:p>
          <w:p w14:paraId="466F57C3" w14:textId="77777777" w:rsidR="00765288" w:rsidRPr="00D81EF6" w:rsidRDefault="00765288" w:rsidP="006F4C21">
            <w:pPr>
              <w:jc w:val="left"/>
              <w:rPr>
                <w:rFonts w:ascii="Arial Narrow" w:hAnsi="Arial Narrow"/>
                <w:sz w:val="18"/>
                <w:szCs w:val="18"/>
              </w:rPr>
            </w:pPr>
            <w:r w:rsidRPr="00D81EF6">
              <w:rPr>
                <w:rFonts w:ascii="Arial Narrow" w:hAnsi="Arial Narrow"/>
                <w:sz w:val="18"/>
                <w:szCs w:val="18"/>
              </w:rPr>
              <w:t>Applications for authority to prescribe should be submitted online using the form upload facility in Health Professional Online Services (HPOS) at www.servicesaustralia.gov.au/hpos</w:t>
            </w:r>
          </w:p>
          <w:p w14:paraId="3886B6E5" w14:textId="77777777" w:rsidR="00765288" w:rsidRPr="00D81EF6" w:rsidRDefault="00765288" w:rsidP="006F4C21">
            <w:pPr>
              <w:jc w:val="left"/>
              <w:rPr>
                <w:rFonts w:ascii="Arial Narrow" w:hAnsi="Arial Narrow"/>
                <w:sz w:val="18"/>
                <w:szCs w:val="18"/>
              </w:rPr>
            </w:pPr>
            <w:r w:rsidRPr="00D81EF6">
              <w:rPr>
                <w:rFonts w:ascii="Arial Narrow" w:hAnsi="Arial Narrow"/>
                <w:sz w:val="18"/>
                <w:szCs w:val="18"/>
              </w:rPr>
              <w:t>Or mailed to:</w:t>
            </w:r>
          </w:p>
          <w:p w14:paraId="23234DFA" w14:textId="77777777" w:rsidR="00765288" w:rsidRPr="00D81EF6" w:rsidRDefault="00765288" w:rsidP="006F4C21">
            <w:pPr>
              <w:jc w:val="left"/>
              <w:rPr>
                <w:rFonts w:ascii="Arial Narrow" w:hAnsi="Arial Narrow"/>
                <w:sz w:val="18"/>
                <w:szCs w:val="18"/>
              </w:rPr>
            </w:pPr>
            <w:r w:rsidRPr="00D81EF6">
              <w:rPr>
                <w:rFonts w:ascii="Arial Narrow" w:hAnsi="Arial Narrow"/>
                <w:sz w:val="18"/>
                <w:szCs w:val="18"/>
              </w:rPr>
              <w:t>Services Australia</w:t>
            </w:r>
          </w:p>
          <w:p w14:paraId="1C73410C" w14:textId="77777777" w:rsidR="00765288" w:rsidRPr="00D81EF6" w:rsidRDefault="00765288" w:rsidP="006F4C21">
            <w:pPr>
              <w:jc w:val="left"/>
              <w:rPr>
                <w:rFonts w:ascii="Arial Narrow" w:hAnsi="Arial Narrow"/>
                <w:sz w:val="18"/>
                <w:szCs w:val="18"/>
              </w:rPr>
            </w:pPr>
            <w:r w:rsidRPr="00D81EF6">
              <w:rPr>
                <w:rFonts w:ascii="Arial Narrow" w:hAnsi="Arial Narrow"/>
                <w:sz w:val="18"/>
                <w:szCs w:val="18"/>
              </w:rPr>
              <w:t>Complex Drugs</w:t>
            </w:r>
          </w:p>
          <w:p w14:paraId="0C9318F1" w14:textId="77777777" w:rsidR="00765288" w:rsidRPr="00D81EF6" w:rsidRDefault="00765288" w:rsidP="006F4C21">
            <w:pPr>
              <w:jc w:val="left"/>
              <w:rPr>
                <w:rFonts w:ascii="Arial Narrow" w:hAnsi="Arial Narrow"/>
                <w:sz w:val="18"/>
                <w:szCs w:val="18"/>
              </w:rPr>
            </w:pPr>
            <w:r w:rsidRPr="00D81EF6">
              <w:rPr>
                <w:rFonts w:ascii="Arial Narrow" w:hAnsi="Arial Narrow"/>
                <w:sz w:val="18"/>
                <w:szCs w:val="18"/>
              </w:rPr>
              <w:t>Reply Paid 9826</w:t>
            </w:r>
          </w:p>
          <w:p w14:paraId="02309625" w14:textId="77777777" w:rsidR="00765288" w:rsidRPr="00D81EF6" w:rsidRDefault="00765288" w:rsidP="006F4C21">
            <w:pPr>
              <w:rPr>
                <w:rFonts w:ascii="Arial Narrow" w:hAnsi="Arial Narrow"/>
                <w:b/>
                <w:bCs/>
                <w:sz w:val="18"/>
                <w:szCs w:val="18"/>
              </w:rPr>
            </w:pPr>
            <w:r w:rsidRPr="00D81EF6">
              <w:rPr>
                <w:rFonts w:ascii="Arial Narrow" w:hAnsi="Arial Narrow"/>
                <w:sz w:val="18"/>
                <w:szCs w:val="18"/>
              </w:rPr>
              <w:t>HOBART TAS 7001</w:t>
            </w:r>
          </w:p>
        </w:tc>
      </w:tr>
    </w:tbl>
    <w:p w14:paraId="521D4B39" w14:textId="7159E408" w:rsidR="006F4C21" w:rsidRPr="00D81EF6" w:rsidRDefault="006F4C21" w:rsidP="006F4C21">
      <w:pPr>
        <w:spacing w:after="160" w:line="259" w:lineRule="auto"/>
        <w:jc w:val="left"/>
        <w:rPr>
          <w:rFonts w:ascii="Arial Narrow" w:hAnsi="Arial Narrow"/>
          <w:b/>
          <w:sz w:val="18"/>
          <w:szCs w:val="18"/>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709"/>
        <w:gridCol w:w="1842"/>
      </w:tblGrid>
      <w:tr w:rsidR="00487A29" w:rsidRPr="00D81EF6" w14:paraId="0F87591C" w14:textId="77777777" w:rsidTr="006F4C21">
        <w:trPr>
          <w:cantSplit/>
          <w:trHeight w:val="471"/>
        </w:trPr>
        <w:tc>
          <w:tcPr>
            <w:tcW w:w="2689" w:type="dxa"/>
          </w:tcPr>
          <w:p w14:paraId="48DBB049" w14:textId="77777777" w:rsidR="006F4C21" w:rsidRPr="00D81EF6" w:rsidRDefault="006F4C21" w:rsidP="006F4C21">
            <w:pPr>
              <w:keepNext/>
              <w:ind w:left="-108"/>
              <w:rPr>
                <w:rFonts w:ascii="Arial Narrow" w:hAnsi="Arial Narrow" w:cs="Arial"/>
                <w:b/>
                <w:sz w:val="18"/>
                <w:szCs w:val="18"/>
              </w:rPr>
            </w:pPr>
            <w:r w:rsidRPr="00D81EF6">
              <w:rPr>
                <w:rFonts w:ascii="Arial Narrow" w:hAnsi="Arial Narrow" w:cs="Arial"/>
                <w:b/>
                <w:sz w:val="18"/>
                <w:szCs w:val="18"/>
              </w:rPr>
              <w:t>Name, Restriction,</w:t>
            </w:r>
          </w:p>
          <w:p w14:paraId="2F06AD8C" w14:textId="77777777" w:rsidR="006F4C21" w:rsidRPr="00D81EF6" w:rsidRDefault="006F4C21" w:rsidP="006F4C21">
            <w:pPr>
              <w:keepNext/>
              <w:ind w:left="-108"/>
              <w:rPr>
                <w:rFonts w:ascii="Arial Narrow" w:hAnsi="Arial Narrow" w:cs="Arial"/>
                <w:b/>
                <w:sz w:val="18"/>
                <w:szCs w:val="18"/>
              </w:rPr>
            </w:pPr>
            <w:r w:rsidRPr="00D81EF6">
              <w:rPr>
                <w:rFonts w:ascii="Arial Narrow" w:hAnsi="Arial Narrow" w:cs="Arial"/>
                <w:b/>
                <w:sz w:val="18"/>
                <w:szCs w:val="18"/>
              </w:rPr>
              <w:t>Manner of administration and form</w:t>
            </w:r>
          </w:p>
        </w:tc>
        <w:tc>
          <w:tcPr>
            <w:tcW w:w="1275" w:type="dxa"/>
          </w:tcPr>
          <w:p w14:paraId="2E3CA336" w14:textId="77777777" w:rsidR="006F4C21" w:rsidRPr="00D81EF6" w:rsidRDefault="006F4C21" w:rsidP="006F4C21">
            <w:pPr>
              <w:keepNext/>
              <w:ind w:left="-108"/>
              <w:jc w:val="center"/>
              <w:rPr>
                <w:rFonts w:ascii="Arial Narrow" w:hAnsi="Arial Narrow" w:cs="Arial"/>
                <w:b/>
                <w:sz w:val="18"/>
                <w:szCs w:val="18"/>
              </w:rPr>
            </w:pPr>
            <w:r w:rsidRPr="00D81EF6">
              <w:rPr>
                <w:rFonts w:ascii="Arial Narrow" w:hAnsi="Arial Narrow" w:cs="Arial"/>
                <w:b/>
                <w:sz w:val="18"/>
                <w:szCs w:val="18"/>
              </w:rPr>
              <w:t>PBS item code</w:t>
            </w:r>
          </w:p>
        </w:tc>
        <w:tc>
          <w:tcPr>
            <w:tcW w:w="851" w:type="dxa"/>
          </w:tcPr>
          <w:p w14:paraId="674E0FCD" w14:textId="77777777" w:rsidR="006F4C21" w:rsidRPr="00D81EF6" w:rsidRDefault="006F4C21" w:rsidP="006F4C21">
            <w:pPr>
              <w:keepNext/>
              <w:ind w:left="-108"/>
              <w:jc w:val="center"/>
              <w:rPr>
                <w:rFonts w:ascii="Arial Narrow" w:hAnsi="Arial Narrow" w:cs="Arial"/>
                <w:b/>
                <w:sz w:val="18"/>
                <w:szCs w:val="18"/>
              </w:rPr>
            </w:pPr>
            <w:r w:rsidRPr="00D81EF6">
              <w:rPr>
                <w:rFonts w:ascii="Arial Narrow" w:hAnsi="Arial Narrow" w:cs="Arial"/>
                <w:b/>
                <w:sz w:val="18"/>
                <w:szCs w:val="18"/>
              </w:rPr>
              <w:t>Max. qty packs</w:t>
            </w:r>
          </w:p>
        </w:tc>
        <w:tc>
          <w:tcPr>
            <w:tcW w:w="850" w:type="dxa"/>
          </w:tcPr>
          <w:p w14:paraId="38C12CBA" w14:textId="77777777" w:rsidR="006F4C21" w:rsidRPr="00D81EF6" w:rsidRDefault="006F4C21" w:rsidP="006F4C21">
            <w:pPr>
              <w:keepNext/>
              <w:ind w:left="-108"/>
              <w:jc w:val="center"/>
              <w:rPr>
                <w:rFonts w:ascii="Arial Narrow" w:hAnsi="Arial Narrow" w:cs="Arial"/>
                <w:b/>
                <w:sz w:val="18"/>
                <w:szCs w:val="18"/>
              </w:rPr>
            </w:pPr>
            <w:r w:rsidRPr="00D81EF6">
              <w:rPr>
                <w:rFonts w:ascii="Arial Narrow" w:hAnsi="Arial Narrow" w:cs="Arial"/>
                <w:b/>
                <w:sz w:val="18"/>
                <w:szCs w:val="18"/>
              </w:rPr>
              <w:t>Max. qty units</w:t>
            </w:r>
          </w:p>
        </w:tc>
        <w:tc>
          <w:tcPr>
            <w:tcW w:w="709" w:type="dxa"/>
          </w:tcPr>
          <w:p w14:paraId="65DD9BB5" w14:textId="77777777" w:rsidR="006F4C21" w:rsidRPr="00D81EF6" w:rsidRDefault="006F4C21" w:rsidP="006F4C21">
            <w:pPr>
              <w:keepNext/>
              <w:ind w:left="-108"/>
              <w:jc w:val="center"/>
              <w:rPr>
                <w:rFonts w:ascii="Arial Narrow" w:hAnsi="Arial Narrow" w:cs="Arial"/>
                <w:b/>
                <w:sz w:val="18"/>
                <w:szCs w:val="18"/>
              </w:rPr>
            </w:pPr>
            <w:r w:rsidRPr="00D81EF6">
              <w:rPr>
                <w:rFonts w:ascii="Arial Narrow" w:hAnsi="Arial Narrow" w:cs="Arial"/>
                <w:b/>
                <w:sz w:val="18"/>
                <w:szCs w:val="18"/>
              </w:rPr>
              <w:t>№.of</w:t>
            </w:r>
          </w:p>
          <w:p w14:paraId="01AB5B2E" w14:textId="77777777" w:rsidR="006F4C21" w:rsidRPr="00D81EF6" w:rsidRDefault="006F4C21" w:rsidP="006F4C21">
            <w:pPr>
              <w:keepNext/>
              <w:ind w:left="-108"/>
              <w:jc w:val="center"/>
              <w:rPr>
                <w:rFonts w:ascii="Arial Narrow" w:hAnsi="Arial Narrow" w:cs="Arial"/>
                <w:b/>
                <w:sz w:val="18"/>
                <w:szCs w:val="18"/>
              </w:rPr>
            </w:pPr>
            <w:r w:rsidRPr="00D81EF6">
              <w:rPr>
                <w:rFonts w:ascii="Arial Narrow" w:hAnsi="Arial Narrow" w:cs="Arial"/>
                <w:b/>
                <w:sz w:val="18"/>
                <w:szCs w:val="18"/>
              </w:rPr>
              <w:t>Rpts</w:t>
            </w:r>
          </w:p>
        </w:tc>
        <w:tc>
          <w:tcPr>
            <w:tcW w:w="2551" w:type="dxa"/>
            <w:gridSpan w:val="2"/>
          </w:tcPr>
          <w:p w14:paraId="25D5A0D2" w14:textId="77777777" w:rsidR="006F4C21" w:rsidRPr="00D81EF6" w:rsidRDefault="006F4C21" w:rsidP="006F4C21">
            <w:pPr>
              <w:keepNext/>
              <w:rPr>
                <w:rFonts w:ascii="Arial Narrow" w:hAnsi="Arial Narrow" w:cs="Arial"/>
                <w:b/>
                <w:sz w:val="18"/>
                <w:szCs w:val="18"/>
              </w:rPr>
            </w:pPr>
            <w:r w:rsidRPr="00D81EF6">
              <w:rPr>
                <w:rFonts w:ascii="Arial Narrow" w:hAnsi="Arial Narrow" w:cs="Arial"/>
                <w:b/>
                <w:sz w:val="18"/>
                <w:szCs w:val="18"/>
              </w:rPr>
              <w:t>Proprietary Name and Manufacturer</w:t>
            </w:r>
          </w:p>
        </w:tc>
      </w:tr>
      <w:tr w:rsidR="00487A29" w:rsidRPr="00D81EF6" w14:paraId="1FBF7E73" w14:textId="77777777" w:rsidTr="006F4C21">
        <w:trPr>
          <w:cantSplit/>
          <w:trHeight w:val="469"/>
        </w:trPr>
        <w:tc>
          <w:tcPr>
            <w:tcW w:w="2689" w:type="dxa"/>
          </w:tcPr>
          <w:p w14:paraId="56722FDB" w14:textId="77777777" w:rsidR="006F4C21" w:rsidRPr="00D81EF6" w:rsidRDefault="006F4C21" w:rsidP="006F4C21">
            <w:pPr>
              <w:keepNext/>
              <w:ind w:left="-108"/>
              <w:rPr>
                <w:rFonts w:ascii="Arial Narrow" w:hAnsi="Arial Narrow" w:cs="Arial"/>
                <w:sz w:val="18"/>
                <w:szCs w:val="18"/>
              </w:rPr>
            </w:pPr>
            <w:r w:rsidRPr="00D81EF6">
              <w:rPr>
                <w:rFonts w:ascii="Arial Narrow" w:hAnsi="Arial Narrow" w:cs="Arial"/>
                <w:sz w:val="18"/>
                <w:szCs w:val="18"/>
              </w:rPr>
              <w:t>MODAFINIL</w:t>
            </w:r>
          </w:p>
          <w:p w14:paraId="75A2D699" w14:textId="77777777" w:rsidR="006F4C21" w:rsidRPr="00D81EF6" w:rsidRDefault="006F4C21" w:rsidP="006F4C21">
            <w:pPr>
              <w:keepNext/>
              <w:ind w:left="-108"/>
              <w:rPr>
                <w:rFonts w:ascii="Arial Narrow" w:hAnsi="Arial Narrow" w:cs="Arial"/>
                <w:sz w:val="18"/>
                <w:szCs w:val="18"/>
              </w:rPr>
            </w:pPr>
            <w:r w:rsidRPr="00D81EF6">
              <w:rPr>
                <w:rFonts w:ascii="Arial Narrow" w:hAnsi="Arial Narrow" w:cs="Arial"/>
                <w:sz w:val="18"/>
                <w:szCs w:val="18"/>
              </w:rPr>
              <w:t>modafinil 100 mg tablet, 60</w:t>
            </w:r>
          </w:p>
        </w:tc>
        <w:tc>
          <w:tcPr>
            <w:tcW w:w="1275" w:type="dxa"/>
          </w:tcPr>
          <w:p w14:paraId="030F96F5" w14:textId="77777777" w:rsidR="006F4C21" w:rsidRPr="00D81EF6" w:rsidRDefault="006F4C21" w:rsidP="006F4C21">
            <w:pPr>
              <w:keepNext/>
              <w:rPr>
                <w:rFonts w:ascii="Arial Narrow" w:hAnsi="Arial Narrow" w:cs="Arial"/>
                <w:sz w:val="18"/>
                <w:szCs w:val="18"/>
              </w:rPr>
            </w:pPr>
          </w:p>
          <w:p w14:paraId="081EF3B9" w14:textId="77777777" w:rsidR="006F4C21" w:rsidRPr="00D81EF6" w:rsidRDefault="006F4C21" w:rsidP="006F4C21">
            <w:pPr>
              <w:keepNext/>
              <w:ind w:left="-108"/>
              <w:jc w:val="center"/>
              <w:rPr>
                <w:rFonts w:ascii="Arial Narrow" w:hAnsi="Arial Narrow" w:cs="Arial"/>
                <w:sz w:val="18"/>
                <w:szCs w:val="18"/>
              </w:rPr>
            </w:pPr>
            <w:r w:rsidRPr="00D81EF6">
              <w:rPr>
                <w:rFonts w:ascii="Arial Narrow" w:hAnsi="Arial Narrow" w:cs="Arial"/>
                <w:sz w:val="18"/>
                <w:szCs w:val="18"/>
              </w:rPr>
              <w:t>8816B</w:t>
            </w:r>
          </w:p>
        </w:tc>
        <w:tc>
          <w:tcPr>
            <w:tcW w:w="851" w:type="dxa"/>
          </w:tcPr>
          <w:p w14:paraId="2678B4F6" w14:textId="77777777" w:rsidR="006F4C21" w:rsidRPr="00D81EF6" w:rsidRDefault="006F4C21" w:rsidP="006F4C21">
            <w:pPr>
              <w:keepNext/>
              <w:rPr>
                <w:rFonts w:ascii="Arial Narrow" w:hAnsi="Arial Narrow" w:cs="Arial"/>
                <w:sz w:val="18"/>
                <w:szCs w:val="18"/>
              </w:rPr>
            </w:pPr>
          </w:p>
          <w:p w14:paraId="7FC3070A" w14:textId="77777777" w:rsidR="006F4C21" w:rsidRPr="00D81EF6" w:rsidRDefault="006F4C21" w:rsidP="006F4C21">
            <w:pPr>
              <w:keepNext/>
              <w:jc w:val="center"/>
              <w:rPr>
                <w:rFonts w:ascii="Arial Narrow" w:hAnsi="Arial Narrow" w:cs="Arial"/>
                <w:sz w:val="18"/>
                <w:szCs w:val="18"/>
              </w:rPr>
            </w:pPr>
            <w:r w:rsidRPr="00D81EF6">
              <w:rPr>
                <w:rFonts w:ascii="Arial Narrow" w:hAnsi="Arial Narrow" w:cs="Arial"/>
                <w:sz w:val="18"/>
                <w:szCs w:val="18"/>
              </w:rPr>
              <w:t>2</w:t>
            </w:r>
          </w:p>
        </w:tc>
        <w:tc>
          <w:tcPr>
            <w:tcW w:w="850" w:type="dxa"/>
          </w:tcPr>
          <w:p w14:paraId="77F1F8BD" w14:textId="77777777" w:rsidR="006F4C21" w:rsidRPr="00D81EF6" w:rsidRDefault="006F4C21" w:rsidP="006F4C21">
            <w:pPr>
              <w:keepNext/>
              <w:rPr>
                <w:rFonts w:ascii="Arial Narrow" w:hAnsi="Arial Narrow" w:cs="Arial"/>
                <w:sz w:val="18"/>
                <w:szCs w:val="18"/>
              </w:rPr>
            </w:pPr>
          </w:p>
          <w:p w14:paraId="18E054B0" w14:textId="77777777" w:rsidR="006F4C21" w:rsidRPr="00D81EF6" w:rsidRDefault="006F4C21" w:rsidP="006F4C21">
            <w:pPr>
              <w:keepNext/>
              <w:ind w:left="-108"/>
              <w:jc w:val="center"/>
              <w:rPr>
                <w:rFonts w:ascii="Arial Narrow" w:hAnsi="Arial Narrow" w:cs="Arial"/>
                <w:sz w:val="18"/>
                <w:szCs w:val="18"/>
              </w:rPr>
            </w:pPr>
            <w:r w:rsidRPr="00D81EF6">
              <w:rPr>
                <w:rFonts w:ascii="Arial Narrow" w:hAnsi="Arial Narrow" w:cs="Arial"/>
                <w:sz w:val="18"/>
                <w:szCs w:val="18"/>
              </w:rPr>
              <w:t>120</w:t>
            </w:r>
          </w:p>
        </w:tc>
        <w:tc>
          <w:tcPr>
            <w:tcW w:w="709" w:type="dxa"/>
          </w:tcPr>
          <w:p w14:paraId="711D984F" w14:textId="77777777" w:rsidR="006F4C21" w:rsidRPr="00D81EF6" w:rsidRDefault="006F4C21" w:rsidP="006F4C21">
            <w:pPr>
              <w:keepNext/>
              <w:rPr>
                <w:rFonts w:ascii="Arial Narrow" w:hAnsi="Arial Narrow" w:cs="Arial"/>
                <w:sz w:val="18"/>
                <w:szCs w:val="18"/>
              </w:rPr>
            </w:pPr>
          </w:p>
          <w:p w14:paraId="17690DA1" w14:textId="77777777" w:rsidR="006F4C21" w:rsidRPr="00D81EF6" w:rsidRDefault="006F4C21" w:rsidP="006F4C21">
            <w:pPr>
              <w:keepNext/>
              <w:ind w:left="-108"/>
              <w:jc w:val="center"/>
              <w:rPr>
                <w:rFonts w:ascii="Arial Narrow" w:hAnsi="Arial Narrow" w:cs="Arial"/>
                <w:sz w:val="18"/>
                <w:szCs w:val="18"/>
              </w:rPr>
            </w:pPr>
            <w:r w:rsidRPr="00D81EF6">
              <w:rPr>
                <w:rFonts w:ascii="Arial Narrow" w:hAnsi="Arial Narrow" w:cs="Arial"/>
                <w:sz w:val="18"/>
                <w:szCs w:val="18"/>
              </w:rPr>
              <w:t>5</w:t>
            </w:r>
          </w:p>
        </w:tc>
        <w:tc>
          <w:tcPr>
            <w:tcW w:w="2551" w:type="dxa"/>
            <w:gridSpan w:val="2"/>
          </w:tcPr>
          <w:p w14:paraId="343CA7F0" w14:textId="77777777" w:rsidR="006F4C21" w:rsidRPr="00D81EF6" w:rsidRDefault="006F4C21" w:rsidP="006F4C21">
            <w:pPr>
              <w:keepNext/>
              <w:rPr>
                <w:rFonts w:ascii="Arial Narrow" w:hAnsi="Arial Narrow" w:cs="Arial"/>
                <w:sz w:val="18"/>
                <w:szCs w:val="18"/>
              </w:rPr>
            </w:pPr>
          </w:p>
          <w:p w14:paraId="160382D9" w14:textId="77777777" w:rsidR="006F4C21" w:rsidRPr="00D81EF6" w:rsidRDefault="006F4C21" w:rsidP="006F4C21">
            <w:pPr>
              <w:keepNext/>
              <w:rPr>
                <w:rFonts w:ascii="Arial Narrow" w:hAnsi="Arial Narrow" w:cs="Arial"/>
                <w:sz w:val="18"/>
                <w:szCs w:val="18"/>
              </w:rPr>
            </w:pPr>
            <w:r w:rsidRPr="00D81EF6">
              <w:rPr>
                <w:rFonts w:ascii="Arial Narrow" w:hAnsi="Arial Narrow" w:cs="Arial"/>
                <w:sz w:val="18"/>
                <w:szCs w:val="18"/>
              </w:rPr>
              <w:t>Various brands and sponsors</w:t>
            </w:r>
          </w:p>
        </w:tc>
      </w:tr>
      <w:tr w:rsidR="006F4C21" w:rsidRPr="00D81EF6" w14:paraId="0026B228" w14:textId="77777777" w:rsidTr="00E149F1">
        <w:trPr>
          <w:cantSplit/>
          <w:trHeight w:val="696"/>
        </w:trPr>
        <w:tc>
          <w:tcPr>
            <w:tcW w:w="2689" w:type="dxa"/>
          </w:tcPr>
          <w:p w14:paraId="1062BD6C" w14:textId="77777777" w:rsidR="006F4C21" w:rsidRPr="00D81EF6" w:rsidRDefault="006F4C21" w:rsidP="006F4C21">
            <w:pPr>
              <w:keepNext/>
              <w:ind w:left="-108"/>
              <w:rPr>
                <w:rFonts w:ascii="Arial Narrow" w:hAnsi="Arial Narrow" w:cs="Arial"/>
                <w:sz w:val="18"/>
                <w:szCs w:val="18"/>
              </w:rPr>
            </w:pPr>
            <w:r w:rsidRPr="00D81EF6">
              <w:rPr>
                <w:rFonts w:ascii="Arial Narrow" w:hAnsi="Arial Narrow" w:cs="Arial"/>
                <w:sz w:val="18"/>
                <w:szCs w:val="18"/>
              </w:rPr>
              <w:t>ARMODAFINIL</w:t>
            </w:r>
          </w:p>
          <w:p w14:paraId="3709A231" w14:textId="77777777" w:rsidR="006F4C21" w:rsidRPr="00D81EF6" w:rsidRDefault="006F4C21" w:rsidP="006F4C21">
            <w:pPr>
              <w:keepNext/>
              <w:ind w:left="-108"/>
              <w:rPr>
                <w:rFonts w:ascii="Arial Narrow" w:hAnsi="Arial Narrow" w:cs="Arial"/>
                <w:sz w:val="18"/>
                <w:szCs w:val="18"/>
              </w:rPr>
            </w:pPr>
            <w:r w:rsidRPr="00D81EF6">
              <w:rPr>
                <w:rFonts w:ascii="Arial Narrow" w:hAnsi="Arial Narrow" w:cs="Arial"/>
                <w:sz w:val="18"/>
                <w:szCs w:val="18"/>
              </w:rPr>
              <w:t>armodafinil 50 mg tablet, 30</w:t>
            </w:r>
          </w:p>
          <w:p w14:paraId="079FEFFF" w14:textId="77777777" w:rsidR="006F4C21" w:rsidRPr="00D81EF6" w:rsidRDefault="006F4C21" w:rsidP="006F4C21">
            <w:pPr>
              <w:keepNext/>
              <w:ind w:left="-108"/>
              <w:rPr>
                <w:rFonts w:ascii="Arial Narrow" w:hAnsi="Arial Narrow" w:cs="Arial"/>
                <w:sz w:val="18"/>
                <w:szCs w:val="18"/>
              </w:rPr>
            </w:pPr>
            <w:r w:rsidRPr="00D81EF6">
              <w:rPr>
                <w:rFonts w:ascii="Arial Narrow" w:hAnsi="Arial Narrow" w:cs="Arial"/>
                <w:sz w:val="18"/>
                <w:szCs w:val="18"/>
              </w:rPr>
              <w:t>armodafinil 150 mg tablet, 30</w:t>
            </w:r>
          </w:p>
          <w:p w14:paraId="6AF322FC" w14:textId="73185775" w:rsidR="006F4C21" w:rsidRPr="00D81EF6" w:rsidRDefault="006F4C21" w:rsidP="00E149F1">
            <w:pPr>
              <w:keepNext/>
              <w:ind w:left="-108"/>
              <w:rPr>
                <w:rFonts w:ascii="Arial Narrow" w:hAnsi="Arial Narrow" w:cs="Arial"/>
                <w:sz w:val="18"/>
                <w:szCs w:val="18"/>
              </w:rPr>
            </w:pPr>
            <w:r w:rsidRPr="00D81EF6">
              <w:rPr>
                <w:rFonts w:ascii="Arial Narrow" w:hAnsi="Arial Narrow" w:cs="Arial"/>
                <w:sz w:val="18"/>
                <w:szCs w:val="18"/>
              </w:rPr>
              <w:t>armodafinil 250 mg tablet, 30</w:t>
            </w:r>
          </w:p>
        </w:tc>
        <w:tc>
          <w:tcPr>
            <w:tcW w:w="1275" w:type="dxa"/>
          </w:tcPr>
          <w:p w14:paraId="0C91FAFC" w14:textId="77777777" w:rsidR="006F4C21" w:rsidRPr="00D81EF6" w:rsidRDefault="006F4C21" w:rsidP="006F4C21">
            <w:pPr>
              <w:keepNext/>
              <w:jc w:val="center"/>
              <w:rPr>
                <w:rFonts w:ascii="Arial Narrow" w:hAnsi="Arial Narrow" w:cs="Arial"/>
                <w:sz w:val="18"/>
                <w:szCs w:val="18"/>
              </w:rPr>
            </w:pPr>
          </w:p>
          <w:p w14:paraId="57565C81" w14:textId="77777777" w:rsidR="006F4C21" w:rsidRPr="00D81EF6" w:rsidRDefault="006F4C21" w:rsidP="006F4C21">
            <w:pPr>
              <w:keepNext/>
              <w:jc w:val="center"/>
              <w:rPr>
                <w:rFonts w:ascii="Arial Narrow" w:hAnsi="Arial Narrow" w:cs="Arial"/>
                <w:sz w:val="18"/>
                <w:szCs w:val="18"/>
              </w:rPr>
            </w:pPr>
            <w:r w:rsidRPr="00D81EF6">
              <w:rPr>
                <w:rFonts w:ascii="Arial Narrow" w:hAnsi="Arial Narrow" w:cs="Arial"/>
                <w:sz w:val="18"/>
                <w:szCs w:val="18"/>
              </w:rPr>
              <w:t>10922W</w:t>
            </w:r>
          </w:p>
          <w:p w14:paraId="27279B3B" w14:textId="77777777" w:rsidR="006F4C21" w:rsidRPr="00D81EF6" w:rsidRDefault="006F4C21" w:rsidP="006F4C21">
            <w:pPr>
              <w:keepNext/>
              <w:jc w:val="center"/>
              <w:rPr>
                <w:rFonts w:ascii="Arial Narrow" w:hAnsi="Arial Narrow" w:cs="Arial"/>
                <w:sz w:val="18"/>
                <w:szCs w:val="18"/>
              </w:rPr>
            </w:pPr>
            <w:r w:rsidRPr="00D81EF6">
              <w:rPr>
                <w:rFonts w:ascii="Arial Narrow" w:hAnsi="Arial Narrow" w:cs="Arial"/>
                <w:sz w:val="18"/>
                <w:szCs w:val="18"/>
              </w:rPr>
              <w:t>10912H</w:t>
            </w:r>
          </w:p>
          <w:p w14:paraId="357ADC28" w14:textId="77777777" w:rsidR="006F4C21" w:rsidRPr="00D81EF6" w:rsidRDefault="006F4C21" w:rsidP="006F4C21">
            <w:pPr>
              <w:keepNext/>
              <w:jc w:val="center"/>
              <w:rPr>
                <w:rFonts w:ascii="Arial Narrow" w:hAnsi="Arial Narrow" w:cs="Arial"/>
                <w:sz w:val="18"/>
                <w:szCs w:val="18"/>
              </w:rPr>
            </w:pPr>
            <w:r w:rsidRPr="00D81EF6">
              <w:rPr>
                <w:rFonts w:ascii="Arial Narrow" w:hAnsi="Arial Narrow" w:cs="Arial"/>
                <w:sz w:val="18"/>
                <w:szCs w:val="18"/>
              </w:rPr>
              <w:t>10919Q</w:t>
            </w:r>
          </w:p>
        </w:tc>
        <w:tc>
          <w:tcPr>
            <w:tcW w:w="851" w:type="dxa"/>
          </w:tcPr>
          <w:p w14:paraId="455CCD70" w14:textId="77777777" w:rsidR="006F4C21" w:rsidRPr="00D81EF6" w:rsidRDefault="006F4C21" w:rsidP="006F4C21">
            <w:pPr>
              <w:keepNext/>
              <w:jc w:val="center"/>
              <w:rPr>
                <w:rFonts w:ascii="Arial Narrow" w:hAnsi="Arial Narrow" w:cs="Arial"/>
                <w:sz w:val="18"/>
                <w:szCs w:val="18"/>
              </w:rPr>
            </w:pPr>
          </w:p>
          <w:p w14:paraId="1442128A" w14:textId="77777777" w:rsidR="006F4C21" w:rsidRPr="00D81EF6" w:rsidRDefault="006F4C21" w:rsidP="006F4C21">
            <w:pPr>
              <w:keepNext/>
              <w:jc w:val="center"/>
              <w:rPr>
                <w:rFonts w:ascii="Arial Narrow" w:hAnsi="Arial Narrow" w:cs="Arial"/>
                <w:sz w:val="18"/>
                <w:szCs w:val="18"/>
              </w:rPr>
            </w:pPr>
            <w:r w:rsidRPr="00D81EF6">
              <w:rPr>
                <w:rFonts w:ascii="Arial Narrow" w:hAnsi="Arial Narrow" w:cs="Arial"/>
                <w:sz w:val="18"/>
                <w:szCs w:val="18"/>
              </w:rPr>
              <w:t>2</w:t>
            </w:r>
          </w:p>
          <w:p w14:paraId="45CDEB3C" w14:textId="77777777" w:rsidR="006F4C21" w:rsidRPr="00D81EF6" w:rsidRDefault="006F4C21" w:rsidP="006F4C21">
            <w:pPr>
              <w:keepNext/>
              <w:jc w:val="center"/>
              <w:rPr>
                <w:rFonts w:ascii="Arial Narrow" w:hAnsi="Arial Narrow" w:cs="Arial"/>
                <w:sz w:val="18"/>
                <w:szCs w:val="18"/>
              </w:rPr>
            </w:pPr>
            <w:r w:rsidRPr="00D81EF6">
              <w:rPr>
                <w:rFonts w:ascii="Arial Narrow" w:hAnsi="Arial Narrow" w:cs="Arial"/>
                <w:sz w:val="18"/>
                <w:szCs w:val="18"/>
              </w:rPr>
              <w:t>1</w:t>
            </w:r>
          </w:p>
          <w:p w14:paraId="07C631FE" w14:textId="77777777" w:rsidR="006F4C21" w:rsidRPr="00D81EF6" w:rsidRDefault="006F4C21" w:rsidP="006F4C21">
            <w:pPr>
              <w:keepNext/>
              <w:jc w:val="center"/>
              <w:rPr>
                <w:rFonts w:ascii="Arial Narrow" w:hAnsi="Arial Narrow" w:cs="Arial"/>
                <w:sz w:val="18"/>
                <w:szCs w:val="18"/>
              </w:rPr>
            </w:pPr>
            <w:r w:rsidRPr="00D81EF6">
              <w:rPr>
                <w:rFonts w:ascii="Arial Narrow" w:hAnsi="Arial Narrow" w:cs="Arial"/>
                <w:sz w:val="18"/>
                <w:szCs w:val="18"/>
              </w:rPr>
              <w:t>1</w:t>
            </w:r>
          </w:p>
        </w:tc>
        <w:tc>
          <w:tcPr>
            <w:tcW w:w="850" w:type="dxa"/>
          </w:tcPr>
          <w:p w14:paraId="5978A4E7" w14:textId="77777777" w:rsidR="006F4C21" w:rsidRPr="00D81EF6" w:rsidRDefault="006F4C21" w:rsidP="006F4C21">
            <w:pPr>
              <w:keepNext/>
              <w:ind w:left="-108"/>
              <w:jc w:val="center"/>
              <w:rPr>
                <w:rFonts w:ascii="Arial Narrow" w:hAnsi="Arial Narrow" w:cs="Arial"/>
                <w:sz w:val="18"/>
                <w:szCs w:val="18"/>
              </w:rPr>
            </w:pPr>
          </w:p>
          <w:p w14:paraId="045B24A3" w14:textId="77777777" w:rsidR="006F4C21" w:rsidRPr="00D81EF6" w:rsidRDefault="006F4C21" w:rsidP="006F4C21">
            <w:pPr>
              <w:keepNext/>
              <w:ind w:left="-108"/>
              <w:jc w:val="center"/>
              <w:rPr>
                <w:rFonts w:ascii="Arial Narrow" w:hAnsi="Arial Narrow" w:cs="Arial"/>
                <w:sz w:val="18"/>
                <w:szCs w:val="18"/>
              </w:rPr>
            </w:pPr>
            <w:r w:rsidRPr="00D81EF6">
              <w:rPr>
                <w:rFonts w:ascii="Arial Narrow" w:hAnsi="Arial Narrow" w:cs="Arial"/>
                <w:sz w:val="18"/>
                <w:szCs w:val="18"/>
              </w:rPr>
              <w:t>60</w:t>
            </w:r>
          </w:p>
          <w:p w14:paraId="37993837" w14:textId="77777777" w:rsidR="006F4C21" w:rsidRPr="00D81EF6" w:rsidRDefault="006F4C21" w:rsidP="006F4C21">
            <w:pPr>
              <w:keepNext/>
              <w:ind w:left="-108"/>
              <w:jc w:val="center"/>
              <w:rPr>
                <w:rFonts w:ascii="Arial Narrow" w:hAnsi="Arial Narrow" w:cs="Arial"/>
                <w:sz w:val="18"/>
                <w:szCs w:val="18"/>
              </w:rPr>
            </w:pPr>
            <w:r w:rsidRPr="00D81EF6">
              <w:rPr>
                <w:rFonts w:ascii="Arial Narrow" w:hAnsi="Arial Narrow" w:cs="Arial"/>
                <w:sz w:val="18"/>
                <w:szCs w:val="18"/>
              </w:rPr>
              <w:t>30</w:t>
            </w:r>
          </w:p>
          <w:p w14:paraId="0C0E55E6" w14:textId="77777777" w:rsidR="006F4C21" w:rsidRPr="00D81EF6" w:rsidRDefault="006F4C21" w:rsidP="006F4C21">
            <w:pPr>
              <w:keepNext/>
              <w:ind w:left="-108"/>
              <w:jc w:val="center"/>
              <w:rPr>
                <w:rFonts w:ascii="Arial Narrow" w:hAnsi="Arial Narrow" w:cs="Arial"/>
                <w:sz w:val="18"/>
                <w:szCs w:val="18"/>
              </w:rPr>
            </w:pPr>
            <w:r w:rsidRPr="00D81EF6">
              <w:rPr>
                <w:rFonts w:ascii="Arial Narrow" w:hAnsi="Arial Narrow" w:cs="Arial"/>
                <w:sz w:val="18"/>
                <w:szCs w:val="18"/>
              </w:rPr>
              <w:t>30</w:t>
            </w:r>
          </w:p>
        </w:tc>
        <w:tc>
          <w:tcPr>
            <w:tcW w:w="709" w:type="dxa"/>
          </w:tcPr>
          <w:p w14:paraId="1D0209B6" w14:textId="77777777" w:rsidR="006F4C21" w:rsidRPr="00D81EF6" w:rsidRDefault="006F4C21" w:rsidP="006F4C21">
            <w:pPr>
              <w:keepNext/>
              <w:ind w:left="-108"/>
              <w:jc w:val="center"/>
              <w:rPr>
                <w:rFonts w:ascii="Arial Narrow" w:hAnsi="Arial Narrow" w:cs="Arial"/>
                <w:sz w:val="18"/>
                <w:szCs w:val="18"/>
              </w:rPr>
            </w:pPr>
          </w:p>
          <w:p w14:paraId="723B4496" w14:textId="77777777" w:rsidR="006F4C21" w:rsidRPr="00D81EF6" w:rsidRDefault="006F4C21" w:rsidP="006F4C21">
            <w:pPr>
              <w:keepNext/>
              <w:ind w:left="-108"/>
              <w:jc w:val="center"/>
              <w:rPr>
                <w:rFonts w:ascii="Arial Narrow" w:hAnsi="Arial Narrow" w:cs="Arial"/>
                <w:sz w:val="18"/>
                <w:szCs w:val="18"/>
              </w:rPr>
            </w:pPr>
            <w:r w:rsidRPr="00D81EF6">
              <w:rPr>
                <w:rFonts w:ascii="Arial Narrow" w:hAnsi="Arial Narrow" w:cs="Arial"/>
                <w:sz w:val="18"/>
                <w:szCs w:val="18"/>
              </w:rPr>
              <w:t>5</w:t>
            </w:r>
          </w:p>
          <w:p w14:paraId="66C3148B" w14:textId="77777777" w:rsidR="006F4C21" w:rsidRPr="00D81EF6" w:rsidRDefault="006F4C21" w:rsidP="006F4C21">
            <w:pPr>
              <w:keepNext/>
              <w:ind w:left="-108"/>
              <w:jc w:val="center"/>
              <w:rPr>
                <w:rFonts w:ascii="Arial Narrow" w:hAnsi="Arial Narrow" w:cs="Arial"/>
                <w:sz w:val="18"/>
                <w:szCs w:val="18"/>
              </w:rPr>
            </w:pPr>
            <w:r w:rsidRPr="00D81EF6">
              <w:rPr>
                <w:rFonts w:ascii="Arial Narrow" w:hAnsi="Arial Narrow" w:cs="Arial"/>
                <w:sz w:val="18"/>
                <w:szCs w:val="18"/>
              </w:rPr>
              <w:t>5</w:t>
            </w:r>
          </w:p>
          <w:p w14:paraId="64F8019E" w14:textId="77777777" w:rsidR="006F4C21" w:rsidRPr="00D81EF6" w:rsidRDefault="006F4C21" w:rsidP="006F4C21">
            <w:pPr>
              <w:keepNext/>
              <w:ind w:left="-108"/>
              <w:jc w:val="center"/>
              <w:rPr>
                <w:rFonts w:ascii="Arial Narrow" w:hAnsi="Arial Narrow" w:cs="Arial"/>
                <w:sz w:val="18"/>
                <w:szCs w:val="18"/>
              </w:rPr>
            </w:pPr>
            <w:r w:rsidRPr="00D81EF6">
              <w:rPr>
                <w:rFonts w:ascii="Arial Narrow" w:hAnsi="Arial Narrow" w:cs="Arial"/>
                <w:sz w:val="18"/>
                <w:szCs w:val="18"/>
              </w:rPr>
              <w:t>5</w:t>
            </w:r>
          </w:p>
        </w:tc>
        <w:tc>
          <w:tcPr>
            <w:tcW w:w="709" w:type="dxa"/>
          </w:tcPr>
          <w:p w14:paraId="19630489" w14:textId="77777777" w:rsidR="006F4C21" w:rsidRPr="00D81EF6" w:rsidRDefault="006F4C21" w:rsidP="006F4C21">
            <w:pPr>
              <w:keepNext/>
              <w:rPr>
                <w:rFonts w:ascii="Arial Narrow" w:hAnsi="Arial Narrow" w:cs="Arial"/>
                <w:sz w:val="18"/>
                <w:szCs w:val="18"/>
              </w:rPr>
            </w:pPr>
          </w:p>
          <w:p w14:paraId="06B1B219" w14:textId="77777777" w:rsidR="006F4C21" w:rsidRPr="00D81EF6" w:rsidRDefault="006F4C21" w:rsidP="006F4C21">
            <w:pPr>
              <w:keepNext/>
              <w:rPr>
                <w:rFonts w:ascii="Arial Narrow" w:hAnsi="Arial Narrow" w:cs="Arial"/>
                <w:sz w:val="18"/>
                <w:szCs w:val="18"/>
              </w:rPr>
            </w:pPr>
            <w:r w:rsidRPr="00D81EF6">
              <w:rPr>
                <w:rFonts w:ascii="Arial Narrow" w:hAnsi="Arial Narrow" w:cs="Arial"/>
                <w:sz w:val="18"/>
                <w:szCs w:val="18"/>
              </w:rPr>
              <w:t>Nuvigil</w:t>
            </w:r>
          </w:p>
        </w:tc>
        <w:tc>
          <w:tcPr>
            <w:tcW w:w="1842" w:type="dxa"/>
          </w:tcPr>
          <w:p w14:paraId="6A0A10A4" w14:textId="77777777" w:rsidR="006F4C21" w:rsidRPr="00D81EF6" w:rsidRDefault="006F4C21" w:rsidP="006F4C21">
            <w:pPr>
              <w:keepNext/>
              <w:rPr>
                <w:rFonts w:ascii="Arial Narrow" w:hAnsi="Arial Narrow" w:cs="Arial"/>
                <w:sz w:val="18"/>
                <w:szCs w:val="18"/>
              </w:rPr>
            </w:pPr>
          </w:p>
          <w:p w14:paraId="1F2D6030" w14:textId="77777777" w:rsidR="006F4C21" w:rsidRPr="00D81EF6" w:rsidRDefault="006F4C21" w:rsidP="006F4C21">
            <w:pPr>
              <w:keepNext/>
              <w:rPr>
                <w:rFonts w:ascii="Arial Narrow" w:hAnsi="Arial Narrow" w:cs="Arial"/>
                <w:sz w:val="18"/>
                <w:szCs w:val="18"/>
              </w:rPr>
            </w:pPr>
            <w:r w:rsidRPr="00D81EF6">
              <w:rPr>
                <w:rFonts w:ascii="Arial Narrow" w:hAnsi="Arial Narrow" w:cs="Arial"/>
                <w:sz w:val="18"/>
                <w:szCs w:val="18"/>
              </w:rPr>
              <w:t>Teva Pharma Australia</w:t>
            </w:r>
          </w:p>
          <w:p w14:paraId="2ACFC78A" w14:textId="77777777" w:rsidR="006F4C21" w:rsidRPr="00D81EF6" w:rsidRDefault="006F4C21" w:rsidP="006F4C21">
            <w:pPr>
              <w:keepNext/>
              <w:rPr>
                <w:rFonts w:ascii="Arial Narrow" w:hAnsi="Arial Narrow" w:cs="Arial"/>
                <w:sz w:val="18"/>
                <w:szCs w:val="18"/>
              </w:rPr>
            </w:pPr>
            <w:r w:rsidRPr="00D81EF6">
              <w:rPr>
                <w:rFonts w:ascii="Arial Narrow" w:hAnsi="Arial Narrow" w:cs="Arial"/>
                <w:sz w:val="18"/>
                <w:szCs w:val="18"/>
              </w:rPr>
              <w:t>Pty Limited</w:t>
            </w:r>
          </w:p>
        </w:tc>
      </w:tr>
    </w:tbl>
    <w:p w14:paraId="678D64C6" w14:textId="77777777" w:rsidR="006F4C21" w:rsidRPr="00D81EF6" w:rsidRDefault="006F4C21" w:rsidP="006F4C21">
      <w:pPr>
        <w:rPr>
          <w:rFonts w:ascii="Arial Narrow" w:hAnsi="Arial Narrow"/>
          <w:b/>
          <w:sz w:val="18"/>
          <w:szCs w:val="18"/>
        </w:rPr>
      </w:pPr>
    </w:p>
    <w:p w14:paraId="365FDB45" w14:textId="77777777" w:rsidR="006F4C21" w:rsidRPr="00D81EF6" w:rsidRDefault="006F4C21" w:rsidP="006F4C21">
      <w:pPr>
        <w:rPr>
          <w:rFonts w:ascii="Arial Narrow" w:hAnsi="Arial Narrow"/>
          <w:b/>
          <w:sz w:val="18"/>
          <w:szCs w:val="18"/>
        </w:rPr>
      </w:pPr>
      <w:r w:rsidRPr="00D81EF6">
        <w:rPr>
          <w:rFonts w:ascii="Arial Narrow" w:hAnsi="Arial Narrow"/>
          <w:b/>
          <w:sz w:val="18"/>
          <w:szCs w:val="18"/>
        </w:rPr>
        <w:t>Restriction Summary 8664 / Treatment of Concept: 6547 (modafinil and armodafinil)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765288" w:rsidRPr="00D81EF6" w14:paraId="262055D8" w14:textId="77777777" w:rsidTr="00ED0229">
        <w:tc>
          <w:tcPr>
            <w:tcW w:w="5000" w:type="pct"/>
            <w:tcBorders>
              <w:top w:val="single" w:sz="4" w:space="0" w:color="auto"/>
              <w:left w:val="single" w:sz="4" w:space="0" w:color="auto"/>
              <w:bottom w:val="single" w:sz="4" w:space="0" w:color="auto"/>
              <w:right w:val="single" w:sz="4" w:space="0" w:color="auto"/>
            </w:tcBorders>
          </w:tcPr>
          <w:p w14:paraId="78531382" w14:textId="6154C78D" w:rsidR="00765288" w:rsidRPr="00D81EF6" w:rsidRDefault="00765288" w:rsidP="006F4C21">
            <w:pPr>
              <w:rPr>
                <w:rFonts w:ascii="Arial Narrow" w:hAnsi="Arial Narrow" w:cs="Arial"/>
                <w:sz w:val="18"/>
                <w:szCs w:val="18"/>
              </w:rPr>
            </w:pPr>
            <w:r w:rsidRPr="00D81EF6">
              <w:rPr>
                <w:rFonts w:ascii="Arial Narrow" w:hAnsi="Arial Narrow" w:cs="Arial"/>
                <w:b/>
                <w:sz w:val="18"/>
                <w:szCs w:val="18"/>
              </w:rPr>
              <w:t xml:space="preserve">Category / Program:   </w:t>
            </w:r>
            <w:r w:rsidRPr="00D81EF6">
              <w:rPr>
                <w:rFonts w:ascii="Arial Narrow" w:hAnsi="Arial Narrow" w:cs="Arial"/>
                <w:sz w:val="18"/>
                <w:szCs w:val="18"/>
              </w:rPr>
              <w:t xml:space="preserve">GENERAL – General Schedule (Code GE) </w:t>
            </w:r>
          </w:p>
        </w:tc>
      </w:tr>
      <w:tr w:rsidR="00765288" w:rsidRPr="00D81EF6" w14:paraId="6E90DF92" w14:textId="77777777" w:rsidTr="00ED0229">
        <w:trPr>
          <w:trHeight w:val="240"/>
        </w:trPr>
        <w:tc>
          <w:tcPr>
            <w:tcW w:w="5000" w:type="pct"/>
            <w:tcBorders>
              <w:top w:val="single" w:sz="4" w:space="0" w:color="auto"/>
              <w:left w:val="single" w:sz="4" w:space="0" w:color="auto"/>
              <w:bottom w:val="single" w:sz="4" w:space="0" w:color="auto"/>
              <w:right w:val="single" w:sz="4" w:space="0" w:color="auto"/>
            </w:tcBorders>
          </w:tcPr>
          <w:p w14:paraId="65CC6D7A" w14:textId="452BA09D" w:rsidR="00765288" w:rsidRPr="00D81EF6" w:rsidRDefault="00765288" w:rsidP="00CF66A2">
            <w:pPr>
              <w:rPr>
                <w:rFonts w:ascii="Arial Narrow" w:hAnsi="Arial Narrow" w:cs="Arial"/>
                <w:b/>
                <w:sz w:val="18"/>
                <w:szCs w:val="18"/>
              </w:rPr>
            </w:pPr>
            <w:r w:rsidRPr="00D81EF6">
              <w:rPr>
                <w:rFonts w:ascii="Arial Narrow" w:hAnsi="Arial Narrow" w:cs="Arial"/>
                <w:b/>
                <w:sz w:val="18"/>
                <w:szCs w:val="18"/>
              </w:rPr>
              <w:t xml:space="preserve">Prescriber type:   </w:t>
            </w:r>
            <w:r w:rsidRPr="008B405F">
              <w:rPr>
                <w:rFonts w:ascii="Arial Narrow" w:hAnsi="Arial Narrow" w:cs="Arial"/>
                <w:sz w:val="18"/>
                <w:szCs w:val="18"/>
              </w:rPr>
              <w:fldChar w:fldCharType="begin">
                <w:ffData>
                  <w:name w:val=""/>
                  <w:enabled/>
                  <w:calcOnExit w:val="0"/>
                  <w:checkBox>
                    <w:sizeAuto/>
                    <w:default w:val="1"/>
                  </w:checkBox>
                </w:ffData>
              </w:fldChar>
            </w:r>
            <w:r w:rsidRPr="00D81EF6">
              <w:rPr>
                <w:rFonts w:ascii="Arial Narrow" w:hAnsi="Arial Narrow" w:cs="Arial"/>
                <w:sz w:val="18"/>
                <w:szCs w:val="18"/>
              </w:rPr>
              <w:instrText xml:space="preserve"> FORMCHECKBOX </w:instrText>
            </w:r>
            <w:r w:rsidR="000129CA">
              <w:rPr>
                <w:rFonts w:ascii="Arial Narrow" w:hAnsi="Arial Narrow" w:cs="Arial"/>
                <w:sz w:val="18"/>
                <w:szCs w:val="18"/>
              </w:rPr>
            </w:r>
            <w:r w:rsidR="000129CA">
              <w:rPr>
                <w:rFonts w:ascii="Arial Narrow" w:hAnsi="Arial Narrow" w:cs="Arial"/>
                <w:sz w:val="18"/>
                <w:szCs w:val="18"/>
              </w:rPr>
              <w:fldChar w:fldCharType="separate"/>
            </w:r>
            <w:r w:rsidRPr="008B405F">
              <w:rPr>
                <w:rFonts w:ascii="Arial Narrow" w:hAnsi="Arial Narrow" w:cs="Arial"/>
                <w:sz w:val="18"/>
                <w:szCs w:val="18"/>
              </w:rPr>
              <w:fldChar w:fldCharType="end"/>
            </w:r>
            <w:r w:rsidR="000129CA">
              <w:rPr>
                <w:rFonts w:ascii="Arial Narrow" w:hAnsi="Arial Narrow" w:cs="Arial"/>
                <w:sz w:val="18"/>
                <w:szCs w:val="18"/>
              </w:rPr>
              <w:t>Medical Practitioners</w:t>
            </w:r>
          </w:p>
        </w:tc>
      </w:tr>
      <w:tr w:rsidR="00765288" w:rsidRPr="00D81EF6" w14:paraId="54F417F5" w14:textId="77777777" w:rsidTr="00ED0229">
        <w:tc>
          <w:tcPr>
            <w:tcW w:w="5000" w:type="pct"/>
            <w:tcBorders>
              <w:top w:val="single" w:sz="4" w:space="0" w:color="auto"/>
              <w:left w:val="single" w:sz="4" w:space="0" w:color="auto"/>
              <w:bottom w:val="single" w:sz="4" w:space="0" w:color="auto"/>
              <w:right w:val="single" w:sz="4" w:space="0" w:color="auto"/>
            </w:tcBorders>
          </w:tcPr>
          <w:p w14:paraId="06C37782" w14:textId="1F47EE7F" w:rsidR="00765288" w:rsidRPr="00D81EF6" w:rsidRDefault="00765288" w:rsidP="006F4C21">
            <w:pPr>
              <w:rPr>
                <w:rFonts w:ascii="Arial Narrow" w:hAnsi="Arial Narrow" w:cs="Arial"/>
                <w:b/>
                <w:sz w:val="18"/>
                <w:szCs w:val="18"/>
              </w:rPr>
            </w:pPr>
            <w:r w:rsidRPr="00D81EF6">
              <w:rPr>
                <w:rFonts w:ascii="Arial Narrow" w:hAnsi="Arial Narrow" w:cs="Arial"/>
                <w:b/>
                <w:sz w:val="18"/>
                <w:szCs w:val="18"/>
              </w:rPr>
              <w:t xml:space="preserve">Restriction </w:t>
            </w:r>
            <w:r w:rsidR="00CF66A2" w:rsidRPr="00D81EF6">
              <w:rPr>
                <w:rFonts w:ascii="Arial Narrow" w:hAnsi="Arial Narrow" w:cs="Arial"/>
                <w:b/>
                <w:sz w:val="18"/>
                <w:szCs w:val="18"/>
              </w:rPr>
              <w:t xml:space="preserve">type </w:t>
            </w:r>
            <w:r w:rsidRPr="00D81EF6">
              <w:rPr>
                <w:rFonts w:ascii="Arial Narrow" w:hAnsi="Arial Narrow" w:cs="Arial"/>
                <w:b/>
                <w:sz w:val="18"/>
                <w:szCs w:val="18"/>
              </w:rPr>
              <w:t>/ Method:</w:t>
            </w:r>
          </w:p>
          <w:p w14:paraId="6996B03E" w14:textId="19E7C028" w:rsidR="00765288" w:rsidRPr="00D81EF6" w:rsidRDefault="00765288" w:rsidP="006F4C21">
            <w:pPr>
              <w:rPr>
                <w:rFonts w:ascii="Arial Narrow" w:hAnsi="Arial Narrow" w:cs="Arial"/>
                <w:sz w:val="18"/>
                <w:szCs w:val="18"/>
              </w:rPr>
            </w:pPr>
            <w:r w:rsidRPr="008B405F">
              <w:rPr>
                <w:rFonts w:ascii="Arial Narrow" w:hAnsi="Arial Narrow" w:cs="Arial"/>
                <w:sz w:val="18"/>
                <w:szCs w:val="18"/>
              </w:rPr>
              <w:fldChar w:fldCharType="begin">
                <w:ffData>
                  <w:name w:val="Check3"/>
                  <w:enabled/>
                  <w:calcOnExit w:val="0"/>
                  <w:checkBox>
                    <w:sizeAuto/>
                    <w:default w:val="1"/>
                  </w:checkBox>
                </w:ffData>
              </w:fldChar>
            </w:r>
            <w:r w:rsidRPr="00D81EF6">
              <w:rPr>
                <w:rFonts w:ascii="Arial Narrow" w:hAnsi="Arial Narrow" w:cs="Arial"/>
                <w:sz w:val="18"/>
                <w:szCs w:val="18"/>
              </w:rPr>
              <w:instrText xml:space="preserve"> FORMCHECKBOX </w:instrText>
            </w:r>
            <w:r w:rsidR="000129CA">
              <w:rPr>
                <w:rFonts w:ascii="Arial Narrow" w:hAnsi="Arial Narrow" w:cs="Arial"/>
                <w:sz w:val="18"/>
                <w:szCs w:val="18"/>
              </w:rPr>
            </w:r>
            <w:r w:rsidR="000129CA">
              <w:rPr>
                <w:rFonts w:ascii="Arial Narrow" w:hAnsi="Arial Narrow" w:cs="Arial"/>
                <w:sz w:val="18"/>
                <w:szCs w:val="18"/>
              </w:rPr>
              <w:fldChar w:fldCharType="separate"/>
            </w:r>
            <w:r w:rsidRPr="008B405F">
              <w:rPr>
                <w:rFonts w:ascii="Arial Narrow" w:hAnsi="Arial Narrow" w:cs="Arial"/>
                <w:sz w:val="18"/>
                <w:szCs w:val="18"/>
              </w:rPr>
              <w:fldChar w:fldCharType="end"/>
            </w:r>
            <w:r w:rsidRPr="00D81EF6">
              <w:rPr>
                <w:rFonts w:ascii="Arial Narrow" w:hAnsi="Arial Narrow" w:cs="Arial"/>
                <w:sz w:val="18"/>
                <w:szCs w:val="18"/>
              </w:rPr>
              <w:t xml:space="preserve">Authority Required – </w:t>
            </w:r>
            <w:r w:rsidR="00CF66A2" w:rsidRPr="00D81EF6">
              <w:rPr>
                <w:rFonts w:ascii="Arial Narrow" w:hAnsi="Arial Narrow" w:cs="Arial"/>
                <w:sz w:val="18"/>
                <w:szCs w:val="18"/>
              </w:rPr>
              <w:t>immediate assessment (</w:t>
            </w:r>
            <w:r w:rsidRPr="00D81EF6">
              <w:rPr>
                <w:rFonts w:ascii="Arial Narrow" w:hAnsi="Arial Narrow" w:cs="Arial"/>
                <w:sz w:val="18"/>
                <w:szCs w:val="18"/>
              </w:rPr>
              <w:t>Telephone/</w:t>
            </w:r>
            <w:r w:rsidR="00CF66A2" w:rsidRPr="00D81EF6">
              <w:rPr>
                <w:rFonts w:ascii="Arial Narrow" w:hAnsi="Arial Narrow" w:cs="Arial"/>
                <w:sz w:val="18"/>
                <w:szCs w:val="18"/>
              </w:rPr>
              <w:t>online)</w:t>
            </w:r>
          </w:p>
        </w:tc>
      </w:tr>
      <w:tr w:rsidR="00765288" w:rsidRPr="00D81EF6" w14:paraId="71D05326" w14:textId="77777777" w:rsidTr="00ED0229">
        <w:tc>
          <w:tcPr>
            <w:tcW w:w="5000" w:type="pct"/>
            <w:vAlign w:val="center"/>
            <w:hideMark/>
          </w:tcPr>
          <w:p w14:paraId="6C180DA5" w14:textId="77777777" w:rsidR="00765288" w:rsidRPr="00D81EF6" w:rsidRDefault="00765288" w:rsidP="006F4C21">
            <w:pPr>
              <w:rPr>
                <w:rFonts w:ascii="Arial Narrow" w:hAnsi="Arial Narrow"/>
                <w:sz w:val="18"/>
                <w:szCs w:val="18"/>
              </w:rPr>
            </w:pPr>
            <w:r w:rsidRPr="00D81EF6">
              <w:rPr>
                <w:rFonts w:ascii="Arial Narrow" w:hAnsi="Arial Narrow"/>
                <w:b/>
                <w:bCs/>
                <w:sz w:val="18"/>
                <w:szCs w:val="18"/>
              </w:rPr>
              <w:t>Indication:</w:t>
            </w:r>
            <w:r w:rsidRPr="00D81EF6">
              <w:rPr>
                <w:rFonts w:ascii="Arial Narrow" w:hAnsi="Arial Narrow"/>
                <w:sz w:val="18"/>
                <w:szCs w:val="18"/>
              </w:rPr>
              <w:t xml:space="preserve"> Narcolepsy</w:t>
            </w:r>
          </w:p>
        </w:tc>
      </w:tr>
      <w:tr w:rsidR="00765288" w:rsidRPr="00D81EF6" w14:paraId="0C6C7C9E" w14:textId="77777777" w:rsidTr="00ED0229">
        <w:tc>
          <w:tcPr>
            <w:tcW w:w="5000" w:type="pct"/>
            <w:vAlign w:val="center"/>
            <w:hideMark/>
          </w:tcPr>
          <w:p w14:paraId="49A9A6B0" w14:textId="1CFE5BE6" w:rsidR="00765288" w:rsidRPr="00D81EF6" w:rsidRDefault="00765288" w:rsidP="007F0BBC">
            <w:pPr>
              <w:rPr>
                <w:rFonts w:ascii="Arial Narrow" w:hAnsi="Arial Narrow"/>
                <w:sz w:val="18"/>
                <w:szCs w:val="18"/>
              </w:rPr>
            </w:pPr>
            <w:r w:rsidRPr="00D81EF6">
              <w:rPr>
                <w:rFonts w:ascii="Arial Narrow" w:hAnsi="Arial Narrow"/>
                <w:b/>
                <w:bCs/>
                <w:sz w:val="18"/>
                <w:szCs w:val="18"/>
              </w:rPr>
              <w:t>Treatment Phase:</w:t>
            </w:r>
            <w:r w:rsidRPr="00D81EF6">
              <w:rPr>
                <w:rFonts w:ascii="Arial Narrow" w:hAnsi="Arial Narrow"/>
                <w:sz w:val="18"/>
                <w:szCs w:val="18"/>
              </w:rPr>
              <w:t xml:space="preserve"> continuing treatment </w:t>
            </w:r>
            <w:r w:rsidRPr="00D81EF6">
              <w:rPr>
                <w:rFonts w:ascii="Arial Narrow" w:hAnsi="Arial Narrow"/>
                <w:i/>
                <w:sz w:val="18"/>
                <w:szCs w:val="18"/>
              </w:rPr>
              <w:t>or</w:t>
            </w:r>
            <w:r w:rsidRPr="00D81EF6">
              <w:rPr>
                <w:rFonts w:ascii="Arial Narrow" w:hAnsi="Arial Narrow"/>
                <w:sz w:val="18"/>
                <w:szCs w:val="18"/>
              </w:rPr>
              <w:t xml:space="preserve"> </w:t>
            </w:r>
            <w:r w:rsidRPr="00D81EF6">
              <w:rPr>
                <w:rFonts w:ascii="Arial Narrow" w:hAnsi="Arial Narrow"/>
                <w:i/>
                <w:sz w:val="18"/>
                <w:szCs w:val="18"/>
              </w:rPr>
              <w:t xml:space="preserve">switching between modafinil/armodafinil </w:t>
            </w:r>
          </w:p>
        </w:tc>
      </w:tr>
      <w:tr w:rsidR="00765288" w:rsidRPr="00D81EF6" w14:paraId="1852DF2F" w14:textId="77777777" w:rsidTr="00ED0229">
        <w:tc>
          <w:tcPr>
            <w:tcW w:w="5000" w:type="pct"/>
            <w:vAlign w:val="center"/>
          </w:tcPr>
          <w:p w14:paraId="38C67169" w14:textId="77777777" w:rsidR="00765288" w:rsidRPr="00D81EF6" w:rsidRDefault="00765288" w:rsidP="006F4C21">
            <w:pPr>
              <w:rPr>
                <w:rFonts w:ascii="Arial Narrow" w:hAnsi="Arial Narrow"/>
                <w:sz w:val="18"/>
                <w:szCs w:val="18"/>
              </w:rPr>
            </w:pPr>
            <w:r w:rsidRPr="00D81EF6">
              <w:rPr>
                <w:rFonts w:ascii="Arial Narrow" w:hAnsi="Arial Narrow"/>
                <w:b/>
                <w:bCs/>
                <w:sz w:val="18"/>
                <w:szCs w:val="18"/>
              </w:rPr>
              <w:t>Administrative Advice:</w:t>
            </w:r>
          </w:p>
          <w:p w14:paraId="2FF9AC47" w14:textId="6597A99B" w:rsidR="00765288" w:rsidRPr="00D81EF6" w:rsidRDefault="00765288" w:rsidP="006F4C21">
            <w:pPr>
              <w:rPr>
                <w:rFonts w:ascii="Arial Narrow" w:hAnsi="Arial Narrow"/>
                <w:b/>
                <w:bCs/>
                <w:sz w:val="18"/>
                <w:szCs w:val="18"/>
              </w:rPr>
            </w:pPr>
            <w:r w:rsidRPr="00D81EF6">
              <w:rPr>
                <w:rFonts w:ascii="Arial Narrow" w:hAnsi="Arial Narrow"/>
                <w:sz w:val="18"/>
                <w:szCs w:val="18"/>
              </w:rPr>
              <w:t xml:space="preserve">This drug is not PBS-subsidised when used in combination with PBS-subsidised dexamfetamine sulfate or </w:t>
            </w:r>
            <w:r w:rsidRPr="00D81EF6">
              <w:rPr>
                <w:rFonts w:ascii="Arial Narrow" w:hAnsi="Arial Narrow"/>
                <w:i/>
                <w:sz w:val="18"/>
                <w:szCs w:val="18"/>
              </w:rPr>
              <w:t>armodafinil/modafinil</w:t>
            </w:r>
            <w:r w:rsidRPr="00D81EF6">
              <w:rPr>
                <w:rFonts w:ascii="Arial Narrow" w:hAnsi="Arial Narrow"/>
                <w:sz w:val="18"/>
                <w:szCs w:val="18"/>
              </w:rPr>
              <w:t>.</w:t>
            </w:r>
          </w:p>
        </w:tc>
      </w:tr>
      <w:tr w:rsidR="00765288" w:rsidRPr="00D81EF6" w14:paraId="6FF950B3" w14:textId="77777777" w:rsidTr="00ED0229">
        <w:tc>
          <w:tcPr>
            <w:tcW w:w="5000" w:type="pct"/>
            <w:vAlign w:val="center"/>
            <w:hideMark/>
          </w:tcPr>
          <w:p w14:paraId="6F1E142F" w14:textId="77777777" w:rsidR="00765288" w:rsidRPr="00D81EF6" w:rsidRDefault="00765288" w:rsidP="006F4C21">
            <w:pPr>
              <w:rPr>
                <w:rFonts w:ascii="Arial Narrow" w:hAnsi="Arial Narrow"/>
                <w:sz w:val="18"/>
                <w:szCs w:val="18"/>
              </w:rPr>
            </w:pPr>
            <w:r w:rsidRPr="00D81EF6">
              <w:rPr>
                <w:rFonts w:ascii="Arial Narrow" w:hAnsi="Arial Narrow"/>
                <w:b/>
                <w:bCs/>
                <w:sz w:val="18"/>
                <w:szCs w:val="18"/>
              </w:rPr>
              <w:t>Clinical criteria:</w:t>
            </w:r>
          </w:p>
        </w:tc>
      </w:tr>
      <w:tr w:rsidR="00765288" w:rsidRPr="00D81EF6" w14:paraId="00F29EF9" w14:textId="77777777" w:rsidTr="00ED0229">
        <w:tc>
          <w:tcPr>
            <w:tcW w:w="5000" w:type="pct"/>
            <w:vAlign w:val="center"/>
            <w:hideMark/>
          </w:tcPr>
          <w:p w14:paraId="12B9E77F" w14:textId="6343F287" w:rsidR="00765288" w:rsidRPr="00D81EF6" w:rsidRDefault="00765288" w:rsidP="006F4C21">
            <w:pPr>
              <w:jc w:val="left"/>
              <w:rPr>
                <w:rFonts w:ascii="Arial Narrow" w:hAnsi="Arial Narrow"/>
                <w:sz w:val="18"/>
                <w:szCs w:val="18"/>
              </w:rPr>
            </w:pPr>
            <w:r w:rsidRPr="00D81EF6">
              <w:rPr>
                <w:rFonts w:ascii="Arial Narrow" w:hAnsi="Arial Narrow"/>
                <w:sz w:val="18"/>
                <w:szCs w:val="18"/>
              </w:rPr>
              <w:t xml:space="preserve">Patient must have previously received PBS-subsidised treatment with </w:t>
            </w:r>
            <w:r w:rsidRPr="00D81EF6">
              <w:rPr>
                <w:rFonts w:ascii="Arial Narrow" w:hAnsi="Arial Narrow"/>
                <w:strike/>
                <w:sz w:val="18"/>
                <w:szCs w:val="18"/>
              </w:rPr>
              <w:t>this drug</w:t>
            </w:r>
            <w:r w:rsidRPr="00D81EF6">
              <w:rPr>
                <w:rFonts w:ascii="Arial Narrow" w:hAnsi="Arial Narrow"/>
                <w:sz w:val="18"/>
                <w:szCs w:val="18"/>
              </w:rPr>
              <w:t xml:space="preserve"> </w:t>
            </w:r>
            <w:r w:rsidRPr="00D81EF6">
              <w:rPr>
                <w:rFonts w:ascii="Arial Narrow" w:hAnsi="Arial Narrow"/>
                <w:i/>
                <w:sz w:val="18"/>
                <w:szCs w:val="18"/>
              </w:rPr>
              <w:t xml:space="preserve">modafinil/armodafinil </w:t>
            </w:r>
            <w:r w:rsidRPr="00D81EF6">
              <w:rPr>
                <w:rFonts w:ascii="Arial Narrow" w:hAnsi="Arial Narrow"/>
                <w:sz w:val="18"/>
                <w:szCs w:val="18"/>
              </w:rPr>
              <w:t>for this condition</w:t>
            </w:r>
          </w:p>
        </w:tc>
      </w:tr>
      <w:tr w:rsidR="00765288" w:rsidRPr="00D81EF6" w14:paraId="3F3F3C31" w14:textId="77777777" w:rsidTr="00ED0229">
        <w:tc>
          <w:tcPr>
            <w:tcW w:w="5000" w:type="pct"/>
            <w:vAlign w:val="center"/>
            <w:hideMark/>
          </w:tcPr>
          <w:p w14:paraId="2970164C" w14:textId="77777777" w:rsidR="00765288" w:rsidRPr="00D81EF6" w:rsidRDefault="00765288" w:rsidP="006F4C21">
            <w:pPr>
              <w:jc w:val="left"/>
              <w:rPr>
                <w:rFonts w:ascii="Arial Narrow" w:hAnsi="Arial Narrow"/>
                <w:b/>
                <w:bCs/>
                <w:strike/>
                <w:sz w:val="18"/>
                <w:szCs w:val="18"/>
              </w:rPr>
            </w:pPr>
            <w:r w:rsidRPr="00D81EF6">
              <w:rPr>
                <w:rFonts w:ascii="Arial Narrow" w:hAnsi="Arial Narrow"/>
                <w:b/>
                <w:bCs/>
                <w:strike/>
                <w:sz w:val="18"/>
                <w:szCs w:val="18"/>
              </w:rPr>
              <w:t>Administrative Advice:</w:t>
            </w:r>
          </w:p>
          <w:p w14:paraId="4C143B99" w14:textId="77777777" w:rsidR="00765288" w:rsidRPr="00D81EF6" w:rsidRDefault="00765288" w:rsidP="006F4C21">
            <w:pPr>
              <w:jc w:val="left"/>
              <w:rPr>
                <w:rFonts w:ascii="Arial Narrow" w:hAnsi="Arial Narrow"/>
                <w:strike/>
                <w:sz w:val="18"/>
                <w:szCs w:val="18"/>
              </w:rPr>
            </w:pPr>
            <w:r w:rsidRPr="00D81EF6">
              <w:rPr>
                <w:rFonts w:ascii="Arial Narrow" w:hAnsi="Arial Narrow"/>
                <w:bCs/>
                <w:strike/>
                <w:sz w:val="18"/>
                <w:szCs w:val="18"/>
              </w:rPr>
              <w:t>Authority applications for continuing treatment may be made by telephone to the Department of Human Services on 1800 700 270 (hours of operation 8 a.m. to 5 p.m. EST Monday to Friday).</w:t>
            </w:r>
          </w:p>
        </w:tc>
      </w:tr>
      <w:tr w:rsidR="00765288" w:rsidRPr="00D81EF6" w14:paraId="5FBA55DB" w14:textId="77777777" w:rsidTr="00ED0229">
        <w:tc>
          <w:tcPr>
            <w:tcW w:w="5000" w:type="pct"/>
            <w:vAlign w:val="center"/>
            <w:hideMark/>
          </w:tcPr>
          <w:p w14:paraId="0B65DD41" w14:textId="77777777" w:rsidR="00765288" w:rsidRPr="00D81EF6" w:rsidRDefault="00765288" w:rsidP="006F4C21">
            <w:pPr>
              <w:rPr>
                <w:rFonts w:ascii="Arial Narrow" w:hAnsi="Arial Narrow"/>
                <w:strike/>
                <w:sz w:val="18"/>
                <w:szCs w:val="18"/>
              </w:rPr>
            </w:pPr>
            <w:r w:rsidRPr="00D81EF6">
              <w:rPr>
                <w:rFonts w:ascii="Arial Narrow" w:hAnsi="Arial Narrow"/>
                <w:b/>
                <w:bCs/>
                <w:strike/>
                <w:sz w:val="18"/>
                <w:szCs w:val="18"/>
              </w:rPr>
              <w:t>Administrative Advice:</w:t>
            </w:r>
          </w:p>
          <w:p w14:paraId="5DE5CB79"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Any queries concerning the arrangements to prescribe may be directed to Services Australia on 1800 700 270 (hours of operation 8 a.m. to 5 p.m. EST Monday to Friday).</w:t>
            </w:r>
          </w:p>
          <w:p w14:paraId="53BBB806"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Prescribing information (including Authority Application forms and other relevant documentation as applicable) is available on the Services Australia website at www.servicesaustralia.gov.au</w:t>
            </w:r>
          </w:p>
          <w:p w14:paraId="638F9A90"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Applications for authority to prescribe should be submitted online using the form upload facility in Health Professional Online Services (HPOS) at www.servicesaustralia.gov.au/hpos</w:t>
            </w:r>
          </w:p>
          <w:p w14:paraId="17298518"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Or mailed to:</w:t>
            </w:r>
          </w:p>
          <w:p w14:paraId="2EE3AA15"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Services Australia</w:t>
            </w:r>
          </w:p>
          <w:p w14:paraId="6F00C297"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Complex Drugs</w:t>
            </w:r>
          </w:p>
          <w:p w14:paraId="0B360854"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Reply Paid 9826</w:t>
            </w:r>
          </w:p>
          <w:p w14:paraId="32EA4087" w14:textId="77777777" w:rsidR="00765288" w:rsidRPr="00D81EF6" w:rsidRDefault="00765288" w:rsidP="006F4C21">
            <w:pPr>
              <w:rPr>
                <w:rFonts w:ascii="Arial Narrow" w:hAnsi="Arial Narrow"/>
                <w:strike/>
                <w:sz w:val="18"/>
                <w:szCs w:val="18"/>
              </w:rPr>
            </w:pPr>
            <w:r w:rsidRPr="00D81EF6">
              <w:rPr>
                <w:rFonts w:ascii="Arial Narrow" w:hAnsi="Arial Narrow"/>
                <w:strike/>
                <w:sz w:val="18"/>
                <w:szCs w:val="18"/>
              </w:rPr>
              <w:t>HOBART TAS 7001</w:t>
            </w:r>
          </w:p>
        </w:tc>
      </w:tr>
      <w:tr w:rsidR="00765288" w:rsidRPr="00D81EF6" w14:paraId="004786A8" w14:textId="77777777" w:rsidTr="00ED0229">
        <w:tc>
          <w:tcPr>
            <w:tcW w:w="5000" w:type="pct"/>
            <w:vAlign w:val="center"/>
          </w:tcPr>
          <w:p w14:paraId="48068FA7" w14:textId="77777777" w:rsidR="00765288" w:rsidRPr="00D81EF6" w:rsidRDefault="00765288" w:rsidP="00765288">
            <w:pPr>
              <w:rPr>
                <w:rFonts w:ascii="Arial Narrow" w:hAnsi="Arial Narrow"/>
                <w:sz w:val="18"/>
                <w:szCs w:val="18"/>
              </w:rPr>
            </w:pPr>
            <w:r w:rsidRPr="00D81EF6">
              <w:rPr>
                <w:rFonts w:ascii="Arial Narrow" w:hAnsi="Arial Narrow"/>
                <w:b/>
                <w:bCs/>
                <w:sz w:val="18"/>
                <w:szCs w:val="18"/>
              </w:rPr>
              <w:t>Administrative Advice:</w:t>
            </w:r>
          </w:p>
          <w:p w14:paraId="67FD6CE5" w14:textId="77777777" w:rsidR="00765288" w:rsidRPr="00D81EF6" w:rsidRDefault="00765288" w:rsidP="006F4C21">
            <w:pPr>
              <w:rPr>
                <w:rFonts w:ascii="Arial Narrow" w:hAnsi="Arial Narrow"/>
                <w:b/>
                <w:bCs/>
                <w:sz w:val="18"/>
                <w:szCs w:val="18"/>
              </w:rPr>
            </w:pPr>
            <w:r w:rsidRPr="00D81EF6">
              <w:rPr>
                <w:rFonts w:ascii="Arial Narrow" w:hAnsi="Arial Narrow"/>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14:paraId="5E6E3EB8" w14:textId="5CE82975" w:rsidR="008E2A60" w:rsidRPr="00D81EF6" w:rsidRDefault="008E2A60" w:rsidP="00A9586A">
      <w:pPr>
        <w:rPr>
          <w:rFonts w:ascii="Arial Narrow" w:hAnsi="Arial Narrow"/>
          <w:b/>
          <w:sz w:val="18"/>
          <w:szCs w:val="18"/>
        </w:rPr>
      </w:pPr>
    </w:p>
    <w:p w14:paraId="1A8C1A13" w14:textId="16BC04F5" w:rsidR="005A2E34" w:rsidRPr="00D81EF6" w:rsidRDefault="005A2E34" w:rsidP="00ED3D30">
      <w:pPr>
        <w:pStyle w:val="3Bodytext"/>
        <w:jc w:val="both"/>
        <w:rPr>
          <w:lang w:eastAsia="en-US"/>
        </w:rPr>
      </w:pPr>
      <w:r w:rsidRPr="00D81EF6">
        <w:rPr>
          <w:lang w:eastAsia="en-US"/>
        </w:rPr>
        <w:t>T</w:t>
      </w:r>
      <w:r w:rsidR="00410007" w:rsidRPr="00D81EF6">
        <w:rPr>
          <w:lang w:eastAsia="en-US"/>
        </w:rPr>
        <w:t xml:space="preserve">he </w:t>
      </w:r>
      <w:r w:rsidR="007D5CE4" w:rsidRPr="00D81EF6">
        <w:rPr>
          <w:lang w:eastAsia="en-US"/>
        </w:rPr>
        <w:t xml:space="preserve">pre-PBAC response </w:t>
      </w:r>
      <w:r w:rsidR="00410007" w:rsidRPr="00D81EF6">
        <w:rPr>
          <w:lang w:eastAsia="en-US"/>
        </w:rPr>
        <w:t xml:space="preserve">noted the suggested amendments to the continuing restriction and considered </w:t>
      </w:r>
      <w:r w:rsidRPr="00D81EF6">
        <w:rPr>
          <w:lang w:eastAsia="en-US"/>
        </w:rPr>
        <w:t>that the proposed changes would remove unnecessary administrative burden and allow more efficient delivery of care to patients</w:t>
      </w:r>
      <w:r w:rsidR="00D70E97" w:rsidRPr="00D81EF6">
        <w:rPr>
          <w:lang w:eastAsia="en-US"/>
        </w:rPr>
        <w:t>.</w:t>
      </w:r>
    </w:p>
    <w:p w14:paraId="7CB10019" w14:textId="66524B6A" w:rsidR="000A788A" w:rsidRPr="00D81EF6" w:rsidRDefault="000A788A" w:rsidP="00ED3D30">
      <w:pPr>
        <w:pStyle w:val="3Bodytext"/>
        <w:jc w:val="both"/>
        <w:rPr>
          <w:lang w:eastAsia="en-US"/>
        </w:rPr>
      </w:pPr>
      <w:r w:rsidRPr="00D81EF6">
        <w:rPr>
          <w:lang w:eastAsia="en-US"/>
        </w:rPr>
        <w:t>The Secretariat</w:t>
      </w:r>
      <w:r w:rsidR="00DE7C40" w:rsidRPr="00D81EF6">
        <w:rPr>
          <w:lang w:eastAsia="en-US"/>
        </w:rPr>
        <w:t>/Services Australia</w:t>
      </w:r>
      <w:r w:rsidRPr="00D81EF6">
        <w:rPr>
          <w:lang w:eastAsia="en-US"/>
        </w:rPr>
        <w:t xml:space="preserve"> requested clarification from the PBAC whether polysomnography, </w:t>
      </w:r>
      <w:r w:rsidRPr="00D81EF6">
        <w:rPr>
          <w:bCs/>
          <w:lang w:eastAsia="en-US"/>
        </w:rPr>
        <w:t>Multiple Sleep Latency Test (</w:t>
      </w:r>
      <w:r w:rsidRPr="00D81EF6">
        <w:rPr>
          <w:lang w:eastAsia="en-US"/>
        </w:rPr>
        <w:t xml:space="preserve">MSLT) or electroencephalography (EEG) tests are required for narcolepsy patients with history of cataplexy. Currently the prescriber instructions require all the test </w:t>
      </w:r>
      <w:r w:rsidR="005F0FF2" w:rsidRPr="00D81EF6">
        <w:rPr>
          <w:lang w:eastAsia="en-US"/>
        </w:rPr>
        <w:t xml:space="preserve">reports </w:t>
      </w:r>
      <w:r w:rsidRPr="00D81EF6">
        <w:rPr>
          <w:lang w:eastAsia="en-US"/>
        </w:rPr>
        <w:t xml:space="preserve">to be submitted to Services Australia, including in a diagnosis of cataplexy. </w:t>
      </w:r>
    </w:p>
    <w:p w14:paraId="07113AE2" w14:textId="5B2F54E9" w:rsidR="005A2E34" w:rsidRPr="00D81EF6" w:rsidRDefault="005A2E34" w:rsidP="00ED3D30">
      <w:pPr>
        <w:pStyle w:val="3Bodytext"/>
        <w:jc w:val="both"/>
        <w:rPr>
          <w:lang w:eastAsia="en-US"/>
        </w:rPr>
      </w:pPr>
      <w:r w:rsidRPr="00D81EF6">
        <w:rPr>
          <w:lang w:eastAsia="en-US"/>
        </w:rPr>
        <w:t xml:space="preserve">The </w:t>
      </w:r>
      <w:r w:rsidR="00D70E97" w:rsidRPr="00D81EF6">
        <w:rPr>
          <w:lang w:eastAsia="en-US"/>
        </w:rPr>
        <w:t>pre-PBAC response</w:t>
      </w:r>
      <w:r w:rsidRPr="00D81EF6">
        <w:rPr>
          <w:lang w:eastAsia="en-US"/>
        </w:rPr>
        <w:t xml:space="preserve"> advised that both MSLT and polysomnography are part of clinical practice and would be undertake</w:t>
      </w:r>
      <w:r w:rsidR="00765288" w:rsidRPr="00D81EF6">
        <w:rPr>
          <w:lang w:eastAsia="en-US"/>
        </w:rPr>
        <w:t>n</w:t>
      </w:r>
      <w:r w:rsidRPr="00D81EF6">
        <w:rPr>
          <w:lang w:eastAsia="en-US"/>
        </w:rPr>
        <w:t xml:space="preserve"> to confirm the diagnosis of narcolepsy, however isolated EE</w:t>
      </w:r>
      <w:r w:rsidR="000A788A" w:rsidRPr="00D81EF6">
        <w:rPr>
          <w:lang w:eastAsia="en-US"/>
        </w:rPr>
        <w:t>G</w:t>
      </w:r>
      <w:r w:rsidRPr="00D81EF6">
        <w:rPr>
          <w:lang w:eastAsia="en-US"/>
        </w:rPr>
        <w:t xml:space="preserve"> testing outside of sleep studies is not routinely </w:t>
      </w:r>
      <w:r w:rsidR="00765288" w:rsidRPr="00D81EF6">
        <w:rPr>
          <w:lang w:eastAsia="en-US"/>
        </w:rPr>
        <w:t>performed</w:t>
      </w:r>
      <w:r w:rsidRPr="00D81EF6">
        <w:rPr>
          <w:lang w:eastAsia="en-US"/>
        </w:rPr>
        <w:t>.</w:t>
      </w:r>
    </w:p>
    <w:p w14:paraId="569D7E86" w14:textId="7BF835B6" w:rsidR="00AC0AC0" w:rsidRPr="00D81EF6" w:rsidRDefault="00AC0AC0" w:rsidP="00E149F1">
      <w:pPr>
        <w:pStyle w:val="3-BodyText"/>
        <w:ind w:firstLine="720"/>
        <w:rPr>
          <w:i/>
        </w:rPr>
      </w:pPr>
      <w:r w:rsidRPr="00D81EF6">
        <w:rPr>
          <w:i/>
        </w:rPr>
        <w:t>For more detail on PBAC’s view, see section 6 PBAC outcome</w:t>
      </w:r>
    </w:p>
    <w:p w14:paraId="58EFB38F" w14:textId="77777777" w:rsidR="005A3173" w:rsidRPr="00D81EF6" w:rsidRDefault="005A3173" w:rsidP="00D62DF4">
      <w:pPr>
        <w:pStyle w:val="2-SectionHeading"/>
        <w:ind w:left="720"/>
      </w:pPr>
      <w:r w:rsidRPr="00D81EF6">
        <w:t>Comparator</w:t>
      </w:r>
      <w:r w:rsidR="0099465B" w:rsidRPr="00D81EF6">
        <w:t xml:space="preserve"> </w:t>
      </w:r>
    </w:p>
    <w:p w14:paraId="7D68530A" w14:textId="7DD341BF" w:rsidR="00813C2F" w:rsidRPr="00D81EF6" w:rsidRDefault="00CB3D71" w:rsidP="00ED3D30">
      <w:pPr>
        <w:pStyle w:val="3Bodytext"/>
        <w:jc w:val="both"/>
      </w:pPr>
      <w:r w:rsidRPr="00D81EF6">
        <w:t xml:space="preserve">The </w:t>
      </w:r>
      <w:r w:rsidR="00813C2F" w:rsidRPr="00D81EF6">
        <w:t xml:space="preserve">previous </w:t>
      </w:r>
      <w:r w:rsidRPr="00D81EF6">
        <w:t>submission</w:t>
      </w:r>
      <w:r w:rsidR="00813C2F" w:rsidRPr="00D81EF6">
        <w:t xml:space="preserve"> considered by the PBAC in November 2008</w:t>
      </w:r>
      <w:r w:rsidRPr="00D81EF6">
        <w:t xml:space="preserve"> nominated “no treatment” as the main comparator.</w:t>
      </w:r>
      <w:r w:rsidR="00813C2F" w:rsidRPr="00D81EF6">
        <w:t xml:space="preserve"> This was unchanged. </w:t>
      </w:r>
    </w:p>
    <w:p w14:paraId="14888373" w14:textId="4DBD86F0" w:rsidR="00F04690" w:rsidRPr="00D81EF6" w:rsidRDefault="00634F32" w:rsidP="00ED3D30">
      <w:pPr>
        <w:pStyle w:val="3Bodytext"/>
        <w:jc w:val="both"/>
      </w:pPr>
      <w:r w:rsidRPr="00D81EF6">
        <w:t xml:space="preserve">The PBAC previously considered there was insufficient evidence to support the claim that placebo rather than </w:t>
      </w:r>
      <w:r w:rsidR="007F0BBC" w:rsidRPr="00D81EF6">
        <w:t>dexamfetamine</w:t>
      </w:r>
      <w:r w:rsidRPr="00D81EF6">
        <w:t xml:space="preserve"> was the appropriate comparator for modafinil in the first line setting</w:t>
      </w:r>
      <w:r w:rsidR="00813C2F" w:rsidRPr="00D81EF6">
        <w:t xml:space="preserve"> (</w:t>
      </w:r>
      <w:r w:rsidR="00500F60" w:rsidRPr="00D81EF6">
        <w:t>November 2008 PBAC meeting</w:t>
      </w:r>
      <w:r w:rsidR="00813C2F" w:rsidRPr="00D81EF6">
        <w:t>)</w:t>
      </w:r>
      <w:r w:rsidR="00500F60" w:rsidRPr="00D81EF6">
        <w:t>.</w:t>
      </w:r>
    </w:p>
    <w:p w14:paraId="42D8C920" w14:textId="5FAC83A7" w:rsidR="00AC0AC0" w:rsidRPr="00D81EF6" w:rsidRDefault="00813C2F" w:rsidP="00ED3D30">
      <w:pPr>
        <w:pStyle w:val="3Bodytext"/>
        <w:jc w:val="both"/>
      </w:pPr>
      <w:r w:rsidRPr="00D81EF6">
        <w:t xml:space="preserve">The PBAC could only recommend listing modafinil and armodafinil at a higher price than the alternative therapy if it is satisfied that </w:t>
      </w:r>
      <w:r w:rsidR="00605A37" w:rsidRPr="00D81EF6">
        <w:t>they</w:t>
      </w:r>
      <w:r w:rsidRPr="00D81EF6">
        <w:t xml:space="preserve"> provide, for some patients, a significant improvement in efficacy or reduction of toxicity over the alternative therapy or therapies (National Health Act 1953, Section 101(3B)). </w:t>
      </w:r>
      <w:r w:rsidR="00F04690" w:rsidRPr="00D81EF6">
        <w:t>If the committee is so satisfied, it must make a statement to this effect.</w:t>
      </w:r>
      <w:r w:rsidR="00DB571A" w:rsidRPr="00D81EF6">
        <w:t xml:space="preserve"> The alternative therapies in this case should include dexamfetamine.</w:t>
      </w:r>
    </w:p>
    <w:p w14:paraId="784389A3" w14:textId="14A2D3C0" w:rsidR="00EA1FEE" w:rsidRPr="00D81EF6" w:rsidRDefault="00EA1FEE" w:rsidP="00ED3D30">
      <w:pPr>
        <w:pStyle w:val="3Bodytext"/>
        <w:jc w:val="both"/>
      </w:pPr>
      <w:r w:rsidRPr="00D81EF6">
        <w:t xml:space="preserve">The </w:t>
      </w:r>
      <w:r w:rsidR="00E73513" w:rsidRPr="00D81EF6">
        <w:t xml:space="preserve">pre-PBAC response </w:t>
      </w:r>
      <w:r w:rsidRPr="00D81EF6">
        <w:t>suggested that dexamfetamine</w:t>
      </w:r>
      <w:r w:rsidR="0044403D" w:rsidRPr="00D81EF6">
        <w:t xml:space="preserve"> is</w:t>
      </w:r>
      <w:r w:rsidRPr="00D81EF6">
        <w:t xml:space="preserve"> artificially entrenched </w:t>
      </w:r>
      <w:r w:rsidR="0044403D" w:rsidRPr="00D81EF6">
        <w:t xml:space="preserve">as first line </w:t>
      </w:r>
      <w:r w:rsidRPr="00D81EF6">
        <w:t>treatment</w:t>
      </w:r>
      <w:r w:rsidR="0044403D" w:rsidRPr="00D81EF6">
        <w:t xml:space="preserve"> due to</w:t>
      </w:r>
      <w:r w:rsidRPr="00D81EF6">
        <w:t xml:space="preserve"> PBS restrictions, </w:t>
      </w:r>
      <w:r w:rsidR="0044403D" w:rsidRPr="00D81EF6">
        <w:t xml:space="preserve">rather than </w:t>
      </w:r>
      <w:r w:rsidRPr="00D81EF6">
        <w:t>high-level clinical evidence</w:t>
      </w:r>
      <w:r w:rsidR="00E73513" w:rsidRPr="00D81EF6">
        <w:t xml:space="preserve">. </w:t>
      </w:r>
      <w:r w:rsidR="00793B89" w:rsidRPr="00D81EF6">
        <w:t>Therefore, the ASA maintained that placebo was the most appropriate comparator to the use of modafinil and armodafinil in the first line setting.</w:t>
      </w:r>
    </w:p>
    <w:p w14:paraId="311BF5CE" w14:textId="696EC58C" w:rsidR="00AC0AC0" w:rsidRPr="00D81EF6" w:rsidRDefault="00AC0AC0" w:rsidP="00E149F1">
      <w:pPr>
        <w:pStyle w:val="3-BodyText"/>
        <w:ind w:firstLine="720"/>
        <w:rPr>
          <w:i/>
        </w:rPr>
      </w:pPr>
      <w:r w:rsidRPr="00D81EF6">
        <w:rPr>
          <w:i/>
        </w:rPr>
        <w:t>For more detail on PBAC’s view, see section 6 PBAC outcome</w:t>
      </w:r>
    </w:p>
    <w:p w14:paraId="31572404" w14:textId="0CEAD8B1" w:rsidR="00356E5B" w:rsidRPr="00D81EF6" w:rsidRDefault="008D7A41" w:rsidP="00D62DF4">
      <w:pPr>
        <w:pStyle w:val="2-SectionHeading"/>
        <w:ind w:left="720"/>
      </w:pPr>
      <w:r w:rsidRPr="00D81EF6">
        <w:t>C</w:t>
      </w:r>
      <w:r w:rsidR="00D84934" w:rsidRPr="00D81EF6">
        <w:t>onsideration of the evidence</w:t>
      </w:r>
    </w:p>
    <w:p w14:paraId="23D83063" w14:textId="77777777" w:rsidR="00D45649" w:rsidRPr="00D81EF6" w:rsidRDefault="00D45649" w:rsidP="00D45649">
      <w:pPr>
        <w:pStyle w:val="Heading2"/>
        <w:keepLines/>
        <w:spacing w:before="240" w:after="120"/>
        <w:rPr>
          <w:rFonts w:asciiTheme="minorHAnsi" w:eastAsiaTheme="majorEastAsia" w:hAnsiTheme="minorHAnsi" w:cstheme="majorBidi"/>
          <w:sz w:val="28"/>
          <w:szCs w:val="28"/>
          <w:lang w:eastAsia="en-US"/>
        </w:rPr>
      </w:pPr>
      <w:r w:rsidRPr="00D81EF6">
        <w:rPr>
          <w:rFonts w:asciiTheme="minorHAnsi" w:eastAsiaTheme="majorEastAsia" w:hAnsiTheme="minorHAnsi" w:cstheme="majorBidi"/>
          <w:sz w:val="28"/>
          <w:szCs w:val="28"/>
          <w:lang w:eastAsia="en-US"/>
        </w:rPr>
        <w:t>Sponsor hearing</w:t>
      </w:r>
    </w:p>
    <w:p w14:paraId="37C5020F" w14:textId="77777777" w:rsidR="00D45649" w:rsidRPr="00D81EF6" w:rsidRDefault="00D45649" w:rsidP="00D45649">
      <w:pPr>
        <w:pStyle w:val="3Bodytext"/>
        <w:widowControl w:val="0"/>
        <w:jc w:val="both"/>
      </w:pPr>
      <w:r w:rsidRPr="00D81EF6">
        <w:t>There was no hearing for this item as it was a minor submission.</w:t>
      </w:r>
    </w:p>
    <w:p w14:paraId="1BECC6DA" w14:textId="77777777" w:rsidR="00D45649" w:rsidRPr="00D81EF6" w:rsidRDefault="00D45649" w:rsidP="00D45649">
      <w:pPr>
        <w:pStyle w:val="Heading2"/>
        <w:keepLines/>
        <w:spacing w:before="240" w:after="120"/>
        <w:rPr>
          <w:rFonts w:asciiTheme="minorHAnsi" w:eastAsiaTheme="majorEastAsia" w:hAnsiTheme="minorHAnsi" w:cstheme="majorBidi"/>
          <w:sz w:val="28"/>
          <w:szCs w:val="28"/>
          <w:lang w:eastAsia="en-US"/>
        </w:rPr>
      </w:pPr>
      <w:r w:rsidRPr="00D81EF6">
        <w:rPr>
          <w:rFonts w:asciiTheme="minorHAnsi" w:eastAsiaTheme="majorEastAsia" w:hAnsiTheme="minorHAnsi" w:cstheme="majorBidi"/>
          <w:sz w:val="28"/>
          <w:szCs w:val="28"/>
          <w:lang w:eastAsia="en-US"/>
        </w:rPr>
        <w:t>Consumer comments</w:t>
      </w:r>
    </w:p>
    <w:p w14:paraId="65956505" w14:textId="29451776" w:rsidR="00D45649" w:rsidRPr="00D81EF6" w:rsidRDefault="00D45649" w:rsidP="00D45649">
      <w:pPr>
        <w:pStyle w:val="3Bodytext"/>
        <w:widowControl w:val="0"/>
        <w:jc w:val="both"/>
      </w:pPr>
      <w:r w:rsidRPr="00D81EF6">
        <w:t>The PBAC noted that no consumer comments were received for this item.</w:t>
      </w:r>
    </w:p>
    <w:p w14:paraId="6522145D" w14:textId="4B199D2B" w:rsidR="00280323" w:rsidRPr="00D81EF6" w:rsidRDefault="00D84934" w:rsidP="00EB78AC">
      <w:pPr>
        <w:pStyle w:val="4-SubsectionHeading"/>
        <w:keepNext w:val="0"/>
      </w:pPr>
      <w:r w:rsidRPr="00D81EF6">
        <w:rPr>
          <w:lang w:eastAsia="en-US"/>
        </w:rPr>
        <w:t xml:space="preserve">Clinical </w:t>
      </w:r>
      <w:r w:rsidR="00F2041E" w:rsidRPr="00D81EF6">
        <w:rPr>
          <w:lang w:eastAsia="en-US"/>
        </w:rPr>
        <w:t>evidence</w:t>
      </w:r>
    </w:p>
    <w:p w14:paraId="5FBD8E6B" w14:textId="0A03CA76" w:rsidR="00D272F7" w:rsidRPr="00D81EF6" w:rsidRDefault="007463EF" w:rsidP="00ED3D30">
      <w:pPr>
        <w:pStyle w:val="3Bodytext"/>
        <w:jc w:val="both"/>
      </w:pPr>
      <w:r w:rsidRPr="00D81EF6">
        <w:t xml:space="preserve">Details of the </w:t>
      </w:r>
      <w:r w:rsidR="00F2041E" w:rsidRPr="00D81EF6">
        <w:t>studies</w:t>
      </w:r>
      <w:r w:rsidRPr="00D81EF6">
        <w:t xml:space="preserve"> presented in the submission </w:t>
      </w:r>
      <w:r w:rsidR="00F939C3" w:rsidRPr="00D81EF6">
        <w:t>are</w:t>
      </w:r>
      <w:r w:rsidRPr="00D81EF6">
        <w:t xml:space="preserve"> provided in the table below.</w:t>
      </w:r>
    </w:p>
    <w:p w14:paraId="060D79FD" w14:textId="77777777" w:rsidR="00D272F7" w:rsidRPr="00D81EF6" w:rsidRDefault="00D272F7" w:rsidP="00D272F7">
      <w:pPr>
        <w:keepNext/>
        <w:rPr>
          <w:rFonts w:asciiTheme="minorHAnsi" w:eastAsiaTheme="minorHAnsi" w:hAnsiTheme="minorHAnsi" w:cstheme="minorBidi"/>
          <w:szCs w:val="22"/>
        </w:rPr>
      </w:pPr>
      <w:r w:rsidRPr="00D81EF6">
        <w:rPr>
          <w:rFonts w:ascii="Arial Narrow" w:hAnsi="Arial Narrow"/>
          <w:b/>
          <w:sz w:val="20"/>
        </w:rPr>
        <w:t>Table 2: Trials and associated reports presented in the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9"/>
        <w:gridCol w:w="3946"/>
        <w:gridCol w:w="3471"/>
      </w:tblGrid>
      <w:tr w:rsidR="00487A29" w:rsidRPr="00D81EF6" w14:paraId="6F5362A1" w14:textId="77777777" w:rsidTr="00E149F1">
        <w:trPr>
          <w:cantSplit/>
          <w:trHeight w:val="177"/>
          <w:tblHeader/>
        </w:trPr>
        <w:tc>
          <w:tcPr>
            <w:tcW w:w="0" w:type="auto"/>
            <w:tcMar>
              <w:left w:w="28" w:type="dxa"/>
              <w:right w:w="28" w:type="dxa"/>
            </w:tcMar>
          </w:tcPr>
          <w:p w14:paraId="4E0D8D97" w14:textId="4E7ABA27" w:rsidR="00D272F7" w:rsidRPr="00D81EF6" w:rsidRDefault="00D272F7" w:rsidP="00525187">
            <w:pPr>
              <w:pStyle w:val="NoSpacing"/>
              <w:spacing w:before="40" w:after="40"/>
              <w:jc w:val="left"/>
              <w:rPr>
                <w:rFonts w:ascii="Arial Narrow" w:hAnsi="Arial Narrow"/>
                <w:b/>
                <w:sz w:val="20"/>
              </w:rPr>
            </w:pPr>
            <w:r w:rsidRPr="00D81EF6">
              <w:rPr>
                <w:rFonts w:ascii="Arial Narrow" w:hAnsi="Arial Narrow"/>
                <w:b/>
                <w:sz w:val="20"/>
              </w:rPr>
              <w:t>Author</w:t>
            </w:r>
            <w:r w:rsidR="007463EF" w:rsidRPr="00D81EF6">
              <w:rPr>
                <w:rFonts w:ascii="Arial Narrow" w:hAnsi="Arial Narrow"/>
                <w:b/>
                <w:sz w:val="20"/>
              </w:rPr>
              <w:t>/s</w:t>
            </w:r>
          </w:p>
        </w:tc>
        <w:tc>
          <w:tcPr>
            <w:tcW w:w="0" w:type="auto"/>
            <w:tcMar>
              <w:left w:w="28" w:type="dxa"/>
              <w:right w:w="28" w:type="dxa"/>
            </w:tcMar>
          </w:tcPr>
          <w:p w14:paraId="78FDB9E9" w14:textId="5544473A" w:rsidR="00D272F7" w:rsidRPr="00D81EF6" w:rsidRDefault="00D272F7" w:rsidP="00525187">
            <w:pPr>
              <w:keepNext/>
              <w:spacing w:before="40" w:after="40"/>
              <w:rPr>
                <w:rFonts w:ascii="Arial Narrow" w:hAnsi="Arial Narrow"/>
                <w:b/>
                <w:sz w:val="20"/>
              </w:rPr>
            </w:pPr>
            <w:r w:rsidRPr="00D81EF6">
              <w:rPr>
                <w:rFonts w:ascii="Arial Narrow" w:hAnsi="Arial Narrow"/>
                <w:b/>
                <w:sz w:val="20"/>
              </w:rPr>
              <w:t>Publication title</w:t>
            </w:r>
          </w:p>
        </w:tc>
        <w:tc>
          <w:tcPr>
            <w:tcW w:w="0" w:type="auto"/>
            <w:tcMar>
              <w:left w:w="28" w:type="dxa"/>
              <w:right w:w="28" w:type="dxa"/>
            </w:tcMar>
          </w:tcPr>
          <w:p w14:paraId="38D21A9A" w14:textId="77777777" w:rsidR="00D272F7" w:rsidRPr="00D81EF6" w:rsidRDefault="00D272F7" w:rsidP="00525187">
            <w:pPr>
              <w:keepNext/>
              <w:spacing w:before="40" w:after="40"/>
              <w:rPr>
                <w:rFonts w:ascii="Arial Narrow" w:hAnsi="Arial Narrow"/>
                <w:b/>
                <w:sz w:val="20"/>
              </w:rPr>
            </w:pPr>
            <w:r w:rsidRPr="00D81EF6">
              <w:rPr>
                <w:rFonts w:ascii="Arial Narrow" w:hAnsi="Arial Narrow"/>
                <w:b/>
                <w:sz w:val="20"/>
              </w:rPr>
              <w:t>Publication citation</w:t>
            </w:r>
          </w:p>
        </w:tc>
      </w:tr>
      <w:tr w:rsidR="00487A29" w:rsidRPr="00D81EF6" w14:paraId="7ECFEA8B" w14:textId="77777777" w:rsidTr="00E149F1">
        <w:trPr>
          <w:cantSplit/>
          <w:trHeight w:val="539"/>
          <w:tblHeader/>
        </w:trPr>
        <w:tc>
          <w:tcPr>
            <w:tcW w:w="0" w:type="auto"/>
            <w:tcMar>
              <w:left w:w="28" w:type="dxa"/>
              <w:right w:w="28" w:type="dxa"/>
            </w:tcMar>
          </w:tcPr>
          <w:p w14:paraId="4C7C0567" w14:textId="6448AA4E" w:rsidR="0097022B" w:rsidRPr="00D81EF6" w:rsidRDefault="0097022B" w:rsidP="0097022B">
            <w:pPr>
              <w:pStyle w:val="TableText0"/>
            </w:pPr>
            <w:r w:rsidRPr="00D81EF6">
              <w:t>Golicki, D., et al</w:t>
            </w:r>
          </w:p>
        </w:tc>
        <w:tc>
          <w:tcPr>
            <w:tcW w:w="0" w:type="auto"/>
            <w:tcMar>
              <w:left w:w="28" w:type="dxa"/>
              <w:right w:w="28" w:type="dxa"/>
            </w:tcMar>
          </w:tcPr>
          <w:p w14:paraId="4CE80F64" w14:textId="48D09E99" w:rsidR="0097022B" w:rsidRPr="00D81EF6" w:rsidRDefault="0097022B" w:rsidP="0097022B">
            <w:pPr>
              <w:pStyle w:val="TableText0"/>
              <w:rPr>
                <w:szCs w:val="20"/>
              </w:rPr>
            </w:pPr>
            <w:r w:rsidRPr="00D81EF6">
              <w:rPr>
                <w:szCs w:val="20"/>
              </w:rPr>
              <w:t xml:space="preserve">Modafinil for narcolepsy: Systematic review and meta-analysis. </w:t>
            </w:r>
          </w:p>
        </w:tc>
        <w:tc>
          <w:tcPr>
            <w:tcW w:w="0" w:type="auto"/>
            <w:tcMar>
              <w:left w:w="28" w:type="dxa"/>
              <w:right w:w="28" w:type="dxa"/>
            </w:tcMar>
          </w:tcPr>
          <w:p w14:paraId="7DA35A66" w14:textId="55252AD5" w:rsidR="0097022B" w:rsidRPr="00D81EF6" w:rsidRDefault="00F2041E" w:rsidP="0097022B">
            <w:pPr>
              <w:pStyle w:val="TableText0"/>
              <w:rPr>
                <w:i/>
                <w:szCs w:val="20"/>
              </w:rPr>
            </w:pPr>
            <w:r w:rsidRPr="00D81EF6">
              <w:rPr>
                <w:i/>
              </w:rPr>
              <w:t>Med Sci Mon Int Med J Exp Clin Res</w:t>
            </w:r>
            <w:r w:rsidRPr="00D81EF6">
              <w:rPr>
                <w:szCs w:val="20"/>
              </w:rPr>
              <w:t xml:space="preserve"> </w:t>
            </w:r>
            <w:r w:rsidR="0097022B" w:rsidRPr="00D81EF6">
              <w:rPr>
                <w:szCs w:val="20"/>
              </w:rPr>
              <w:t>2010:</w:t>
            </w:r>
            <w:r w:rsidRPr="00D81EF6">
              <w:rPr>
                <w:szCs w:val="20"/>
              </w:rPr>
              <w:t xml:space="preserve"> 16(8): p.</w:t>
            </w:r>
            <w:r w:rsidR="0097022B" w:rsidRPr="00D81EF6">
              <w:rPr>
                <w:szCs w:val="20"/>
              </w:rPr>
              <w:t>RA177-186.</w:t>
            </w:r>
          </w:p>
        </w:tc>
      </w:tr>
      <w:tr w:rsidR="00487A29" w:rsidRPr="00D81EF6" w14:paraId="6CC2D23D" w14:textId="77777777" w:rsidTr="00E149F1">
        <w:trPr>
          <w:cantSplit/>
          <w:trHeight w:val="539"/>
          <w:tblHeader/>
        </w:trPr>
        <w:tc>
          <w:tcPr>
            <w:tcW w:w="0" w:type="auto"/>
            <w:tcMar>
              <w:left w:w="28" w:type="dxa"/>
              <w:right w:w="28" w:type="dxa"/>
            </w:tcMar>
          </w:tcPr>
          <w:p w14:paraId="098B3220" w14:textId="52A9355D" w:rsidR="00552868" w:rsidRPr="00D81EF6" w:rsidRDefault="00552868" w:rsidP="00EB78AC">
            <w:pPr>
              <w:pStyle w:val="TableText0"/>
            </w:pPr>
            <w:r w:rsidRPr="00D81EF6">
              <w:t>Lehert, P. and B. Falissard</w:t>
            </w:r>
          </w:p>
        </w:tc>
        <w:tc>
          <w:tcPr>
            <w:tcW w:w="0" w:type="auto"/>
            <w:tcMar>
              <w:left w:w="28" w:type="dxa"/>
              <w:right w:w="28" w:type="dxa"/>
            </w:tcMar>
          </w:tcPr>
          <w:p w14:paraId="3C0EABE0" w14:textId="376D6CD7" w:rsidR="00552868" w:rsidRPr="00D81EF6" w:rsidRDefault="00552868" w:rsidP="00EB78AC">
            <w:pPr>
              <w:pStyle w:val="TableText0"/>
              <w:rPr>
                <w:szCs w:val="20"/>
              </w:rPr>
            </w:pPr>
            <w:r w:rsidRPr="00D81EF6">
              <w:rPr>
                <w:szCs w:val="20"/>
              </w:rPr>
              <w:t xml:space="preserve">Multiple treatment comparison in narcolepsy: A network meta-analysis. </w:t>
            </w:r>
          </w:p>
        </w:tc>
        <w:tc>
          <w:tcPr>
            <w:tcW w:w="0" w:type="auto"/>
            <w:tcMar>
              <w:left w:w="28" w:type="dxa"/>
              <w:right w:w="28" w:type="dxa"/>
            </w:tcMar>
          </w:tcPr>
          <w:p w14:paraId="19E47756" w14:textId="02B0CF47" w:rsidR="00552868" w:rsidRPr="00D81EF6" w:rsidRDefault="0097022B" w:rsidP="00EB78AC">
            <w:pPr>
              <w:pStyle w:val="TableText0"/>
              <w:rPr>
                <w:szCs w:val="20"/>
              </w:rPr>
            </w:pPr>
            <w:r w:rsidRPr="00D81EF6">
              <w:rPr>
                <w:i/>
                <w:szCs w:val="20"/>
              </w:rPr>
              <w:t>Sleep</w:t>
            </w:r>
            <w:r w:rsidRPr="00D81EF6">
              <w:rPr>
                <w:szCs w:val="20"/>
              </w:rPr>
              <w:t xml:space="preserve"> 2018: 41(12)</w:t>
            </w:r>
          </w:p>
        </w:tc>
      </w:tr>
      <w:tr w:rsidR="00487A29" w:rsidRPr="00D81EF6" w14:paraId="08FA3B7C" w14:textId="77777777" w:rsidTr="00E149F1">
        <w:trPr>
          <w:cantSplit/>
          <w:trHeight w:val="539"/>
          <w:tblHeader/>
        </w:trPr>
        <w:tc>
          <w:tcPr>
            <w:tcW w:w="0" w:type="auto"/>
            <w:tcMar>
              <w:left w:w="28" w:type="dxa"/>
              <w:right w:w="28" w:type="dxa"/>
            </w:tcMar>
          </w:tcPr>
          <w:p w14:paraId="2D1897CB" w14:textId="1D3D8E2C" w:rsidR="005F32EC" w:rsidRPr="00D81EF6" w:rsidRDefault="005F32EC" w:rsidP="00EB78AC">
            <w:pPr>
              <w:pStyle w:val="TableText0"/>
            </w:pPr>
            <w:r w:rsidRPr="00D81EF6">
              <w:t>Mitler, M.M, et al</w:t>
            </w:r>
          </w:p>
        </w:tc>
        <w:tc>
          <w:tcPr>
            <w:tcW w:w="0" w:type="auto"/>
            <w:tcMar>
              <w:left w:w="28" w:type="dxa"/>
              <w:right w:w="28" w:type="dxa"/>
            </w:tcMar>
          </w:tcPr>
          <w:p w14:paraId="23840B75" w14:textId="741E9F1A" w:rsidR="005F32EC" w:rsidRPr="00D81EF6" w:rsidRDefault="005F32EC" w:rsidP="00EB78AC">
            <w:pPr>
              <w:pStyle w:val="TableText0"/>
              <w:rPr>
                <w:szCs w:val="20"/>
              </w:rPr>
            </w:pPr>
            <w:r w:rsidRPr="00D81EF6">
              <w:rPr>
                <w:iCs/>
                <w:szCs w:val="20"/>
              </w:rPr>
              <w:t>Treatment of narcolepsy with methamphetamine</w:t>
            </w:r>
          </w:p>
        </w:tc>
        <w:tc>
          <w:tcPr>
            <w:tcW w:w="0" w:type="auto"/>
            <w:tcMar>
              <w:left w:w="28" w:type="dxa"/>
              <w:right w:w="28" w:type="dxa"/>
            </w:tcMar>
          </w:tcPr>
          <w:p w14:paraId="1BB850A3" w14:textId="7A39C939" w:rsidR="005F32EC" w:rsidRPr="00D81EF6" w:rsidRDefault="005F32EC" w:rsidP="00EB78AC">
            <w:pPr>
              <w:pStyle w:val="TableText0"/>
              <w:rPr>
                <w:i/>
                <w:szCs w:val="20"/>
              </w:rPr>
            </w:pPr>
            <w:r w:rsidRPr="00D81EF6">
              <w:rPr>
                <w:i/>
                <w:szCs w:val="20"/>
              </w:rPr>
              <w:t>Sleep</w:t>
            </w:r>
            <w:r w:rsidRPr="00D81EF6">
              <w:rPr>
                <w:szCs w:val="20"/>
              </w:rPr>
              <w:t xml:space="preserve"> 1993: </w:t>
            </w:r>
            <w:r w:rsidRPr="00D81EF6">
              <w:rPr>
                <w:bCs w:val="0"/>
                <w:szCs w:val="20"/>
              </w:rPr>
              <w:t>16</w:t>
            </w:r>
            <w:r w:rsidRPr="00D81EF6">
              <w:rPr>
                <w:szCs w:val="20"/>
              </w:rPr>
              <w:t>(4): p. 306-17.</w:t>
            </w:r>
          </w:p>
        </w:tc>
      </w:tr>
      <w:tr w:rsidR="00487A29" w:rsidRPr="00D81EF6" w14:paraId="3348A89C" w14:textId="77777777" w:rsidTr="00E149F1">
        <w:trPr>
          <w:cantSplit/>
          <w:trHeight w:val="539"/>
          <w:tblHeader/>
        </w:trPr>
        <w:tc>
          <w:tcPr>
            <w:tcW w:w="0" w:type="auto"/>
            <w:tcMar>
              <w:left w:w="28" w:type="dxa"/>
              <w:right w:w="28" w:type="dxa"/>
            </w:tcMar>
          </w:tcPr>
          <w:p w14:paraId="32C7B283" w14:textId="456DEFC3" w:rsidR="005F32EC" w:rsidRPr="00D81EF6" w:rsidRDefault="005F32EC" w:rsidP="00EB78AC">
            <w:pPr>
              <w:pStyle w:val="TableText0"/>
            </w:pPr>
            <w:r w:rsidRPr="00D81EF6">
              <w:t>Schindler, J., et al</w:t>
            </w:r>
          </w:p>
        </w:tc>
        <w:tc>
          <w:tcPr>
            <w:tcW w:w="0" w:type="auto"/>
            <w:tcMar>
              <w:left w:w="28" w:type="dxa"/>
              <w:right w:w="28" w:type="dxa"/>
            </w:tcMar>
          </w:tcPr>
          <w:p w14:paraId="321818D8" w14:textId="742D28F3" w:rsidR="005F32EC" w:rsidRPr="00D81EF6" w:rsidRDefault="005F32EC" w:rsidP="00EB78AC">
            <w:pPr>
              <w:pStyle w:val="TableText0"/>
              <w:rPr>
                <w:szCs w:val="20"/>
              </w:rPr>
            </w:pPr>
            <w:r w:rsidRPr="00D81EF6">
              <w:rPr>
                <w:szCs w:val="20"/>
              </w:rPr>
              <w:t>Amphetamine, mazindol, and fencamfamin in narcolepsy</w:t>
            </w:r>
          </w:p>
        </w:tc>
        <w:tc>
          <w:tcPr>
            <w:tcW w:w="0" w:type="auto"/>
            <w:tcMar>
              <w:left w:w="28" w:type="dxa"/>
              <w:right w:w="28" w:type="dxa"/>
            </w:tcMar>
          </w:tcPr>
          <w:p w14:paraId="617DD45C" w14:textId="3949464E" w:rsidR="005F32EC" w:rsidRPr="00D81EF6" w:rsidRDefault="005F32EC" w:rsidP="00EB78AC">
            <w:pPr>
              <w:pStyle w:val="TableText0"/>
              <w:rPr>
                <w:i/>
                <w:szCs w:val="20"/>
              </w:rPr>
            </w:pPr>
            <w:r w:rsidRPr="00D81EF6">
              <w:rPr>
                <w:i/>
                <w:szCs w:val="22"/>
              </w:rPr>
              <w:t>Br Med J (Clin Res Ed)</w:t>
            </w:r>
            <w:r w:rsidRPr="00D81EF6">
              <w:rPr>
                <w:szCs w:val="22"/>
              </w:rPr>
              <w:t xml:space="preserve"> 1985: </w:t>
            </w:r>
            <w:r w:rsidRPr="00D81EF6">
              <w:rPr>
                <w:bCs w:val="0"/>
                <w:szCs w:val="22"/>
              </w:rPr>
              <w:t>290</w:t>
            </w:r>
            <w:r w:rsidRPr="00D81EF6">
              <w:rPr>
                <w:szCs w:val="22"/>
              </w:rPr>
              <w:t>(6476): p. 1167-70.</w:t>
            </w:r>
          </w:p>
        </w:tc>
      </w:tr>
    </w:tbl>
    <w:p w14:paraId="5B86FF65" w14:textId="6912A077" w:rsidR="00280323" w:rsidRPr="00D81EF6" w:rsidRDefault="00280323" w:rsidP="00ED3D30">
      <w:pPr>
        <w:pStyle w:val="3Bodytext"/>
        <w:spacing w:before="120"/>
        <w:jc w:val="both"/>
      </w:pPr>
      <w:r w:rsidRPr="00D81EF6">
        <w:t>As a minor submission, no evaluation of the referenced studies was undertaken.</w:t>
      </w:r>
    </w:p>
    <w:p w14:paraId="117689F8" w14:textId="4D7DC347" w:rsidR="00243FD0" w:rsidRPr="00D81EF6" w:rsidRDefault="00243FD0" w:rsidP="00ED3D30">
      <w:pPr>
        <w:pStyle w:val="3Bodytext"/>
        <w:jc w:val="both"/>
      </w:pPr>
      <w:r w:rsidRPr="00D81EF6">
        <w:t>The ASA commented that international guidelines, practical guidance, and consensus</w:t>
      </w:r>
      <w:r w:rsidR="00EE6BB3" w:rsidRPr="00D81EF6">
        <w:t xml:space="preserve"> publications recommended modafinil and </w:t>
      </w:r>
      <w:r w:rsidRPr="00D81EF6">
        <w:t xml:space="preserve">armodafinil to be used as first line therapy and </w:t>
      </w:r>
      <w:r w:rsidR="00F7548D" w:rsidRPr="00D81EF6">
        <w:t>dexamfetamine</w:t>
      </w:r>
      <w:r w:rsidRPr="00D81EF6">
        <w:t xml:space="preserve"> second/third line therapy for narcolepsy.</w:t>
      </w:r>
      <w:r w:rsidR="00D07E27" w:rsidRPr="00D81EF6">
        <w:t xml:space="preserve"> </w:t>
      </w:r>
    </w:p>
    <w:p w14:paraId="1809D8FC" w14:textId="62D911CF" w:rsidR="007463EF" w:rsidRPr="00D81EF6" w:rsidRDefault="00243FD0" w:rsidP="00ED3D30">
      <w:pPr>
        <w:pStyle w:val="3Bodytext"/>
        <w:jc w:val="both"/>
      </w:pPr>
      <w:r w:rsidRPr="00D81EF6">
        <w:t>The submission noted that the Australian Therapeutic Guidelines</w:t>
      </w:r>
      <w:r w:rsidR="007166A0" w:rsidRPr="00D81EF6">
        <w:t xml:space="preserve"> (TGs)</w:t>
      </w:r>
      <w:r w:rsidRPr="00D81EF6">
        <w:t xml:space="preserve"> recommend modafinil and armodafinil as a first line treatment</w:t>
      </w:r>
      <w:r w:rsidR="00890069" w:rsidRPr="00D81EF6">
        <w:t xml:space="preserve"> for increasing alertness</w:t>
      </w:r>
      <w:r w:rsidRPr="00D81EF6">
        <w:t xml:space="preserve">, alongside </w:t>
      </w:r>
      <w:r w:rsidR="00F7548D" w:rsidRPr="00D81EF6">
        <w:t>dexamfetamine</w:t>
      </w:r>
      <w:r w:rsidR="00890069" w:rsidRPr="00D81EF6">
        <w:t xml:space="preserve"> and methylphenidate</w:t>
      </w:r>
      <w:r w:rsidRPr="00D81EF6">
        <w:t xml:space="preserve">. </w:t>
      </w:r>
      <w:r w:rsidR="007166A0" w:rsidRPr="00D81EF6">
        <w:t>The TGs note that n</w:t>
      </w:r>
      <w:r w:rsidR="00890069" w:rsidRPr="00D81EF6">
        <w:t xml:space="preserve">o studies directly compare modafinil and armodafinil with dexamfetamine and methylphenidate for the treatment for sleepiness, </w:t>
      </w:r>
      <w:r w:rsidR="000B775C" w:rsidRPr="00D81EF6">
        <w:t xml:space="preserve">but modafinil and armodafinil </w:t>
      </w:r>
      <w:r w:rsidR="00EE6BB3" w:rsidRPr="00D81EF6">
        <w:t>have</w:t>
      </w:r>
      <w:r w:rsidRPr="00D81EF6">
        <w:t xml:space="preserve"> fewer side-effects.</w:t>
      </w:r>
      <w:r w:rsidRPr="00D81EF6">
        <w:rPr>
          <w:rStyle w:val="FootnoteReference"/>
        </w:rPr>
        <w:footnoteReference w:id="1"/>
      </w:r>
      <w:r w:rsidRPr="00D81EF6">
        <w:t xml:space="preserve"> </w:t>
      </w:r>
    </w:p>
    <w:p w14:paraId="5A7F65C6" w14:textId="77777777" w:rsidR="00F2041E" w:rsidRPr="00D81EF6" w:rsidRDefault="00F2041E" w:rsidP="003A4980">
      <w:pPr>
        <w:pStyle w:val="Heading2"/>
        <w:keepLines/>
        <w:spacing w:before="240" w:after="120"/>
        <w:rPr>
          <w:rFonts w:asciiTheme="minorHAnsi" w:eastAsiaTheme="majorEastAsia" w:hAnsiTheme="minorHAnsi" w:cstheme="majorBidi"/>
          <w:sz w:val="28"/>
          <w:szCs w:val="28"/>
          <w:lang w:eastAsia="en-US"/>
        </w:rPr>
      </w:pPr>
      <w:r w:rsidRPr="00D81EF6">
        <w:rPr>
          <w:rFonts w:asciiTheme="minorHAnsi" w:eastAsiaTheme="majorEastAsia" w:hAnsiTheme="minorHAnsi" w:cstheme="majorBidi"/>
          <w:sz w:val="28"/>
          <w:szCs w:val="28"/>
          <w:lang w:eastAsia="en-US"/>
        </w:rPr>
        <w:t>Comparative effectiveness</w:t>
      </w:r>
    </w:p>
    <w:p w14:paraId="1C91EA4D" w14:textId="4E4BBEE0" w:rsidR="001E122C" w:rsidRPr="00D81EF6" w:rsidRDefault="009E4226" w:rsidP="00ED3D30">
      <w:pPr>
        <w:pStyle w:val="3Bodytext"/>
        <w:jc w:val="both"/>
        <w:rPr>
          <w:lang w:eastAsia="en-US"/>
        </w:rPr>
      </w:pPr>
      <w:r w:rsidRPr="00D81EF6">
        <w:rPr>
          <w:lang w:eastAsia="en-US"/>
        </w:rPr>
        <w:t xml:space="preserve">The results of the meta-analysis for several narcolepsy treatments for the maintenance of wakefulness test (MWT) are presented in Figure 1. </w:t>
      </w:r>
    </w:p>
    <w:p w14:paraId="64E88A50" w14:textId="4AE687B1" w:rsidR="00D40841" w:rsidRPr="00D81EF6" w:rsidRDefault="009E4226" w:rsidP="00D40841">
      <w:pPr>
        <w:keepNext/>
        <w:rPr>
          <w:rFonts w:asciiTheme="minorHAnsi" w:eastAsiaTheme="minorHAnsi" w:hAnsiTheme="minorHAnsi" w:cstheme="minorBidi"/>
          <w:szCs w:val="22"/>
        </w:rPr>
      </w:pPr>
      <w:r w:rsidRPr="00D81EF6">
        <w:rPr>
          <w:rFonts w:ascii="Arial Narrow" w:hAnsi="Arial Narrow"/>
          <w:b/>
          <w:sz w:val="20"/>
        </w:rPr>
        <w:t>Figure 1</w:t>
      </w:r>
      <w:r w:rsidR="00D40841" w:rsidRPr="00D81EF6">
        <w:rPr>
          <w:rFonts w:ascii="Arial Narrow" w:hAnsi="Arial Narrow"/>
          <w:b/>
          <w:sz w:val="20"/>
        </w:rPr>
        <w:t>: Network meta-</w:t>
      </w:r>
      <w:r w:rsidR="00001F19" w:rsidRPr="00D81EF6">
        <w:rPr>
          <w:rFonts w:ascii="Arial Narrow" w:hAnsi="Arial Narrow"/>
          <w:b/>
          <w:sz w:val="20"/>
        </w:rPr>
        <w:t>analysis</w:t>
      </w:r>
      <w:r w:rsidR="00D40841" w:rsidRPr="00D81EF6">
        <w:rPr>
          <w:rFonts w:ascii="Arial Narrow" w:hAnsi="Arial Narrow"/>
          <w:b/>
          <w:sz w:val="20"/>
        </w:rPr>
        <w:t xml:space="preserve"> – Comparison </w:t>
      </w:r>
      <w:r w:rsidR="001C7807" w:rsidRPr="00D81EF6">
        <w:rPr>
          <w:rFonts w:ascii="Arial Narrow" w:hAnsi="Arial Narrow"/>
          <w:b/>
          <w:sz w:val="20"/>
        </w:rPr>
        <w:t>other vs</w:t>
      </w:r>
      <w:r w:rsidR="00D40841" w:rsidRPr="00D81EF6">
        <w:rPr>
          <w:rFonts w:ascii="Arial Narrow" w:hAnsi="Arial Narrow"/>
          <w:b/>
          <w:sz w:val="20"/>
        </w:rPr>
        <w:t xml:space="preserve"> placebo for maintenance of wakefulness test (MWT)</w:t>
      </w:r>
    </w:p>
    <w:p w14:paraId="081FD605" w14:textId="77777777" w:rsidR="00D07E27" w:rsidRPr="00D81EF6" w:rsidRDefault="009E4226" w:rsidP="00D40841">
      <w:pPr>
        <w:pStyle w:val="3Bodytext"/>
        <w:numPr>
          <w:ilvl w:val="0"/>
          <w:numId w:val="0"/>
        </w:numPr>
        <w:rPr>
          <w:rFonts w:ascii="Arial Narrow" w:hAnsi="Arial Narrow"/>
          <w:sz w:val="18"/>
          <w:szCs w:val="18"/>
          <w:lang w:eastAsia="en-US"/>
        </w:rPr>
      </w:pPr>
      <w:r w:rsidRPr="001D6815">
        <w:rPr>
          <w:rFonts w:ascii="Arial Narrow" w:hAnsi="Arial Narrow"/>
          <w:noProof/>
          <w:sz w:val="18"/>
          <w:szCs w:val="18"/>
        </w:rPr>
        <w:drawing>
          <wp:inline distT="0" distB="0" distL="0" distR="0" wp14:anchorId="7CCD833F" wp14:editId="5A178A11">
            <wp:extent cx="5483513" cy="2259669"/>
            <wp:effectExtent l="0" t="0" r="3175" b="7620"/>
            <wp:docPr id="1" name="Picture 1" title="Figure 1: Network meta-analysis – Comparison other vs placebo for maintenance of wakefulness test (MW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2224" cy="2263259"/>
                    </a:xfrm>
                    <a:prstGeom prst="rect">
                      <a:avLst/>
                    </a:prstGeom>
                    <a:noFill/>
                    <a:ln>
                      <a:noFill/>
                    </a:ln>
                  </pic:spPr>
                </pic:pic>
              </a:graphicData>
            </a:graphic>
          </wp:inline>
        </w:drawing>
      </w:r>
      <w:r w:rsidRPr="00D81EF6">
        <w:rPr>
          <w:rFonts w:ascii="Arial Narrow" w:hAnsi="Arial Narrow"/>
          <w:sz w:val="18"/>
          <w:szCs w:val="18"/>
          <w:lang w:eastAsia="en-US"/>
        </w:rPr>
        <w:t xml:space="preserve"> </w:t>
      </w:r>
    </w:p>
    <w:p w14:paraId="4912C215" w14:textId="126A03C8" w:rsidR="009E4226" w:rsidRPr="00D81EF6" w:rsidRDefault="00D07E27" w:rsidP="00487A29">
      <w:pPr>
        <w:pStyle w:val="3Bodytext"/>
        <w:numPr>
          <w:ilvl w:val="0"/>
          <w:numId w:val="0"/>
        </w:numPr>
        <w:spacing w:after="0"/>
        <w:rPr>
          <w:sz w:val="20"/>
          <w:szCs w:val="20"/>
        </w:rPr>
      </w:pPr>
      <w:r w:rsidRPr="00D81EF6">
        <w:rPr>
          <w:rFonts w:ascii="Arial Narrow" w:hAnsi="Arial Narrow"/>
          <w:sz w:val="18"/>
          <w:szCs w:val="18"/>
          <w:lang w:eastAsia="en-US"/>
        </w:rPr>
        <w:t>mdf = modafinil; p20 and p40 =</w:t>
      </w:r>
      <w:r w:rsidR="009E4226" w:rsidRPr="00D81EF6">
        <w:rPr>
          <w:rFonts w:ascii="Arial Narrow" w:hAnsi="Arial Narrow"/>
          <w:sz w:val="18"/>
          <w:szCs w:val="18"/>
          <w:lang w:eastAsia="en-US"/>
        </w:rPr>
        <w:t xml:space="preserve"> pito</w:t>
      </w:r>
      <w:r w:rsidRPr="00D81EF6">
        <w:rPr>
          <w:rFonts w:ascii="Arial Narrow" w:hAnsi="Arial Narrow"/>
          <w:sz w:val="18"/>
          <w:szCs w:val="18"/>
          <w:lang w:eastAsia="en-US"/>
        </w:rPr>
        <w:t>lisant 20 and 40mg respectively; pcb = placebo; sx6 and sx9 =</w:t>
      </w:r>
      <w:r w:rsidR="009E4226" w:rsidRPr="00D81EF6">
        <w:rPr>
          <w:rFonts w:ascii="Arial Narrow" w:hAnsi="Arial Narrow"/>
          <w:sz w:val="18"/>
          <w:szCs w:val="18"/>
          <w:lang w:eastAsia="en-US"/>
        </w:rPr>
        <w:t xml:space="preserve"> sodium oxybate 6 and 9mg respectively.</w:t>
      </w:r>
      <w:r w:rsidR="009E4226" w:rsidRPr="00D81EF6">
        <w:rPr>
          <w:sz w:val="20"/>
          <w:szCs w:val="20"/>
        </w:rPr>
        <w:t xml:space="preserve"> </w:t>
      </w:r>
    </w:p>
    <w:p w14:paraId="2A8D0585" w14:textId="5DC96E5F" w:rsidR="00D40841" w:rsidRPr="00D81EF6" w:rsidRDefault="00D40841" w:rsidP="00D40841">
      <w:pPr>
        <w:pStyle w:val="3Bodytext"/>
        <w:numPr>
          <w:ilvl w:val="0"/>
          <w:numId w:val="0"/>
        </w:numPr>
        <w:rPr>
          <w:rFonts w:ascii="Arial Narrow" w:hAnsi="Arial Narrow"/>
          <w:sz w:val="18"/>
          <w:szCs w:val="18"/>
          <w:lang w:eastAsia="en-US"/>
        </w:rPr>
      </w:pPr>
      <w:r w:rsidRPr="00D81EF6">
        <w:rPr>
          <w:rFonts w:ascii="Arial Narrow" w:hAnsi="Arial Narrow"/>
          <w:sz w:val="18"/>
          <w:szCs w:val="18"/>
          <w:lang w:eastAsia="en-US"/>
        </w:rPr>
        <w:t xml:space="preserve">Source: </w:t>
      </w:r>
      <w:r w:rsidR="009E4226" w:rsidRPr="00D81EF6">
        <w:rPr>
          <w:rFonts w:ascii="Arial Narrow" w:hAnsi="Arial Narrow"/>
          <w:sz w:val="18"/>
          <w:szCs w:val="18"/>
          <w:lang w:eastAsia="en-US"/>
        </w:rPr>
        <w:t xml:space="preserve">Figure 1, </w:t>
      </w:r>
      <w:r w:rsidR="00ED0229" w:rsidRPr="00D81EF6">
        <w:rPr>
          <w:rFonts w:ascii="Arial Narrow" w:hAnsi="Arial Narrow"/>
          <w:sz w:val="18"/>
          <w:szCs w:val="18"/>
          <w:lang w:eastAsia="en-US"/>
        </w:rPr>
        <w:t>pg.</w:t>
      </w:r>
      <w:r w:rsidR="009E4226" w:rsidRPr="00D81EF6">
        <w:rPr>
          <w:rFonts w:ascii="Arial Narrow" w:hAnsi="Arial Narrow"/>
          <w:sz w:val="18"/>
          <w:szCs w:val="18"/>
          <w:lang w:eastAsia="en-US"/>
        </w:rPr>
        <w:t xml:space="preserve"> 6 of the </w:t>
      </w:r>
      <w:r w:rsidRPr="00D81EF6">
        <w:rPr>
          <w:rFonts w:ascii="Arial Narrow" w:hAnsi="Arial Narrow"/>
          <w:sz w:val="18"/>
          <w:szCs w:val="18"/>
          <w:lang w:eastAsia="en-US"/>
        </w:rPr>
        <w:t>submission</w:t>
      </w:r>
    </w:p>
    <w:p w14:paraId="56141842" w14:textId="45CEC2D9" w:rsidR="009E4226" w:rsidRPr="00D81EF6" w:rsidRDefault="009E4226" w:rsidP="00ED3D30">
      <w:pPr>
        <w:pStyle w:val="3Bodytext"/>
        <w:jc w:val="both"/>
        <w:rPr>
          <w:lang w:eastAsia="en-US"/>
        </w:rPr>
      </w:pPr>
      <w:r w:rsidRPr="00D81EF6">
        <w:rPr>
          <w:lang w:eastAsia="en-US"/>
        </w:rPr>
        <w:t>The submission claimed that the results demonstrated that for MWT modafinil was statistically significantly better than placebo</w:t>
      </w:r>
      <w:r w:rsidRPr="00D81EF6">
        <w:t>.</w:t>
      </w:r>
      <w:r w:rsidRPr="00D81EF6">
        <w:rPr>
          <w:vertAlign w:val="superscript"/>
          <w:lang w:eastAsia="en-US"/>
        </w:rPr>
        <w:t xml:space="preserve"> </w:t>
      </w:r>
    </w:p>
    <w:p w14:paraId="4A86F660" w14:textId="22DE2A13" w:rsidR="00AE2948" w:rsidRPr="00D81EF6" w:rsidRDefault="009E4226" w:rsidP="00ED3D30">
      <w:pPr>
        <w:pStyle w:val="3Bodytext"/>
        <w:jc w:val="both"/>
        <w:rPr>
          <w:lang w:eastAsia="en-US"/>
        </w:rPr>
      </w:pPr>
      <w:r w:rsidRPr="00D81EF6">
        <w:rPr>
          <w:lang w:eastAsia="en-US"/>
        </w:rPr>
        <w:t xml:space="preserve">The submission </w:t>
      </w:r>
      <w:r w:rsidR="00AE2948" w:rsidRPr="00D81EF6">
        <w:rPr>
          <w:lang w:eastAsia="en-US"/>
        </w:rPr>
        <w:t>reported that in the meta-analysis published by Golicki et al, there was</w:t>
      </w:r>
      <w:r w:rsidRPr="00D81EF6">
        <w:rPr>
          <w:lang w:eastAsia="en-US"/>
        </w:rPr>
        <w:t xml:space="preserve"> a statistically significant improvement in MWT for modafinil v</w:t>
      </w:r>
      <w:r w:rsidR="00AE2948" w:rsidRPr="00D81EF6">
        <w:rPr>
          <w:lang w:eastAsia="en-US"/>
        </w:rPr>
        <w:t xml:space="preserve">ersus placebo, </w:t>
      </w:r>
      <w:r w:rsidRPr="00D81EF6">
        <w:rPr>
          <w:lang w:eastAsia="en-US"/>
        </w:rPr>
        <w:t>with a mean difference in the parallel studies of 2.81 (2.10, 3.53). The submission argued that the meta-analysis (</w:t>
      </w:r>
      <w:r w:rsidR="00AE2948" w:rsidRPr="00D81EF6">
        <w:rPr>
          <w:lang w:eastAsia="en-US"/>
        </w:rPr>
        <w:t>Golicki et al</w:t>
      </w:r>
      <w:r w:rsidRPr="00D81EF6">
        <w:rPr>
          <w:lang w:eastAsia="en-US"/>
        </w:rPr>
        <w:t xml:space="preserve">) also highlighted that modafinil appeared superior in terms of mean sleep latency when compared to placebo (mean difference 1.11 (0.55, 1.66)). </w:t>
      </w:r>
    </w:p>
    <w:p w14:paraId="0023724F" w14:textId="30F7A4C6" w:rsidR="00F2041E" w:rsidRPr="00D81EF6" w:rsidRDefault="00F2041E" w:rsidP="00EB78AC">
      <w:pPr>
        <w:pStyle w:val="4-SubsectionHeading"/>
        <w:rPr>
          <w:lang w:eastAsia="en-US"/>
        </w:rPr>
      </w:pPr>
      <w:r w:rsidRPr="00D81EF6">
        <w:rPr>
          <w:lang w:eastAsia="en-US"/>
        </w:rPr>
        <w:t>Comparative harms</w:t>
      </w:r>
    </w:p>
    <w:p w14:paraId="024ED26D" w14:textId="77777777" w:rsidR="000B782D" w:rsidRPr="00D81EF6" w:rsidRDefault="000B782D" w:rsidP="00ED3D30">
      <w:pPr>
        <w:pStyle w:val="3Bodytext"/>
        <w:jc w:val="both"/>
        <w:rPr>
          <w:lang w:eastAsia="en-US"/>
        </w:rPr>
      </w:pPr>
      <w:r w:rsidRPr="00D81EF6">
        <w:rPr>
          <w:lang w:eastAsia="en-US"/>
        </w:rPr>
        <w:t xml:space="preserve">The submission presented the risk differences between modafinil and placebo as reported by Golicki et al (Table 3), and the adverse events reported for dexamfetamine from Mitler et al and Schindler et al (Table 4). </w:t>
      </w:r>
    </w:p>
    <w:p w14:paraId="24EB466A" w14:textId="77777777" w:rsidR="000B782D" w:rsidRPr="00D81EF6" w:rsidRDefault="000B782D" w:rsidP="000B782D">
      <w:pPr>
        <w:pStyle w:val="Tabletitles"/>
        <w:keepNext/>
        <w:rPr>
          <w:rFonts w:asciiTheme="minorHAnsi" w:eastAsiaTheme="minorHAnsi" w:hAnsiTheme="minorHAnsi" w:cstheme="minorBidi"/>
        </w:rPr>
      </w:pPr>
      <w:r w:rsidRPr="00D81EF6">
        <w:t>Table 3: Adverse events - Risk difference modafinil vs. placebo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843"/>
        <w:gridCol w:w="2976"/>
      </w:tblGrid>
      <w:tr w:rsidR="00487A29" w:rsidRPr="00D81EF6" w14:paraId="05057528" w14:textId="77777777" w:rsidTr="00E149F1">
        <w:trPr>
          <w:cantSplit/>
          <w:trHeight w:val="57"/>
          <w:tblHeader/>
        </w:trPr>
        <w:tc>
          <w:tcPr>
            <w:tcW w:w="4248" w:type="dxa"/>
          </w:tcPr>
          <w:p w14:paraId="70F9076E" w14:textId="77777777" w:rsidR="000B782D" w:rsidRPr="00D81EF6" w:rsidRDefault="000B782D" w:rsidP="0053560A">
            <w:pPr>
              <w:pStyle w:val="NoSpacing"/>
              <w:keepNext/>
              <w:spacing w:before="40" w:after="40"/>
              <w:jc w:val="left"/>
              <w:rPr>
                <w:rFonts w:ascii="Arial Narrow" w:hAnsi="Arial Narrow"/>
                <w:b/>
                <w:sz w:val="20"/>
              </w:rPr>
            </w:pPr>
          </w:p>
        </w:tc>
        <w:tc>
          <w:tcPr>
            <w:tcW w:w="1843" w:type="dxa"/>
          </w:tcPr>
          <w:p w14:paraId="1C9EFD46" w14:textId="77777777" w:rsidR="000B782D" w:rsidRPr="00D81EF6" w:rsidRDefault="000B782D" w:rsidP="0053560A">
            <w:pPr>
              <w:keepNext/>
              <w:spacing w:before="40" w:after="40"/>
              <w:rPr>
                <w:rFonts w:ascii="Arial Narrow" w:hAnsi="Arial Narrow"/>
                <w:b/>
                <w:sz w:val="20"/>
              </w:rPr>
            </w:pPr>
            <w:r w:rsidRPr="00D81EF6">
              <w:rPr>
                <w:rFonts w:ascii="Arial Narrow" w:hAnsi="Arial Narrow"/>
                <w:b/>
                <w:sz w:val="20"/>
              </w:rPr>
              <w:t>Number of study</w:t>
            </w:r>
          </w:p>
        </w:tc>
        <w:tc>
          <w:tcPr>
            <w:tcW w:w="2976" w:type="dxa"/>
          </w:tcPr>
          <w:p w14:paraId="1A673914" w14:textId="77777777" w:rsidR="000B782D" w:rsidRPr="00D81EF6" w:rsidRDefault="000B782D" w:rsidP="0053560A">
            <w:pPr>
              <w:keepNext/>
              <w:spacing w:before="40" w:after="40"/>
              <w:rPr>
                <w:rFonts w:ascii="Arial Narrow" w:hAnsi="Arial Narrow"/>
                <w:b/>
                <w:sz w:val="20"/>
              </w:rPr>
            </w:pPr>
            <w:r w:rsidRPr="00D81EF6">
              <w:rPr>
                <w:rFonts w:ascii="Arial Narrow" w:hAnsi="Arial Narrow"/>
                <w:b/>
                <w:sz w:val="20"/>
              </w:rPr>
              <w:t>Risk difference effect size (95% CI)</w:t>
            </w:r>
          </w:p>
        </w:tc>
      </w:tr>
      <w:tr w:rsidR="00487A29" w:rsidRPr="00D81EF6" w14:paraId="2FB209F1" w14:textId="77777777" w:rsidTr="00E149F1">
        <w:trPr>
          <w:cantSplit/>
          <w:trHeight w:val="57"/>
          <w:tblHeader/>
        </w:trPr>
        <w:tc>
          <w:tcPr>
            <w:tcW w:w="4248" w:type="dxa"/>
          </w:tcPr>
          <w:p w14:paraId="3D6C3E8C" w14:textId="77777777" w:rsidR="000B782D" w:rsidRPr="00D81EF6" w:rsidRDefault="000B782D" w:rsidP="0053560A">
            <w:pPr>
              <w:pStyle w:val="TableText0"/>
            </w:pPr>
            <w:r w:rsidRPr="00D81EF6">
              <w:t>Nervousness</w:t>
            </w:r>
          </w:p>
        </w:tc>
        <w:tc>
          <w:tcPr>
            <w:tcW w:w="1843" w:type="dxa"/>
          </w:tcPr>
          <w:p w14:paraId="7CA8517B" w14:textId="77777777" w:rsidR="000B782D" w:rsidRPr="00D81EF6" w:rsidRDefault="000B782D" w:rsidP="0053560A">
            <w:pPr>
              <w:pStyle w:val="TableText0"/>
              <w:rPr>
                <w:szCs w:val="20"/>
              </w:rPr>
            </w:pPr>
            <w:r w:rsidRPr="00D81EF6">
              <w:rPr>
                <w:szCs w:val="20"/>
              </w:rPr>
              <w:t>3</w:t>
            </w:r>
          </w:p>
        </w:tc>
        <w:tc>
          <w:tcPr>
            <w:tcW w:w="2976" w:type="dxa"/>
          </w:tcPr>
          <w:p w14:paraId="604AC69B" w14:textId="77777777" w:rsidR="000B782D" w:rsidRPr="00D81EF6" w:rsidRDefault="000B782D" w:rsidP="0053560A">
            <w:pPr>
              <w:pStyle w:val="TableText0"/>
              <w:rPr>
                <w:szCs w:val="20"/>
              </w:rPr>
            </w:pPr>
            <w:r w:rsidRPr="00D81EF6">
              <w:rPr>
                <w:szCs w:val="20"/>
              </w:rPr>
              <w:t>0.02 (-002, 0.06)</w:t>
            </w:r>
          </w:p>
        </w:tc>
      </w:tr>
      <w:tr w:rsidR="00487A29" w:rsidRPr="00D81EF6" w14:paraId="489CD819" w14:textId="77777777" w:rsidTr="00E149F1">
        <w:trPr>
          <w:cantSplit/>
          <w:trHeight w:val="57"/>
          <w:tblHeader/>
        </w:trPr>
        <w:tc>
          <w:tcPr>
            <w:tcW w:w="4248" w:type="dxa"/>
          </w:tcPr>
          <w:p w14:paraId="5C343006" w14:textId="77777777" w:rsidR="000B782D" w:rsidRPr="00D81EF6" w:rsidRDefault="000B782D" w:rsidP="0053560A">
            <w:pPr>
              <w:pStyle w:val="TableText0"/>
            </w:pPr>
            <w:r w:rsidRPr="00D81EF6">
              <w:t>Headache</w:t>
            </w:r>
          </w:p>
        </w:tc>
        <w:tc>
          <w:tcPr>
            <w:tcW w:w="1843" w:type="dxa"/>
          </w:tcPr>
          <w:p w14:paraId="59234F56" w14:textId="77777777" w:rsidR="000B782D" w:rsidRPr="00D81EF6" w:rsidRDefault="000B782D" w:rsidP="0053560A">
            <w:pPr>
              <w:pStyle w:val="TableText0"/>
              <w:rPr>
                <w:szCs w:val="20"/>
              </w:rPr>
            </w:pPr>
            <w:r w:rsidRPr="00D81EF6">
              <w:rPr>
                <w:szCs w:val="20"/>
              </w:rPr>
              <w:t>5</w:t>
            </w:r>
          </w:p>
        </w:tc>
        <w:tc>
          <w:tcPr>
            <w:tcW w:w="2976" w:type="dxa"/>
          </w:tcPr>
          <w:p w14:paraId="3AA78B6E" w14:textId="77777777" w:rsidR="000B782D" w:rsidRPr="00D81EF6" w:rsidRDefault="000B782D" w:rsidP="0053560A">
            <w:pPr>
              <w:pStyle w:val="TableText0"/>
              <w:rPr>
                <w:szCs w:val="20"/>
              </w:rPr>
            </w:pPr>
            <w:r w:rsidRPr="00D81EF6">
              <w:rPr>
                <w:szCs w:val="20"/>
              </w:rPr>
              <w:t>0.03 (-0.07, 0.13)</w:t>
            </w:r>
          </w:p>
        </w:tc>
      </w:tr>
      <w:tr w:rsidR="00487A29" w:rsidRPr="00D81EF6" w14:paraId="5DC1894C" w14:textId="77777777" w:rsidTr="00E149F1">
        <w:trPr>
          <w:cantSplit/>
          <w:trHeight w:val="57"/>
          <w:tblHeader/>
        </w:trPr>
        <w:tc>
          <w:tcPr>
            <w:tcW w:w="4248" w:type="dxa"/>
          </w:tcPr>
          <w:p w14:paraId="441B0874" w14:textId="77777777" w:rsidR="000B782D" w:rsidRPr="00D81EF6" w:rsidRDefault="000B782D" w:rsidP="0053560A">
            <w:pPr>
              <w:pStyle w:val="TableText0"/>
            </w:pPr>
            <w:r w:rsidRPr="00D81EF6">
              <w:t>Pain</w:t>
            </w:r>
          </w:p>
        </w:tc>
        <w:tc>
          <w:tcPr>
            <w:tcW w:w="1843" w:type="dxa"/>
          </w:tcPr>
          <w:p w14:paraId="5C202E05" w14:textId="77777777" w:rsidR="000B782D" w:rsidRPr="00D81EF6" w:rsidRDefault="000B782D" w:rsidP="0053560A">
            <w:pPr>
              <w:pStyle w:val="TableText0"/>
              <w:rPr>
                <w:szCs w:val="20"/>
              </w:rPr>
            </w:pPr>
            <w:r w:rsidRPr="00D81EF6">
              <w:rPr>
                <w:szCs w:val="20"/>
              </w:rPr>
              <w:t>2</w:t>
            </w:r>
          </w:p>
        </w:tc>
        <w:tc>
          <w:tcPr>
            <w:tcW w:w="2976" w:type="dxa"/>
          </w:tcPr>
          <w:p w14:paraId="59925486" w14:textId="77777777" w:rsidR="000B782D" w:rsidRPr="00D81EF6" w:rsidRDefault="000B782D" w:rsidP="0053560A">
            <w:pPr>
              <w:pStyle w:val="TableText0"/>
              <w:rPr>
                <w:szCs w:val="20"/>
              </w:rPr>
            </w:pPr>
            <w:r w:rsidRPr="00D81EF6">
              <w:rPr>
                <w:szCs w:val="20"/>
              </w:rPr>
              <w:t>-0.03 (-0.09, 0.02)</w:t>
            </w:r>
          </w:p>
        </w:tc>
      </w:tr>
      <w:tr w:rsidR="00487A29" w:rsidRPr="00D81EF6" w14:paraId="6A761074" w14:textId="77777777" w:rsidTr="00E149F1">
        <w:trPr>
          <w:cantSplit/>
          <w:trHeight w:val="57"/>
          <w:tblHeader/>
        </w:trPr>
        <w:tc>
          <w:tcPr>
            <w:tcW w:w="4248" w:type="dxa"/>
          </w:tcPr>
          <w:p w14:paraId="64BD02AC" w14:textId="77777777" w:rsidR="000B782D" w:rsidRPr="00D81EF6" w:rsidRDefault="000B782D" w:rsidP="0053560A">
            <w:pPr>
              <w:pStyle w:val="TableText0"/>
            </w:pPr>
            <w:r w:rsidRPr="00D81EF6">
              <w:t>Back pain</w:t>
            </w:r>
          </w:p>
        </w:tc>
        <w:tc>
          <w:tcPr>
            <w:tcW w:w="1843" w:type="dxa"/>
          </w:tcPr>
          <w:p w14:paraId="421C6710" w14:textId="77777777" w:rsidR="000B782D" w:rsidRPr="00D81EF6" w:rsidRDefault="000B782D" w:rsidP="0053560A">
            <w:pPr>
              <w:pStyle w:val="TableText0"/>
              <w:rPr>
                <w:szCs w:val="20"/>
              </w:rPr>
            </w:pPr>
            <w:r w:rsidRPr="00D81EF6">
              <w:rPr>
                <w:szCs w:val="20"/>
              </w:rPr>
              <w:t>3</w:t>
            </w:r>
          </w:p>
        </w:tc>
        <w:tc>
          <w:tcPr>
            <w:tcW w:w="2976" w:type="dxa"/>
          </w:tcPr>
          <w:p w14:paraId="56AA9DD6" w14:textId="77777777" w:rsidR="000B782D" w:rsidRPr="00D81EF6" w:rsidRDefault="000B782D" w:rsidP="0053560A">
            <w:pPr>
              <w:pStyle w:val="TableText0"/>
              <w:rPr>
                <w:szCs w:val="20"/>
              </w:rPr>
            </w:pPr>
            <w:r w:rsidRPr="00D81EF6">
              <w:rPr>
                <w:szCs w:val="20"/>
              </w:rPr>
              <w:t>0.01 (-0.07, 0.08)</w:t>
            </w:r>
          </w:p>
        </w:tc>
      </w:tr>
      <w:tr w:rsidR="00487A29" w:rsidRPr="00D81EF6" w14:paraId="76E1E49B" w14:textId="77777777" w:rsidTr="00E149F1">
        <w:trPr>
          <w:cantSplit/>
          <w:trHeight w:val="57"/>
          <w:tblHeader/>
        </w:trPr>
        <w:tc>
          <w:tcPr>
            <w:tcW w:w="4248" w:type="dxa"/>
          </w:tcPr>
          <w:p w14:paraId="4E6219B1" w14:textId="77777777" w:rsidR="000B782D" w:rsidRPr="00D81EF6" w:rsidRDefault="000B782D" w:rsidP="0053560A">
            <w:pPr>
              <w:pStyle w:val="TableText0"/>
            </w:pPr>
            <w:r w:rsidRPr="00D81EF6">
              <w:t>Flu syndrome</w:t>
            </w:r>
          </w:p>
        </w:tc>
        <w:tc>
          <w:tcPr>
            <w:tcW w:w="1843" w:type="dxa"/>
          </w:tcPr>
          <w:p w14:paraId="24807631" w14:textId="77777777" w:rsidR="000B782D" w:rsidRPr="00D81EF6" w:rsidRDefault="000B782D" w:rsidP="0053560A">
            <w:pPr>
              <w:pStyle w:val="TableText0"/>
              <w:rPr>
                <w:szCs w:val="20"/>
              </w:rPr>
            </w:pPr>
            <w:r w:rsidRPr="00D81EF6">
              <w:rPr>
                <w:szCs w:val="20"/>
              </w:rPr>
              <w:t>2</w:t>
            </w:r>
          </w:p>
        </w:tc>
        <w:tc>
          <w:tcPr>
            <w:tcW w:w="2976" w:type="dxa"/>
          </w:tcPr>
          <w:p w14:paraId="6F42F5F0" w14:textId="77777777" w:rsidR="000B782D" w:rsidRPr="00D81EF6" w:rsidRDefault="000B782D" w:rsidP="0053560A">
            <w:pPr>
              <w:pStyle w:val="TableText0"/>
              <w:rPr>
                <w:szCs w:val="20"/>
              </w:rPr>
            </w:pPr>
            <w:r w:rsidRPr="00D81EF6">
              <w:rPr>
                <w:szCs w:val="20"/>
              </w:rPr>
              <w:t>0.04 (-0.02, 0.09)</w:t>
            </w:r>
          </w:p>
        </w:tc>
      </w:tr>
      <w:tr w:rsidR="00487A29" w:rsidRPr="00D81EF6" w14:paraId="53F4F504" w14:textId="77777777" w:rsidTr="00E149F1">
        <w:trPr>
          <w:cantSplit/>
          <w:trHeight w:val="57"/>
          <w:tblHeader/>
        </w:trPr>
        <w:tc>
          <w:tcPr>
            <w:tcW w:w="4248" w:type="dxa"/>
          </w:tcPr>
          <w:p w14:paraId="530C0837" w14:textId="77777777" w:rsidR="000B782D" w:rsidRPr="00D81EF6" w:rsidRDefault="000B782D" w:rsidP="0053560A">
            <w:pPr>
              <w:pStyle w:val="TableText0"/>
              <w:rPr>
                <w:b/>
              </w:rPr>
            </w:pPr>
            <w:r w:rsidRPr="00D81EF6">
              <w:rPr>
                <w:b/>
              </w:rPr>
              <w:t>Nausea</w:t>
            </w:r>
          </w:p>
        </w:tc>
        <w:tc>
          <w:tcPr>
            <w:tcW w:w="1843" w:type="dxa"/>
          </w:tcPr>
          <w:p w14:paraId="0FA41434" w14:textId="77777777" w:rsidR="000B782D" w:rsidRPr="00D81EF6" w:rsidRDefault="000B782D" w:rsidP="0053560A">
            <w:pPr>
              <w:pStyle w:val="TableText0"/>
              <w:rPr>
                <w:b/>
                <w:szCs w:val="20"/>
              </w:rPr>
            </w:pPr>
            <w:r w:rsidRPr="00D81EF6">
              <w:rPr>
                <w:b/>
                <w:szCs w:val="20"/>
              </w:rPr>
              <w:t>4</w:t>
            </w:r>
          </w:p>
        </w:tc>
        <w:tc>
          <w:tcPr>
            <w:tcW w:w="2976" w:type="dxa"/>
          </w:tcPr>
          <w:p w14:paraId="24A7C9C9" w14:textId="77777777" w:rsidR="000B782D" w:rsidRPr="00D81EF6" w:rsidRDefault="000B782D" w:rsidP="0053560A">
            <w:pPr>
              <w:pStyle w:val="TableText0"/>
              <w:rPr>
                <w:b/>
                <w:szCs w:val="20"/>
              </w:rPr>
            </w:pPr>
            <w:r w:rsidRPr="00D81EF6">
              <w:rPr>
                <w:b/>
                <w:szCs w:val="20"/>
              </w:rPr>
              <w:t>0.07 (0.03, 0.11)</w:t>
            </w:r>
          </w:p>
        </w:tc>
      </w:tr>
      <w:tr w:rsidR="00487A29" w:rsidRPr="00D81EF6" w14:paraId="78DAADB5" w14:textId="77777777" w:rsidTr="00E149F1">
        <w:trPr>
          <w:cantSplit/>
          <w:trHeight w:val="57"/>
          <w:tblHeader/>
        </w:trPr>
        <w:tc>
          <w:tcPr>
            <w:tcW w:w="4248" w:type="dxa"/>
          </w:tcPr>
          <w:p w14:paraId="776881DA" w14:textId="77777777" w:rsidR="000B782D" w:rsidRPr="00D81EF6" w:rsidRDefault="000B782D" w:rsidP="0053560A">
            <w:pPr>
              <w:pStyle w:val="TableText0"/>
              <w:rPr>
                <w:b/>
              </w:rPr>
            </w:pPr>
            <w:r w:rsidRPr="00D81EF6">
              <w:rPr>
                <w:b/>
              </w:rPr>
              <w:t>Diarrhoea</w:t>
            </w:r>
          </w:p>
        </w:tc>
        <w:tc>
          <w:tcPr>
            <w:tcW w:w="1843" w:type="dxa"/>
          </w:tcPr>
          <w:p w14:paraId="7F4A7B82" w14:textId="77777777" w:rsidR="000B782D" w:rsidRPr="00D81EF6" w:rsidRDefault="000B782D" w:rsidP="0053560A">
            <w:pPr>
              <w:pStyle w:val="TableText0"/>
              <w:rPr>
                <w:b/>
                <w:szCs w:val="20"/>
              </w:rPr>
            </w:pPr>
            <w:r w:rsidRPr="00D81EF6">
              <w:rPr>
                <w:b/>
                <w:szCs w:val="20"/>
              </w:rPr>
              <w:t>3</w:t>
            </w:r>
          </w:p>
        </w:tc>
        <w:tc>
          <w:tcPr>
            <w:tcW w:w="2976" w:type="dxa"/>
          </w:tcPr>
          <w:p w14:paraId="6771190B" w14:textId="77777777" w:rsidR="000B782D" w:rsidRPr="00D81EF6" w:rsidRDefault="000B782D" w:rsidP="0053560A">
            <w:pPr>
              <w:pStyle w:val="TableText0"/>
              <w:rPr>
                <w:b/>
                <w:szCs w:val="20"/>
              </w:rPr>
            </w:pPr>
            <w:r w:rsidRPr="00D81EF6">
              <w:rPr>
                <w:b/>
                <w:szCs w:val="20"/>
              </w:rPr>
              <w:t>0.04 (0.00, 0.07)</w:t>
            </w:r>
          </w:p>
        </w:tc>
      </w:tr>
      <w:tr w:rsidR="00487A29" w:rsidRPr="00D81EF6" w14:paraId="4790ED91" w14:textId="77777777" w:rsidTr="00E149F1">
        <w:trPr>
          <w:cantSplit/>
          <w:trHeight w:val="57"/>
          <w:tblHeader/>
        </w:trPr>
        <w:tc>
          <w:tcPr>
            <w:tcW w:w="4248" w:type="dxa"/>
          </w:tcPr>
          <w:p w14:paraId="7846FC7A" w14:textId="77777777" w:rsidR="000B782D" w:rsidRPr="00D81EF6" w:rsidRDefault="000B782D" w:rsidP="0053560A">
            <w:pPr>
              <w:pStyle w:val="TableText0"/>
            </w:pPr>
            <w:r w:rsidRPr="00D81EF6">
              <w:t>Dyspepsia</w:t>
            </w:r>
          </w:p>
        </w:tc>
        <w:tc>
          <w:tcPr>
            <w:tcW w:w="1843" w:type="dxa"/>
          </w:tcPr>
          <w:p w14:paraId="5650BABF" w14:textId="77777777" w:rsidR="000B782D" w:rsidRPr="00D81EF6" w:rsidRDefault="000B782D" w:rsidP="0053560A">
            <w:pPr>
              <w:pStyle w:val="TableText0"/>
              <w:rPr>
                <w:szCs w:val="20"/>
              </w:rPr>
            </w:pPr>
            <w:r w:rsidRPr="00D81EF6">
              <w:rPr>
                <w:szCs w:val="20"/>
              </w:rPr>
              <w:t>3</w:t>
            </w:r>
          </w:p>
        </w:tc>
        <w:tc>
          <w:tcPr>
            <w:tcW w:w="2976" w:type="dxa"/>
          </w:tcPr>
          <w:p w14:paraId="721916E9" w14:textId="77777777" w:rsidR="000B782D" w:rsidRPr="00D81EF6" w:rsidRDefault="000B782D" w:rsidP="0053560A">
            <w:pPr>
              <w:pStyle w:val="TableText0"/>
              <w:rPr>
                <w:szCs w:val="20"/>
              </w:rPr>
            </w:pPr>
            <w:r w:rsidRPr="00D81EF6">
              <w:rPr>
                <w:szCs w:val="20"/>
              </w:rPr>
              <w:t>-0.00 (-0.05, 0.04)</w:t>
            </w:r>
          </w:p>
        </w:tc>
      </w:tr>
      <w:tr w:rsidR="00487A29" w:rsidRPr="00D81EF6" w14:paraId="631F5782" w14:textId="77777777" w:rsidTr="00E149F1">
        <w:trPr>
          <w:cantSplit/>
          <w:trHeight w:val="57"/>
          <w:tblHeader/>
        </w:trPr>
        <w:tc>
          <w:tcPr>
            <w:tcW w:w="4248" w:type="dxa"/>
          </w:tcPr>
          <w:p w14:paraId="1DF6B682" w14:textId="77777777" w:rsidR="000B782D" w:rsidRPr="00D81EF6" w:rsidRDefault="000B782D" w:rsidP="0053560A">
            <w:pPr>
              <w:pStyle w:val="TableText0"/>
            </w:pPr>
            <w:r w:rsidRPr="00D81EF6">
              <w:t>Dry mouth</w:t>
            </w:r>
          </w:p>
        </w:tc>
        <w:tc>
          <w:tcPr>
            <w:tcW w:w="1843" w:type="dxa"/>
          </w:tcPr>
          <w:p w14:paraId="1CC4631C" w14:textId="77777777" w:rsidR="000B782D" w:rsidRPr="00D81EF6" w:rsidRDefault="000B782D" w:rsidP="0053560A">
            <w:pPr>
              <w:pStyle w:val="TableText0"/>
              <w:rPr>
                <w:szCs w:val="20"/>
              </w:rPr>
            </w:pPr>
            <w:r w:rsidRPr="00D81EF6">
              <w:rPr>
                <w:szCs w:val="20"/>
              </w:rPr>
              <w:t>3</w:t>
            </w:r>
          </w:p>
        </w:tc>
        <w:tc>
          <w:tcPr>
            <w:tcW w:w="2976" w:type="dxa"/>
          </w:tcPr>
          <w:p w14:paraId="351AE065" w14:textId="77777777" w:rsidR="000B782D" w:rsidRPr="00D81EF6" w:rsidRDefault="000B782D" w:rsidP="0053560A">
            <w:pPr>
              <w:pStyle w:val="TableText0"/>
              <w:rPr>
                <w:szCs w:val="20"/>
              </w:rPr>
            </w:pPr>
            <w:r w:rsidRPr="00D81EF6">
              <w:rPr>
                <w:szCs w:val="20"/>
              </w:rPr>
              <w:t>0.01 (-0.08, 0.10)</w:t>
            </w:r>
          </w:p>
        </w:tc>
      </w:tr>
      <w:tr w:rsidR="00487A29" w:rsidRPr="00D81EF6" w14:paraId="04113403" w14:textId="77777777" w:rsidTr="00E149F1">
        <w:trPr>
          <w:cantSplit/>
          <w:trHeight w:val="57"/>
          <w:tblHeader/>
        </w:trPr>
        <w:tc>
          <w:tcPr>
            <w:tcW w:w="4248" w:type="dxa"/>
          </w:tcPr>
          <w:p w14:paraId="446D07BE" w14:textId="77777777" w:rsidR="000B782D" w:rsidRPr="00D81EF6" w:rsidRDefault="000B782D" w:rsidP="0053560A">
            <w:pPr>
              <w:pStyle w:val="TableText0"/>
            </w:pPr>
            <w:r w:rsidRPr="00D81EF6">
              <w:t>Dizziness</w:t>
            </w:r>
          </w:p>
        </w:tc>
        <w:tc>
          <w:tcPr>
            <w:tcW w:w="1843" w:type="dxa"/>
          </w:tcPr>
          <w:p w14:paraId="25CEE4FC" w14:textId="77777777" w:rsidR="000B782D" w:rsidRPr="00D81EF6" w:rsidRDefault="000B782D" w:rsidP="0053560A">
            <w:pPr>
              <w:pStyle w:val="TableText0"/>
              <w:rPr>
                <w:szCs w:val="20"/>
              </w:rPr>
            </w:pPr>
            <w:r w:rsidRPr="00D81EF6">
              <w:rPr>
                <w:szCs w:val="20"/>
              </w:rPr>
              <w:t>2</w:t>
            </w:r>
          </w:p>
        </w:tc>
        <w:tc>
          <w:tcPr>
            <w:tcW w:w="2976" w:type="dxa"/>
          </w:tcPr>
          <w:p w14:paraId="0D334CAD" w14:textId="77777777" w:rsidR="000B782D" w:rsidRPr="00D81EF6" w:rsidRDefault="000B782D" w:rsidP="0053560A">
            <w:pPr>
              <w:pStyle w:val="TableText0"/>
              <w:rPr>
                <w:szCs w:val="20"/>
              </w:rPr>
            </w:pPr>
            <w:r w:rsidRPr="00D81EF6">
              <w:rPr>
                <w:szCs w:val="20"/>
              </w:rPr>
              <w:t>-0.04 (-0.13, 0.05)</w:t>
            </w:r>
          </w:p>
        </w:tc>
      </w:tr>
      <w:tr w:rsidR="00487A29" w:rsidRPr="00D81EF6" w14:paraId="7DCE917F" w14:textId="77777777" w:rsidTr="00E149F1">
        <w:trPr>
          <w:cantSplit/>
          <w:trHeight w:val="57"/>
          <w:tblHeader/>
        </w:trPr>
        <w:tc>
          <w:tcPr>
            <w:tcW w:w="4248" w:type="dxa"/>
          </w:tcPr>
          <w:p w14:paraId="2304FC2E" w14:textId="77777777" w:rsidR="000B782D" w:rsidRPr="00D81EF6" w:rsidRDefault="000B782D" w:rsidP="0053560A">
            <w:pPr>
              <w:pStyle w:val="TableText0"/>
            </w:pPr>
            <w:r w:rsidRPr="00D81EF6">
              <w:t>Rhinitis</w:t>
            </w:r>
          </w:p>
        </w:tc>
        <w:tc>
          <w:tcPr>
            <w:tcW w:w="1843" w:type="dxa"/>
          </w:tcPr>
          <w:p w14:paraId="114B472E" w14:textId="77777777" w:rsidR="000B782D" w:rsidRPr="00D81EF6" w:rsidRDefault="000B782D" w:rsidP="0053560A">
            <w:pPr>
              <w:pStyle w:val="TableText0"/>
              <w:rPr>
                <w:szCs w:val="20"/>
              </w:rPr>
            </w:pPr>
            <w:r w:rsidRPr="00D81EF6">
              <w:rPr>
                <w:szCs w:val="20"/>
              </w:rPr>
              <w:t>2</w:t>
            </w:r>
          </w:p>
        </w:tc>
        <w:tc>
          <w:tcPr>
            <w:tcW w:w="2976" w:type="dxa"/>
          </w:tcPr>
          <w:p w14:paraId="0FF67AB8" w14:textId="77777777" w:rsidR="000B782D" w:rsidRPr="00D81EF6" w:rsidRDefault="000B782D" w:rsidP="0053560A">
            <w:pPr>
              <w:pStyle w:val="TableText0"/>
              <w:rPr>
                <w:szCs w:val="20"/>
              </w:rPr>
            </w:pPr>
            <w:r w:rsidRPr="00D81EF6">
              <w:rPr>
                <w:szCs w:val="20"/>
              </w:rPr>
              <w:t>0.03 (-0.05, 0.12)</w:t>
            </w:r>
          </w:p>
        </w:tc>
      </w:tr>
      <w:tr w:rsidR="00487A29" w:rsidRPr="00D81EF6" w14:paraId="6BA462D3" w14:textId="77777777" w:rsidTr="00E149F1">
        <w:trPr>
          <w:cantSplit/>
          <w:trHeight w:val="57"/>
          <w:tblHeader/>
        </w:trPr>
        <w:tc>
          <w:tcPr>
            <w:tcW w:w="4248" w:type="dxa"/>
          </w:tcPr>
          <w:p w14:paraId="78B0BF3A" w14:textId="77777777" w:rsidR="000B782D" w:rsidRPr="00D81EF6" w:rsidRDefault="000B782D" w:rsidP="0053560A">
            <w:pPr>
              <w:pStyle w:val="TableText0"/>
            </w:pPr>
            <w:r w:rsidRPr="00D81EF6">
              <w:t>Pharyngitis</w:t>
            </w:r>
          </w:p>
        </w:tc>
        <w:tc>
          <w:tcPr>
            <w:tcW w:w="1843" w:type="dxa"/>
          </w:tcPr>
          <w:p w14:paraId="2FA50B48" w14:textId="77777777" w:rsidR="000B782D" w:rsidRPr="00D81EF6" w:rsidRDefault="000B782D" w:rsidP="0053560A">
            <w:pPr>
              <w:pStyle w:val="TableText0"/>
              <w:rPr>
                <w:szCs w:val="20"/>
              </w:rPr>
            </w:pPr>
            <w:r w:rsidRPr="00D81EF6">
              <w:rPr>
                <w:szCs w:val="20"/>
              </w:rPr>
              <w:t>2</w:t>
            </w:r>
          </w:p>
        </w:tc>
        <w:tc>
          <w:tcPr>
            <w:tcW w:w="2976" w:type="dxa"/>
          </w:tcPr>
          <w:p w14:paraId="69AEA2B1" w14:textId="77777777" w:rsidR="000B782D" w:rsidRPr="00D81EF6" w:rsidRDefault="000B782D" w:rsidP="0053560A">
            <w:pPr>
              <w:pStyle w:val="TableText0"/>
              <w:rPr>
                <w:szCs w:val="20"/>
              </w:rPr>
            </w:pPr>
            <w:r w:rsidRPr="00D81EF6">
              <w:rPr>
                <w:szCs w:val="20"/>
              </w:rPr>
              <w:t>-0.00 (-0.05, 0.04)</w:t>
            </w:r>
          </w:p>
        </w:tc>
      </w:tr>
      <w:tr w:rsidR="00487A29" w:rsidRPr="00D81EF6" w14:paraId="48BB7D58" w14:textId="77777777" w:rsidTr="00E149F1">
        <w:trPr>
          <w:cantSplit/>
          <w:trHeight w:val="57"/>
          <w:tblHeader/>
        </w:trPr>
        <w:tc>
          <w:tcPr>
            <w:tcW w:w="4248" w:type="dxa"/>
          </w:tcPr>
          <w:p w14:paraId="1C702287" w14:textId="77777777" w:rsidR="000B782D" w:rsidRPr="00D81EF6" w:rsidRDefault="000B782D" w:rsidP="0053560A">
            <w:pPr>
              <w:pStyle w:val="TableText0"/>
            </w:pPr>
            <w:r w:rsidRPr="00D81EF6">
              <w:t>Dysmenorrhea</w:t>
            </w:r>
          </w:p>
        </w:tc>
        <w:tc>
          <w:tcPr>
            <w:tcW w:w="1843" w:type="dxa"/>
          </w:tcPr>
          <w:p w14:paraId="14E961D9" w14:textId="77777777" w:rsidR="000B782D" w:rsidRPr="00D81EF6" w:rsidRDefault="000B782D" w:rsidP="0053560A">
            <w:pPr>
              <w:pStyle w:val="TableText0"/>
              <w:rPr>
                <w:szCs w:val="20"/>
              </w:rPr>
            </w:pPr>
            <w:r w:rsidRPr="00D81EF6">
              <w:rPr>
                <w:szCs w:val="20"/>
              </w:rPr>
              <w:t>2</w:t>
            </w:r>
          </w:p>
        </w:tc>
        <w:tc>
          <w:tcPr>
            <w:tcW w:w="2976" w:type="dxa"/>
          </w:tcPr>
          <w:p w14:paraId="585B7C46" w14:textId="77777777" w:rsidR="000B782D" w:rsidRPr="00D81EF6" w:rsidRDefault="000B782D" w:rsidP="0053560A">
            <w:pPr>
              <w:pStyle w:val="TableText0"/>
              <w:rPr>
                <w:szCs w:val="20"/>
              </w:rPr>
            </w:pPr>
            <w:r w:rsidRPr="00D81EF6">
              <w:rPr>
                <w:szCs w:val="20"/>
              </w:rPr>
              <w:t>-0.01 (-0.07, 0.04)</w:t>
            </w:r>
          </w:p>
        </w:tc>
      </w:tr>
    </w:tbl>
    <w:p w14:paraId="5BC472BB" w14:textId="0FD48AB8" w:rsidR="000B782D" w:rsidRPr="00D81EF6" w:rsidRDefault="00873314" w:rsidP="000B782D">
      <w:pPr>
        <w:pStyle w:val="TableFigureFooter"/>
        <w:rPr>
          <w:lang w:eastAsia="en-US"/>
        </w:rPr>
      </w:pPr>
      <w:r w:rsidRPr="00D81EF6">
        <w:rPr>
          <w:lang w:eastAsia="en-US"/>
        </w:rPr>
        <w:t>Source: Table</w:t>
      </w:r>
      <w:r w:rsidR="000B782D" w:rsidRPr="00D81EF6">
        <w:rPr>
          <w:lang w:eastAsia="en-US"/>
        </w:rPr>
        <w:t xml:space="preserve"> 4, </w:t>
      </w:r>
      <w:r w:rsidR="00ED0229" w:rsidRPr="00D81EF6">
        <w:rPr>
          <w:lang w:eastAsia="en-US"/>
        </w:rPr>
        <w:t>pg.</w:t>
      </w:r>
      <w:r w:rsidR="000129CA">
        <w:rPr>
          <w:lang w:eastAsia="en-US"/>
        </w:rPr>
        <w:t xml:space="preserve"> 7 of the submission. </w:t>
      </w:r>
      <w:bookmarkStart w:id="0" w:name="_GoBack"/>
      <w:bookmarkEnd w:id="0"/>
      <w:r w:rsidR="000129CA" w:rsidRPr="00D81EF6">
        <w:rPr>
          <w:lang w:eastAsia="en-US"/>
        </w:rPr>
        <w:t>Bold: statistically significant</w:t>
      </w:r>
    </w:p>
    <w:p w14:paraId="6C05E170" w14:textId="77777777" w:rsidR="000B782D" w:rsidRPr="00D81EF6" w:rsidRDefault="000B782D" w:rsidP="000B782D">
      <w:pPr>
        <w:keepNext/>
        <w:rPr>
          <w:rFonts w:asciiTheme="minorHAnsi" w:eastAsiaTheme="minorHAnsi" w:hAnsiTheme="minorHAnsi" w:cstheme="minorBidi"/>
          <w:szCs w:val="22"/>
        </w:rPr>
      </w:pPr>
      <w:r w:rsidRPr="00D81EF6">
        <w:rPr>
          <w:rFonts w:ascii="Arial Narrow" w:hAnsi="Arial Narrow"/>
          <w:b/>
          <w:sz w:val="20"/>
        </w:rPr>
        <w:t>Table 4: Adverse events of dexamfetamine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2"/>
        <w:gridCol w:w="1494"/>
        <w:gridCol w:w="2881"/>
        <w:gridCol w:w="2930"/>
      </w:tblGrid>
      <w:tr w:rsidR="00487A29" w:rsidRPr="00D81EF6" w14:paraId="55D73470" w14:textId="77777777" w:rsidTr="00E149F1">
        <w:trPr>
          <w:cantSplit/>
          <w:trHeight w:val="57"/>
          <w:tblHeader/>
        </w:trPr>
        <w:tc>
          <w:tcPr>
            <w:tcW w:w="1762" w:type="dxa"/>
          </w:tcPr>
          <w:p w14:paraId="38A67B53" w14:textId="77777777" w:rsidR="000B782D" w:rsidRPr="00D81EF6" w:rsidRDefault="000B782D" w:rsidP="0053560A">
            <w:pPr>
              <w:pStyle w:val="NoSpacing"/>
              <w:spacing w:before="40" w:after="40"/>
              <w:jc w:val="left"/>
              <w:rPr>
                <w:rFonts w:ascii="Arial Narrow" w:hAnsi="Arial Narrow"/>
                <w:b/>
                <w:sz w:val="20"/>
              </w:rPr>
            </w:pPr>
          </w:p>
        </w:tc>
        <w:tc>
          <w:tcPr>
            <w:tcW w:w="1494" w:type="dxa"/>
          </w:tcPr>
          <w:p w14:paraId="65D5FFE2" w14:textId="77777777" w:rsidR="000B782D" w:rsidRPr="00D81EF6" w:rsidRDefault="000B782D" w:rsidP="0053560A">
            <w:pPr>
              <w:keepNext/>
              <w:spacing w:before="40" w:after="40"/>
              <w:rPr>
                <w:rFonts w:ascii="Arial Narrow" w:hAnsi="Arial Narrow"/>
                <w:b/>
                <w:sz w:val="20"/>
              </w:rPr>
            </w:pPr>
            <w:r w:rsidRPr="00D81EF6">
              <w:rPr>
                <w:rFonts w:ascii="Arial Narrow" w:hAnsi="Arial Narrow"/>
                <w:b/>
                <w:sz w:val="20"/>
              </w:rPr>
              <w:t>Placebo</w:t>
            </w:r>
          </w:p>
        </w:tc>
        <w:tc>
          <w:tcPr>
            <w:tcW w:w="2881" w:type="dxa"/>
          </w:tcPr>
          <w:p w14:paraId="2078A03F" w14:textId="0D33B034" w:rsidR="000B782D" w:rsidRPr="00D81EF6" w:rsidRDefault="000B782D" w:rsidP="0053560A">
            <w:pPr>
              <w:keepNext/>
              <w:spacing w:before="40" w:after="40"/>
              <w:rPr>
                <w:rFonts w:ascii="Arial Narrow" w:hAnsi="Arial Narrow"/>
                <w:b/>
                <w:sz w:val="20"/>
              </w:rPr>
            </w:pPr>
            <w:r w:rsidRPr="00D81EF6">
              <w:rPr>
                <w:rFonts w:ascii="Arial Narrow" w:hAnsi="Arial Narrow"/>
                <w:b/>
                <w:sz w:val="20"/>
              </w:rPr>
              <w:t>Methamphetamine/amphetamine/</w:t>
            </w:r>
          </w:p>
          <w:p w14:paraId="2BC02E04" w14:textId="12AFF27E" w:rsidR="000B782D" w:rsidRPr="00D81EF6" w:rsidRDefault="00E149F1" w:rsidP="00E149F1">
            <w:pPr>
              <w:keepNext/>
              <w:spacing w:before="40" w:after="40"/>
              <w:rPr>
                <w:rFonts w:ascii="Arial Narrow" w:hAnsi="Arial Narrow"/>
                <w:b/>
                <w:sz w:val="20"/>
              </w:rPr>
            </w:pPr>
            <w:r w:rsidRPr="00D81EF6">
              <w:rPr>
                <w:rFonts w:ascii="Arial Narrow" w:hAnsi="Arial Narrow"/>
                <w:b/>
                <w:sz w:val="20"/>
              </w:rPr>
              <w:t>D</w:t>
            </w:r>
            <w:r w:rsidR="000B782D" w:rsidRPr="00D81EF6">
              <w:rPr>
                <w:rFonts w:ascii="Arial Narrow" w:hAnsi="Arial Narrow"/>
                <w:b/>
                <w:sz w:val="20"/>
              </w:rPr>
              <w:t>examfetamine</w:t>
            </w:r>
            <w:r>
              <w:rPr>
                <w:rFonts w:ascii="Arial Narrow" w:hAnsi="Arial Narrow"/>
                <w:b/>
                <w:sz w:val="20"/>
              </w:rPr>
              <w:t xml:space="preserve"> </w:t>
            </w:r>
            <w:r w:rsidR="000B782D" w:rsidRPr="00D81EF6">
              <w:rPr>
                <w:rFonts w:ascii="Arial Narrow" w:hAnsi="Arial Narrow"/>
                <w:b/>
                <w:sz w:val="20"/>
              </w:rPr>
              <w:t>(10-20 mg/day)</w:t>
            </w:r>
          </w:p>
        </w:tc>
        <w:tc>
          <w:tcPr>
            <w:tcW w:w="2930" w:type="dxa"/>
          </w:tcPr>
          <w:p w14:paraId="7771C742" w14:textId="7036B061" w:rsidR="000B782D" w:rsidRPr="00D81EF6" w:rsidRDefault="000B782D" w:rsidP="0053560A">
            <w:pPr>
              <w:keepNext/>
              <w:spacing w:before="40" w:after="40"/>
              <w:rPr>
                <w:rFonts w:ascii="Arial Narrow" w:hAnsi="Arial Narrow"/>
                <w:b/>
                <w:sz w:val="20"/>
              </w:rPr>
            </w:pPr>
            <w:r w:rsidRPr="00D81EF6">
              <w:rPr>
                <w:rFonts w:ascii="Arial Narrow" w:hAnsi="Arial Narrow"/>
                <w:b/>
                <w:sz w:val="20"/>
              </w:rPr>
              <w:t>Met</w:t>
            </w:r>
            <w:r w:rsidR="00D16096" w:rsidRPr="00D81EF6">
              <w:rPr>
                <w:rFonts w:ascii="Arial Narrow" w:hAnsi="Arial Narrow"/>
                <w:b/>
                <w:sz w:val="20"/>
              </w:rPr>
              <w:t>h</w:t>
            </w:r>
            <w:r w:rsidRPr="00D81EF6">
              <w:rPr>
                <w:rFonts w:ascii="Arial Narrow" w:hAnsi="Arial Narrow"/>
                <w:b/>
                <w:sz w:val="20"/>
              </w:rPr>
              <w:t>amphetamine/amphetamine/</w:t>
            </w:r>
          </w:p>
          <w:p w14:paraId="17634192" w14:textId="32412C8D" w:rsidR="000B782D" w:rsidRPr="00D81EF6" w:rsidRDefault="00E149F1" w:rsidP="00E149F1">
            <w:pPr>
              <w:keepNext/>
              <w:spacing w:before="40" w:after="40"/>
              <w:rPr>
                <w:rFonts w:ascii="Arial Narrow" w:hAnsi="Arial Narrow"/>
                <w:b/>
                <w:sz w:val="20"/>
              </w:rPr>
            </w:pPr>
            <w:r w:rsidRPr="00D81EF6">
              <w:rPr>
                <w:rFonts w:ascii="Arial Narrow" w:hAnsi="Arial Narrow"/>
                <w:b/>
                <w:sz w:val="20"/>
              </w:rPr>
              <w:t>D</w:t>
            </w:r>
            <w:r w:rsidR="000B782D" w:rsidRPr="00D81EF6">
              <w:rPr>
                <w:rFonts w:ascii="Arial Narrow" w:hAnsi="Arial Narrow"/>
                <w:b/>
                <w:sz w:val="20"/>
              </w:rPr>
              <w:t>examfetamine</w:t>
            </w:r>
            <w:r>
              <w:rPr>
                <w:rFonts w:ascii="Arial Narrow" w:hAnsi="Arial Narrow"/>
                <w:b/>
                <w:sz w:val="20"/>
              </w:rPr>
              <w:t xml:space="preserve"> </w:t>
            </w:r>
            <w:r w:rsidR="000B782D" w:rsidRPr="00D81EF6">
              <w:rPr>
                <w:rFonts w:ascii="Arial Narrow" w:hAnsi="Arial Narrow"/>
                <w:b/>
                <w:sz w:val="20"/>
              </w:rPr>
              <w:t>(30-60 mg/day)</w:t>
            </w:r>
          </w:p>
        </w:tc>
      </w:tr>
      <w:tr w:rsidR="00487A29" w:rsidRPr="00D81EF6" w14:paraId="1140CD6F" w14:textId="77777777" w:rsidTr="00E149F1">
        <w:trPr>
          <w:cantSplit/>
          <w:trHeight w:val="57"/>
          <w:tblHeader/>
        </w:trPr>
        <w:tc>
          <w:tcPr>
            <w:tcW w:w="1762" w:type="dxa"/>
          </w:tcPr>
          <w:p w14:paraId="3C038195" w14:textId="77777777" w:rsidR="000B782D" w:rsidRPr="00D81EF6" w:rsidRDefault="000B782D" w:rsidP="0053560A">
            <w:pPr>
              <w:pStyle w:val="TableText0"/>
            </w:pPr>
            <w:r w:rsidRPr="00D81EF6">
              <w:t>Sweaty</w:t>
            </w:r>
          </w:p>
        </w:tc>
        <w:tc>
          <w:tcPr>
            <w:tcW w:w="1494" w:type="dxa"/>
          </w:tcPr>
          <w:p w14:paraId="6D8F033F" w14:textId="77777777" w:rsidR="000B782D" w:rsidRPr="00D81EF6" w:rsidRDefault="000B782D" w:rsidP="0053560A">
            <w:pPr>
              <w:pStyle w:val="TableText0"/>
              <w:rPr>
                <w:szCs w:val="20"/>
              </w:rPr>
            </w:pPr>
            <w:r w:rsidRPr="00D81EF6">
              <w:rPr>
                <w:szCs w:val="20"/>
              </w:rPr>
              <w:t>6</w:t>
            </w:r>
          </w:p>
        </w:tc>
        <w:tc>
          <w:tcPr>
            <w:tcW w:w="2881" w:type="dxa"/>
          </w:tcPr>
          <w:p w14:paraId="227C8B17" w14:textId="77777777" w:rsidR="000B782D" w:rsidRPr="00D81EF6" w:rsidRDefault="000B782D" w:rsidP="0053560A">
            <w:pPr>
              <w:pStyle w:val="TableText0"/>
              <w:rPr>
                <w:szCs w:val="20"/>
              </w:rPr>
            </w:pPr>
            <w:r w:rsidRPr="00D81EF6">
              <w:rPr>
                <w:szCs w:val="20"/>
              </w:rPr>
              <w:t>5</w:t>
            </w:r>
          </w:p>
        </w:tc>
        <w:tc>
          <w:tcPr>
            <w:tcW w:w="2930" w:type="dxa"/>
          </w:tcPr>
          <w:p w14:paraId="1EF0A6EE" w14:textId="77777777" w:rsidR="000B782D" w:rsidRPr="00D81EF6" w:rsidRDefault="000B782D" w:rsidP="0053560A">
            <w:pPr>
              <w:pStyle w:val="TableText0"/>
            </w:pPr>
            <w:r w:rsidRPr="00D81EF6">
              <w:t>3</w:t>
            </w:r>
          </w:p>
        </w:tc>
      </w:tr>
      <w:tr w:rsidR="00487A29" w:rsidRPr="00D81EF6" w14:paraId="0C2E3586" w14:textId="77777777" w:rsidTr="00E149F1">
        <w:trPr>
          <w:cantSplit/>
          <w:trHeight w:val="57"/>
          <w:tblHeader/>
        </w:trPr>
        <w:tc>
          <w:tcPr>
            <w:tcW w:w="1762" w:type="dxa"/>
          </w:tcPr>
          <w:p w14:paraId="7E15CE0C" w14:textId="77777777" w:rsidR="000B782D" w:rsidRPr="00D81EF6" w:rsidRDefault="000B782D" w:rsidP="0053560A">
            <w:pPr>
              <w:pStyle w:val="TableText0"/>
            </w:pPr>
            <w:r w:rsidRPr="00D81EF6">
              <w:t>Palpitations</w:t>
            </w:r>
          </w:p>
        </w:tc>
        <w:tc>
          <w:tcPr>
            <w:tcW w:w="1494" w:type="dxa"/>
          </w:tcPr>
          <w:p w14:paraId="258EA171" w14:textId="77777777" w:rsidR="000B782D" w:rsidRPr="00D81EF6" w:rsidRDefault="000B782D" w:rsidP="0053560A">
            <w:pPr>
              <w:pStyle w:val="TableText0"/>
              <w:rPr>
                <w:szCs w:val="20"/>
              </w:rPr>
            </w:pPr>
            <w:r w:rsidRPr="00D81EF6">
              <w:rPr>
                <w:szCs w:val="20"/>
              </w:rPr>
              <w:t>2</w:t>
            </w:r>
          </w:p>
        </w:tc>
        <w:tc>
          <w:tcPr>
            <w:tcW w:w="2881" w:type="dxa"/>
          </w:tcPr>
          <w:p w14:paraId="6BD421EC" w14:textId="77777777" w:rsidR="000B782D" w:rsidRPr="00D81EF6" w:rsidRDefault="000B782D" w:rsidP="0053560A">
            <w:pPr>
              <w:pStyle w:val="TableText0"/>
              <w:rPr>
                <w:szCs w:val="20"/>
              </w:rPr>
            </w:pPr>
            <w:r w:rsidRPr="00D81EF6">
              <w:rPr>
                <w:szCs w:val="20"/>
              </w:rPr>
              <w:t>1</w:t>
            </w:r>
          </w:p>
        </w:tc>
        <w:tc>
          <w:tcPr>
            <w:tcW w:w="2930" w:type="dxa"/>
          </w:tcPr>
          <w:p w14:paraId="44264B94" w14:textId="77777777" w:rsidR="000B782D" w:rsidRPr="00D81EF6" w:rsidRDefault="000B782D" w:rsidP="0053560A">
            <w:pPr>
              <w:pStyle w:val="TableText0"/>
              <w:rPr>
                <w:szCs w:val="20"/>
              </w:rPr>
            </w:pPr>
            <w:r w:rsidRPr="00D81EF6">
              <w:rPr>
                <w:szCs w:val="20"/>
              </w:rPr>
              <w:t>2</w:t>
            </w:r>
          </w:p>
        </w:tc>
      </w:tr>
      <w:tr w:rsidR="00487A29" w:rsidRPr="00D81EF6" w14:paraId="7D538FD4" w14:textId="77777777" w:rsidTr="00E149F1">
        <w:trPr>
          <w:cantSplit/>
          <w:trHeight w:val="57"/>
          <w:tblHeader/>
        </w:trPr>
        <w:tc>
          <w:tcPr>
            <w:tcW w:w="1762" w:type="dxa"/>
          </w:tcPr>
          <w:p w14:paraId="63C81777" w14:textId="77777777" w:rsidR="000B782D" w:rsidRPr="00D81EF6" w:rsidRDefault="000B782D" w:rsidP="0053560A">
            <w:pPr>
              <w:pStyle w:val="TableText0"/>
            </w:pPr>
            <w:r w:rsidRPr="00D81EF6">
              <w:t>On edge</w:t>
            </w:r>
          </w:p>
        </w:tc>
        <w:tc>
          <w:tcPr>
            <w:tcW w:w="1494" w:type="dxa"/>
          </w:tcPr>
          <w:p w14:paraId="0E391C81" w14:textId="77777777" w:rsidR="000B782D" w:rsidRPr="00D81EF6" w:rsidRDefault="000B782D" w:rsidP="0053560A">
            <w:pPr>
              <w:pStyle w:val="TableText0"/>
              <w:rPr>
                <w:szCs w:val="20"/>
              </w:rPr>
            </w:pPr>
            <w:r w:rsidRPr="00D81EF6">
              <w:rPr>
                <w:szCs w:val="20"/>
              </w:rPr>
              <w:t>7</w:t>
            </w:r>
          </w:p>
        </w:tc>
        <w:tc>
          <w:tcPr>
            <w:tcW w:w="2881" w:type="dxa"/>
          </w:tcPr>
          <w:p w14:paraId="40074666" w14:textId="77777777" w:rsidR="000B782D" w:rsidRPr="00D81EF6" w:rsidRDefault="000B782D" w:rsidP="0053560A">
            <w:pPr>
              <w:pStyle w:val="TableText0"/>
              <w:rPr>
                <w:szCs w:val="20"/>
              </w:rPr>
            </w:pPr>
            <w:r w:rsidRPr="00D81EF6">
              <w:rPr>
                <w:szCs w:val="20"/>
              </w:rPr>
              <w:t>6</w:t>
            </w:r>
          </w:p>
        </w:tc>
        <w:tc>
          <w:tcPr>
            <w:tcW w:w="2930" w:type="dxa"/>
          </w:tcPr>
          <w:p w14:paraId="7224801B" w14:textId="77777777" w:rsidR="000B782D" w:rsidRPr="00D81EF6" w:rsidRDefault="000B782D" w:rsidP="0053560A">
            <w:pPr>
              <w:pStyle w:val="TableText0"/>
              <w:rPr>
                <w:szCs w:val="20"/>
              </w:rPr>
            </w:pPr>
            <w:r w:rsidRPr="00D81EF6">
              <w:rPr>
                <w:szCs w:val="20"/>
              </w:rPr>
              <w:t>4</w:t>
            </w:r>
          </w:p>
        </w:tc>
      </w:tr>
      <w:tr w:rsidR="00487A29" w:rsidRPr="00D81EF6" w14:paraId="287E1AF4" w14:textId="77777777" w:rsidTr="00E149F1">
        <w:trPr>
          <w:cantSplit/>
          <w:trHeight w:val="57"/>
          <w:tblHeader/>
        </w:trPr>
        <w:tc>
          <w:tcPr>
            <w:tcW w:w="1762" w:type="dxa"/>
          </w:tcPr>
          <w:p w14:paraId="09C1BA52" w14:textId="77777777" w:rsidR="000B782D" w:rsidRPr="00D81EF6" w:rsidRDefault="000B782D" w:rsidP="0053560A">
            <w:pPr>
              <w:pStyle w:val="TableText0"/>
            </w:pPr>
            <w:r w:rsidRPr="00D81EF6">
              <w:t>Nervousness</w:t>
            </w:r>
          </w:p>
        </w:tc>
        <w:tc>
          <w:tcPr>
            <w:tcW w:w="1494" w:type="dxa"/>
          </w:tcPr>
          <w:p w14:paraId="68158A78" w14:textId="77777777" w:rsidR="000B782D" w:rsidRPr="00D81EF6" w:rsidRDefault="000B782D" w:rsidP="0053560A">
            <w:pPr>
              <w:pStyle w:val="TableText0"/>
              <w:rPr>
                <w:szCs w:val="20"/>
              </w:rPr>
            </w:pPr>
            <w:r w:rsidRPr="00D81EF6">
              <w:rPr>
                <w:szCs w:val="20"/>
              </w:rPr>
              <w:t>0</w:t>
            </w:r>
          </w:p>
        </w:tc>
        <w:tc>
          <w:tcPr>
            <w:tcW w:w="2881" w:type="dxa"/>
          </w:tcPr>
          <w:p w14:paraId="1D6DFDA7" w14:textId="77777777" w:rsidR="000B782D" w:rsidRPr="00D81EF6" w:rsidRDefault="000B782D" w:rsidP="0053560A">
            <w:pPr>
              <w:pStyle w:val="TableText0"/>
              <w:rPr>
                <w:szCs w:val="20"/>
              </w:rPr>
            </w:pPr>
            <w:r w:rsidRPr="00D81EF6">
              <w:rPr>
                <w:szCs w:val="20"/>
              </w:rPr>
              <w:t>2</w:t>
            </w:r>
          </w:p>
        </w:tc>
        <w:tc>
          <w:tcPr>
            <w:tcW w:w="2930" w:type="dxa"/>
          </w:tcPr>
          <w:p w14:paraId="1FA8C444" w14:textId="77777777" w:rsidR="000B782D" w:rsidRPr="00D81EF6" w:rsidRDefault="000B782D" w:rsidP="0053560A">
            <w:pPr>
              <w:pStyle w:val="TableText0"/>
              <w:rPr>
                <w:szCs w:val="20"/>
              </w:rPr>
            </w:pPr>
            <w:r w:rsidRPr="00D81EF6">
              <w:rPr>
                <w:szCs w:val="20"/>
              </w:rPr>
              <w:t>2</w:t>
            </w:r>
          </w:p>
        </w:tc>
      </w:tr>
      <w:tr w:rsidR="00487A29" w:rsidRPr="00D81EF6" w14:paraId="07E5CB22" w14:textId="77777777" w:rsidTr="00E149F1">
        <w:trPr>
          <w:cantSplit/>
          <w:trHeight w:val="57"/>
          <w:tblHeader/>
        </w:trPr>
        <w:tc>
          <w:tcPr>
            <w:tcW w:w="1762" w:type="dxa"/>
          </w:tcPr>
          <w:p w14:paraId="08DCC99A" w14:textId="77777777" w:rsidR="000B782D" w:rsidRPr="00D81EF6" w:rsidRDefault="000B782D" w:rsidP="0053560A">
            <w:pPr>
              <w:pStyle w:val="TableText0"/>
            </w:pPr>
            <w:r w:rsidRPr="00D81EF6">
              <w:t>Insomnia</w:t>
            </w:r>
          </w:p>
        </w:tc>
        <w:tc>
          <w:tcPr>
            <w:tcW w:w="1494" w:type="dxa"/>
          </w:tcPr>
          <w:p w14:paraId="192ECCF3" w14:textId="77777777" w:rsidR="000B782D" w:rsidRPr="00D81EF6" w:rsidRDefault="000B782D" w:rsidP="0053560A">
            <w:pPr>
              <w:pStyle w:val="TableText0"/>
              <w:rPr>
                <w:szCs w:val="20"/>
              </w:rPr>
            </w:pPr>
            <w:r w:rsidRPr="00D81EF6">
              <w:rPr>
                <w:szCs w:val="20"/>
              </w:rPr>
              <w:t>0</w:t>
            </w:r>
          </w:p>
        </w:tc>
        <w:tc>
          <w:tcPr>
            <w:tcW w:w="2881" w:type="dxa"/>
          </w:tcPr>
          <w:p w14:paraId="33793C01" w14:textId="77777777" w:rsidR="000B782D" w:rsidRPr="00D81EF6" w:rsidRDefault="000B782D" w:rsidP="0053560A">
            <w:pPr>
              <w:pStyle w:val="TableText0"/>
              <w:rPr>
                <w:szCs w:val="20"/>
              </w:rPr>
            </w:pPr>
            <w:r w:rsidRPr="00D81EF6">
              <w:rPr>
                <w:szCs w:val="20"/>
              </w:rPr>
              <w:t>1</w:t>
            </w:r>
          </w:p>
        </w:tc>
        <w:tc>
          <w:tcPr>
            <w:tcW w:w="2930" w:type="dxa"/>
          </w:tcPr>
          <w:p w14:paraId="4CFFAEE8" w14:textId="77777777" w:rsidR="000B782D" w:rsidRPr="00D81EF6" w:rsidRDefault="000B782D" w:rsidP="0053560A">
            <w:pPr>
              <w:pStyle w:val="TableText0"/>
              <w:rPr>
                <w:szCs w:val="20"/>
              </w:rPr>
            </w:pPr>
            <w:r w:rsidRPr="00D81EF6">
              <w:rPr>
                <w:szCs w:val="20"/>
              </w:rPr>
              <w:t>5</w:t>
            </w:r>
          </w:p>
        </w:tc>
      </w:tr>
      <w:tr w:rsidR="00487A29" w:rsidRPr="00D81EF6" w14:paraId="110ABCEF" w14:textId="77777777" w:rsidTr="00E149F1">
        <w:trPr>
          <w:cantSplit/>
          <w:trHeight w:val="57"/>
          <w:tblHeader/>
        </w:trPr>
        <w:tc>
          <w:tcPr>
            <w:tcW w:w="1762" w:type="dxa"/>
          </w:tcPr>
          <w:p w14:paraId="15AE8A75" w14:textId="77777777" w:rsidR="000B782D" w:rsidRPr="00D81EF6" w:rsidRDefault="000B782D" w:rsidP="0053560A">
            <w:pPr>
              <w:pStyle w:val="TableText0"/>
            </w:pPr>
            <w:r w:rsidRPr="00D81EF6">
              <w:t>Headache</w:t>
            </w:r>
          </w:p>
        </w:tc>
        <w:tc>
          <w:tcPr>
            <w:tcW w:w="1494" w:type="dxa"/>
          </w:tcPr>
          <w:p w14:paraId="64025955" w14:textId="77777777" w:rsidR="000B782D" w:rsidRPr="00D81EF6" w:rsidRDefault="000B782D" w:rsidP="0053560A">
            <w:pPr>
              <w:pStyle w:val="TableText0"/>
              <w:rPr>
                <w:szCs w:val="20"/>
              </w:rPr>
            </w:pPr>
            <w:r w:rsidRPr="00D81EF6">
              <w:rPr>
                <w:szCs w:val="20"/>
              </w:rPr>
              <w:t>1</w:t>
            </w:r>
          </w:p>
        </w:tc>
        <w:tc>
          <w:tcPr>
            <w:tcW w:w="2881" w:type="dxa"/>
          </w:tcPr>
          <w:p w14:paraId="4929FFE0" w14:textId="77777777" w:rsidR="000B782D" w:rsidRPr="00D81EF6" w:rsidRDefault="000B782D" w:rsidP="0053560A">
            <w:pPr>
              <w:pStyle w:val="TableText0"/>
              <w:rPr>
                <w:szCs w:val="20"/>
              </w:rPr>
            </w:pPr>
            <w:r w:rsidRPr="00D81EF6">
              <w:rPr>
                <w:szCs w:val="20"/>
              </w:rPr>
              <w:t>3</w:t>
            </w:r>
          </w:p>
        </w:tc>
        <w:tc>
          <w:tcPr>
            <w:tcW w:w="2930" w:type="dxa"/>
          </w:tcPr>
          <w:p w14:paraId="6B4A00BA" w14:textId="77777777" w:rsidR="000B782D" w:rsidRPr="00D81EF6" w:rsidRDefault="000B782D" w:rsidP="0053560A">
            <w:pPr>
              <w:pStyle w:val="TableText0"/>
              <w:rPr>
                <w:szCs w:val="20"/>
              </w:rPr>
            </w:pPr>
            <w:r w:rsidRPr="00D81EF6">
              <w:rPr>
                <w:szCs w:val="20"/>
              </w:rPr>
              <w:t>4</w:t>
            </w:r>
          </w:p>
        </w:tc>
      </w:tr>
      <w:tr w:rsidR="00487A29" w:rsidRPr="00D81EF6" w14:paraId="0AD8AE8E" w14:textId="77777777" w:rsidTr="00E149F1">
        <w:trPr>
          <w:cantSplit/>
          <w:trHeight w:val="57"/>
          <w:tblHeader/>
        </w:trPr>
        <w:tc>
          <w:tcPr>
            <w:tcW w:w="1762" w:type="dxa"/>
          </w:tcPr>
          <w:p w14:paraId="63FEDCE3" w14:textId="72597883" w:rsidR="000B782D" w:rsidRPr="00D81EF6" w:rsidRDefault="00873314" w:rsidP="0053560A">
            <w:pPr>
              <w:pStyle w:val="TableText0"/>
            </w:pPr>
            <w:r w:rsidRPr="00D81EF6">
              <w:t>Akat</w:t>
            </w:r>
            <w:r w:rsidR="000B782D" w:rsidRPr="00D81EF6">
              <w:t>hisia</w:t>
            </w:r>
          </w:p>
        </w:tc>
        <w:tc>
          <w:tcPr>
            <w:tcW w:w="1494" w:type="dxa"/>
          </w:tcPr>
          <w:p w14:paraId="436CD5EB" w14:textId="77777777" w:rsidR="000B782D" w:rsidRPr="00D81EF6" w:rsidRDefault="000B782D" w:rsidP="0053560A">
            <w:pPr>
              <w:pStyle w:val="TableText0"/>
              <w:rPr>
                <w:szCs w:val="20"/>
              </w:rPr>
            </w:pPr>
            <w:r w:rsidRPr="00D81EF6">
              <w:rPr>
                <w:szCs w:val="20"/>
              </w:rPr>
              <w:t>0</w:t>
            </w:r>
          </w:p>
        </w:tc>
        <w:tc>
          <w:tcPr>
            <w:tcW w:w="2881" w:type="dxa"/>
          </w:tcPr>
          <w:p w14:paraId="41576FF6" w14:textId="77777777" w:rsidR="000B782D" w:rsidRPr="00D81EF6" w:rsidRDefault="000B782D" w:rsidP="0053560A">
            <w:pPr>
              <w:pStyle w:val="TableText0"/>
              <w:rPr>
                <w:szCs w:val="20"/>
              </w:rPr>
            </w:pPr>
            <w:r w:rsidRPr="00D81EF6">
              <w:rPr>
                <w:szCs w:val="20"/>
              </w:rPr>
              <w:t>2</w:t>
            </w:r>
          </w:p>
        </w:tc>
        <w:tc>
          <w:tcPr>
            <w:tcW w:w="2930" w:type="dxa"/>
          </w:tcPr>
          <w:p w14:paraId="526F172B" w14:textId="77777777" w:rsidR="000B782D" w:rsidRPr="00D81EF6" w:rsidRDefault="000B782D" w:rsidP="0053560A">
            <w:pPr>
              <w:pStyle w:val="TableText0"/>
              <w:rPr>
                <w:szCs w:val="20"/>
              </w:rPr>
            </w:pPr>
            <w:r w:rsidRPr="00D81EF6">
              <w:rPr>
                <w:szCs w:val="20"/>
              </w:rPr>
              <w:t>3</w:t>
            </w:r>
          </w:p>
        </w:tc>
      </w:tr>
      <w:tr w:rsidR="00487A29" w:rsidRPr="00D81EF6" w14:paraId="2784F238" w14:textId="77777777" w:rsidTr="00E149F1">
        <w:trPr>
          <w:cantSplit/>
          <w:trHeight w:val="57"/>
          <w:tblHeader/>
        </w:trPr>
        <w:tc>
          <w:tcPr>
            <w:tcW w:w="1762" w:type="dxa"/>
          </w:tcPr>
          <w:p w14:paraId="35AD4093" w14:textId="46CA6ED5" w:rsidR="000B782D" w:rsidRPr="00D81EF6" w:rsidRDefault="000B782D" w:rsidP="0053560A">
            <w:pPr>
              <w:pStyle w:val="TableText0"/>
            </w:pPr>
            <w:r w:rsidRPr="00D81EF6">
              <w:t xml:space="preserve">Chest </w:t>
            </w:r>
            <w:r w:rsidR="00873314" w:rsidRPr="00D81EF6">
              <w:t>discomfort</w:t>
            </w:r>
          </w:p>
        </w:tc>
        <w:tc>
          <w:tcPr>
            <w:tcW w:w="1494" w:type="dxa"/>
          </w:tcPr>
          <w:p w14:paraId="529309B7" w14:textId="77777777" w:rsidR="000B782D" w:rsidRPr="00D81EF6" w:rsidRDefault="000B782D" w:rsidP="0053560A">
            <w:pPr>
              <w:pStyle w:val="TableText0"/>
              <w:rPr>
                <w:szCs w:val="20"/>
              </w:rPr>
            </w:pPr>
            <w:r w:rsidRPr="00D81EF6">
              <w:rPr>
                <w:szCs w:val="20"/>
              </w:rPr>
              <w:t>0</w:t>
            </w:r>
          </w:p>
        </w:tc>
        <w:tc>
          <w:tcPr>
            <w:tcW w:w="2881" w:type="dxa"/>
          </w:tcPr>
          <w:p w14:paraId="6DE881CD" w14:textId="77777777" w:rsidR="000B782D" w:rsidRPr="00D81EF6" w:rsidRDefault="000B782D" w:rsidP="0053560A">
            <w:pPr>
              <w:pStyle w:val="TableText0"/>
              <w:rPr>
                <w:szCs w:val="20"/>
              </w:rPr>
            </w:pPr>
            <w:r w:rsidRPr="00D81EF6">
              <w:rPr>
                <w:szCs w:val="20"/>
              </w:rPr>
              <w:t>1</w:t>
            </w:r>
          </w:p>
        </w:tc>
        <w:tc>
          <w:tcPr>
            <w:tcW w:w="2930" w:type="dxa"/>
          </w:tcPr>
          <w:p w14:paraId="0BC88AE4" w14:textId="77777777" w:rsidR="000B782D" w:rsidRPr="00D81EF6" w:rsidRDefault="000B782D" w:rsidP="0053560A">
            <w:pPr>
              <w:pStyle w:val="TableText0"/>
              <w:rPr>
                <w:szCs w:val="20"/>
              </w:rPr>
            </w:pPr>
            <w:r w:rsidRPr="00D81EF6">
              <w:rPr>
                <w:szCs w:val="20"/>
              </w:rPr>
              <w:t>1</w:t>
            </w:r>
          </w:p>
        </w:tc>
      </w:tr>
      <w:tr w:rsidR="00487A29" w:rsidRPr="00D81EF6" w14:paraId="77A162CE" w14:textId="77777777" w:rsidTr="00E149F1">
        <w:trPr>
          <w:cantSplit/>
          <w:trHeight w:val="57"/>
          <w:tblHeader/>
        </w:trPr>
        <w:tc>
          <w:tcPr>
            <w:tcW w:w="1762" w:type="dxa"/>
          </w:tcPr>
          <w:p w14:paraId="324D1A52" w14:textId="77777777" w:rsidR="000B782D" w:rsidRPr="00D81EF6" w:rsidRDefault="000B782D" w:rsidP="0053560A">
            <w:pPr>
              <w:pStyle w:val="TableText0"/>
            </w:pPr>
            <w:r w:rsidRPr="00D81EF6">
              <w:t>Abdominal pain</w:t>
            </w:r>
          </w:p>
        </w:tc>
        <w:tc>
          <w:tcPr>
            <w:tcW w:w="1494" w:type="dxa"/>
          </w:tcPr>
          <w:p w14:paraId="52F79CAC" w14:textId="77777777" w:rsidR="000B782D" w:rsidRPr="00D81EF6" w:rsidRDefault="000B782D" w:rsidP="0053560A">
            <w:pPr>
              <w:pStyle w:val="TableText0"/>
              <w:rPr>
                <w:szCs w:val="20"/>
              </w:rPr>
            </w:pPr>
            <w:r w:rsidRPr="00D81EF6">
              <w:rPr>
                <w:szCs w:val="20"/>
              </w:rPr>
              <w:t>0</w:t>
            </w:r>
          </w:p>
        </w:tc>
        <w:tc>
          <w:tcPr>
            <w:tcW w:w="2881" w:type="dxa"/>
          </w:tcPr>
          <w:p w14:paraId="00424702" w14:textId="77777777" w:rsidR="000B782D" w:rsidRPr="00D81EF6" w:rsidRDefault="000B782D" w:rsidP="0053560A">
            <w:pPr>
              <w:pStyle w:val="TableText0"/>
              <w:rPr>
                <w:szCs w:val="20"/>
              </w:rPr>
            </w:pPr>
            <w:r w:rsidRPr="00D81EF6">
              <w:rPr>
                <w:szCs w:val="20"/>
              </w:rPr>
              <w:t>1</w:t>
            </w:r>
          </w:p>
        </w:tc>
        <w:tc>
          <w:tcPr>
            <w:tcW w:w="2930" w:type="dxa"/>
          </w:tcPr>
          <w:p w14:paraId="09AAC703" w14:textId="77777777" w:rsidR="000B782D" w:rsidRPr="00D81EF6" w:rsidRDefault="000B782D" w:rsidP="0053560A">
            <w:pPr>
              <w:pStyle w:val="TableText0"/>
              <w:rPr>
                <w:szCs w:val="20"/>
              </w:rPr>
            </w:pPr>
            <w:r w:rsidRPr="00D81EF6">
              <w:rPr>
                <w:szCs w:val="20"/>
              </w:rPr>
              <w:t>1</w:t>
            </w:r>
          </w:p>
        </w:tc>
      </w:tr>
      <w:tr w:rsidR="00487A29" w:rsidRPr="00D81EF6" w14:paraId="21F235BB" w14:textId="77777777" w:rsidTr="00E149F1">
        <w:trPr>
          <w:cantSplit/>
          <w:trHeight w:val="57"/>
          <w:tblHeader/>
        </w:trPr>
        <w:tc>
          <w:tcPr>
            <w:tcW w:w="1762" w:type="dxa"/>
          </w:tcPr>
          <w:p w14:paraId="05586135" w14:textId="77777777" w:rsidR="000B782D" w:rsidRPr="00D81EF6" w:rsidRDefault="000B782D" w:rsidP="0053560A">
            <w:pPr>
              <w:pStyle w:val="TableText0"/>
            </w:pPr>
            <w:r w:rsidRPr="00D81EF6">
              <w:t>Loss of appetite</w:t>
            </w:r>
          </w:p>
        </w:tc>
        <w:tc>
          <w:tcPr>
            <w:tcW w:w="1494" w:type="dxa"/>
          </w:tcPr>
          <w:p w14:paraId="2A95D37F" w14:textId="77777777" w:rsidR="000B782D" w:rsidRPr="00D81EF6" w:rsidRDefault="000B782D" w:rsidP="0053560A">
            <w:pPr>
              <w:pStyle w:val="TableText0"/>
              <w:rPr>
                <w:szCs w:val="20"/>
              </w:rPr>
            </w:pPr>
            <w:r w:rsidRPr="00D81EF6">
              <w:rPr>
                <w:szCs w:val="20"/>
              </w:rPr>
              <w:t>0</w:t>
            </w:r>
          </w:p>
        </w:tc>
        <w:tc>
          <w:tcPr>
            <w:tcW w:w="2881" w:type="dxa"/>
          </w:tcPr>
          <w:p w14:paraId="50DF6D2D" w14:textId="77777777" w:rsidR="000B782D" w:rsidRPr="00D81EF6" w:rsidRDefault="000B782D" w:rsidP="0053560A">
            <w:pPr>
              <w:pStyle w:val="TableText0"/>
              <w:rPr>
                <w:szCs w:val="20"/>
              </w:rPr>
            </w:pPr>
            <w:r w:rsidRPr="00D81EF6">
              <w:rPr>
                <w:szCs w:val="20"/>
              </w:rPr>
              <w:t>4</w:t>
            </w:r>
          </w:p>
        </w:tc>
        <w:tc>
          <w:tcPr>
            <w:tcW w:w="2930" w:type="dxa"/>
          </w:tcPr>
          <w:p w14:paraId="266C4079" w14:textId="77777777" w:rsidR="000B782D" w:rsidRPr="00D81EF6" w:rsidRDefault="000B782D" w:rsidP="0053560A">
            <w:pPr>
              <w:pStyle w:val="TableText0"/>
              <w:rPr>
                <w:szCs w:val="20"/>
              </w:rPr>
            </w:pPr>
            <w:r w:rsidRPr="00D81EF6">
              <w:rPr>
                <w:szCs w:val="20"/>
              </w:rPr>
              <w:t>3</w:t>
            </w:r>
          </w:p>
        </w:tc>
      </w:tr>
    </w:tbl>
    <w:p w14:paraId="6403FD41" w14:textId="77777777" w:rsidR="000B782D" w:rsidRPr="00D81EF6" w:rsidRDefault="000B782D" w:rsidP="000B782D">
      <w:pPr>
        <w:pStyle w:val="3Bodytext"/>
        <w:numPr>
          <w:ilvl w:val="0"/>
          <w:numId w:val="0"/>
        </w:numPr>
        <w:rPr>
          <w:rFonts w:ascii="Arial Narrow" w:hAnsi="Arial Narrow"/>
          <w:sz w:val="18"/>
          <w:szCs w:val="18"/>
          <w:lang w:eastAsia="en-US"/>
        </w:rPr>
      </w:pPr>
      <w:r w:rsidRPr="00D81EF6">
        <w:rPr>
          <w:rFonts w:ascii="Arial Narrow" w:hAnsi="Arial Narrow"/>
          <w:sz w:val="18"/>
          <w:szCs w:val="18"/>
          <w:lang w:eastAsia="en-US"/>
        </w:rPr>
        <w:t>Source: submission Table 2</w:t>
      </w:r>
    </w:p>
    <w:p w14:paraId="08179AE8" w14:textId="6CECFEDD" w:rsidR="000B782D" w:rsidRPr="00D81EF6" w:rsidRDefault="000B782D" w:rsidP="00ED3D30">
      <w:pPr>
        <w:pStyle w:val="3Bodytext"/>
        <w:jc w:val="both"/>
      </w:pPr>
      <w:r w:rsidRPr="00D81EF6">
        <w:rPr>
          <w:lang w:eastAsia="en-US"/>
        </w:rPr>
        <w:t>The submission claimed that the results of the Golicki et al</w:t>
      </w:r>
      <w:r w:rsidR="00605A37" w:rsidRPr="00D81EF6">
        <w:rPr>
          <w:lang w:eastAsia="en-US"/>
        </w:rPr>
        <w:t>.</w:t>
      </w:r>
      <w:r w:rsidRPr="00D81EF6">
        <w:rPr>
          <w:lang w:eastAsia="en-US"/>
        </w:rPr>
        <w:t xml:space="preserve"> network meta-analysis indicated that modafinil had a balanced profile for efficacy and safety compared to placebo. The submission noted that only nausea and diarrhoea were statistically significantly more frequent with modafinil when compared to placebo (Table 3).</w:t>
      </w:r>
    </w:p>
    <w:p w14:paraId="0C9E662A" w14:textId="77777777" w:rsidR="000B782D" w:rsidRPr="00D81EF6" w:rsidRDefault="000B782D" w:rsidP="00ED3D30">
      <w:pPr>
        <w:pStyle w:val="3Bodytext"/>
        <w:jc w:val="both"/>
      </w:pPr>
      <w:r w:rsidRPr="00D81EF6">
        <w:rPr>
          <w:lang w:eastAsia="en-US"/>
        </w:rPr>
        <w:t xml:space="preserve">The submission argued that only nervousness and headache were common adverse events (AEs) for patients on modafinil (Table 3), whereas patients on dexamfetamine were 2 to 3 times more likely to have these AEs than patients on placebo (Table 4). </w:t>
      </w:r>
    </w:p>
    <w:p w14:paraId="33C20F5B" w14:textId="3E8AFC2B" w:rsidR="000B782D" w:rsidRPr="00D81EF6" w:rsidRDefault="000B782D" w:rsidP="00ED3D30">
      <w:pPr>
        <w:pStyle w:val="3Bodytext"/>
        <w:jc w:val="both"/>
      </w:pPr>
      <w:r w:rsidRPr="00D81EF6">
        <w:rPr>
          <w:lang w:eastAsia="en-US"/>
        </w:rPr>
        <w:t>The PBAC has previously considered that armodafinil is non-inferior to modafinil in terms of comparative safety (para 7.2, armodafinil Public Summary Document, March 2016 PBAC meeting). Therefore</w:t>
      </w:r>
      <w:r w:rsidR="00605A37" w:rsidRPr="00D81EF6">
        <w:rPr>
          <w:lang w:eastAsia="en-US"/>
        </w:rPr>
        <w:t>,</w:t>
      </w:r>
      <w:r w:rsidRPr="00D81EF6">
        <w:rPr>
          <w:lang w:eastAsia="en-US"/>
        </w:rPr>
        <w:t xml:space="preserve"> the ASA concluded that the safety profile of armodafinil would be similar to that of modafinil in the evidence presented. </w:t>
      </w:r>
    </w:p>
    <w:p w14:paraId="27791ABF" w14:textId="3D632D23" w:rsidR="00F939C3" w:rsidRPr="00D81EF6" w:rsidRDefault="00605A37" w:rsidP="00ED3D30">
      <w:pPr>
        <w:pStyle w:val="3Bodytext"/>
        <w:jc w:val="both"/>
      </w:pPr>
      <w:r w:rsidRPr="00D81EF6">
        <w:t>The submission noted that d</w:t>
      </w:r>
      <w:r w:rsidR="00EE6BB3" w:rsidRPr="00D81EF6">
        <w:t>examfetamine is a</w:t>
      </w:r>
      <w:r w:rsidR="00F939C3" w:rsidRPr="00D81EF6">
        <w:t xml:space="preserve"> Schedule 8 medicine </w:t>
      </w:r>
      <w:r w:rsidRPr="00D81EF6">
        <w:t>with</w:t>
      </w:r>
      <w:r w:rsidR="006B6874" w:rsidRPr="00D81EF6">
        <w:t xml:space="preserve"> </w:t>
      </w:r>
      <w:r w:rsidR="00F939C3" w:rsidRPr="00D81EF6">
        <w:t>detrimental short- and long-term effe</w:t>
      </w:r>
      <w:r w:rsidR="006B6874" w:rsidRPr="00D81EF6">
        <w:t xml:space="preserve">cts, including </w:t>
      </w:r>
      <w:r w:rsidR="00F939C3" w:rsidRPr="00D81EF6">
        <w:t xml:space="preserve">tolerance (necessitating higher doses), risk of addiction and potential harm of cardiac arrhythmias and psychiatric disturbances. </w:t>
      </w:r>
    </w:p>
    <w:p w14:paraId="20C75E86" w14:textId="43CEBB2F" w:rsidR="00C17B50" w:rsidRPr="00D81EF6" w:rsidRDefault="00C17B50" w:rsidP="00ED3D30">
      <w:pPr>
        <w:pStyle w:val="3Bodytext"/>
        <w:jc w:val="both"/>
      </w:pPr>
      <w:r w:rsidRPr="00D81EF6">
        <w:t xml:space="preserve">The </w:t>
      </w:r>
      <w:r w:rsidR="00E73513" w:rsidRPr="00D81EF6">
        <w:t xml:space="preserve">pre-PBAC response </w:t>
      </w:r>
      <w:r w:rsidRPr="00D81EF6">
        <w:t>considered that the long-term adverse event profile of dexamfetamine does not support the benefit to risk ratio</w:t>
      </w:r>
      <w:r w:rsidR="00B60300" w:rsidRPr="00D81EF6">
        <w:t>;</w:t>
      </w:r>
      <w:r w:rsidRPr="00D81EF6">
        <w:t xml:space="preserve"> </w:t>
      </w:r>
      <w:r w:rsidR="00B60300" w:rsidRPr="00D81EF6">
        <w:t xml:space="preserve">noting </w:t>
      </w:r>
      <w:r w:rsidRPr="00D81EF6">
        <w:t xml:space="preserve">that 58 adverse drug reaction reports regarding dexamfetamine where made to the TGA in the period 2005 to 2020, including </w:t>
      </w:r>
      <w:r w:rsidR="00B60300" w:rsidRPr="00D81EF6">
        <w:t>two</w:t>
      </w:r>
      <w:r w:rsidRPr="00D81EF6">
        <w:t xml:space="preserve"> deaths. </w:t>
      </w:r>
    </w:p>
    <w:p w14:paraId="0BFEFFBD" w14:textId="77813363" w:rsidR="00280323" w:rsidRPr="00D81EF6" w:rsidRDefault="00280323" w:rsidP="00EB78AC">
      <w:pPr>
        <w:pStyle w:val="4-SubsectionHeading"/>
        <w:rPr>
          <w:lang w:eastAsia="en-US"/>
        </w:rPr>
      </w:pPr>
      <w:r w:rsidRPr="00D81EF6">
        <w:rPr>
          <w:lang w:eastAsia="en-US"/>
        </w:rPr>
        <w:t>Clinical claim</w:t>
      </w:r>
    </w:p>
    <w:p w14:paraId="1ED7099A" w14:textId="591E8CF2" w:rsidR="009D5D3E" w:rsidRPr="00D81EF6" w:rsidRDefault="00280323" w:rsidP="00ED3D30">
      <w:pPr>
        <w:pStyle w:val="3Bodytext"/>
        <w:jc w:val="both"/>
        <w:rPr>
          <w:lang w:eastAsia="en-US"/>
        </w:rPr>
      </w:pPr>
      <w:r w:rsidRPr="00D81EF6">
        <w:rPr>
          <w:lang w:eastAsia="en-US"/>
        </w:rPr>
        <w:t xml:space="preserve">The submission claimed superior comparative </w:t>
      </w:r>
      <w:r w:rsidR="006B6874" w:rsidRPr="00D81EF6">
        <w:rPr>
          <w:lang w:eastAsia="en-US"/>
        </w:rPr>
        <w:t xml:space="preserve">effectiveness and </w:t>
      </w:r>
      <w:r w:rsidRPr="00D81EF6">
        <w:rPr>
          <w:lang w:eastAsia="en-US"/>
        </w:rPr>
        <w:t xml:space="preserve">safety of modafinil and armodafinil compared with </w:t>
      </w:r>
      <w:r w:rsidR="009D5D3E" w:rsidRPr="00D81EF6">
        <w:rPr>
          <w:lang w:eastAsia="en-US"/>
        </w:rPr>
        <w:t>dexamfetamine.</w:t>
      </w:r>
    </w:p>
    <w:p w14:paraId="0F3DB3F3" w14:textId="02C560C6" w:rsidR="006B6874" w:rsidRPr="00D81EF6" w:rsidRDefault="00543A01" w:rsidP="00ED3D30">
      <w:pPr>
        <w:pStyle w:val="3Bodytext"/>
        <w:jc w:val="both"/>
        <w:rPr>
          <w:lang w:eastAsia="en-US"/>
        </w:rPr>
      </w:pPr>
      <w:r w:rsidRPr="00D81EF6">
        <w:rPr>
          <w:lang w:eastAsia="en-US"/>
        </w:rPr>
        <w:t xml:space="preserve">No clinical </w:t>
      </w:r>
      <w:r w:rsidR="00D16096" w:rsidRPr="00D81EF6">
        <w:rPr>
          <w:lang w:eastAsia="en-US"/>
        </w:rPr>
        <w:t>evidence</w:t>
      </w:r>
      <w:r w:rsidR="00C10474" w:rsidRPr="00D81EF6">
        <w:rPr>
          <w:lang w:eastAsia="en-US"/>
        </w:rPr>
        <w:t xml:space="preserve"> comparing modafinil</w:t>
      </w:r>
      <w:r w:rsidR="009D5D3E" w:rsidRPr="00D81EF6">
        <w:rPr>
          <w:lang w:eastAsia="en-US"/>
        </w:rPr>
        <w:t xml:space="preserve"> and armodafinil</w:t>
      </w:r>
      <w:r w:rsidR="00C10474" w:rsidRPr="00D81EF6">
        <w:rPr>
          <w:lang w:eastAsia="en-US"/>
        </w:rPr>
        <w:t xml:space="preserve"> </w:t>
      </w:r>
      <w:r w:rsidR="009D5D3E" w:rsidRPr="00D81EF6">
        <w:rPr>
          <w:lang w:eastAsia="en-US"/>
        </w:rPr>
        <w:t>to</w:t>
      </w:r>
      <w:r w:rsidR="00C10474" w:rsidRPr="00D81EF6">
        <w:rPr>
          <w:lang w:eastAsia="en-US"/>
        </w:rPr>
        <w:t xml:space="preserve"> dexamfetamine </w:t>
      </w:r>
      <w:r w:rsidR="00605A37" w:rsidRPr="00D81EF6">
        <w:rPr>
          <w:lang w:eastAsia="en-US"/>
        </w:rPr>
        <w:t xml:space="preserve">was </w:t>
      </w:r>
      <w:r w:rsidRPr="00D81EF6">
        <w:rPr>
          <w:lang w:eastAsia="en-US"/>
        </w:rPr>
        <w:t xml:space="preserve">provided to support </w:t>
      </w:r>
      <w:r w:rsidR="009D5D3E" w:rsidRPr="00D81EF6">
        <w:rPr>
          <w:lang w:eastAsia="en-US"/>
        </w:rPr>
        <w:t>the clin</w:t>
      </w:r>
      <w:r w:rsidR="00F2451C" w:rsidRPr="00D81EF6">
        <w:rPr>
          <w:lang w:eastAsia="en-US"/>
        </w:rPr>
        <w:t>i</w:t>
      </w:r>
      <w:r w:rsidR="009D5D3E" w:rsidRPr="00D81EF6">
        <w:rPr>
          <w:lang w:eastAsia="en-US"/>
        </w:rPr>
        <w:t>cal claim.</w:t>
      </w:r>
    </w:p>
    <w:p w14:paraId="691E2F4B" w14:textId="490E7340" w:rsidR="0053063D" w:rsidRPr="00D81EF6" w:rsidRDefault="0053063D" w:rsidP="00ED3D30">
      <w:pPr>
        <w:pStyle w:val="3Bodytext"/>
        <w:jc w:val="both"/>
        <w:rPr>
          <w:lang w:eastAsia="en-US"/>
        </w:rPr>
      </w:pPr>
      <w:r w:rsidRPr="00D81EF6">
        <w:rPr>
          <w:lang w:eastAsia="en-US"/>
        </w:rPr>
        <w:t xml:space="preserve">The </w:t>
      </w:r>
      <w:r w:rsidR="00D70E97" w:rsidRPr="00D81EF6">
        <w:rPr>
          <w:lang w:eastAsia="en-US"/>
        </w:rPr>
        <w:t>pre-PBAC response</w:t>
      </w:r>
      <w:r w:rsidRPr="00D81EF6">
        <w:rPr>
          <w:lang w:eastAsia="en-US"/>
        </w:rPr>
        <w:t xml:space="preserve"> advised that there is little clinical data available to facilitate a comparison of dexamfetamine </w:t>
      </w:r>
      <w:r w:rsidR="00D70E97" w:rsidRPr="00D81EF6">
        <w:rPr>
          <w:lang w:eastAsia="en-US"/>
        </w:rPr>
        <w:t>with armodafinil and modafinil.</w:t>
      </w:r>
    </w:p>
    <w:p w14:paraId="2DDF493D" w14:textId="676B8741" w:rsidR="00061BC6" w:rsidRPr="00D81EF6" w:rsidRDefault="00061BC6" w:rsidP="00ED3D30">
      <w:pPr>
        <w:pStyle w:val="3Bodytext"/>
        <w:jc w:val="both"/>
        <w:rPr>
          <w:snapToGrid w:val="0"/>
          <w:lang w:eastAsia="en-US"/>
        </w:rPr>
      </w:pPr>
      <w:r w:rsidRPr="00D81EF6">
        <w:rPr>
          <w:snapToGrid w:val="0"/>
          <w:lang w:eastAsia="en-US"/>
        </w:rPr>
        <w:t>The PBAC considered that the claim of superior comparative effectiveness was not adequately supported by the data.</w:t>
      </w:r>
    </w:p>
    <w:p w14:paraId="5E743BB8" w14:textId="31CD0EC1" w:rsidR="00061BC6" w:rsidRPr="00D81EF6" w:rsidRDefault="00061BC6" w:rsidP="00ED3D30">
      <w:pPr>
        <w:pStyle w:val="3Bodytext"/>
        <w:jc w:val="both"/>
        <w:rPr>
          <w:snapToGrid w:val="0"/>
          <w:lang w:eastAsia="en-US"/>
        </w:rPr>
      </w:pPr>
      <w:r w:rsidRPr="00D81EF6">
        <w:rPr>
          <w:snapToGrid w:val="0"/>
          <w:lang w:eastAsia="en-US"/>
        </w:rPr>
        <w:t>The PBAC considered that the claim of superior comparative safety was not adequately supported by the data.</w:t>
      </w:r>
    </w:p>
    <w:p w14:paraId="1CCA538E" w14:textId="13726787" w:rsidR="003A4980" w:rsidRPr="00D81EF6" w:rsidRDefault="003A4980" w:rsidP="003A4980">
      <w:pPr>
        <w:pStyle w:val="Heading2"/>
        <w:keepLines/>
        <w:spacing w:before="240" w:after="120"/>
        <w:rPr>
          <w:rFonts w:asciiTheme="minorHAnsi" w:eastAsiaTheme="majorEastAsia" w:hAnsiTheme="minorHAnsi" w:cstheme="majorBidi"/>
          <w:sz w:val="28"/>
          <w:szCs w:val="28"/>
          <w:lang w:eastAsia="en-US"/>
        </w:rPr>
      </w:pPr>
      <w:r w:rsidRPr="00D81EF6">
        <w:rPr>
          <w:rFonts w:asciiTheme="minorHAnsi" w:eastAsiaTheme="majorEastAsia" w:hAnsiTheme="minorHAnsi" w:cstheme="majorBidi"/>
          <w:sz w:val="28"/>
          <w:szCs w:val="28"/>
          <w:lang w:eastAsia="en-US"/>
        </w:rPr>
        <w:t>Economic analysis</w:t>
      </w:r>
    </w:p>
    <w:p w14:paraId="36EDFAF9" w14:textId="3CDF5E03" w:rsidR="003E6405" w:rsidRPr="00D81EF6" w:rsidRDefault="00785464" w:rsidP="00ED3D30">
      <w:pPr>
        <w:pStyle w:val="3Bodytext"/>
        <w:jc w:val="both"/>
      </w:pPr>
      <w:r w:rsidRPr="00D81EF6">
        <w:t>The resubmission did not present an economic analysis.</w:t>
      </w:r>
      <w:r w:rsidR="00996091" w:rsidRPr="00D81EF6">
        <w:t xml:space="preserve"> </w:t>
      </w:r>
    </w:p>
    <w:p w14:paraId="60266524" w14:textId="3DCD448A" w:rsidR="00F77CC0" w:rsidRPr="00D81EF6" w:rsidRDefault="000B782D" w:rsidP="00ED3D30">
      <w:pPr>
        <w:pStyle w:val="3Bodytext"/>
        <w:jc w:val="both"/>
      </w:pPr>
      <w:r w:rsidRPr="00D81EF6">
        <w:t>The</w:t>
      </w:r>
      <w:r w:rsidR="00F77CC0" w:rsidRPr="00D81EF6">
        <w:t xml:space="preserve"> PBAC </w:t>
      </w:r>
      <w:r w:rsidRPr="00D81EF6">
        <w:t xml:space="preserve">previously </w:t>
      </w:r>
      <w:r w:rsidR="00F77CC0" w:rsidRPr="00D81EF6">
        <w:t xml:space="preserve">considered that the omission of </w:t>
      </w:r>
      <w:r w:rsidR="00243FD0" w:rsidRPr="00D81EF6">
        <w:t>an economic analysi</w:t>
      </w:r>
      <w:r w:rsidR="00F77CC0" w:rsidRPr="00D81EF6">
        <w:t>s was inappropriate (</w:t>
      </w:r>
      <w:r w:rsidR="00F859D6" w:rsidRPr="00D81EF6">
        <w:t xml:space="preserve">section 12, </w:t>
      </w:r>
      <w:r w:rsidR="009D5D3E" w:rsidRPr="00D81EF6">
        <w:t xml:space="preserve">modafinil </w:t>
      </w:r>
      <w:r w:rsidR="005F0FF2" w:rsidRPr="00D81EF6">
        <w:t>Public Summary Document (</w:t>
      </w:r>
      <w:r w:rsidR="009D5D3E" w:rsidRPr="00D81EF6">
        <w:t>PSD</w:t>
      </w:r>
      <w:r w:rsidR="005F0FF2" w:rsidRPr="00D81EF6">
        <w:t>)</w:t>
      </w:r>
      <w:r w:rsidR="009D5D3E" w:rsidRPr="00D81EF6">
        <w:t xml:space="preserve">, </w:t>
      </w:r>
      <w:r w:rsidR="00F859D6" w:rsidRPr="00D81EF6">
        <w:t>November 2008 PBAC Meeting</w:t>
      </w:r>
      <w:r w:rsidR="00F77CC0" w:rsidRPr="00D81EF6">
        <w:t>)</w:t>
      </w:r>
      <w:r w:rsidR="00F859D6" w:rsidRPr="00D81EF6">
        <w:t>.</w:t>
      </w:r>
    </w:p>
    <w:p w14:paraId="2122961B" w14:textId="6D5041DC" w:rsidR="00F77CC0" w:rsidRPr="00D81EF6" w:rsidRDefault="00F939C3" w:rsidP="00EB78AC">
      <w:pPr>
        <w:pStyle w:val="4-SubsectionHeading"/>
        <w:rPr>
          <w:lang w:eastAsia="en-US"/>
        </w:rPr>
      </w:pPr>
      <w:r w:rsidRPr="00D81EF6">
        <w:rPr>
          <w:lang w:eastAsia="en-US"/>
        </w:rPr>
        <w:t>Drug cost/patient/year</w:t>
      </w:r>
    </w:p>
    <w:p w14:paraId="128819AB" w14:textId="50E82E28" w:rsidR="00F939C3" w:rsidRPr="00D81EF6" w:rsidRDefault="00F77CC0" w:rsidP="00EB78AC">
      <w:pPr>
        <w:pStyle w:val="5-SubsectionSubheading"/>
        <w:rPr>
          <w:color w:val="auto"/>
          <w:lang w:eastAsia="en-US"/>
        </w:rPr>
      </w:pPr>
      <w:r w:rsidRPr="00D81EF6">
        <w:rPr>
          <w:color w:val="auto"/>
          <w:lang w:eastAsia="en-US"/>
        </w:rPr>
        <w:t>Modafinil</w:t>
      </w:r>
      <w:r w:rsidR="00F939C3" w:rsidRPr="00D81EF6">
        <w:rPr>
          <w:color w:val="auto"/>
          <w:lang w:eastAsia="en-US"/>
        </w:rPr>
        <w:t xml:space="preserve"> $</w:t>
      </w:r>
      <w:r w:rsidR="00A6769F" w:rsidRPr="00D81EF6">
        <w:rPr>
          <w:color w:val="auto"/>
          <w:lang w:eastAsia="en-US"/>
        </w:rPr>
        <w:t>2,425</w:t>
      </w:r>
      <w:r w:rsidR="00F939C3" w:rsidRPr="00D81EF6">
        <w:rPr>
          <w:color w:val="auto"/>
          <w:lang w:eastAsia="en-US"/>
        </w:rPr>
        <w:t xml:space="preserve"> </w:t>
      </w:r>
    </w:p>
    <w:p w14:paraId="31AA3604" w14:textId="44678194" w:rsidR="00280323" w:rsidRPr="00D81EF6" w:rsidRDefault="00A8106C" w:rsidP="00ED3D30">
      <w:pPr>
        <w:pStyle w:val="3Bodytext"/>
        <w:jc w:val="both"/>
      </w:pPr>
      <w:r>
        <w:t>T</w:t>
      </w:r>
      <w:r w:rsidR="00F939C3" w:rsidRPr="00D81EF6">
        <w:t xml:space="preserve">he estimated drug cost/patient per year </w:t>
      </w:r>
      <w:r w:rsidR="00B743AD">
        <w:t>was</w:t>
      </w:r>
      <w:r w:rsidR="00F939C3" w:rsidRPr="00D81EF6">
        <w:t xml:space="preserve"> $</w:t>
      </w:r>
      <w:r w:rsidR="00A6769F" w:rsidRPr="00D81EF6">
        <w:t>2,425</w:t>
      </w:r>
      <w:r w:rsidR="00F939C3" w:rsidRPr="00D81EF6">
        <w:t>, based on a</w:t>
      </w:r>
      <w:r w:rsidR="00BE4412" w:rsidRPr="00D81EF6">
        <w:t xml:space="preserve"> daily dose of 400 mg (i.e. 12 prescriptions per year at a</w:t>
      </w:r>
      <w:r w:rsidR="00F939C3" w:rsidRPr="00D81EF6">
        <w:t xml:space="preserve"> </w:t>
      </w:r>
      <w:r w:rsidR="00A6769F" w:rsidRPr="00D81EF6">
        <w:t>DPMQ</w:t>
      </w:r>
      <w:r w:rsidR="00BD0B96" w:rsidRPr="00D81EF6">
        <w:t xml:space="preserve"> of</w:t>
      </w:r>
      <w:r w:rsidR="00A6769F" w:rsidRPr="00D81EF6">
        <w:t xml:space="preserve"> $202.11</w:t>
      </w:r>
      <w:r w:rsidR="000B782D" w:rsidRPr="00D81EF6">
        <w:t>)</w:t>
      </w:r>
      <w:r w:rsidR="00F939C3" w:rsidRPr="00D81EF6">
        <w:t xml:space="preserve">. </w:t>
      </w:r>
    </w:p>
    <w:p w14:paraId="5A4E0AC0" w14:textId="48002BA8" w:rsidR="00F77CC0" w:rsidRPr="00D81EF6" w:rsidRDefault="00F77CC0" w:rsidP="00EB78AC">
      <w:pPr>
        <w:pStyle w:val="5-SubsectionSubheading"/>
        <w:rPr>
          <w:color w:val="auto"/>
        </w:rPr>
      </w:pPr>
      <w:r w:rsidRPr="00D81EF6">
        <w:rPr>
          <w:color w:val="auto"/>
        </w:rPr>
        <w:t>Armodafinil</w:t>
      </w:r>
      <w:r w:rsidR="00341CFB" w:rsidRPr="00D81EF6">
        <w:rPr>
          <w:color w:val="auto"/>
        </w:rPr>
        <w:t xml:space="preserve"> $3,007</w:t>
      </w:r>
    </w:p>
    <w:p w14:paraId="692E5E8A" w14:textId="4BDD3597" w:rsidR="00A6769F" w:rsidRPr="00D81EF6" w:rsidRDefault="00A8106C" w:rsidP="00ED3D30">
      <w:pPr>
        <w:pStyle w:val="3Bodytext"/>
        <w:jc w:val="both"/>
      </w:pPr>
      <w:r>
        <w:t>T</w:t>
      </w:r>
      <w:r w:rsidR="00341CFB" w:rsidRPr="00D81EF6">
        <w:t xml:space="preserve">he estimated drug cost/patient per year </w:t>
      </w:r>
      <w:r w:rsidR="00B743AD">
        <w:t>was</w:t>
      </w:r>
      <w:r w:rsidR="00341CFB" w:rsidRPr="00D81EF6">
        <w:t xml:space="preserve"> $3,007, based on a </w:t>
      </w:r>
      <w:r w:rsidR="00BE4412" w:rsidRPr="00D81EF6">
        <w:t>daily dose of 250</w:t>
      </w:r>
      <w:r w:rsidR="00605A37" w:rsidRPr="00D81EF6">
        <w:t> </w:t>
      </w:r>
      <w:r w:rsidR="00BE4412" w:rsidRPr="00D81EF6">
        <w:t xml:space="preserve">mg (i.e. 12 prescriptions per year at a </w:t>
      </w:r>
      <w:r w:rsidR="00341CFB" w:rsidRPr="00D81EF6">
        <w:t>DPMQ $250.56</w:t>
      </w:r>
      <w:r w:rsidR="00BE4412" w:rsidRPr="00D81EF6">
        <w:t>).</w:t>
      </w:r>
    </w:p>
    <w:p w14:paraId="40BDD426" w14:textId="77777777" w:rsidR="00F939C3" w:rsidRPr="00D81EF6" w:rsidRDefault="00F939C3" w:rsidP="00EB78AC">
      <w:pPr>
        <w:pStyle w:val="4-SubsectionHeading"/>
        <w:rPr>
          <w:lang w:eastAsia="en-US"/>
        </w:rPr>
      </w:pPr>
      <w:r w:rsidRPr="00D81EF6">
        <w:rPr>
          <w:lang w:eastAsia="en-US"/>
        </w:rPr>
        <w:t>Estimated PBS usage &amp; financial implications</w:t>
      </w:r>
    </w:p>
    <w:p w14:paraId="50315B04" w14:textId="1633CFEC" w:rsidR="003A4980" w:rsidRPr="00D81EF6" w:rsidRDefault="00F939C3" w:rsidP="00ED3D30">
      <w:pPr>
        <w:pStyle w:val="3Bodytext"/>
        <w:jc w:val="both"/>
      </w:pPr>
      <w:r w:rsidRPr="00D81EF6">
        <w:t>No financial estimates were provided in the submission.</w:t>
      </w:r>
    </w:p>
    <w:p w14:paraId="192FC93E" w14:textId="6C28DB31" w:rsidR="00F77CC0" w:rsidRPr="00D81EF6" w:rsidRDefault="00F77CC0" w:rsidP="00ED3D30">
      <w:pPr>
        <w:pStyle w:val="3Bodytext"/>
        <w:jc w:val="both"/>
      </w:pPr>
      <w:r w:rsidRPr="00D81EF6">
        <w:t>The</w:t>
      </w:r>
      <w:r w:rsidR="00F939C3" w:rsidRPr="00D81EF6">
        <w:t xml:space="preserve"> June 2019 Drug Utilisation Sub-Committee (DUSC) analysis showed</w:t>
      </w:r>
      <w:r w:rsidRPr="00D81EF6">
        <w:t>:</w:t>
      </w:r>
    </w:p>
    <w:p w14:paraId="46C0917F" w14:textId="086C7E8B" w:rsidR="00F77CC0" w:rsidRPr="00D81EF6" w:rsidRDefault="00F939C3" w:rsidP="00E47945">
      <w:pPr>
        <w:pStyle w:val="3-BodyText"/>
        <w:numPr>
          <w:ilvl w:val="0"/>
          <w:numId w:val="8"/>
        </w:numPr>
        <w:ind w:left="1077" w:hanging="357"/>
        <w:contextualSpacing/>
      </w:pPr>
      <w:r w:rsidRPr="00D81EF6">
        <w:t xml:space="preserve">the number of patients on therapy for narcolepsy had increased </w:t>
      </w:r>
      <w:r w:rsidR="00F77CC0" w:rsidRPr="00D81EF6">
        <w:t>following the PBS listing of armodafinil;</w:t>
      </w:r>
    </w:p>
    <w:p w14:paraId="6B058B40" w14:textId="538EDBEE" w:rsidR="00F77CC0" w:rsidRPr="00D81EF6" w:rsidRDefault="007A36D1" w:rsidP="00334C91">
      <w:pPr>
        <w:pStyle w:val="3-BodyText"/>
        <w:numPr>
          <w:ilvl w:val="0"/>
          <w:numId w:val="8"/>
        </w:numPr>
        <w:ind w:left="1077" w:hanging="357"/>
        <w:contextualSpacing/>
      </w:pPr>
      <w:r w:rsidRPr="00D81EF6">
        <w:t>d</w:t>
      </w:r>
      <w:r w:rsidR="00F939C3" w:rsidRPr="00D81EF6">
        <w:t>examfetamine was the most used drug</w:t>
      </w:r>
      <w:r w:rsidR="00605A37" w:rsidRPr="00D81EF6">
        <w:t xml:space="preserve"> for narcolepsy</w:t>
      </w:r>
      <w:r w:rsidR="00F939C3" w:rsidRPr="00D81EF6">
        <w:t xml:space="preserve"> by prescription volume and number of prevalent pa</w:t>
      </w:r>
      <w:r w:rsidR="00F77CC0" w:rsidRPr="00D81EF6">
        <w:t>tients from 2015-2018, inclusive;</w:t>
      </w:r>
    </w:p>
    <w:p w14:paraId="5CBC4927" w14:textId="280F384D" w:rsidR="00F939C3" w:rsidRPr="00D81EF6" w:rsidRDefault="005F0FF2" w:rsidP="00ED3D30">
      <w:pPr>
        <w:pStyle w:val="3-BodyText"/>
        <w:numPr>
          <w:ilvl w:val="0"/>
          <w:numId w:val="8"/>
        </w:numPr>
        <w:ind w:left="1077" w:hanging="357"/>
        <w:contextualSpacing/>
      </w:pPr>
      <w:r w:rsidRPr="00D81EF6">
        <w:t>t</w:t>
      </w:r>
      <w:r w:rsidR="00F939C3" w:rsidRPr="00D81EF6">
        <w:t>here was a steep increase in the number of patients starting dexamfetamine for narcolepsy from 178 patients in the second quarter of 2018 to 465 patients</w:t>
      </w:r>
      <w:r w:rsidR="00F77CC0" w:rsidRPr="00D81EF6">
        <w:t xml:space="preserve"> in the fourth quarter of 2018</w:t>
      </w:r>
      <w:r w:rsidR="00243FD0" w:rsidRPr="00D81EF6">
        <w:t>,</w:t>
      </w:r>
      <w:r w:rsidR="00F77CC0" w:rsidRPr="00D81EF6">
        <w:t xml:space="preserve"> which</w:t>
      </w:r>
      <w:r w:rsidR="00F939C3" w:rsidRPr="00D81EF6">
        <w:t xml:space="preserve"> coincided with a 35.9% increase in patients new to narco</w:t>
      </w:r>
      <w:r w:rsidR="00243FD0" w:rsidRPr="00D81EF6">
        <w:t>lepsy therapy from 2017 to 2018</w:t>
      </w:r>
      <w:r w:rsidR="00F939C3" w:rsidRPr="00D81EF6">
        <w:t>.</w:t>
      </w:r>
    </w:p>
    <w:p w14:paraId="265936BC" w14:textId="6095E394" w:rsidR="00AC0AC0" w:rsidRPr="00D81EF6" w:rsidRDefault="00AC0AC0" w:rsidP="00E149F1">
      <w:pPr>
        <w:pStyle w:val="Bodytextitalics"/>
        <w:ind w:firstLine="720"/>
      </w:pPr>
      <w:r w:rsidRPr="00D81EF6">
        <w:t>For more detail on PBAC’s view, see section 6 PBAC outcome</w:t>
      </w:r>
    </w:p>
    <w:p w14:paraId="0DE93BA5" w14:textId="55BE6F70" w:rsidR="008100F5" w:rsidRPr="00D81EF6" w:rsidRDefault="008100F5" w:rsidP="008100F5">
      <w:pPr>
        <w:pStyle w:val="2-SectionHeading"/>
        <w:ind w:left="720"/>
      </w:pPr>
      <w:r w:rsidRPr="00D81EF6">
        <w:t>PBAC Outcome</w:t>
      </w:r>
    </w:p>
    <w:p w14:paraId="476B4AF3" w14:textId="04CBE55C" w:rsidR="00A5634E" w:rsidRPr="00D81EF6" w:rsidRDefault="00A5634E" w:rsidP="00ED3D30">
      <w:pPr>
        <w:pStyle w:val="3Bodytext"/>
        <w:numPr>
          <w:ilvl w:val="1"/>
          <w:numId w:val="10"/>
        </w:numPr>
        <w:jc w:val="both"/>
      </w:pPr>
      <w:r w:rsidRPr="00D81EF6">
        <w:t>The PBAC deferred making a recommendation to change the listing of modafinil and armodafinil on the PBS to allow use as first line therapy for the treatment of narcolepsy</w:t>
      </w:r>
      <w:r w:rsidR="007A36D1" w:rsidRPr="00D81EF6">
        <w:t xml:space="preserve"> to request the Department </w:t>
      </w:r>
      <w:r w:rsidR="0071782D">
        <w:t>undertake further analysis of what data are available to assess comparative cost-effectiveness</w:t>
      </w:r>
      <w:r w:rsidR="002263CC">
        <w:t xml:space="preserve"> and</w:t>
      </w:r>
      <w:r w:rsidR="0071782D">
        <w:t xml:space="preserve"> </w:t>
      </w:r>
      <w:r w:rsidR="007A36D1" w:rsidRPr="00D81EF6">
        <w:t>determine the financial implications of the proposed change</w:t>
      </w:r>
      <w:r w:rsidRPr="00D81EF6">
        <w:t>.</w:t>
      </w:r>
    </w:p>
    <w:p w14:paraId="0F9A7BF9" w14:textId="2CC1C9EA" w:rsidR="00462AB2" w:rsidRDefault="00462AB2" w:rsidP="00ED3D30">
      <w:pPr>
        <w:pStyle w:val="3Bodytext"/>
        <w:jc w:val="both"/>
      </w:pPr>
      <w:r w:rsidRPr="00D81EF6">
        <w:t xml:space="preserve">The PBAC recommended </w:t>
      </w:r>
      <w:r w:rsidR="00DE7C40" w:rsidRPr="00D81EF6">
        <w:t xml:space="preserve">minor adjustments to the existing listings to clarify that </w:t>
      </w:r>
      <w:r w:rsidRPr="00D81EF6">
        <w:t>resubmit</w:t>
      </w:r>
      <w:r w:rsidR="00DE7C40" w:rsidRPr="00D81EF6">
        <w:t xml:space="preserve">ting </w:t>
      </w:r>
      <w:r w:rsidRPr="00D81EF6">
        <w:t xml:space="preserve">sleep study reports </w:t>
      </w:r>
      <w:r w:rsidR="00DE7C40" w:rsidRPr="00D81EF6">
        <w:t xml:space="preserve">during </w:t>
      </w:r>
      <w:r w:rsidRPr="00D81EF6">
        <w:t xml:space="preserve">a switch from modafinil to armodafinil (or vice versa) </w:t>
      </w:r>
      <w:r w:rsidR="00DE7C40" w:rsidRPr="00D81EF6">
        <w:t>need not occur</w:t>
      </w:r>
      <w:r w:rsidRPr="00D81EF6">
        <w:t>.</w:t>
      </w:r>
    </w:p>
    <w:p w14:paraId="656C2BE5" w14:textId="22E99331" w:rsidR="00334C91" w:rsidRPr="00D81EF6" w:rsidRDefault="00981055" w:rsidP="00ED3D30">
      <w:pPr>
        <w:pStyle w:val="3Bodytext"/>
        <w:jc w:val="both"/>
      </w:pPr>
      <w:r>
        <w:t xml:space="preserve">The PBAC </w:t>
      </w:r>
      <w:r w:rsidR="009A0C70">
        <w:t>considered</w:t>
      </w:r>
      <w:r>
        <w:t xml:space="preserve"> that it was </w:t>
      </w:r>
      <w:r w:rsidR="003645B4">
        <w:t>un</w:t>
      </w:r>
      <w:r>
        <w:t>necessary</w:t>
      </w:r>
      <w:r w:rsidR="009A0C70">
        <w:t xml:space="preserve"> to provide</w:t>
      </w:r>
      <w:r w:rsidR="003645B4">
        <w:t xml:space="preserve"> </w:t>
      </w:r>
      <w:r w:rsidR="009A0C70">
        <w:t>MSLT </w:t>
      </w:r>
      <w:r w:rsidR="001B51B8">
        <w:t>+</w:t>
      </w:r>
      <w:r w:rsidR="009A0C70">
        <w:t> </w:t>
      </w:r>
      <w:r w:rsidR="001B51B8">
        <w:t>polysomnography result</w:t>
      </w:r>
      <w:r w:rsidR="009A0C70">
        <w:t>s</w:t>
      </w:r>
      <w:r w:rsidR="003645B4">
        <w:t xml:space="preserve"> or </w:t>
      </w:r>
      <w:r w:rsidR="009A0C70">
        <w:t>EEG</w:t>
      </w:r>
      <w:r w:rsidR="003645B4">
        <w:t xml:space="preserve"> recording to Services</w:t>
      </w:r>
      <w:r w:rsidR="009A0C70">
        <w:t xml:space="preserve"> Australia</w:t>
      </w:r>
      <w:r w:rsidR="003645B4">
        <w:t xml:space="preserve"> </w:t>
      </w:r>
      <w:r>
        <w:t>for patients with</w:t>
      </w:r>
      <w:r w:rsidR="001B51B8">
        <w:t xml:space="preserve"> a definite history of</w:t>
      </w:r>
      <w:r>
        <w:t xml:space="preserve"> cataplexy. </w:t>
      </w:r>
      <w:r w:rsidR="00076CB3">
        <w:t>Given this</w:t>
      </w:r>
      <w:r w:rsidR="009A0C70">
        <w:t>, delayed assessment of a written</w:t>
      </w:r>
      <w:r w:rsidR="001B51B8">
        <w:t xml:space="preserve"> Authority Required application </w:t>
      </w:r>
      <w:r w:rsidR="00076CB3">
        <w:t>in these cases is not required</w:t>
      </w:r>
      <w:r w:rsidR="009A0C70">
        <w:t>. A s</w:t>
      </w:r>
      <w:r w:rsidR="00334C91">
        <w:t>eparate initial listing</w:t>
      </w:r>
      <w:r w:rsidR="009A0C70">
        <w:t xml:space="preserve"> (telephone/online)</w:t>
      </w:r>
      <w:r w:rsidR="00334C91">
        <w:t xml:space="preserve"> for</w:t>
      </w:r>
      <w:r w:rsidR="009A0C70">
        <w:t xml:space="preserve"> patients with a definite history of</w:t>
      </w:r>
      <w:r w:rsidR="00334C91">
        <w:t xml:space="preserve"> cataplexy</w:t>
      </w:r>
      <w:r w:rsidR="009A0C70">
        <w:t xml:space="preserve"> would facilitate this, with</w:t>
      </w:r>
      <w:r w:rsidR="005527CC">
        <w:t xml:space="preserve"> </w:t>
      </w:r>
      <w:r w:rsidR="009A0C70">
        <w:t xml:space="preserve">authority for </w:t>
      </w:r>
      <w:r w:rsidR="005527CC">
        <w:t>patients</w:t>
      </w:r>
      <w:r w:rsidR="009A0C70">
        <w:t xml:space="preserve"> without cataplexy remaining as written</w:t>
      </w:r>
      <w:r w:rsidR="00076CB3">
        <w:t xml:space="preserve"> and retaining requirement for MSLT and EEG</w:t>
      </w:r>
      <w:r w:rsidR="003524BD">
        <w:t xml:space="preserve">. </w:t>
      </w:r>
      <w:r w:rsidR="00AC5779">
        <w:t>The Secretariat advised marking this new listing as a ‘Complex Authority Required (CAR)’ for consistency with the existing listing</w:t>
      </w:r>
      <w:r w:rsidR="003524BD">
        <w:t xml:space="preserve">. </w:t>
      </w:r>
    </w:p>
    <w:p w14:paraId="2E3D65A7" w14:textId="546B886C" w:rsidR="00565DB8" w:rsidRPr="00D81EF6" w:rsidRDefault="005F0FF2" w:rsidP="00ED3D30">
      <w:pPr>
        <w:pStyle w:val="3Bodytext"/>
        <w:jc w:val="both"/>
      </w:pPr>
      <w:r w:rsidRPr="00D81EF6">
        <w:t xml:space="preserve">The PBAC recalled that it was the large difference between the prices of modafinil and dexamfetamine which </w:t>
      </w:r>
      <w:r w:rsidR="008C69FF" w:rsidRPr="00D81EF6">
        <w:t xml:space="preserve">justified </w:t>
      </w:r>
      <w:r w:rsidRPr="00D81EF6">
        <w:t>a second-line indication and a comparison with placebo (section 12, modafinil PSD, November 2008 PBAC meeting)</w:t>
      </w:r>
      <w:r w:rsidR="00462AB2" w:rsidRPr="00D81EF6">
        <w:t>. The PBAC considered that the most appropriate comparator for modafinil and armodafinil in the first line setting was dexamfetamine.</w:t>
      </w:r>
    </w:p>
    <w:p w14:paraId="7A17D4BA" w14:textId="39150E73" w:rsidR="00737213" w:rsidRPr="00D81EF6" w:rsidRDefault="00737213" w:rsidP="00ED3D30">
      <w:pPr>
        <w:pStyle w:val="3Bodytext"/>
        <w:jc w:val="both"/>
      </w:pPr>
      <w:r w:rsidRPr="00D81EF6">
        <w:t xml:space="preserve">The PBAC considered that the ASA had raised an important question around the relative safety of dexamfetamine compared to modafinil/armodafinil but that the evidence presented </w:t>
      </w:r>
      <w:r w:rsidR="00C96581" w:rsidRPr="00D81EF6">
        <w:t>was</w:t>
      </w:r>
      <w:r w:rsidRPr="00D81EF6">
        <w:t xml:space="preserve"> insufficient.</w:t>
      </w:r>
      <w:r w:rsidR="005F0FF2" w:rsidRPr="00D81EF6">
        <w:t xml:space="preserve"> </w:t>
      </w:r>
    </w:p>
    <w:p w14:paraId="6E2D0E47" w14:textId="64749FBF" w:rsidR="00845AA0" w:rsidRPr="00D81EF6" w:rsidRDefault="007A36D1" w:rsidP="00ED3D30">
      <w:pPr>
        <w:pStyle w:val="3Bodytext"/>
        <w:jc w:val="both"/>
      </w:pPr>
      <w:r w:rsidRPr="00D81EF6">
        <w:t>The PBAC noted that, under section 101(3B) of the Act, a significant improvement in efficacy or reduction of toxicity over the alternative therapy or therapies is required to list modafinil and armodafinil at a higher price than dexamfetamine</w:t>
      </w:r>
      <w:r w:rsidR="00C96581" w:rsidRPr="00D81EF6">
        <w:t xml:space="preserve"> at the same place in therapy</w:t>
      </w:r>
      <w:r w:rsidRPr="00D81EF6">
        <w:t>. The PBAC noted no clinical evidence directly comparing modafinil and armodafinil to dexamfetamine was provided to support the clinical claim of superior comparative effectiveness and safety and therefore concluded there was insufficient evidence to support a higher price.</w:t>
      </w:r>
    </w:p>
    <w:p w14:paraId="6240F863" w14:textId="429DF776" w:rsidR="004738B6" w:rsidRPr="00D81EF6" w:rsidRDefault="007A36D1" w:rsidP="00ED3D30">
      <w:pPr>
        <w:pStyle w:val="3Bodytext"/>
        <w:jc w:val="both"/>
      </w:pPr>
      <w:r w:rsidRPr="00D81EF6">
        <w:t>The Committee considered that due to the significant cost difference between modafinil</w:t>
      </w:r>
      <w:r w:rsidR="00462AB2" w:rsidRPr="00D81EF6">
        <w:t>/</w:t>
      </w:r>
      <w:r w:rsidRPr="00D81EF6">
        <w:t>armodafinil and dexamfetamine ($2,425/$3,007 vs. $279 per patient/year respectively), permitting use of modafinil</w:t>
      </w:r>
      <w:r w:rsidR="00462AB2" w:rsidRPr="00D81EF6">
        <w:t>/</w:t>
      </w:r>
      <w:r w:rsidRPr="00D81EF6">
        <w:t>armodafinil in the first line setting would have significant financial implications</w:t>
      </w:r>
      <w:r w:rsidR="001D6815">
        <w:t xml:space="preserve">. </w:t>
      </w:r>
    </w:p>
    <w:p w14:paraId="2ED1D8DA" w14:textId="7F3E0581" w:rsidR="00C85B7C" w:rsidRPr="00D81EF6" w:rsidRDefault="00737213" w:rsidP="00ED3D30">
      <w:pPr>
        <w:pStyle w:val="3Bodytext"/>
        <w:jc w:val="both"/>
      </w:pPr>
      <w:r w:rsidRPr="00D81EF6">
        <w:t xml:space="preserve">The PBAC requested the Department seek further information </w:t>
      </w:r>
      <w:r w:rsidR="00C85B7C" w:rsidRPr="00D81EF6">
        <w:t>on the financial implication</w:t>
      </w:r>
      <w:r w:rsidRPr="00D81EF6">
        <w:t>s of a first line listing</w:t>
      </w:r>
      <w:r w:rsidR="00C85B7C" w:rsidRPr="00D81EF6">
        <w:t xml:space="preserve"> </w:t>
      </w:r>
      <w:r w:rsidRPr="00D81EF6">
        <w:t>of</w:t>
      </w:r>
      <w:r w:rsidR="00C85B7C" w:rsidRPr="00D81EF6">
        <w:t xml:space="preserve"> modafinil</w:t>
      </w:r>
      <w:r w:rsidRPr="00D81EF6">
        <w:t>/</w:t>
      </w:r>
      <w:r w:rsidR="00C85B7C" w:rsidRPr="00D81EF6">
        <w:t xml:space="preserve">armodafinil for the treatment of narcolepsy. </w:t>
      </w:r>
    </w:p>
    <w:p w14:paraId="2305203B" w14:textId="496A2087" w:rsidR="009F0CD6" w:rsidRPr="00D81EF6" w:rsidRDefault="009F0CD6" w:rsidP="00ED3D30">
      <w:pPr>
        <w:pStyle w:val="3Bodytext"/>
        <w:jc w:val="both"/>
      </w:pPr>
      <w:r w:rsidRPr="00D81EF6">
        <w:t xml:space="preserve">The PBAC noted in the DUSC report that a substantial number of patients </w:t>
      </w:r>
      <w:r w:rsidR="00ED0229" w:rsidRPr="00D81EF6">
        <w:t>initiated</w:t>
      </w:r>
      <w:r w:rsidRPr="00D81EF6">
        <w:t xml:space="preserve"> treatment for narcolepsy with modafinil or armodafinil. The PBAC was </w:t>
      </w:r>
      <w:r w:rsidR="007A36D1" w:rsidRPr="00D81EF6">
        <w:t>uncertain</w:t>
      </w:r>
      <w:r w:rsidRPr="00D81EF6">
        <w:t xml:space="preserve"> whether the difference in the treatment algorithm between the PBS restriction (dexamfetamine</w:t>
      </w:r>
      <w:r w:rsidR="00AC1ABA" w:rsidRPr="00D81EF6">
        <w:t xml:space="preserve"> as </w:t>
      </w:r>
      <w:r w:rsidRPr="00D81EF6">
        <w:t>first line) and clinical guidelines (modafinil</w:t>
      </w:r>
      <w:r w:rsidR="00462AB2" w:rsidRPr="00D81EF6">
        <w:t>/</w:t>
      </w:r>
      <w:r w:rsidRPr="00D81EF6">
        <w:t>armodafinil as first line) may be contributing to this.</w:t>
      </w:r>
    </w:p>
    <w:p w14:paraId="0C04FE36" w14:textId="1CA61E53" w:rsidR="006141C4" w:rsidRPr="00D81EF6" w:rsidRDefault="000A788A" w:rsidP="00ED3D30">
      <w:pPr>
        <w:pStyle w:val="3Bodytext"/>
        <w:jc w:val="both"/>
      </w:pPr>
      <w:r w:rsidRPr="00D81EF6">
        <w:t>The PBAC considered in practice both polysomnography and MSLT testing would be undertaken to confirm diagnosis of narcolepsy patients with history of cataplexy. However, t</w:t>
      </w:r>
      <w:r w:rsidR="009F0CD6" w:rsidRPr="00D81EF6">
        <w:t xml:space="preserve">he PBAC </w:t>
      </w:r>
      <w:r w:rsidRPr="00D81EF6">
        <w:t>advised the clinical criteria of the PBS restriction for modafinil/armodafinil does not require</w:t>
      </w:r>
      <w:r w:rsidR="009F0CD6" w:rsidRPr="00D81EF6">
        <w:t xml:space="preserve"> polysomnography, MSLT or EEG tests for </w:t>
      </w:r>
      <w:r w:rsidRPr="00D81EF6">
        <w:t>these patients</w:t>
      </w:r>
      <w:r w:rsidR="00462AB2" w:rsidRPr="00D81EF6">
        <w:t xml:space="preserve"> and recommended amending the restriction criteria to reflect this</w:t>
      </w:r>
      <w:r w:rsidRPr="00D81EF6">
        <w:t xml:space="preserve">. </w:t>
      </w:r>
    </w:p>
    <w:p w14:paraId="49327FF2" w14:textId="77777777" w:rsidR="00044A05" w:rsidRPr="00D81EF6" w:rsidRDefault="00044A05" w:rsidP="00044A05">
      <w:pPr>
        <w:spacing w:before="240"/>
        <w:rPr>
          <w:rFonts w:asciiTheme="minorHAnsi" w:hAnsiTheme="minorHAnsi" w:cs="Arial"/>
          <w:b/>
          <w:bCs/>
          <w:snapToGrid w:val="0"/>
        </w:rPr>
      </w:pPr>
      <w:r w:rsidRPr="00D81EF6">
        <w:rPr>
          <w:rFonts w:asciiTheme="minorHAnsi" w:hAnsiTheme="minorHAnsi" w:cs="Arial"/>
          <w:b/>
          <w:bCs/>
          <w:snapToGrid w:val="0"/>
        </w:rPr>
        <w:t>Outcome:</w:t>
      </w:r>
    </w:p>
    <w:p w14:paraId="5AA217C9" w14:textId="582B1D10" w:rsidR="008D4F08" w:rsidRPr="00D81EF6" w:rsidRDefault="006141C4" w:rsidP="00044A05">
      <w:pPr>
        <w:rPr>
          <w:rFonts w:asciiTheme="minorHAnsi" w:hAnsiTheme="minorHAnsi" w:cs="Arial"/>
          <w:bCs/>
          <w:snapToGrid w:val="0"/>
        </w:rPr>
      </w:pPr>
      <w:r w:rsidRPr="00D81EF6">
        <w:rPr>
          <w:rFonts w:asciiTheme="minorHAnsi" w:hAnsiTheme="minorHAnsi" w:cs="Arial"/>
          <w:bCs/>
          <w:snapToGrid w:val="0"/>
        </w:rPr>
        <w:t xml:space="preserve">Deferred </w:t>
      </w:r>
    </w:p>
    <w:p w14:paraId="476E59F2" w14:textId="77777777" w:rsidR="00044A05" w:rsidRPr="00D81EF6" w:rsidRDefault="00044A05" w:rsidP="009F0CD6">
      <w:pPr>
        <w:pStyle w:val="2-SectionHeading"/>
        <w:ind w:left="720"/>
        <w:rPr>
          <w:lang w:eastAsia="en-US"/>
        </w:rPr>
      </w:pPr>
      <w:r w:rsidRPr="00D81EF6">
        <w:rPr>
          <w:lang w:eastAsia="en-US"/>
        </w:rPr>
        <w:t>Recommended listing</w:t>
      </w:r>
    </w:p>
    <w:p w14:paraId="2FA2A962" w14:textId="7432D8D2" w:rsidR="007267ED" w:rsidRPr="00D81EF6" w:rsidRDefault="007267ED" w:rsidP="007267ED">
      <w:pPr>
        <w:widowControl w:val="0"/>
        <w:numPr>
          <w:ilvl w:val="1"/>
          <w:numId w:val="4"/>
        </w:numPr>
        <w:spacing w:after="120"/>
        <w:jc w:val="left"/>
        <w:rPr>
          <w:rFonts w:asciiTheme="minorHAnsi" w:hAnsiTheme="minorHAnsi" w:cs="Arial"/>
          <w:bCs/>
          <w:snapToGrid w:val="0"/>
          <w:lang w:eastAsia="en-US"/>
        </w:rPr>
      </w:pPr>
      <w:r w:rsidRPr="00D81EF6">
        <w:rPr>
          <w:rFonts w:asciiTheme="minorHAnsi" w:hAnsiTheme="minorHAnsi" w:cs="Arial"/>
          <w:bCs/>
          <w:snapToGrid w:val="0"/>
          <w:lang w:eastAsia="en-US"/>
        </w:rPr>
        <w:t xml:space="preserve">Amend the existing </w:t>
      </w:r>
      <w:r w:rsidR="009B03F3">
        <w:rPr>
          <w:rFonts w:asciiTheme="minorHAnsi" w:hAnsiTheme="minorHAnsi" w:cs="Arial"/>
          <w:bCs/>
          <w:snapToGrid w:val="0"/>
          <w:lang w:eastAsia="en-US"/>
        </w:rPr>
        <w:t xml:space="preserve">Initial treatment </w:t>
      </w:r>
      <w:r w:rsidRPr="00D81EF6">
        <w:rPr>
          <w:rFonts w:asciiTheme="minorHAnsi" w:hAnsiTheme="minorHAnsi" w:cs="Arial"/>
          <w:bCs/>
          <w:snapToGrid w:val="0"/>
          <w:lang w:eastAsia="en-US"/>
        </w:rPr>
        <w:t xml:space="preserve">listings for </w:t>
      </w:r>
      <w:r w:rsidR="008D4F08" w:rsidRPr="00D81EF6">
        <w:rPr>
          <w:rFonts w:asciiTheme="minorHAnsi" w:hAnsiTheme="minorHAnsi" w:cs="Arial"/>
          <w:bCs/>
          <w:snapToGrid w:val="0"/>
          <w:lang w:eastAsia="en-US"/>
        </w:rPr>
        <w:t xml:space="preserve">modafinil (8816B) and armodafinil </w:t>
      </w:r>
      <w:r w:rsidRPr="00D81EF6">
        <w:rPr>
          <w:rFonts w:asciiTheme="minorHAnsi" w:hAnsiTheme="minorHAnsi" w:cs="Arial"/>
          <w:bCs/>
          <w:snapToGrid w:val="0"/>
          <w:lang w:eastAsia="en-US"/>
        </w:rPr>
        <w:t>(</w:t>
      </w:r>
      <w:r w:rsidR="008D4F08" w:rsidRPr="00D81EF6">
        <w:rPr>
          <w:rFonts w:asciiTheme="minorHAnsi" w:hAnsiTheme="minorHAnsi" w:cs="Arial"/>
          <w:bCs/>
          <w:snapToGrid w:val="0"/>
          <w:lang w:eastAsia="en-US"/>
        </w:rPr>
        <w:t xml:space="preserve">10912H, </w:t>
      </w:r>
      <w:r w:rsidRPr="00D81EF6">
        <w:rPr>
          <w:rFonts w:asciiTheme="minorHAnsi" w:hAnsiTheme="minorHAnsi" w:cs="Arial"/>
          <w:bCs/>
          <w:snapToGrid w:val="0"/>
          <w:lang w:eastAsia="en-US"/>
        </w:rPr>
        <w:t>10</w:t>
      </w:r>
      <w:r w:rsidR="00525F2C" w:rsidRPr="00D81EF6">
        <w:rPr>
          <w:rFonts w:asciiTheme="minorHAnsi" w:hAnsiTheme="minorHAnsi" w:cs="Arial"/>
          <w:bCs/>
          <w:snapToGrid w:val="0"/>
          <w:lang w:eastAsia="en-US"/>
        </w:rPr>
        <w:t xml:space="preserve">919Q </w:t>
      </w:r>
      <w:r w:rsidR="008D4F08" w:rsidRPr="00D81EF6">
        <w:rPr>
          <w:rFonts w:asciiTheme="minorHAnsi" w:hAnsiTheme="minorHAnsi" w:cs="Arial"/>
          <w:bCs/>
          <w:snapToGrid w:val="0"/>
          <w:lang w:eastAsia="en-US"/>
        </w:rPr>
        <w:t>and 10922W</w:t>
      </w:r>
      <w:r w:rsidRPr="00D81EF6">
        <w:rPr>
          <w:rFonts w:asciiTheme="minorHAnsi" w:hAnsiTheme="minorHAnsi" w:cs="Arial"/>
          <w:bCs/>
          <w:snapToGrid w:val="0"/>
          <w:lang w:eastAsia="en-US"/>
        </w:rPr>
        <w:t>) as follows:</w:t>
      </w:r>
    </w:p>
    <w:p w14:paraId="6F7D6B42" w14:textId="460A419E" w:rsidR="00044A05" w:rsidRPr="00D81EF6" w:rsidRDefault="00044A05" w:rsidP="008D4F08">
      <w:pPr>
        <w:widowControl w:val="0"/>
        <w:spacing w:after="120"/>
        <w:ind w:left="720"/>
        <w:jc w:val="left"/>
        <w:rPr>
          <w:rFonts w:ascii="Times New Roman" w:hAnsi="Times New Roman"/>
          <w:bCs/>
        </w:rPr>
      </w:pPr>
      <w:r w:rsidRPr="00D81EF6">
        <w:rPr>
          <w:rFonts w:asciiTheme="minorHAnsi" w:hAnsiTheme="minorHAnsi" w:cs="Arial"/>
          <w:bCs/>
          <w:snapToGrid w:val="0"/>
          <w:lang w:eastAsia="en-US"/>
        </w:rPr>
        <w:t xml:space="preserve">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2551"/>
      </w:tblGrid>
      <w:tr w:rsidR="00EB2425" w:rsidRPr="00D81EF6" w14:paraId="5C03812C" w14:textId="77777777" w:rsidTr="00AC1ABA">
        <w:trPr>
          <w:cantSplit/>
          <w:trHeight w:val="471"/>
        </w:trPr>
        <w:tc>
          <w:tcPr>
            <w:tcW w:w="2689" w:type="dxa"/>
          </w:tcPr>
          <w:p w14:paraId="20C416A8" w14:textId="77777777" w:rsidR="00EB2425" w:rsidRPr="00D81EF6" w:rsidRDefault="00EB2425" w:rsidP="00AC1ABA">
            <w:pPr>
              <w:keepNext/>
              <w:ind w:left="-108"/>
              <w:rPr>
                <w:rFonts w:ascii="Arial Narrow" w:hAnsi="Arial Narrow" w:cs="Arial"/>
                <w:b/>
                <w:sz w:val="18"/>
                <w:szCs w:val="18"/>
              </w:rPr>
            </w:pPr>
            <w:r w:rsidRPr="00D81EF6">
              <w:rPr>
                <w:rFonts w:ascii="Arial Narrow" w:hAnsi="Arial Narrow" w:cs="Arial"/>
                <w:b/>
                <w:sz w:val="18"/>
                <w:szCs w:val="18"/>
              </w:rPr>
              <w:t>Name, Restriction,</w:t>
            </w:r>
          </w:p>
          <w:p w14:paraId="1DA5F61D" w14:textId="77777777" w:rsidR="00EB2425" w:rsidRPr="00D81EF6" w:rsidRDefault="00EB2425" w:rsidP="00AC1ABA">
            <w:pPr>
              <w:keepNext/>
              <w:ind w:left="-108"/>
              <w:rPr>
                <w:rFonts w:ascii="Arial Narrow" w:hAnsi="Arial Narrow" w:cs="Arial"/>
                <w:b/>
                <w:sz w:val="18"/>
                <w:szCs w:val="18"/>
              </w:rPr>
            </w:pPr>
            <w:r w:rsidRPr="00D81EF6">
              <w:rPr>
                <w:rFonts w:ascii="Arial Narrow" w:hAnsi="Arial Narrow" w:cs="Arial"/>
                <w:b/>
                <w:sz w:val="18"/>
                <w:szCs w:val="18"/>
              </w:rPr>
              <w:t>Manner of administration and form</w:t>
            </w:r>
          </w:p>
        </w:tc>
        <w:tc>
          <w:tcPr>
            <w:tcW w:w="1275" w:type="dxa"/>
          </w:tcPr>
          <w:p w14:paraId="02DF6A2A" w14:textId="77777777" w:rsidR="00EB2425" w:rsidRPr="00D81EF6" w:rsidRDefault="00EB2425" w:rsidP="00AC1ABA">
            <w:pPr>
              <w:keepNext/>
              <w:ind w:left="-108"/>
              <w:jc w:val="center"/>
              <w:rPr>
                <w:rFonts w:ascii="Arial Narrow" w:hAnsi="Arial Narrow" w:cs="Arial"/>
                <w:b/>
                <w:sz w:val="18"/>
                <w:szCs w:val="18"/>
              </w:rPr>
            </w:pPr>
            <w:r w:rsidRPr="00D81EF6">
              <w:rPr>
                <w:rFonts w:ascii="Arial Narrow" w:hAnsi="Arial Narrow" w:cs="Arial"/>
                <w:b/>
                <w:sz w:val="18"/>
                <w:szCs w:val="18"/>
              </w:rPr>
              <w:t>PBS item code</w:t>
            </w:r>
          </w:p>
        </w:tc>
        <w:tc>
          <w:tcPr>
            <w:tcW w:w="851" w:type="dxa"/>
          </w:tcPr>
          <w:p w14:paraId="4FF88681" w14:textId="77777777" w:rsidR="00EB2425" w:rsidRPr="00D81EF6" w:rsidRDefault="00EB2425" w:rsidP="00AC1ABA">
            <w:pPr>
              <w:keepNext/>
              <w:ind w:left="-108"/>
              <w:jc w:val="center"/>
              <w:rPr>
                <w:rFonts w:ascii="Arial Narrow" w:hAnsi="Arial Narrow" w:cs="Arial"/>
                <w:b/>
                <w:sz w:val="18"/>
                <w:szCs w:val="18"/>
              </w:rPr>
            </w:pPr>
            <w:r w:rsidRPr="00D81EF6">
              <w:rPr>
                <w:rFonts w:ascii="Arial Narrow" w:hAnsi="Arial Narrow" w:cs="Arial"/>
                <w:b/>
                <w:sz w:val="18"/>
                <w:szCs w:val="18"/>
              </w:rPr>
              <w:t>Max. qty packs</w:t>
            </w:r>
          </w:p>
        </w:tc>
        <w:tc>
          <w:tcPr>
            <w:tcW w:w="850" w:type="dxa"/>
          </w:tcPr>
          <w:p w14:paraId="0C4CD404" w14:textId="77777777" w:rsidR="00EB2425" w:rsidRPr="00D81EF6" w:rsidRDefault="00EB2425" w:rsidP="00AC1ABA">
            <w:pPr>
              <w:keepNext/>
              <w:ind w:left="-108"/>
              <w:jc w:val="center"/>
              <w:rPr>
                <w:rFonts w:ascii="Arial Narrow" w:hAnsi="Arial Narrow" w:cs="Arial"/>
                <w:b/>
                <w:sz w:val="18"/>
                <w:szCs w:val="18"/>
              </w:rPr>
            </w:pPr>
            <w:r w:rsidRPr="00D81EF6">
              <w:rPr>
                <w:rFonts w:ascii="Arial Narrow" w:hAnsi="Arial Narrow" w:cs="Arial"/>
                <w:b/>
                <w:sz w:val="18"/>
                <w:szCs w:val="18"/>
              </w:rPr>
              <w:t>Max. qty units</w:t>
            </w:r>
          </w:p>
        </w:tc>
        <w:tc>
          <w:tcPr>
            <w:tcW w:w="709" w:type="dxa"/>
          </w:tcPr>
          <w:p w14:paraId="7A6E5D10" w14:textId="77777777" w:rsidR="00EB2425" w:rsidRPr="00D81EF6" w:rsidRDefault="00EB2425" w:rsidP="00AC1ABA">
            <w:pPr>
              <w:keepNext/>
              <w:ind w:left="-108"/>
              <w:jc w:val="center"/>
              <w:rPr>
                <w:rFonts w:ascii="Arial Narrow" w:hAnsi="Arial Narrow" w:cs="Arial"/>
                <w:b/>
                <w:sz w:val="18"/>
                <w:szCs w:val="18"/>
              </w:rPr>
            </w:pPr>
            <w:r w:rsidRPr="00D81EF6">
              <w:rPr>
                <w:rFonts w:ascii="Arial Narrow" w:hAnsi="Arial Narrow" w:cs="Arial"/>
                <w:b/>
                <w:sz w:val="18"/>
                <w:szCs w:val="18"/>
              </w:rPr>
              <w:t>№.of</w:t>
            </w:r>
          </w:p>
          <w:p w14:paraId="76F5372E" w14:textId="77777777" w:rsidR="00EB2425" w:rsidRPr="00D81EF6" w:rsidRDefault="00EB2425" w:rsidP="00AC1ABA">
            <w:pPr>
              <w:keepNext/>
              <w:ind w:left="-108"/>
              <w:jc w:val="center"/>
              <w:rPr>
                <w:rFonts w:ascii="Arial Narrow" w:hAnsi="Arial Narrow" w:cs="Arial"/>
                <w:b/>
                <w:sz w:val="18"/>
                <w:szCs w:val="18"/>
              </w:rPr>
            </w:pPr>
            <w:r w:rsidRPr="00D81EF6">
              <w:rPr>
                <w:rFonts w:ascii="Arial Narrow" w:hAnsi="Arial Narrow" w:cs="Arial"/>
                <w:b/>
                <w:sz w:val="18"/>
                <w:szCs w:val="18"/>
              </w:rPr>
              <w:t>Rpts</w:t>
            </w:r>
          </w:p>
        </w:tc>
        <w:tc>
          <w:tcPr>
            <w:tcW w:w="2551" w:type="dxa"/>
          </w:tcPr>
          <w:p w14:paraId="3852D007" w14:textId="77777777" w:rsidR="00EB2425" w:rsidRPr="00D81EF6" w:rsidRDefault="00EB2425" w:rsidP="00AC1ABA">
            <w:pPr>
              <w:keepNext/>
              <w:rPr>
                <w:rFonts w:ascii="Arial Narrow" w:hAnsi="Arial Narrow" w:cs="Arial"/>
                <w:b/>
                <w:sz w:val="18"/>
                <w:szCs w:val="18"/>
              </w:rPr>
            </w:pPr>
            <w:r w:rsidRPr="00D81EF6">
              <w:rPr>
                <w:rFonts w:ascii="Arial Narrow" w:hAnsi="Arial Narrow" w:cs="Arial"/>
                <w:b/>
                <w:sz w:val="18"/>
                <w:szCs w:val="18"/>
              </w:rPr>
              <w:t>Proprietary Name and Manufacturer</w:t>
            </w:r>
          </w:p>
        </w:tc>
      </w:tr>
      <w:tr w:rsidR="00EB2425" w:rsidRPr="00D81EF6" w14:paraId="28F15493" w14:textId="77777777" w:rsidTr="00AC1ABA">
        <w:trPr>
          <w:cantSplit/>
          <w:trHeight w:val="469"/>
        </w:trPr>
        <w:tc>
          <w:tcPr>
            <w:tcW w:w="2689" w:type="dxa"/>
          </w:tcPr>
          <w:p w14:paraId="0D7F4CA7" w14:textId="77777777" w:rsidR="00EB2425" w:rsidRPr="00D81EF6" w:rsidRDefault="00EB2425" w:rsidP="00AC1ABA">
            <w:pPr>
              <w:keepNext/>
              <w:ind w:left="-108"/>
              <w:rPr>
                <w:rFonts w:ascii="Arial Narrow" w:hAnsi="Arial Narrow" w:cs="Arial"/>
                <w:sz w:val="18"/>
                <w:szCs w:val="18"/>
              </w:rPr>
            </w:pPr>
            <w:r w:rsidRPr="00D81EF6">
              <w:rPr>
                <w:rFonts w:ascii="Arial Narrow" w:hAnsi="Arial Narrow" w:cs="Arial"/>
                <w:sz w:val="18"/>
                <w:szCs w:val="18"/>
              </w:rPr>
              <w:t>MODAFINIL</w:t>
            </w:r>
          </w:p>
          <w:p w14:paraId="67AC6A13" w14:textId="77777777" w:rsidR="00EB2425" w:rsidRPr="00D81EF6" w:rsidRDefault="00EB2425" w:rsidP="00AC1ABA">
            <w:pPr>
              <w:keepNext/>
              <w:ind w:left="-108"/>
              <w:rPr>
                <w:rFonts w:ascii="Arial Narrow" w:hAnsi="Arial Narrow" w:cs="Arial"/>
                <w:sz w:val="18"/>
                <w:szCs w:val="18"/>
              </w:rPr>
            </w:pPr>
            <w:r w:rsidRPr="00D81EF6">
              <w:rPr>
                <w:rFonts w:ascii="Arial Narrow" w:hAnsi="Arial Narrow" w:cs="Arial"/>
                <w:sz w:val="18"/>
                <w:szCs w:val="18"/>
              </w:rPr>
              <w:t>modafinil 100 mg tablet, 60</w:t>
            </w:r>
          </w:p>
        </w:tc>
        <w:tc>
          <w:tcPr>
            <w:tcW w:w="1275" w:type="dxa"/>
          </w:tcPr>
          <w:p w14:paraId="5C6E38B6" w14:textId="77777777" w:rsidR="00EB2425" w:rsidRPr="00D81EF6" w:rsidRDefault="00EB2425" w:rsidP="00AC1ABA">
            <w:pPr>
              <w:keepNext/>
              <w:rPr>
                <w:rFonts w:ascii="Arial Narrow" w:hAnsi="Arial Narrow" w:cs="Arial"/>
                <w:sz w:val="18"/>
                <w:szCs w:val="18"/>
              </w:rPr>
            </w:pPr>
          </w:p>
          <w:p w14:paraId="0B8287D8" w14:textId="77777777" w:rsidR="00EB2425" w:rsidRPr="00D81EF6" w:rsidRDefault="00EB2425" w:rsidP="00AC1ABA">
            <w:pPr>
              <w:keepNext/>
              <w:ind w:left="-108"/>
              <w:jc w:val="center"/>
              <w:rPr>
                <w:rFonts w:ascii="Arial Narrow" w:hAnsi="Arial Narrow" w:cs="Arial"/>
                <w:sz w:val="18"/>
                <w:szCs w:val="18"/>
              </w:rPr>
            </w:pPr>
            <w:r w:rsidRPr="00D81EF6">
              <w:rPr>
                <w:rFonts w:ascii="Arial Narrow" w:hAnsi="Arial Narrow" w:cs="Arial"/>
                <w:sz w:val="18"/>
                <w:szCs w:val="18"/>
              </w:rPr>
              <w:t>8816B</w:t>
            </w:r>
          </w:p>
        </w:tc>
        <w:tc>
          <w:tcPr>
            <w:tcW w:w="851" w:type="dxa"/>
          </w:tcPr>
          <w:p w14:paraId="29A22843" w14:textId="77777777" w:rsidR="00EB2425" w:rsidRPr="00D81EF6" w:rsidRDefault="00EB2425" w:rsidP="00AC1ABA">
            <w:pPr>
              <w:keepNext/>
              <w:rPr>
                <w:rFonts w:ascii="Arial Narrow" w:hAnsi="Arial Narrow" w:cs="Arial"/>
                <w:sz w:val="18"/>
                <w:szCs w:val="18"/>
              </w:rPr>
            </w:pPr>
          </w:p>
          <w:p w14:paraId="4CEF4E0F" w14:textId="77777777" w:rsidR="00EB2425" w:rsidRPr="00D81EF6" w:rsidRDefault="00EB2425" w:rsidP="00AC1ABA">
            <w:pPr>
              <w:keepNext/>
              <w:jc w:val="center"/>
              <w:rPr>
                <w:rFonts w:ascii="Arial Narrow" w:hAnsi="Arial Narrow" w:cs="Arial"/>
                <w:sz w:val="18"/>
                <w:szCs w:val="18"/>
              </w:rPr>
            </w:pPr>
            <w:r w:rsidRPr="00D81EF6">
              <w:rPr>
                <w:rFonts w:ascii="Arial Narrow" w:hAnsi="Arial Narrow" w:cs="Arial"/>
                <w:sz w:val="18"/>
                <w:szCs w:val="18"/>
              </w:rPr>
              <w:t>2</w:t>
            </w:r>
          </w:p>
        </w:tc>
        <w:tc>
          <w:tcPr>
            <w:tcW w:w="850" w:type="dxa"/>
          </w:tcPr>
          <w:p w14:paraId="13926660" w14:textId="77777777" w:rsidR="00EB2425" w:rsidRPr="00D81EF6" w:rsidRDefault="00EB2425" w:rsidP="00AC1ABA">
            <w:pPr>
              <w:keepNext/>
              <w:rPr>
                <w:rFonts w:ascii="Arial Narrow" w:hAnsi="Arial Narrow" w:cs="Arial"/>
                <w:sz w:val="18"/>
                <w:szCs w:val="18"/>
              </w:rPr>
            </w:pPr>
          </w:p>
          <w:p w14:paraId="726E2AF1" w14:textId="77777777" w:rsidR="00EB2425" w:rsidRPr="00D81EF6" w:rsidRDefault="00EB2425" w:rsidP="00AC1ABA">
            <w:pPr>
              <w:keepNext/>
              <w:ind w:left="-108"/>
              <w:jc w:val="center"/>
              <w:rPr>
                <w:rFonts w:ascii="Arial Narrow" w:hAnsi="Arial Narrow" w:cs="Arial"/>
                <w:sz w:val="18"/>
                <w:szCs w:val="18"/>
              </w:rPr>
            </w:pPr>
            <w:r w:rsidRPr="00D81EF6">
              <w:rPr>
                <w:rFonts w:ascii="Arial Narrow" w:hAnsi="Arial Narrow" w:cs="Arial"/>
                <w:sz w:val="18"/>
                <w:szCs w:val="18"/>
              </w:rPr>
              <w:t>120</w:t>
            </w:r>
          </w:p>
        </w:tc>
        <w:tc>
          <w:tcPr>
            <w:tcW w:w="709" w:type="dxa"/>
          </w:tcPr>
          <w:p w14:paraId="077256FE" w14:textId="77777777" w:rsidR="00EB2425" w:rsidRPr="00D81EF6" w:rsidRDefault="00EB2425" w:rsidP="00AC1ABA">
            <w:pPr>
              <w:keepNext/>
              <w:rPr>
                <w:rFonts w:ascii="Arial Narrow" w:hAnsi="Arial Narrow" w:cs="Arial"/>
                <w:sz w:val="18"/>
                <w:szCs w:val="18"/>
              </w:rPr>
            </w:pPr>
          </w:p>
          <w:p w14:paraId="487FF011" w14:textId="77777777" w:rsidR="00EB2425" w:rsidRPr="00D81EF6" w:rsidRDefault="00EB2425" w:rsidP="00AC1ABA">
            <w:pPr>
              <w:keepNext/>
              <w:ind w:left="-108"/>
              <w:jc w:val="center"/>
              <w:rPr>
                <w:rFonts w:ascii="Arial Narrow" w:hAnsi="Arial Narrow" w:cs="Arial"/>
                <w:sz w:val="18"/>
                <w:szCs w:val="18"/>
              </w:rPr>
            </w:pPr>
            <w:r w:rsidRPr="00D81EF6">
              <w:rPr>
                <w:rFonts w:ascii="Arial Narrow" w:hAnsi="Arial Narrow" w:cs="Arial"/>
                <w:sz w:val="18"/>
                <w:szCs w:val="18"/>
              </w:rPr>
              <w:t>5</w:t>
            </w:r>
          </w:p>
        </w:tc>
        <w:tc>
          <w:tcPr>
            <w:tcW w:w="2551" w:type="dxa"/>
          </w:tcPr>
          <w:p w14:paraId="6F2992F1" w14:textId="77777777" w:rsidR="00EB2425" w:rsidRPr="00D81EF6" w:rsidRDefault="00EB2425" w:rsidP="00AC1ABA">
            <w:pPr>
              <w:keepNext/>
              <w:rPr>
                <w:rFonts w:ascii="Arial Narrow" w:hAnsi="Arial Narrow" w:cs="Arial"/>
                <w:sz w:val="18"/>
                <w:szCs w:val="18"/>
              </w:rPr>
            </w:pPr>
          </w:p>
          <w:p w14:paraId="28F70E6E" w14:textId="77777777" w:rsidR="00EB2425" w:rsidRPr="00D81EF6" w:rsidRDefault="00EB2425" w:rsidP="00AC1ABA">
            <w:pPr>
              <w:keepNext/>
              <w:rPr>
                <w:rFonts w:ascii="Arial Narrow" w:hAnsi="Arial Narrow" w:cs="Arial"/>
                <w:sz w:val="18"/>
                <w:szCs w:val="18"/>
              </w:rPr>
            </w:pPr>
            <w:r w:rsidRPr="00D81EF6">
              <w:rPr>
                <w:rFonts w:ascii="Arial Narrow" w:hAnsi="Arial Narrow" w:cs="Arial"/>
                <w:sz w:val="18"/>
                <w:szCs w:val="18"/>
              </w:rPr>
              <w:t>Various brands and sponsors</w:t>
            </w:r>
          </w:p>
        </w:tc>
      </w:tr>
    </w:tbl>
    <w:p w14:paraId="4D46513C" w14:textId="061C9B97" w:rsidR="00EB2425" w:rsidRPr="00D81EF6" w:rsidRDefault="00EB2425" w:rsidP="00EB2425"/>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709"/>
        <w:gridCol w:w="1842"/>
      </w:tblGrid>
      <w:tr w:rsidR="004D0C33" w:rsidRPr="00D81EF6" w14:paraId="4687BD83" w14:textId="77777777" w:rsidTr="0071782D">
        <w:trPr>
          <w:cantSplit/>
          <w:trHeight w:val="471"/>
        </w:trPr>
        <w:tc>
          <w:tcPr>
            <w:tcW w:w="2689" w:type="dxa"/>
          </w:tcPr>
          <w:p w14:paraId="55DCC467" w14:textId="77777777" w:rsidR="004D0C33" w:rsidRPr="00D81EF6" w:rsidRDefault="004D0C33" w:rsidP="0071782D">
            <w:pPr>
              <w:keepNext/>
              <w:ind w:left="-108"/>
              <w:rPr>
                <w:rFonts w:ascii="Arial Narrow" w:hAnsi="Arial Narrow" w:cs="Arial"/>
                <w:b/>
                <w:sz w:val="18"/>
                <w:szCs w:val="18"/>
              </w:rPr>
            </w:pPr>
            <w:r w:rsidRPr="00D81EF6">
              <w:rPr>
                <w:rFonts w:ascii="Arial Narrow" w:hAnsi="Arial Narrow" w:cs="Arial"/>
                <w:b/>
                <w:sz w:val="18"/>
                <w:szCs w:val="18"/>
              </w:rPr>
              <w:t>Name, Restriction,</w:t>
            </w:r>
          </w:p>
          <w:p w14:paraId="11677C96" w14:textId="77777777" w:rsidR="004D0C33" w:rsidRPr="00D81EF6" w:rsidRDefault="004D0C33" w:rsidP="0071782D">
            <w:pPr>
              <w:keepNext/>
              <w:ind w:left="-108"/>
              <w:rPr>
                <w:rFonts w:ascii="Arial Narrow" w:hAnsi="Arial Narrow" w:cs="Arial"/>
                <w:b/>
                <w:sz w:val="18"/>
                <w:szCs w:val="18"/>
              </w:rPr>
            </w:pPr>
            <w:r w:rsidRPr="00D81EF6">
              <w:rPr>
                <w:rFonts w:ascii="Arial Narrow" w:hAnsi="Arial Narrow" w:cs="Arial"/>
                <w:b/>
                <w:sz w:val="18"/>
                <w:szCs w:val="18"/>
              </w:rPr>
              <w:t>Manner of administration and form</w:t>
            </w:r>
          </w:p>
        </w:tc>
        <w:tc>
          <w:tcPr>
            <w:tcW w:w="1275" w:type="dxa"/>
          </w:tcPr>
          <w:p w14:paraId="4A233FD0" w14:textId="77777777" w:rsidR="004D0C33" w:rsidRPr="00D81EF6" w:rsidRDefault="004D0C33" w:rsidP="0071782D">
            <w:pPr>
              <w:keepNext/>
              <w:ind w:left="-108"/>
              <w:jc w:val="center"/>
              <w:rPr>
                <w:rFonts w:ascii="Arial Narrow" w:hAnsi="Arial Narrow" w:cs="Arial"/>
                <w:b/>
                <w:sz w:val="18"/>
                <w:szCs w:val="18"/>
              </w:rPr>
            </w:pPr>
            <w:r w:rsidRPr="00D81EF6">
              <w:rPr>
                <w:rFonts w:ascii="Arial Narrow" w:hAnsi="Arial Narrow" w:cs="Arial"/>
                <w:b/>
                <w:sz w:val="18"/>
                <w:szCs w:val="18"/>
              </w:rPr>
              <w:t>PBS item code</w:t>
            </w:r>
          </w:p>
        </w:tc>
        <w:tc>
          <w:tcPr>
            <w:tcW w:w="851" w:type="dxa"/>
          </w:tcPr>
          <w:p w14:paraId="4553E6AE" w14:textId="77777777" w:rsidR="004D0C33" w:rsidRPr="00D81EF6" w:rsidRDefault="004D0C33" w:rsidP="0071782D">
            <w:pPr>
              <w:keepNext/>
              <w:ind w:left="-108"/>
              <w:jc w:val="center"/>
              <w:rPr>
                <w:rFonts w:ascii="Arial Narrow" w:hAnsi="Arial Narrow" w:cs="Arial"/>
                <w:b/>
                <w:sz w:val="18"/>
                <w:szCs w:val="18"/>
              </w:rPr>
            </w:pPr>
            <w:r w:rsidRPr="00D81EF6">
              <w:rPr>
                <w:rFonts w:ascii="Arial Narrow" w:hAnsi="Arial Narrow" w:cs="Arial"/>
                <w:b/>
                <w:sz w:val="18"/>
                <w:szCs w:val="18"/>
              </w:rPr>
              <w:t>Max. qty packs</w:t>
            </w:r>
          </w:p>
        </w:tc>
        <w:tc>
          <w:tcPr>
            <w:tcW w:w="850" w:type="dxa"/>
          </w:tcPr>
          <w:p w14:paraId="3EC56C11" w14:textId="77777777" w:rsidR="004D0C33" w:rsidRPr="00D81EF6" w:rsidRDefault="004D0C33" w:rsidP="0071782D">
            <w:pPr>
              <w:keepNext/>
              <w:ind w:left="-108"/>
              <w:jc w:val="center"/>
              <w:rPr>
                <w:rFonts w:ascii="Arial Narrow" w:hAnsi="Arial Narrow" w:cs="Arial"/>
                <w:b/>
                <w:sz w:val="18"/>
                <w:szCs w:val="18"/>
              </w:rPr>
            </w:pPr>
            <w:r w:rsidRPr="00D81EF6">
              <w:rPr>
                <w:rFonts w:ascii="Arial Narrow" w:hAnsi="Arial Narrow" w:cs="Arial"/>
                <w:b/>
                <w:sz w:val="18"/>
                <w:szCs w:val="18"/>
              </w:rPr>
              <w:t>Max. qty units</w:t>
            </w:r>
          </w:p>
        </w:tc>
        <w:tc>
          <w:tcPr>
            <w:tcW w:w="709" w:type="dxa"/>
          </w:tcPr>
          <w:p w14:paraId="36CF8D43" w14:textId="77777777" w:rsidR="004D0C33" w:rsidRPr="00D81EF6" w:rsidRDefault="004D0C33" w:rsidP="0071782D">
            <w:pPr>
              <w:keepNext/>
              <w:ind w:left="-108"/>
              <w:jc w:val="center"/>
              <w:rPr>
                <w:rFonts w:ascii="Arial Narrow" w:hAnsi="Arial Narrow" w:cs="Arial"/>
                <w:b/>
                <w:sz w:val="18"/>
                <w:szCs w:val="18"/>
              </w:rPr>
            </w:pPr>
            <w:r w:rsidRPr="00D81EF6">
              <w:rPr>
                <w:rFonts w:ascii="Arial Narrow" w:hAnsi="Arial Narrow" w:cs="Arial"/>
                <w:b/>
                <w:sz w:val="18"/>
                <w:szCs w:val="18"/>
              </w:rPr>
              <w:t>№.of</w:t>
            </w:r>
          </w:p>
          <w:p w14:paraId="536B08F3" w14:textId="77777777" w:rsidR="004D0C33" w:rsidRPr="00D81EF6" w:rsidRDefault="004D0C33" w:rsidP="0071782D">
            <w:pPr>
              <w:keepNext/>
              <w:ind w:left="-108"/>
              <w:jc w:val="center"/>
              <w:rPr>
                <w:rFonts w:ascii="Arial Narrow" w:hAnsi="Arial Narrow" w:cs="Arial"/>
                <w:b/>
                <w:sz w:val="18"/>
                <w:szCs w:val="18"/>
              </w:rPr>
            </w:pPr>
            <w:r w:rsidRPr="00D81EF6">
              <w:rPr>
                <w:rFonts w:ascii="Arial Narrow" w:hAnsi="Arial Narrow" w:cs="Arial"/>
                <w:b/>
                <w:sz w:val="18"/>
                <w:szCs w:val="18"/>
              </w:rPr>
              <w:t>Rpts</w:t>
            </w:r>
          </w:p>
        </w:tc>
        <w:tc>
          <w:tcPr>
            <w:tcW w:w="2551" w:type="dxa"/>
            <w:gridSpan w:val="2"/>
          </w:tcPr>
          <w:p w14:paraId="4C43224D" w14:textId="77777777" w:rsidR="004D0C33" w:rsidRPr="00D81EF6" w:rsidRDefault="004D0C33" w:rsidP="0071782D">
            <w:pPr>
              <w:keepNext/>
              <w:rPr>
                <w:rFonts w:ascii="Arial Narrow" w:hAnsi="Arial Narrow" w:cs="Arial"/>
                <w:b/>
                <w:sz w:val="18"/>
                <w:szCs w:val="18"/>
              </w:rPr>
            </w:pPr>
            <w:r w:rsidRPr="00D81EF6">
              <w:rPr>
                <w:rFonts w:ascii="Arial Narrow" w:hAnsi="Arial Narrow" w:cs="Arial"/>
                <w:b/>
                <w:sz w:val="18"/>
                <w:szCs w:val="18"/>
              </w:rPr>
              <w:t>Proprietary Name and Manufacturer</w:t>
            </w:r>
          </w:p>
        </w:tc>
      </w:tr>
      <w:tr w:rsidR="004D0C33" w:rsidRPr="00D81EF6" w14:paraId="6E688BD2" w14:textId="77777777" w:rsidTr="0071782D">
        <w:trPr>
          <w:cantSplit/>
          <w:trHeight w:val="327"/>
        </w:trPr>
        <w:tc>
          <w:tcPr>
            <w:tcW w:w="2689" w:type="dxa"/>
          </w:tcPr>
          <w:p w14:paraId="607E26C0" w14:textId="77777777" w:rsidR="004D0C33" w:rsidRPr="00D81EF6" w:rsidRDefault="004D0C33" w:rsidP="0071782D">
            <w:pPr>
              <w:keepNext/>
              <w:ind w:left="-108"/>
              <w:rPr>
                <w:rFonts w:ascii="Arial Narrow" w:hAnsi="Arial Narrow" w:cs="Arial"/>
                <w:sz w:val="18"/>
                <w:szCs w:val="18"/>
              </w:rPr>
            </w:pPr>
            <w:r w:rsidRPr="00D81EF6">
              <w:rPr>
                <w:rFonts w:ascii="Arial Narrow" w:hAnsi="Arial Narrow" w:cs="Arial"/>
                <w:sz w:val="18"/>
                <w:szCs w:val="18"/>
              </w:rPr>
              <w:t>ARMODAFINIL</w:t>
            </w:r>
          </w:p>
          <w:p w14:paraId="62A17D9F" w14:textId="77777777" w:rsidR="004D0C33" w:rsidRPr="00D81EF6" w:rsidRDefault="004D0C33" w:rsidP="0071782D">
            <w:pPr>
              <w:keepNext/>
              <w:ind w:left="-108"/>
              <w:rPr>
                <w:rFonts w:ascii="Arial Narrow" w:hAnsi="Arial Narrow" w:cs="Arial"/>
                <w:sz w:val="18"/>
                <w:szCs w:val="18"/>
              </w:rPr>
            </w:pPr>
            <w:r w:rsidRPr="00D81EF6">
              <w:rPr>
                <w:rFonts w:ascii="Arial Narrow" w:hAnsi="Arial Narrow" w:cs="Arial"/>
                <w:sz w:val="18"/>
                <w:szCs w:val="18"/>
              </w:rPr>
              <w:t>armodafinil 50 mg tablet, 30</w:t>
            </w:r>
          </w:p>
          <w:p w14:paraId="685D2FD9" w14:textId="77777777" w:rsidR="004D0C33" w:rsidRPr="00D81EF6" w:rsidRDefault="004D0C33" w:rsidP="0071782D">
            <w:pPr>
              <w:keepNext/>
              <w:ind w:left="-108"/>
              <w:rPr>
                <w:rFonts w:ascii="Arial Narrow" w:hAnsi="Arial Narrow" w:cs="Arial"/>
                <w:sz w:val="18"/>
                <w:szCs w:val="18"/>
              </w:rPr>
            </w:pPr>
            <w:r w:rsidRPr="00D81EF6">
              <w:rPr>
                <w:rFonts w:ascii="Arial Narrow" w:hAnsi="Arial Narrow" w:cs="Arial"/>
                <w:sz w:val="18"/>
                <w:szCs w:val="18"/>
              </w:rPr>
              <w:t>armodafinil 150 mg tablet, 30</w:t>
            </w:r>
          </w:p>
          <w:p w14:paraId="0A3262F2" w14:textId="40875DEE" w:rsidR="004D0C33" w:rsidRPr="00D81EF6" w:rsidRDefault="004D0C33" w:rsidP="00E149F1">
            <w:pPr>
              <w:keepNext/>
              <w:ind w:left="-108"/>
              <w:rPr>
                <w:rFonts w:ascii="Arial Narrow" w:hAnsi="Arial Narrow" w:cs="Arial"/>
                <w:sz w:val="18"/>
                <w:szCs w:val="18"/>
              </w:rPr>
            </w:pPr>
            <w:r w:rsidRPr="00D81EF6">
              <w:rPr>
                <w:rFonts w:ascii="Arial Narrow" w:hAnsi="Arial Narrow" w:cs="Arial"/>
                <w:sz w:val="18"/>
                <w:szCs w:val="18"/>
              </w:rPr>
              <w:t>armodafinil 250 mg tablet, 30</w:t>
            </w:r>
          </w:p>
        </w:tc>
        <w:tc>
          <w:tcPr>
            <w:tcW w:w="1275" w:type="dxa"/>
          </w:tcPr>
          <w:p w14:paraId="4A0A90F1" w14:textId="77777777" w:rsidR="004D0C33" w:rsidRPr="00D81EF6" w:rsidRDefault="004D0C33" w:rsidP="0071782D">
            <w:pPr>
              <w:keepNext/>
              <w:jc w:val="center"/>
              <w:rPr>
                <w:rFonts w:ascii="Arial Narrow" w:hAnsi="Arial Narrow" w:cs="Arial"/>
                <w:sz w:val="18"/>
                <w:szCs w:val="18"/>
              </w:rPr>
            </w:pPr>
          </w:p>
          <w:p w14:paraId="12673BC7" w14:textId="77777777" w:rsidR="004D0C33" w:rsidRPr="00D81EF6" w:rsidRDefault="004D0C33" w:rsidP="0071782D">
            <w:pPr>
              <w:keepNext/>
              <w:jc w:val="center"/>
              <w:rPr>
                <w:rFonts w:ascii="Arial Narrow" w:hAnsi="Arial Narrow" w:cs="Arial"/>
                <w:sz w:val="18"/>
                <w:szCs w:val="18"/>
              </w:rPr>
            </w:pPr>
            <w:r w:rsidRPr="00D81EF6">
              <w:rPr>
                <w:rFonts w:ascii="Arial Narrow" w:hAnsi="Arial Narrow" w:cs="Arial"/>
                <w:sz w:val="18"/>
                <w:szCs w:val="18"/>
              </w:rPr>
              <w:t>10922W</w:t>
            </w:r>
          </w:p>
          <w:p w14:paraId="1D6D0D0C" w14:textId="77777777" w:rsidR="004D0C33" w:rsidRPr="00D81EF6" w:rsidRDefault="004D0C33" w:rsidP="0071782D">
            <w:pPr>
              <w:keepNext/>
              <w:jc w:val="center"/>
              <w:rPr>
                <w:rFonts w:ascii="Arial Narrow" w:hAnsi="Arial Narrow" w:cs="Arial"/>
                <w:sz w:val="18"/>
                <w:szCs w:val="18"/>
              </w:rPr>
            </w:pPr>
            <w:r w:rsidRPr="00D81EF6">
              <w:rPr>
                <w:rFonts w:ascii="Arial Narrow" w:hAnsi="Arial Narrow" w:cs="Arial"/>
                <w:sz w:val="18"/>
                <w:szCs w:val="18"/>
              </w:rPr>
              <w:t>10912H</w:t>
            </w:r>
          </w:p>
          <w:p w14:paraId="7B9A5155" w14:textId="77777777" w:rsidR="004D0C33" w:rsidRPr="00D81EF6" w:rsidRDefault="004D0C33" w:rsidP="0071782D">
            <w:pPr>
              <w:keepNext/>
              <w:jc w:val="center"/>
              <w:rPr>
                <w:rFonts w:ascii="Arial Narrow" w:hAnsi="Arial Narrow" w:cs="Arial"/>
                <w:sz w:val="18"/>
                <w:szCs w:val="18"/>
              </w:rPr>
            </w:pPr>
            <w:r w:rsidRPr="00D81EF6">
              <w:rPr>
                <w:rFonts w:ascii="Arial Narrow" w:hAnsi="Arial Narrow" w:cs="Arial"/>
                <w:sz w:val="18"/>
                <w:szCs w:val="18"/>
              </w:rPr>
              <w:t>10919Q</w:t>
            </w:r>
          </w:p>
        </w:tc>
        <w:tc>
          <w:tcPr>
            <w:tcW w:w="851" w:type="dxa"/>
          </w:tcPr>
          <w:p w14:paraId="6A2F311F" w14:textId="77777777" w:rsidR="004D0C33" w:rsidRPr="00D81EF6" w:rsidRDefault="004D0C33" w:rsidP="0071782D">
            <w:pPr>
              <w:keepNext/>
              <w:jc w:val="center"/>
              <w:rPr>
                <w:rFonts w:ascii="Arial Narrow" w:hAnsi="Arial Narrow" w:cs="Arial"/>
                <w:sz w:val="18"/>
                <w:szCs w:val="18"/>
              </w:rPr>
            </w:pPr>
          </w:p>
          <w:p w14:paraId="2F7C6D38" w14:textId="77777777" w:rsidR="004D0C33" w:rsidRPr="00D81EF6" w:rsidRDefault="004D0C33" w:rsidP="0071782D">
            <w:pPr>
              <w:keepNext/>
              <w:jc w:val="center"/>
              <w:rPr>
                <w:rFonts w:ascii="Arial Narrow" w:hAnsi="Arial Narrow" w:cs="Arial"/>
                <w:sz w:val="18"/>
                <w:szCs w:val="18"/>
              </w:rPr>
            </w:pPr>
            <w:r w:rsidRPr="00D81EF6">
              <w:rPr>
                <w:rFonts w:ascii="Arial Narrow" w:hAnsi="Arial Narrow" w:cs="Arial"/>
                <w:sz w:val="18"/>
                <w:szCs w:val="18"/>
              </w:rPr>
              <w:t>2</w:t>
            </w:r>
          </w:p>
          <w:p w14:paraId="5376D9F4" w14:textId="77777777" w:rsidR="004D0C33" w:rsidRPr="00D81EF6" w:rsidRDefault="004D0C33" w:rsidP="0071782D">
            <w:pPr>
              <w:keepNext/>
              <w:jc w:val="center"/>
              <w:rPr>
                <w:rFonts w:ascii="Arial Narrow" w:hAnsi="Arial Narrow" w:cs="Arial"/>
                <w:sz w:val="18"/>
                <w:szCs w:val="18"/>
              </w:rPr>
            </w:pPr>
            <w:r w:rsidRPr="00D81EF6">
              <w:rPr>
                <w:rFonts w:ascii="Arial Narrow" w:hAnsi="Arial Narrow" w:cs="Arial"/>
                <w:sz w:val="18"/>
                <w:szCs w:val="18"/>
              </w:rPr>
              <w:t>1</w:t>
            </w:r>
          </w:p>
          <w:p w14:paraId="119452F7" w14:textId="77777777" w:rsidR="004D0C33" w:rsidRPr="00D81EF6" w:rsidRDefault="004D0C33" w:rsidP="0071782D">
            <w:pPr>
              <w:keepNext/>
              <w:jc w:val="center"/>
              <w:rPr>
                <w:rFonts w:ascii="Arial Narrow" w:hAnsi="Arial Narrow" w:cs="Arial"/>
                <w:sz w:val="18"/>
                <w:szCs w:val="18"/>
              </w:rPr>
            </w:pPr>
            <w:r w:rsidRPr="00D81EF6">
              <w:rPr>
                <w:rFonts w:ascii="Arial Narrow" w:hAnsi="Arial Narrow" w:cs="Arial"/>
                <w:sz w:val="18"/>
                <w:szCs w:val="18"/>
              </w:rPr>
              <w:t>1</w:t>
            </w:r>
          </w:p>
        </w:tc>
        <w:tc>
          <w:tcPr>
            <w:tcW w:w="850" w:type="dxa"/>
          </w:tcPr>
          <w:p w14:paraId="023F81BC" w14:textId="77777777" w:rsidR="004D0C33" w:rsidRPr="00D81EF6" w:rsidRDefault="004D0C33" w:rsidP="0071782D">
            <w:pPr>
              <w:keepNext/>
              <w:ind w:left="-108"/>
              <w:jc w:val="center"/>
              <w:rPr>
                <w:rFonts w:ascii="Arial Narrow" w:hAnsi="Arial Narrow" w:cs="Arial"/>
                <w:sz w:val="18"/>
                <w:szCs w:val="18"/>
              </w:rPr>
            </w:pPr>
          </w:p>
          <w:p w14:paraId="5960BF05" w14:textId="77777777" w:rsidR="004D0C33" w:rsidRPr="00D81EF6" w:rsidRDefault="004D0C33" w:rsidP="0071782D">
            <w:pPr>
              <w:keepNext/>
              <w:ind w:left="-108"/>
              <w:jc w:val="center"/>
              <w:rPr>
                <w:rFonts w:ascii="Arial Narrow" w:hAnsi="Arial Narrow" w:cs="Arial"/>
                <w:sz w:val="18"/>
                <w:szCs w:val="18"/>
              </w:rPr>
            </w:pPr>
            <w:r w:rsidRPr="00D81EF6">
              <w:rPr>
                <w:rFonts w:ascii="Arial Narrow" w:hAnsi="Arial Narrow" w:cs="Arial"/>
                <w:sz w:val="18"/>
                <w:szCs w:val="18"/>
              </w:rPr>
              <w:t>60</w:t>
            </w:r>
          </w:p>
          <w:p w14:paraId="6F8D05B9" w14:textId="77777777" w:rsidR="004D0C33" w:rsidRPr="00D81EF6" w:rsidRDefault="004D0C33" w:rsidP="0071782D">
            <w:pPr>
              <w:keepNext/>
              <w:ind w:left="-108"/>
              <w:jc w:val="center"/>
              <w:rPr>
                <w:rFonts w:ascii="Arial Narrow" w:hAnsi="Arial Narrow" w:cs="Arial"/>
                <w:sz w:val="18"/>
                <w:szCs w:val="18"/>
              </w:rPr>
            </w:pPr>
            <w:r w:rsidRPr="00D81EF6">
              <w:rPr>
                <w:rFonts w:ascii="Arial Narrow" w:hAnsi="Arial Narrow" w:cs="Arial"/>
                <w:sz w:val="18"/>
                <w:szCs w:val="18"/>
              </w:rPr>
              <w:t>30</w:t>
            </w:r>
          </w:p>
          <w:p w14:paraId="10217210" w14:textId="77777777" w:rsidR="004D0C33" w:rsidRPr="00D81EF6" w:rsidRDefault="004D0C33" w:rsidP="0071782D">
            <w:pPr>
              <w:keepNext/>
              <w:ind w:left="-108"/>
              <w:jc w:val="center"/>
              <w:rPr>
                <w:rFonts w:ascii="Arial Narrow" w:hAnsi="Arial Narrow" w:cs="Arial"/>
                <w:sz w:val="18"/>
                <w:szCs w:val="18"/>
              </w:rPr>
            </w:pPr>
            <w:r w:rsidRPr="00D81EF6">
              <w:rPr>
                <w:rFonts w:ascii="Arial Narrow" w:hAnsi="Arial Narrow" w:cs="Arial"/>
                <w:sz w:val="18"/>
                <w:szCs w:val="18"/>
              </w:rPr>
              <w:t>30</w:t>
            </w:r>
          </w:p>
        </w:tc>
        <w:tc>
          <w:tcPr>
            <w:tcW w:w="709" w:type="dxa"/>
          </w:tcPr>
          <w:p w14:paraId="6E2179FF" w14:textId="77777777" w:rsidR="004D0C33" w:rsidRPr="00D81EF6" w:rsidRDefault="004D0C33" w:rsidP="0071782D">
            <w:pPr>
              <w:keepNext/>
              <w:ind w:left="-108"/>
              <w:jc w:val="center"/>
              <w:rPr>
                <w:rFonts w:ascii="Arial Narrow" w:hAnsi="Arial Narrow" w:cs="Arial"/>
                <w:sz w:val="18"/>
                <w:szCs w:val="18"/>
              </w:rPr>
            </w:pPr>
          </w:p>
          <w:p w14:paraId="15520F98" w14:textId="77777777" w:rsidR="004D0C33" w:rsidRPr="00D81EF6" w:rsidRDefault="004D0C33" w:rsidP="0071782D">
            <w:pPr>
              <w:keepNext/>
              <w:ind w:left="-108"/>
              <w:jc w:val="center"/>
              <w:rPr>
                <w:rFonts w:ascii="Arial Narrow" w:hAnsi="Arial Narrow" w:cs="Arial"/>
                <w:sz w:val="18"/>
                <w:szCs w:val="18"/>
              </w:rPr>
            </w:pPr>
            <w:r w:rsidRPr="00D81EF6">
              <w:rPr>
                <w:rFonts w:ascii="Arial Narrow" w:hAnsi="Arial Narrow" w:cs="Arial"/>
                <w:sz w:val="18"/>
                <w:szCs w:val="18"/>
              </w:rPr>
              <w:t>5</w:t>
            </w:r>
          </w:p>
          <w:p w14:paraId="082CF9B0" w14:textId="77777777" w:rsidR="004D0C33" w:rsidRPr="00D81EF6" w:rsidRDefault="004D0C33" w:rsidP="0071782D">
            <w:pPr>
              <w:keepNext/>
              <w:ind w:left="-108"/>
              <w:jc w:val="center"/>
              <w:rPr>
                <w:rFonts w:ascii="Arial Narrow" w:hAnsi="Arial Narrow" w:cs="Arial"/>
                <w:sz w:val="18"/>
                <w:szCs w:val="18"/>
              </w:rPr>
            </w:pPr>
            <w:r w:rsidRPr="00D81EF6">
              <w:rPr>
                <w:rFonts w:ascii="Arial Narrow" w:hAnsi="Arial Narrow" w:cs="Arial"/>
                <w:sz w:val="18"/>
                <w:szCs w:val="18"/>
              </w:rPr>
              <w:t>5</w:t>
            </w:r>
          </w:p>
          <w:p w14:paraId="407382A5" w14:textId="77777777" w:rsidR="004D0C33" w:rsidRPr="00D81EF6" w:rsidRDefault="004D0C33" w:rsidP="0071782D">
            <w:pPr>
              <w:keepNext/>
              <w:ind w:left="-108"/>
              <w:jc w:val="center"/>
              <w:rPr>
                <w:rFonts w:ascii="Arial Narrow" w:hAnsi="Arial Narrow" w:cs="Arial"/>
                <w:sz w:val="18"/>
                <w:szCs w:val="18"/>
              </w:rPr>
            </w:pPr>
            <w:r w:rsidRPr="00D81EF6">
              <w:rPr>
                <w:rFonts w:ascii="Arial Narrow" w:hAnsi="Arial Narrow" w:cs="Arial"/>
                <w:sz w:val="18"/>
                <w:szCs w:val="18"/>
              </w:rPr>
              <w:t>5</w:t>
            </w:r>
          </w:p>
        </w:tc>
        <w:tc>
          <w:tcPr>
            <w:tcW w:w="709" w:type="dxa"/>
          </w:tcPr>
          <w:p w14:paraId="2A67C624" w14:textId="77777777" w:rsidR="004D0C33" w:rsidRPr="00D81EF6" w:rsidRDefault="004D0C33" w:rsidP="0071782D">
            <w:pPr>
              <w:keepNext/>
              <w:rPr>
                <w:rFonts w:ascii="Arial Narrow" w:hAnsi="Arial Narrow" w:cs="Arial"/>
                <w:sz w:val="18"/>
                <w:szCs w:val="18"/>
              </w:rPr>
            </w:pPr>
            <w:r w:rsidRPr="00D81EF6">
              <w:rPr>
                <w:rFonts w:ascii="Arial Narrow" w:hAnsi="Arial Narrow" w:cs="Arial"/>
                <w:sz w:val="18"/>
                <w:szCs w:val="18"/>
              </w:rPr>
              <w:t>Nuvigil</w:t>
            </w:r>
          </w:p>
        </w:tc>
        <w:tc>
          <w:tcPr>
            <w:tcW w:w="1842" w:type="dxa"/>
          </w:tcPr>
          <w:p w14:paraId="6A291084" w14:textId="77777777" w:rsidR="004D0C33" w:rsidRPr="00D81EF6" w:rsidRDefault="004D0C33" w:rsidP="0071782D">
            <w:pPr>
              <w:keepNext/>
              <w:rPr>
                <w:rFonts w:ascii="Arial Narrow" w:hAnsi="Arial Narrow" w:cs="Arial"/>
                <w:sz w:val="18"/>
                <w:szCs w:val="18"/>
              </w:rPr>
            </w:pPr>
            <w:r w:rsidRPr="00D81EF6">
              <w:rPr>
                <w:rFonts w:ascii="Arial Narrow" w:hAnsi="Arial Narrow" w:cs="Arial"/>
                <w:sz w:val="18"/>
                <w:szCs w:val="18"/>
              </w:rPr>
              <w:t>Teva Pharma Australia</w:t>
            </w:r>
          </w:p>
          <w:p w14:paraId="446B960F" w14:textId="77777777" w:rsidR="004D0C33" w:rsidRPr="00D81EF6" w:rsidRDefault="004D0C33" w:rsidP="0071782D">
            <w:pPr>
              <w:keepNext/>
              <w:rPr>
                <w:rFonts w:ascii="Arial Narrow" w:hAnsi="Arial Narrow" w:cs="Arial"/>
                <w:sz w:val="18"/>
                <w:szCs w:val="18"/>
              </w:rPr>
            </w:pPr>
            <w:r w:rsidRPr="00D81EF6">
              <w:rPr>
                <w:rFonts w:ascii="Arial Narrow" w:hAnsi="Arial Narrow" w:cs="Arial"/>
                <w:sz w:val="18"/>
                <w:szCs w:val="18"/>
              </w:rPr>
              <w:t>Pty Limited</w:t>
            </w:r>
          </w:p>
        </w:tc>
      </w:tr>
    </w:tbl>
    <w:p w14:paraId="0C3657A0" w14:textId="11F38019" w:rsidR="004D0C33" w:rsidRPr="00D81EF6" w:rsidRDefault="004D0C33" w:rsidP="00EB2425"/>
    <w:p w14:paraId="1DA74FBA" w14:textId="77777777" w:rsidR="00EB2425" w:rsidRPr="00D81EF6" w:rsidRDefault="00EB2425" w:rsidP="00EB2425">
      <w:pPr>
        <w:keepNext/>
        <w:keepLines/>
        <w:rPr>
          <w:rFonts w:ascii="Arial Narrow" w:hAnsi="Arial Narrow"/>
          <w:b/>
          <w:sz w:val="18"/>
          <w:szCs w:val="18"/>
        </w:rPr>
      </w:pPr>
      <w:r w:rsidRPr="00D81EF6">
        <w:rPr>
          <w:rFonts w:ascii="Arial Narrow" w:hAnsi="Arial Narrow"/>
          <w:b/>
          <w:sz w:val="18"/>
          <w:szCs w:val="18"/>
        </w:rPr>
        <w:t>Restriction Summary 8665 / Treatment of Concept: 8694</w:t>
      </w:r>
    </w:p>
    <w:tbl>
      <w:tblPr>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39"/>
      </w:tblGrid>
      <w:tr w:rsidR="005C3BCD" w:rsidRPr="00D81EF6" w14:paraId="255D6F63" w14:textId="77777777" w:rsidTr="005C3BCD">
        <w:tc>
          <w:tcPr>
            <w:tcW w:w="5000" w:type="pct"/>
            <w:tcBorders>
              <w:top w:val="single" w:sz="4" w:space="0" w:color="auto"/>
              <w:left w:val="single" w:sz="4" w:space="0" w:color="auto"/>
              <w:bottom w:val="single" w:sz="4" w:space="0" w:color="auto"/>
              <w:right w:val="single" w:sz="4" w:space="0" w:color="auto"/>
            </w:tcBorders>
          </w:tcPr>
          <w:p w14:paraId="368848CB" w14:textId="252BFCD2" w:rsidR="005C3BCD" w:rsidRPr="00D81EF6" w:rsidRDefault="005C3BCD" w:rsidP="00AC1ABA">
            <w:pPr>
              <w:keepNext/>
              <w:keepLines/>
              <w:rPr>
                <w:rFonts w:ascii="Arial Narrow" w:hAnsi="Arial Narrow" w:cs="Arial"/>
                <w:sz w:val="18"/>
                <w:szCs w:val="18"/>
              </w:rPr>
            </w:pPr>
            <w:r w:rsidRPr="00D81EF6">
              <w:rPr>
                <w:rFonts w:ascii="Arial Narrow" w:hAnsi="Arial Narrow" w:cs="Arial"/>
                <w:b/>
                <w:sz w:val="18"/>
                <w:szCs w:val="18"/>
              </w:rPr>
              <w:t xml:space="preserve">Category / Program:   </w:t>
            </w:r>
            <w:r w:rsidRPr="00D81EF6">
              <w:rPr>
                <w:rFonts w:ascii="Arial Narrow" w:hAnsi="Arial Narrow" w:cs="Arial"/>
                <w:sz w:val="18"/>
                <w:szCs w:val="18"/>
              </w:rPr>
              <w:t xml:space="preserve">GENERAL – General Schedule (Code GE) </w:t>
            </w:r>
          </w:p>
        </w:tc>
      </w:tr>
      <w:tr w:rsidR="005C3BCD" w:rsidRPr="00D81EF6" w14:paraId="38671466" w14:textId="77777777" w:rsidTr="005C3BCD">
        <w:trPr>
          <w:trHeight w:val="49"/>
        </w:trPr>
        <w:tc>
          <w:tcPr>
            <w:tcW w:w="5000" w:type="pct"/>
            <w:tcBorders>
              <w:top w:val="single" w:sz="4" w:space="0" w:color="auto"/>
              <w:left w:val="single" w:sz="4" w:space="0" w:color="auto"/>
              <w:bottom w:val="single" w:sz="4" w:space="0" w:color="auto"/>
              <w:right w:val="single" w:sz="4" w:space="0" w:color="auto"/>
            </w:tcBorders>
          </w:tcPr>
          <w:p w14:paraId="2D9B4306" w14:textId="48DCB2B0" w:rsidR="005C3BCD" w:rsidRPr="00D81EF6" w:rsidRDefault="005C3BCD" w:rsidP="007D40B7">
            <w:pPr>
              <w:rPr>
                <w:rFonts w:ascii="Arial Narrow" w:hAnsi="Arial Narrow" w:cs="Arial"/>
                <w:b/>
                <w:sz w:val="18"/>
                <w:szCs w:val="18"/>
              </w:rPr>
            </w:pPr>
            <w:r w:rsidRPr="00D81EF6">
              <w:rPr>
                <w:rFonts w:ascii="Arial Narrow" w:hAnsi="Arial Narrow" w:cs="Arial"/>
                <w:b/>
                <w:sz w:val="18"/>
                <w:szCs w:val="18"/>
              </w:rPr>
              <w:t>Prescriber type:</w:t>
            </w:r>
            <w:r w:rsidR="000129CA">
              <w:rPr>
                <w:rFonts w:ascii="Arial Narrow" w:hAnsi="Arial Narrow" w:cs="Arial"/>
                <w:sz w:val="18"/>
                <w:szCs w:val="18"/>
              </w:rPr>
              <w:t xml:space="preserve">  </w:t>
            </w:r>
            <w:r w:rsidRPr="008B405F">
              <w:rPr>
                <w:rFonts w:ascii="Arial Narrow" w:hAnsi="Arial Narrow" w:cs="Arial"/>
                <w:sz w:val="18"/>
                <w:szCs w:val="18"/>
              </w:rPr>
              <w:fldChar w:fldCharType="begin">
                <w:ffData>
                  <w:name w:val=""/>
                  <w:enabled/>
                  <w:calcOnExit w:val="0"/>
                  <w:checkBox>
                    <w:sizeAuto/>
                    <w:default w:val="1"/>
                  </w:checkBox>
                </w:ffData>
              </w:fldChar>
            </w:r>
            <w:r w:rsidRPr="00D81EF6">
              <w:rPr>
                <w:rFonts w:ascii="Arial Narrow" w:hAnsi="Arial Narrow" w:cs="Arial"/>
                <w:sz w:val="18"/>
                <w:szCs w:val="18"/>
              </w:rPr>
              <w:instrText xml:space="preserve"> FORMCHECKBOX </w:instrText>
            </w:r>
            <w:r w:rsidR="000129CA">
              <w:rPr>
                <w:rFonts w:ascii="Arial Narrow" w:hAnsi="Arial Narrow" w:cs="Arial"/>
                <w:sz w:val="18"/>
                <w:szCs w:val="18"/>
              </w:rPr>
            </w:r>
            <w:r w:rsidR="000129CA">
              <w:rPr>
                <w:rFonts w:ascii="Arial Narrow" w:hAnsi="Arial Narrow" w:cs="Arial"/>
                <w:sz w:val="18"/>
                <w:szCs w:val="18"/>
              </w:rPr>
              <w:fldChar w:fldCharType="separate"/>
            </w:r>
            <w:r w:rsidRPr="008B405F">
              <w:rPr>
                <w:rFonts w:ascii="Arial Narrow" w:hAnsi="Arial Narrow" w:cs="Arial"/>
                <w:sz w:val="18"/>
                <w:szCs w:val="18"/>
              </w:rPr>
              <w:fldChar w:fldCharType="end"/>
            </w:r>
            <w:r w:rsidR="000129CA">
              <w:rPr>
                <w:rFonts w:ascii="Arial Narrow" w:hAnsi="Arial Narrow" w:cs="Arial"/>
                <w:sz w:val="18"/>
                <w:szCs w:val="18"/>
              </w:rPr>
              <w:t xml:space="preserve">Medical Practitioners </w:t>
            </w:r>
          </w:p>
        </w:tc>
      </w:tr>
      <w:tr w:rsidR="005C3BCD" w:rsidRPr="00D81EF6" w14:paraId="1359E39C" w14:textId="77777777" w:rsidTr="005C3BCD">
        <w:tc>
          <w:tcPr>
            <w:tcW w:w="5000" w:type="pct"/>
            <w:tcBorders>
              <w:top w:val="single" w:sz="4" w:space="0" w:color="auto"/>
              <w:left w:val="single" w:sz="4" w:space="0" w:color="auto"/>
              <w:bottom w:val="single" w:sz="4" w:space="0" w:color="auto"/>
              <w:right w:val="single" w:sz="4" w:space="0" w:color="auto"/>
            </w:tcBorders>
          </w:tcPr>
          <w:p w14:paraId="2D759821" w14:textId="2D045A88" w:rsidR="005C3BCD" w:rsidRPr="00D81EF6" w:rsidRDefault="005C3BCD" w:rsidP="00AC1ABA">
            <w:pPr>
              <w:rPr>
                <w:rFonts w:ascii="Arial Narrow" w:hAnsi="Arial Narrow" w:cs="Arial"/>
                <w:sz w:val="18"/>
                <w:szCs w:val="18"/>
              </w:rPr>
            </w:pPr>
            <w:r w:rsidRPr="00D81EF6">
              <w:rPr>
                <w:rFonts w:ascii="Arial Narrow" w:hAnsi="Arial Narrow" w:cs="Arial"/>
                <w:b/>
                <w:sz w:val="18"/>
                <w:szCs w:val="18"/>
              </w:rPr>
              <w:t>Restriction type / Method:</w:t>
            </w:r>
            <w:r w:rsidRPr="00D81EF6">
              <w:rPr>
                <w:rFonts w:ascii="Arial Narrow" w:hAnsi="Arial Narrow" w:cs="Arial"/>
                <w:sz w:val="18"/>
                <w:szCs w:val="18"/>
              </w:rPr>
              <w:t xml:space="preserve"> </w:t>
            </w:r>
            <w:r w:rsidRPr="008B405F">
              <w:rPr>
                <w:rFonts w:ascii="Arial Narrow" w:hAnsi="Arial Narrow" w:cs="Arial"/>
                <w:sz w:val="18"/>
                <w:szCs w:val="18"/>
              </w:rPr>
              <w:fldChar w:fldCharType="begin">
                <w:ffData>
                  <w:name w:val=""/>
                  <w:enabled/>
                  <w:calcOnExit w:val="0"/>
                  <w:checkBox>
                    <w:sizeAuto/>
                    <w:default w:val="1"/>
                  </w:checkBox>
                </w:ffData>
              </w:fldChar>
            </w:r>
            <w:r w:rsidRPr="00D81EF6">
              <w:rPr>
                <w:rFonts w:ascii="Arial Narrow" w:hAnsi="Arial Narrow" w:cs="Arial"/>
                <w:sz w:val="18"/>
                <w:szCs w:val="18"/>
              </w:rPr>
              <w:instrText xml:space="preserve"> FORMCHECKBOX </w:instrText>
            </w:r>
            <w:r w:rsidR="000129CA">
              <w:rPr>
                <w:rFonts w:ascii="Arial Narrow" w:hAnsi="Arial Narrow" w:cs="Arial"/>
                <w:sz w:val="18"/>
                <w:szCs w:val="18"/>
              </w:rPr>
            </w:r>
            <w:r w:rsidR="000129CA">
              <w:rPr>
                <w:rFonts w:ascii="Arial Narrow" w:hAnsi="Arial Narrow" w:cs="Arial"/>
                <w:sz w:val="18"/>
                <w:szCs w:val="18"/>
              </w:rPr>
              <w:fldChar w:fldCharType="separate"/>
            </w:r>
            <w:r w:rsidRPr="008B405F">
              <w:rPr>
                <w:rFonts w:ascii="Arial Narrow" w:hAnsi="Arial Narrow" w:cs="Arial"/>
                <w:sz w:val="18"/>
                <w:szCs w:val="18"/>
              </w:rPr>
              <w:fldChar w:fldCharType="end"/>
            </w:r>
            <w:r w:rsidRPr="00D81EF6">
              <w:rPr>
                <w:rFonts w:ascii="Arial Narrow" w:hAnsi="Arial Narrow" w:cs="Arial"/>
                <w:sz w:val="18"/>
                <w:szCs w:val="18"/>
              </w:rPr>
              <w:t>Authority Required – delayed assessment (Written application  lodged via post or electronic upload)</w:t>
            </w:r>
          </w:p>
        </w:tc>
      </w:tr>
      <w:tr w:rsidR="005C3BCD" w:rsidRPr="00D81EF6" w14:paraId="177A37A1" w14:textId="77777777" w:rsidTr="005C3BCD">
        <w:tc>
          <w:tcPr>
            <w:tcW w:w="5000" w:type="pct"/>
            <w:vAlign w:val="center"/>
            <w:hideMark/>
          </w:tcPr>
          <w:p w14:paraId="413B3558" w14:textId="77777777" w:rsidR="005C3BCD" w:rsidRPr="00D81EF6" w:rsidRDefault="005C3BCD" w:rsidP="00AC1ABA">
            <w:pPr>
              <w:rPr>
                <w:rFonts w:ascii="Arial Narrow" w:hAnsi="Arial Narrow"/>
                <w:sz w:val="18"/>
                <w:szCs w:val="18"/>
              </w:rPr>
            </w:pPr>
            <w:r w:rsidRPr="00D81EF6">
              <w:rPr>
                <w:rFonts w:ascii="Arial Narrow" w:hAnsi="Arial Narrow"/>
                <w:b/>
                <w:bCs/>
                <w:sz w:val="18"/>
                <w:szCs w:val="18"/>
              </w:rPr>
              <w:t>Indication:</w:t>
            </w:r>
            <w:r w:rsidRPr="00D81EF6">
              <w:rPr>
                <w:rFonts w:ascii="Arial Narrow" w:hAnsi="Arial Narrow"/>
                <w:sz w:val="18"/>
                <w:szCs w:val="18"/>
              </w:rPr>
              <w:t xml:space="preserve"> Narcolepsy</w:t>
            </w:r>
          </w:p>
        </w:tc>
      </w:tr>
      <w:tr w:rsidR="005C3BCD" w:rsidRPr="00D81EF6" w14:paraId="664F35BC" w14:textId="77777777" w:rsidTr="005C3BCD">
        <w:tc>
          <w:tcPr>
            <w:tcW w:w="5000" w:type="pct"/>
            <w:vAlign w:val="center"/>
            <w:hideMark/>
          </w:tcPr>
          <w:p w14:paraId="231B3865" w14:textId="19E22420" w:rsidR="005C3BCD" w:rsidRPr="00D81EF6" w:rsidRDefault="005C3BCD" w:rsidP="00551EB7">
            <w:pPr>
              <w:rPr>
                <w:rFonts w:ascii="Arial Narrow" w:hAnsi="Arial Narrow"/>
                <w:sz w:val="18"/>
                <w:szCs w:val="18"/>
              </w:rPr>
            </w:pPr>
            <w:r w:rsidRPr="00D81EF6">
              <w:rPr>
                <w:rFonts w:ascii="Arial Narrow" w:hAnsi="Arial Narrow"/>
                <w:b/>
                <w:bCs/>
                <w:sz w:val="18"/>
                <w:szCs w:val="18"/>
              </w:rPr>
              <w:t>Treatment Phase:</w:t>
            </w:r>
            <w:r w:rsidRPr="00D81EF6">
              <w:rPr>
                <w:rFonts w:ascii="Arial Narrow" w:hAnsi="Arial Narrow"/>
                <w:sz w:val="18"/>
                <w:szCs w:val="18"/>
              </w:rPr>
              <w:t xml:space="preserve"> Initial treatment</w:t>
            </w:r>
            <w:r>
              <w:rPr>
                <w:rFonts w:ascii="Arial Narrow" w:hAnsi="Arial Narrow"/>
                <w:sz w:val="18"/>
                <w:szCs w:val="18"/>
              </w:rPr>
              <w:t xml:space="preserve"> </w:t>
            </w:r>
            <w:r>
              <w:rPr>
                <w:rFonts w:ascii="Arial Narrow" w:hAnsi="Arial Narrow"/>
                <w:i/>
                <w:sz w:val="18"/>
                <w:szCs w:val="18"/>
              </w:rPr>
              <w:t xml:space="preserve"> of narcolepsy without cataplexy</w:t>
            </w:r>
          </w:p>
        </w:tc>
      </w:tr>
      <w:tr w:rsidR="005C3BCD" w:rsidRPr="00D81EF6" w14:paraId="02E14513" w14:textId="77777777" w:rsidTr="005C3BCD">
        <w:tc>
          <w:tcPr>
            <w:tcW w:w="5000" w:type="pct"/>
            <w:shd w:val="clear" w:color="auto" w:fill="DBE5F1" w:themeFill="accent1" w:themeFillTint="33"/>
            <w:vAlign w:val="center"/>
          </w:tcPr>
          <w:p w14:paraId="69F25297" w14:textId="7F1C98C8" w:rsidR="005C3BCD" w:rsidRPr="00D81EF6" w:rsidRDefault="005C3BCD" w:rsidP="00AC1ABA">
            <w:pPr>
              <w:rPr>
                <w:rFonts w:ascii="Arial Narrow" w:hAnsi="Arial Narrow"/>
                <w:sz w:val="18"/>
                <w:szCs w:val="18"/>
              </w:rPr>
            </w:pPr>
            <w:r w:rsidRPr="00D81EF6">
              <w:rPr>
                <w:rFonts w:ascii="Arial Narrow" w:hAnsi="Arial Narrow"/>
                <w:b/>
                <w:bCs/>
                <w:sz w:val="18"/>
                <w:szCs w:val="18"/>
              </w:rPr>
              <w:t>Administrative Advice: [currently MODAFINIL SPECIFIC – make generic]</w:t>
            </w:r>
          </w:p>
          <w:p w14:paraId="10575EEC" w14:textId="079CA986" w:rsidR="005C3BCD" w:rsidRPr="00D81EF6" w:rsidRDefault="005C3BCD" w:rsidP="00AC1ABA">
            <w:pPr>
              <w:rPr>
                <w:rFonts w:ascii="Arial Narrow" w:hAnsi="Arial Narrow"/>
                <w:b/>
                <w:bCs/>
                <w:sz w:val="18"/>
                <w:szCs w:val="18"/>
              </w:rPr>
            </w:pPr>
            <w:r w:rsidRPr="00D81EF6">
              <w:rPr>
                <w:rFonts w:ascii="Arial Narrow" w:hAnsi="Arial Narrow"/>
                <w:sz w:val="18"/>
                <w:szCs w:val="18"/>
              </w:rPr>
              <w:t>This drug is not PBS-subsidised when used in combination with PBS-subsidised dexamfetamine sulfate or armodafinil</w:t>
            </w:r>
            <w:r w:rsidRPr="00D81EF6">
              <w:rPr>
                <w:rFonts w:ascii="Arial Narrow" w:hAnsi="Arial Narrow"/>
                <w:i/>
                <w:sz w:val="18"/>
                <w:szCs w:val="18"/>
              </w:rPr>
              <w:t>/modafinil.</w:t>
            </w:r>
          </w:p>
        </w:tc>
      </w:tr>
      <w:tr w:rsidR="005C3BCD" w:rsidRPr="00D81EF6" w14:paraId="4BED1EB7" w14:textId="77777777" w:rsidTr="005C3BCD">
        <w:tc>
          <w:tcPr>
            <w:tcW w:w="5000" w:type="pct"/>
            <w:shd w:val="clear" w:color="auto" w:fill="F2DBDB" w:themeFill="accent2" w:themeFillTint="33"/>
            <w:vAlign w:val="center"/>
          </w:tcPr>
          <w:p w14:paraId="2FF8B627" w14:textId="612FCD3D" w:rsidR="005C3BCD" w:rsidRPr="00D81EF6" w:rsidRDefault="005C3BCD" w:rsidP="004D0C33">
            <w:pPr>
              <w:rPr>
                <w:rFonts w:ascii="Arial Narrow" w:hAnsi="Arial Narrow"/>
                <w:b/>
                <w:bCs/>
                <w:sz w:val="18"/>
                <w:szCs w:val="18"/>
              </w:rPr>
            </w:pPr>
            <w:r w:rsidRPr="00D81EF6">
              <w:rPr>
                <w:rFonts w:ascii="Arial Narrow" w:hAnsi="Arial Narrow"/>
                <w:b/>
                <w:bCs/>
                <w:sz w:val="18"/>
                <w:szCs w:val="18"/>
              </w:rPr>
              <w:t>Administrative Advice: [currently ARMODAFINIL SPECIFIC – make generic]</w:t>
            </w:r>
          </w:p>
          <w:p w14:paraId="0231CF5F" w14:textId="60EF19CF" w:rsidR="005C3BCD" w:rsidRPr="00D81EF6" w:rsidRDefault="005C3BCD" w:rsidP="004D0C33">
            <w:pPr>
              <w:rPr>
                <w:rFonts w:ascii="Arial Narrow" w:hAnsi="Arial Narrow"/>
                <w:b/>
                <w:bCs/>
                <w:sz w:val="18"/>
                <w:szCs w:val="18"/>
              </w:rPr>
            </w:pPr>
            <w:r w:rsidRPr="00D81EF6">
              <w:rPr>
                <w:rFonts w:ascii="Arial Narrow" w:hAnsi="Arial Narrow"/>
                <w:bCs/>
                <w:sz w:val="18"/>
                <w:szCs w:val="18"/>
              </w:rPr>
              <w:t xml:space="preserve">This drug is not PBS-subsidised when used in combination with PBS-subsidised dexamfetamine sulfate or </w:t>
            </w:r>
            <w:r w:rsidRPr="00D81EF6">
              <w:rPr>
                <w:rFonts w:ascii="Arial Narrow" w:hAnsi="Arial Narrow"/>
                <w:bCs/>
                <w:i/>
                <w:sz w:val="18"/>
                <w:szCs w:val="18"/>
              </w:rPr>
              <w:t>armodafinil/</w:t>
            </w:r>
            <w:r w:rsidRPr="00D81EF6">
              <w:rPr>
                <w:rFonts w:ascii="Arial Narrow" w:hAnsi="Arial Narrow"/>
                <w:bCs/>
                <w:sz w:val="18"/>
                <w:szCs w:val="18"/>
              </w:rPr>
              <w:t>modafinil.</w:t>
            </w:r>
          </w:p>
        </w:tc>
      </w:tr>
      <w:tr w:rsidR="005C3BCD" w:rsidRPr="00D81EF6" w14:paraId="435D8C2B" w14:textId="77777777" w:rsidTr="005C3BCD">
        <w:tc>
          <w:tcPr>
            <w:tcW w:w="5000" w:type="pct"/>
            <w:vAlign w:val="center"/>
          </w:tcPr>
          <w:p w14:paraId="4E984A0C" w14:textId="77777777" w:rsidR="005C3BCD" w:rsidRPr="00D81EF6" w:rsidRDefault="005C3BCD" w:rsidP="004D0C33">
            <w:pPr>
              <w:rPr>
                <w:rFonts w:ascii="Arial Narrow" w:hAnsi="Arial Narrow"/>
                <w:b/>
                <w:bCs/>
                <w:sz w:val="18"/>
                <w:szCs w:val="18"/>
              </w:rPr>
            </w:pPr>
            <w:r w:rsidRPr="00D81EF6">
              <w:rPr>
                <w:rFonts w:ascii="Arial Narrow" w:hAnsi="Arial Narrow"/>
                <w:b/>
                <w:bCs/>
                <w:sz w:val="18"/>
                <w:szCs w:val="18"/>
              </w:rPr>
              <w:t>Treatment criteria:</w:t>
            </w:r>
          </w:p>
        </w:tc>
      </w:tr>
      <w:tr w:rsidR="005C3BCD" w:rsidRPr="00D81EF6" w14:paraId="0E3E577F" w14:textId="77777777" w:rsidTr="005C3BCD">
        <w:tc>
          <w:tcPr>
            <w:tcW w:w="5000" w:type="pct"/>
            <w:vAlign w:val="center"/>
          </w:tcPr>
          <w:p w14:paraId="3973101F" w14:textId="77777777" w:rsidR="005C3BCD" w:rsidRPr="00D81EF6" w:rsidRDefault="005C3BCD" w:rsidP="004D0C33">
            <w:pPr>
              <w:rPr>
                <w:rFonts w:ascii="Arial Narrow" w:hAnsi="Arial Narrow"/>
                <w:bCs/>
                <w:sz w:val="18"/>
                <w:szCs w:val="18"/>
              </w:rPr>
            </w:pPr>
            <w:r w:rsidRPr="00D81EF6">
              <w:rPr>
                <w:rFonts w:ascii="Arial Narrow" w:hAnsi="Arial Narrow"/>
                <w:bCs/>
                <w:sz w:val="18"/>
                <w:szCs w:val="18"/>
              </w:rPr>
              <w:t>Must be treated by a qualified sleep medicine practitioner or neurologist</w:t>
            </w:r>
          </w:p>
        </w:tc>
      </w:tr>
      <w:tr w:rsidR="005C3BCD" w:rsidRPr="00D81EF6" w14:paraId="40BA9120" w14:textId="77777777" w:rsidTr="005C3BCD">
        <w:tc>
          <w:tcPr>
            <w:tcW w:w="5000" w:type="pct"/>
            <w:vAlign w:val="center"/>
          </w:tcPr>
          <w:p w14:paraId="5C122FA4" w14:textId="6E075553" w:rsidR="005C3BCD" w:rsidRPr="00D81EF6" w:rsidRDefault="005C3BCD" w:rsidP="004D0C33">
            <w:pPr>
              <w:rPr>
                <w:rFonts w:ascii="Arial Narrow" w:hAnsi="Arial Narrow"/>
                <w:b/>
                <w:bCs/>
                <w:sz w:val="18"/>
                <w:szCs w:val="18"/>
              </w:rPr>
            </w:pPr>
            <w:r w:rsidRPr="00D81EF6">
              <w:rPr>
                <w:rFonts w:ascii="Arial Narrow" w:hAnsi="Arial Narrow"/>
                <w:b/>
                <w:bCs/>
                <w:sz w:val="18"/>
                <w:szCs w:val="18"/>
              </w:rPr>
              <w:t>Clinical criteria:</w:t>
            </w:r>
          </w:p>
        </w:tc>
      </w:tr>
      <w:tr w:rsidR="005C3BCD" w:rsidRPr="00D81EF6" w14:paraId="153DC790" w14:textId="77777777" w:rsidTr="005C3BCD">
        <w:tc>
          <w:tcPr>
            <w:tcW w:w="5000" w:type="pct"/>
            <w:vAlign w:val="center"/>
          </w:tcPr>
          <w:p w14:paraId="23F1FB2E" w14:textId="19BCAF6A" w:rsidR="005C3BCD" w:rsidRPr="00D81EF6" w:rsidRDefault="005C3BCD" w:rsidP="004D0C33">
            <w:pPr>
              <w:rPr>
                <w:rFonts w:ascii="Arial Narrow" w:hAnsi="Arial Narrow"/>
                <w:b/>
                <w:bCs/>
                <w:sz w:val="18"/>
                <w:szCs w:val="18"/>
              </w:rPr>
            </w:pPr>
            <w:r w:rsidRPr="00D81EF6">
              <w:rPr>
                <w:rFonts w:ascii="Arial Narrow" w:hAnsi="Arial Narrow"/>
                <w:sz w:val="18"/>
                <w:szCs w:val="18"/>
              </w:rPr>
              <w:t>The treatment must be for use when therapy with dexamfetamine sulfate poses an unacceptable medical</w:t>
            </w:r>
            <w:r>
              <w:rPr>
                <w:rFonts w:ascii="Arial Narrow" w:hAnsi="Arial Narrow"/>
                <w:sz w:val="18"/>
                <w:szCs w:val="18"/>
              </w:rPr>
              <w:t xml:space="preserve"> risk</w:t>
            </w:r>
            <w:r w:rsidRPr="00D81EF6">
              <w:rPr>
                <w:rFonts w:ascii="Arial Narrow" w:hAnsi="Arial Narrow"/>
                <w:sz w:val="18"/>
                <w:szCs w:val="18"/>
              </w:rPr>
              <w:t>;</w:t>
            </w:r>
            <w:r>
              <w:rPr>
                <w:rFonts w:ascii="Arial Narrow" w:hAnsi="Arial Narrow"/>
                <w:sz w:val="18"/>
                <w:szCs w:val="18"/>
              </w:rPr>
              <w:t xml:space="preserve"> </w:t>
            </w:r>
            <w:r w:rsidRPr="00D81EF6">
              <w:rPr>
                <w:rFonts w:ascii="Arial Narrow" w:hAnsi="Arial Narrow"/>
                <w:sz w:val="18"/>
                <w:szCs w:val="18"/>
              </w:rPr>
              <w:t>or</w:t>
            </w:r>
          </w:p>
        </w:tc>
      </w:tr>
      <w:tr w:rsidR="005C3BCD" w:rsidRPr="00D81EF6" w14:paraId="7CAC08B7" w14:textId="77777777" w:rsidTr="005C3BCD">
        <w:tc>
          <w:tcPr>
            <w:tcW w:w="5000" w:type="pct"/>
            <w:vAlign w:val="center"/>
          </w:tcPr>
          <w:p w14:paraId="4078FDC3" w14:textId="320FD24A" w:rsidR="005C3BCD" w:rsidRPr="00D81EF6" w:rsidRDefault="005C3BCD" w:rsidP="004D0C33">
            <w:pPr>
              <w:rPr>
                <w:rFonts w:ascii="Arial Narrow" w:hAnsi="Arial Narrow"/>
                <w:b/>
                <w:bCs/>
                <w:sz w:val="18"/>
                <w:szCs w:val="18"/>
              </w:rPr>
            </w:pPr>
            <w:r w:rsidRPr="00D81EF6">
              <w:rPr>
                <w:rFonts w:ascii="Arial Narrow" w:hAnsi="Arial Narrow"/>
                <w:sz w:val="18"/>
                <w:szCs w:val="18"/>
              </w:rPr>
              <w:t>The treatment must be for use when intolerance to dexamfetamine sulfate is of a severity to necessitate treatment withdrawal</w:t>
            </w:r>
          </w:p>
        </w:tc>
      </w:tr>
      <w:tr w:rsidR="005C3BCD" w:rsidRPr="00D81EF6" w14:paraId="28AA46D0" w14:textId="77777777" w:rsidTr="005C3BCD">
        <w:tc>
          <w:tcPr>
            <w:tcW w:w="5000" w:type="pct"/>
            <w:vAlign w:val="center"/>
          </w:tcPr>
          <w:p w14:paraId="62A9D702" w14:textId="24033F38" w:rsidR="005C3BCD" w:rsidRPr="00D81EF6" w:rsidRDefault="005C3BCD" w:rsidP="004D0C33">
            <w:pPr>
              <w:rPr>
                <w:rFonts w:ascii="Arial Narrow" w:hAnsi="Arial Narrow"/>
                <w:b/>
                <w:bCs/>
                <w:sz w:val="18"/>
                <w:szCs w:val="18"/>
              </w:rPr>
            </w:pPr>
            <w:r w:rsidRPr="00D81EF6">
              <w:rPr>
                <w:rFonts w:ascii="Arial Narrow" w:hAnsi="Arial Narrow"/>
                <w:b/>
                <w:bCs/>
                <w:sz w:val="18"/>
                <w:szCs w:val="18"/>
              </w:rPr>
              <w:t>AND</w:t>
            </w:r>
          </w:p>
        </w:tc>
      </w:tr>
      <w:tr w:rsidR="005C3BCD" w:rsidRPr="00D81EF6" w14:paraId="7526ADC4" w14:textId="77777777" w:rsidTr="005C3BCD">
        <w:tc>
          <w:tcPr>
            <w:tcW w:w="5000" w:type="pct"/>
            <w:vAlign w:val="center"/>
            <w:hideMark/>
          </w:tcPr>
          <w:p w14:paraId="05D91C7D" w14:textId="77777777" w:rsidR="005C3BCD" w:rsidRPr="00D81EF6" w:rsidRDefault="005C3BCD" w:rsidP="004D0C33">
            <w:pPr>
              <w:rPr>
                <w:rFonts w:ascii="Arial Narrow" w:hAnsi="Arial Narrow"/>
                <w:sz w:val="18"/>
                <w:szCs w:val="18"/>
              </w:rPr>
            </w:pPr>
            <w:r w:rsidRPr="00D81EF6">
              <w:rPr>
                <w:rFonts w:ascii="Arial Narrow" w:hAnsi="Arial Narrow"/>
                <w:b/>
                <w:bCs/>
                <w:sz w:val="18"/>
                <w:szCs w:val="18"/>
              </w:rPr>
              <w:t>Clinical criteria:</w:t>
            </w:r>
          </w:p>
        </w:tc>
      </w:tr>
      <w:tr w:rsidR="005C3BCD" w:rsidRPr="00D81EF6" w14:paraId="552D4CDF" w14:textId="77777777" w:rsidTr="005C3BCD">
        <w:tc>
          <w:tcPr>
            <w:tcW w:w="5000" w:type="pct"/>
            <w:vAlign w:val="center"/>
            <w:hideMark/>
          </w:tcPr>
          <w:p w14:paraId="5D2AFCB3" w14:textId="77777777" w:rsidR="005C3BCD" w:rsidRPr="00D81EF6" w:rsidRDefault="005C3BCD" w:rsidP="004D0C33">
            <w:pPr>
              <w:rPr>
                <w:rFonts w:ascii="Arial Narrow" w:hAnsi="Arial Narrow"/>
                <w:sz w:val="18"/>
                <w:szCs w:val="18"/>
              </w:rPr>
            </w:pPr>
            <w:r w:rsidRPr="00D81EF6">
              <w:rPr>
                <w:rFonts w:ascii="Arial Narrow" w:hAnsi="Arial Narrow"/>
                <w:sz w:val="18"/>
                <w:szCs w:val="18"/>
              </w:rPr>
              <w:t>Patient must have experienced excessive daytime sleepiness, recurrent naps or lapses into sleep occurring almost daily for at least 3 months</w:t>
            </w:r>
          </w:p>
        </w:tc>
      </w:tr>
      <w:tr w:rsidR="005C3BCD" w:rsidRPr="00D81EF6" w14:paraId="0C0E6E14" w14:textId="77777777" w:rsidTr="005C3BCD">
        <w:tc>
          <w:tcPr>
            <w:tcW w:w="5000" w:type="pct"/>
            <w:vAlign w:val="center"/>
            <w:hideMark/>
          </w:tcPr>
          <w:p w14:paraId="606489FC" w14:textId="77777777" w:rsidR="005C3BCD" w:rsidRPr="00D81EF6" w:rsidRDefault="005C3BCD" w:rsidP="004D0C33">
            <w:pPr>
              <w:rPr>
                <w:rFonts w:ascii="Arial Narrow" w:hAnsi="Arial Narrow"/>
                <w:sz w:val="18"/>
                <w:szCs w:val="18"/>
              </w:rPr>
            </w:pPr>
            <w:r w:rsidRPr="00D81EF6">
              <w:rPr>
                <w:rFonts w:ascii="Arial Narrow" w:hAnsi="Arial Narrow"/>
                <w:b/>
                <w:bCs/>
                <w:sz w:val="18"/>
                <w:szCs w:val="18"/>
              </w:rPr>
              <w:t>AND</w:t>
            </w:r>
          </w:p>
        </w:tc>
      </w:tr>
      <w:tr w:rsidR="005C3BCD" w:rsidRPr="00D81EF6" w14:paraId="0D6C5F2B" w14:textId="77777777" w:rsidTr="005C3BCD">
        <w:tc>
          <w:tcPr>
            <w:tcW w:w="5000" w:type="pct"/>
            <w:vAlign w:val="center"/>
            <w:hideMark/>
          </w:tcPr>
          <w:p w14:paraId="75886A8B" w14:textId="77777777" w:rsidR="005C3BCD" w:rsidRPr="00D81EF6" w:rsidRDefault="005C3BCD" w:rsidP="004D0C33">
            <w:pPr>
              <w:rPr>
                <w:rFonts w:ascii="Arial Narrow" w:hAnsi="Arial Narrow"/>
                <w:sz w:val="18"/>
                <w:szCs w:val="18"/>
              </w:rPr>
            </w:pPr>
            <w:r w:rsidRPr="00D81EF6">
              <w:rPr>
                <w:rFonts w:ascii="Arial Narrow" w:hAnsi="Arial Narrow"/>
                <w:b/>
                <w:bCs/>
                <w:sz w:val="18"/>
                <w:szCs w:val="18"/>
              </w:rPr>
              <w:t>Clinical criteria:</w:t>
            </w:r>
          </w:p>
        </w:tc>
      </w:tr>
      <w:tr w:rsidR="005C3BCD" w:rsidRPr="00D81EF6" w14:paraId="0B3F2C03" w14:textId="77777777" w:rsidTr="005C3BCD">
        <w:tc>
          <w:tcPr>
            <w:tcW w:w="5000" w:type="pct"/>
            <w:vAlign w:val="center"/>
            <w:hideMark/>
          </w:tcPr>
          <w:p w14:paraId="37888410" w14:textId="7F49FCD9" w:rsidR="005C3BCD" w:rsidRPr="00BA5CEA" w:rsidRDefault="005C3BCD" w:rsidP="004D0C33">
            <w:pPr>
              <w:rPr>
                <w:rFonts w:ascii="Arial Narrow" w:hAnsi="Arial Narrow"/>
                <w:strike/>
                <w:sz w:val="18"/>
                <w:szCs w:val="18"/>
              </w:rPr>
            </w:pPr>
            <w:r w:rsidRPr="00BA5CEA">
              <w:rPr>
                <w:rFonts w:ascii="Arial Narrow" w:hAnsi="Arial Narrow"/>
                <w:strike/>
                <w:sz w:val="18"/>
                <w:szCs w:val="18"/>
              </w:rPr>
              <w:t>Patient must have a definite history of cataplexy; or</w:t>
            </w:r>
          </w:p>
        </w:tc>
      </w:tr>
      <w:tr w:rsidR="005C3BCD" w:rsidRPr="00D81EF6" w14:paraId="7E7533CC" w14:textId="77777777" w:rsidTr="005C3BCD">
        <w:tc>
          <w:tcPr>
            <w:tcW w:w="5000" w:type="pct"/>
            <w:vAlign w:val="center"/>
          </w:tcPr>
          <w:p w14:paraId="5A90C227" w14:textId="073006FB" w:rsidR="005C3BCD" w:rsidRPr="00D81EF6" w:rsidRDefault="005C3BCD" w:rsidP="004D0C33">
            <w:pPr>
              <w:rPr>
                <w:rFonts w:ascii="Arial Narrow" w:hAnsi="Arial Narrow"/>
                <w:sz w:val="18"/>
                <w:szCs w:val="18"/>
              </w:rPr>
            </w:pPr>
            <w:r w:rsidRPr="00D81EF6">
              <w:rPr>
                <w:rFonts w:ascii="Arial Narrow" w:hAnsi="Arial Narrow"/>
                <w:sz w:val="18"/>
                <w:szCs w:val="18"/>
              </w:rPr>
              <w:t>Patient must have a mean sleep latency less than or equal to 10 minutes on a Multiple Sleep Latency Test (MSLT); or</w:t>
            </w:r>
          </w:p>
        </w:tc>
      </w:tr>
      <w:tr w:rsidR="005C3BCD" w:rsidRPr="00D81EF6" w14:paraId="3F0C0372" w14:textId="77777777" w:rsidTr="005C3BCD">
        <w:tc>
          <w:tcPr>
            <w:tcW w:w="5000" w:type="pct"/>
            <w:vAlign w:val="center"/>
          </w:tcPr>
          <w:p w14:paraId="45ED636C" w14:textId="77777777" w:rsidR="005C3BCD" w:rsidRPr="00D81EF6" w:rsidRDefault="005C3BCD" w:rsidP="004D0C33">
            <w:pPr>
              <w:rPr>
                <w:rFonts w:ascii="Arial Narrow" w:hAnsi="Arial Narrow"/>
                <w:sz w:val="18"/>
                <w:szCs w:val="18"/>
              </w:rPr>
            </w:pPr>
            <w:r w:rsidRPr="00D81EF6">
              <w:rPr>
                <w:rFonts w:ascii="Arial Narrow" w:hAnsi="Arial Narrow"/>
                <w:sz w:val="18"/>
                <w:szCs w:val="18"/>
              </w:rPr>
              <w:t>Patient must have an electroencephalographic (EEG) recording showing the pathologically rapid development of REM sleep</w:t>
            </w:r>
          </w:p>
        </w:tc>
      </w:tr>
      <w:tr w:rsidR="005C3BCD" w:rsidRPr="00D81EF6" w14:paraId="798B2D18" w14:textId="77777777" w:rsidTr="005C3BCD">
        <w:tc>
          <w:tcPr>
            <w:tcW w:w="5000" w:type="pct"/>
            <w:vAlign w:val="center"/>
            <w:hideMark/>
          </w:tcPr>
          <w:p w14:paraId="01DC3FE0" w14:textId="77777777" w:rsidR="005C3BCD" w:rsidRPr="00D81EF6" w:rsidRDefault="005C3BCD" w:rsidP="004D0C33">
            <w:pPr>
              <w:rPr>
                <w:rFonts w:ascii="Arial Narrow" w:hAnsi="Arial Narrow"/>
                <w:sz w:val="18"/>
                <w:szCs w:val="18"/>
              </w:rPr>
            </w:pPr>
            <w:r w:rsidRPr="00D81EF6">
              <w:rPr>
                <w:rFonts w:ascii="Arial Narrow" w:hAnsi="Arial Narrow"/>
                <w:b/>
                <w:bCs/>
                <w:sz w:val="18"/>
                <w:szCs w:val="18"/>
              </w:rPr>
              <w:t>AND</w:t>
            </w:r>
          </w:p>
        </w:tc>
      </w:tr>
      <w:tr w:rsidR="005C3BCD" w:rsidRPr="00D81EF6" w14:paraId="6808994B" w14:textId="77777777" w:rsidTr="005C3BCD">
        <w:tc>
          <w:tcPr>
            <w:tcW w:w="5000" w:type="pct"/>
            <w:vAlign w:val="center"/>
            <w:hideMark/>
          </w:tcPr>
          <w:p w14:paraId="2569D477" w14:textId="77777777" w:rsidR="005C3BCD" w:rsidRPr="00D81EF6" w:rsidRDefault="005C3BCD" w:rsidP="004D0C33">
            <w:pPr>
              <w:rPr>
                <w:rFonts w:ascii="Arial Narrow" w:hAnsi="Arial Narrow"/>
                <w:sz w:val="18"/>
                <w:szCs w:val="18"/>
              </w:rPr>
            </w:pPr>
            <w:r w:rsidRPr="00D81EF6">
              <w:rPr>
                <w:rFonts w:ascii="Arial Narrow" w:hAnsi="Arial Narrow"/>
                <w:b/>
                <w:bCs/>
                <w:sz w:val="18"/>
                <w:szCs w:val="18"/>
              </w:rPr>
              <w:t>Clinical criteria:</w:t>
            </w:r>
          </w:p>
        </w:tc>
      </w:tr>
      <w:tr w:rsidR="005C3BCD" w:rsidRPr="00D81EF6" w14:paraId="2B890534" w14:textId="77777777" w:rsidTr="005C3BCD">
        <w:tc>
          <w:tcPr>
            <w:tcW w:w="5000" w:type="pct"/>
            <w:vAlign w:val="center"/>
            <w:hideMark/>
          </w:tcPr>
          <w:p w14:paraId="36AD259F" w14:textId="77777777" w:rsidR="005C3BCD" w:rsidRPr="00D81EF6" w:rsidRDefault="005C3BCD" w:rsidP="004D0C33">
            <w:pPr>
              <w:autoSpaceDE w:val="0"/>
              <w:autoSpaceDN w:val="0"/>
              <w:adjustRightInd w:val="0"/>
              <w:rPr>
                <w:rFonts w:ascii="Arial Narrow" w:hAnsi="Arial Narrow" w:cs="Arial Narrow"/>
                <w:iCs/>
                <w:sz w:val="20"/>
                <w:szCs w:val="20"/>
              </w:rPr>
            </w:pPr>
            <w:r w:rsidRPr="00D81EF6">
              <w:rPr>
                <w:rFonts w:ascii="Arial Narrow" w:hAnsi="Arial Narrow" w:cs="Arial Narrow"/>
                <w:iCs/>
                <w:sz w:val="18"/>
                <w:szCs w:val="18"/>
              </w:rPr>
              <w:t>Patient must not have any medical or psychiatric disorder that could otherwise account for the hypersomnia</w:t>
            </w:r>
          </w:p>
        </w:tc>
      </w:tr>
      <w:tr w:rsidR="005C3BCD" w:rsidRPr="00D81EF6" w14:paraId="338E77CE" w14:textId="77777777" w:rsidTr="005C3BCD">
        <w:tc>
          <w:tcPr>
            <w:tcW w:w="5000" w:type="pct"/>
            <w:vAlign w:val="center"/>
          </w:tcPr>
          <w:p w14:paraId="35554947" w14:textId="77777777" w:rsidR="005C3BCD" w:rsidRPr="00D81EF6" w:rsidRDefault="005C3BCD" w:rsidP="004D0C33">
            <w:pPr>
              <w:rPr>
                <w:rFonts w:ascii="Arial Narrow" w:hAnsi="Arial Narrow"/>
                <w:b/>
                <w:bCs/>
                <w:sz w:val="18"/>
                <w:szCs w:val="18"/>
              </w:rPr>
            </w:pPr>
            <w:r w:rsidRPr="00D81EF6">
              <w:rPr>
                <w:rFonts w:ascii="Arial Narrow" w:hAnsi="Arial Narrow"/>
                <w:b/>
                <w:bCs/>
                <w:sz w:val="18"/>
                <w:szCs w:val="18"/>
              </w:rPr>
              <w:t>Prescribing Instructions:</w:t>
            </w:r>
          </w:p>
          <w:p w14:paraId="23E9009C" w14:textId="77777777" w:rsidR="005C3BCD" w:rsidRPr="00D81EF6" w:rsidRDefault="005C3BCD" w:rsidP="004D0C33">
            <w:pPr>
              <w:rPr>
                <w:rFonts w:ascii="Arial Narrow" w:hAnsi="Arial Narrow"/>
                <w:sz w:val="18"/>
                <w:szCs w:val="18"/>
              </w:rPr>
            </w:pPr>
            <w:r w:rsidRPr="00D81EF6">
              <w:rPr>
                <w:rFonts w:ascii="Arial Narrow" w:hAnsi="Arial Narrow"/>
                <w:sz w:val="18"/>
                <w:szCs w:val="18"/>
              </w:rPr>
              <w:t>The presence of any one of the following indicates treatment with dexamfetamine sulfate poses an unacceptable medical risk:</w:t>
            </w:r>
          </w:p>
          <w:p w14:paraId="3CC93604" w14:textId="77777777" w:rsidR="005C3BCD" w:rsidRPr="00D81EF6" w:rsidRDefault="005C3BCD" w:rsidP="004D0C33">
            <w:pPr>
              <w:rPr>
                <w:rFonts w:ascii="Arial Narrow" w:hAnsi="Arial Narrow"/>
                <w:sz w:val="18"/>
                <w:szCs w:val="18"/>
              </w:rPr>
            </w:pPr>
            <w:r w:rsidRPr="00D81EF6">
              <w:rPr>
                <w:rFonts w:ascii="Arial Narrow" w:hAnsi="Arial Narrow"/>
                <w:sz w:val="18"/>
                <w:szCs w:val="18"/>
              </w:rPr>
              <w:t>(a) a psychiatric disorder;</w:t>
            </w:r>
          </w:p>
          <w:p w14:paraId="0E2A0D06" w14:textId="77777777" w:rsidR="005C3BCD" w:rsidRPr="00D81EF6" w:rsidRDefault="005C3BCD" w:rsidP="004D0C33">
            <w:pPr>
              <w:rPr>
                <w:rFonts w:ascii="Arial Narrow" w:hAnsi="Arial Narrow"/>
                <w:sz w:val="18"/>
                <w:szCs w:val="18"/>
              </w:rPr>
            </w:pPr>
            <w:r w:rsidRPr="00D81EF6">
              <w:rPr>
                <w:rFonts w:ascii="Arial Narrow" w:hAnsi="Arial Narrow"/>
                <w:sz w:val="18"/>
                <w:szCs w:val="18"/>
              </w:rPr>
              <w:t>(b) a cardiovascular disorder;</w:t>
            </w:r>
          </w:p>
          <w:p w14:paraId="7E426349" w14:textId="77777777" w:rsidR="005C3BCD" w:rsidRPr="00D81EF6" w:rsidRDefault="005C3BCD" w:rsidP="004D0C33">
            <w:pPr>
              <w:rPr>
                <w:rFonts w:ascii="Arial Narrow" w:hAnsi="Arial Narrow"/>
                <w:sz w:val="18"/>
                <w:szCs w:val="18"/>
              </w:rPr>
            </w:pPr>
            <w:r w:rsidRPr="00D81EF6">
              <w:rPr>
                <w:rFonts w:ascii="Arial Narrow" w:hAnsi="Arial Narrow"/>
                <w:sz w:val="18"/>
                <w:szCs w:val="18"/>
              </w:rPr>
              <w:t>(c) a history of substance abuse;</w:t>
            </w:r>
          </w:p>
          <w:p w14:paraId="53E7EBFE" w14:textId="77777777" w:rsidR="005C3BCD" w:rsidRPr="00D81EF6" w:rsidRDefault="005C3BCD" w:rsidP="004D0C33">
            <w:pPr>
              <w:rPr>
                <w:rFonts w:ascii="Arial Narrow" w:hAnsi="Arial Narrow"/>
                <w:sz w:val="18"/>
                <w:szCs w:val="18"/>
              </w:rPr>
            </w:pPr>
            <w:r w:rsidRPr="00D81EF6">
              <w:rPr>
                <w:rFonts w:ascii="Arial Narrow" w:hAnsi="Arial Narrow"/>
                <w:sz w:val="18"/>
                <w:szCs w:val="18"/>
              </w:rPr>
              <w:t>(d) glaucoma;</w:t>
            </w:r>
          </w:p>
          <w:p w14:paraId="67C2B45E" w14:textId="03554E83" w:rsidR="005C3BCD" w:rsidRPr="00D81EF6" w:rsidRDefault="005C3BCD" w:rsidP="004D0C33">
            <w:pPr>
              <w:jc w:val="left"/>
              <w:rPr>
                <w:rFonts w:ascii="Arial Narrow" w:hAnsi="Arial Narrow"/>
                <w:b/>
                <w:bCs/>
                <w:sz w:val="18"/>
                <w:szCs w:val="18"/>
              </w:rPr>
            </w:pPr>
            <w:r w:rsidRPr="00D81EF6">
              <w:rPr>
                <w:rFonts w:ascii="Arial Narrow" w:hAnsi="Arial Narrow"/>
                <w:sz w:val="18"/>
                <w:szCs w:val="18"/>
              </w:rPr>
              <w:t>(e) any other absolute contraindication to dexamfetamine sulfate as specified in the TGA-approved Product Information.</w:t>
            </w:r>
          </w:p>
        </w:tc>
      </w:tr>
      <w:tr w:rsidR="005C3BCD" w:rsidRPr="00D81EF6" w14:paraId="01C8A68C" w14:textId="77777777" w:rsidTr="005C3BCD">
        <w:tc>
          <w:tcPr>
            <w:tcW w:w="5000" w:type="pct"/>
            <w:vAlign w:val="center"/>
            <w:hideMark/>
          </w:tcPr>
          <w:p w14:paraId="12A0EF56" w14:textId="77777777" w:rsidR="005C3BCD" w:rsidRPr="00D81EF6" w:rsidRDefault="005C3BCD" w:rsidP="004D0C33">
            <w:pPr>
              <w:jc w:val="left"/>
              <w:rPr>
                <w:rFonts w:ascii="Arial Narrow" w:hAnsi="Arial Narrow"/>
                <w:sz w:val="18"/>
                <w:szCs w:val="18"/>
              </w:rPr>
            </w:pPr>
            <w:r w:rsidRPr="00D81EF6">
              <w:rPr>
                <w:rFonts w:ascii="Arial Narrow" w:hAnsi="Arial Narrow"/>
                <w:b/>
                <w:bCs/>
                <w:sz w:val="18"/>
                <w:szCs w:val="18"/>
              </w:rPr>
              <w:t>Prescribing Instructions:</w:t>
            </w:r>
          </w:p>
          <w:p w14:paraId="430A6B71" w14:textId="77777777" w:rsidR="005C3BCD" w:rsidRPr="00D81EF6" w:rsidRDefault="005C3BCD" w:rsidP="004D0C33">
            <w:pPr>
              <w:jc w:val="left"/>
              <w:rPr>
                <w:rFonts w:ascii="Arial Narrow" w:hAnsi="Arial Narrow"/>
                <w:sz w:val="18"/>
                <w:szCs w:val="18"/>
              </w:rPr>
            </w:pPr>
            <w:r w:rsidRPr="00D81EF6">
              <w:rPr>
                <w:rFonts w:ascii="Arial Narrow" w:hAnsi="Arial Narrow"/>
                <w:sz w:val="18"/>
                <w:szCs w:val="18"/>
              </w:rPr>
              <w:t>The MSLT must be preceded by nocturnal polysomnography. Sleep prior to the MSLT must be at least 6 hours in duration.</w:t>
            </w:r>
          </w:p>
        </w:tc>
      </w:tr>
      <w:tr w:rsidR="005C3BCD" w:rsidRPr="00D81EF6" w14:paraId="5DDE50B1" w14:textId="77777777" w:rsidTr="005C3BCD">
        <w:tc>
          <w:tcPr>
            <w:tcW w:w="5000" w:type="pct"/>
            <w:vAlign w:val="center"/>
            <w:hideMark/>
          </w:tcPr>
          <w:p w14:paraId="567C40DC" w14:textId="77777777" w:rsidR="005C3BCD" w:rsidRPr="00D81EF6" w:rsidRDefault="005C3BCD" w:rsidP="004D0C33">
            <w:pPr>
              <w:rPr>
                <w:rFonts w:ascii="Arial Narrow" w:hAnsi="Arial Narrow"/>
                <w:b/>
                <w:bCs/>
                <w:sz w:val="18"/>
                <w:szCs w:val="18"/>
              </w:rPr>
            </w:pPr>
            <w:r w:rsidRPr="00D81EF6">
              <w:rPr>
                <w:rFonts w:ascii="Arial Narrow" w:hAnsi="Arial Narrow"/>
                <w:b/>
                <w:bCs/>
                <w:sz w:val="18"/>
                <w:szCs w:val="18"/>
              </w:rPr>
              <w:t>Prescribing Instructions:</w:t>
            </w:r>
          </w:p>
          <w:p w14:paraId="77D11665" w14:textId="77777777" w:rsidR="005C3BCD" w:rsidRPr="00D81EF6" w:rsidRDefault="005C3BCD" w:rsidP="004D0C33">
            <w:pPr>
              <w:rPr>
                <w:rFonts w:ascii="Arial Narrow" w:hAnsi="Arial Narrow"/>
                <w:bCs/>
                <w:sz w:val="18"/>
                <w:szCs w:val="18"/>
              </w:rPr>
            </w:pPr>
            <w:r w:rsidRPr="00D81EF6">
              <w:rPr>
                <w:rFonts w:ascii="Arial Narrow" w:hAnsi="Arial Narrow"/>
                <w:bCs/>
                <w:sz w:val="18"/>
                <w:szCs w:val="18"/>
              </w:rPr>
              <w:t>The authority application must be made in writing and must include the following:</w:t>
            </w:r>
          </w:p>
          <w:p w14:paraId="2B55137C" w14:textId="77777777" w:rsidR="005C3BCD" w:rsidRPr="00D81EF6" w:rsidRDefault="005C3BCD" w:rsidP="004D0C33">
            <w:pPr>
              <w:rPr>
                <w:rFonts w:ascii="Arial Narrow" w:hAnsi="Arial Narrow"/>
                <w:bCs/>
                <w:sz w:val="18"/>
                <w:szCs w:val="18"/>
              </w:rPr>
            </w:pPr>
            <w:r w:rsidRPr="00D81EF6">
              <w:rPr>
                <w:rFonts w:ascii="Arial Narrow" w:hAnsi="Arial Narrow"/>
                <w:bCs/>
                <w:sz w:val="18"/>
                <w:szCs w:val="18"/>
              </w:rPr>
              <w:t>(a) a completed authority prescription form; and</w:t>
            </w:r>
          </w:p>
          <w:p w14:paraId="79D93A02" w14:textId="77777777" w:rsidR="005C3BCD" w:rsidRPr="00D81EF6" w:rsidRDefault="005C3BCD" w:rsidP="004D0C33">
            <w:pPr>
              <w:rPr>
                <w:rFonts w:ascii="Arial Narrow" w:hAnsi="Arial Narrow"/>
                <w:bCs/>
                <w:sz w:val="18"/>
                <w:szCs w:val="18"/>
              </w:rPr>
            </w:pPr>
            <w:r w:rsidRPr="00D81EF6">
              <w:rPr>
                <w:rFonts w:ascii="Arial Narrow" w:hAnsi="Arial Narrow"/>
                <w:bCs/>
                <w:sz w:val="18"/>
                <w:szCs w:val="18"/>
              </w:rPr>
              <w:t>(b) a completed Narcolepsy Initial PBS authority application and Supporting information form; and</w:t>
            </w:r>
          </w:p>
          <w:p w14:paraId="4504E926" w14:textId="32376465" w:rsidR="005C3BCD" w:rsidRPr="00D81EF6" w:rsidRDefault="005C3BCD" w:rsidP="004D0C33">
            <w:pPr>
              <w:rPr>
                <w:rFonts w:ascii="Arial Narrow" w:hAnsi="Arial Narrow"/>
                <w:bCs/>
                <w:sz w:val="18"/>
                <w:szCs w:val="18"/>
              </w:rPr>
            </w:pPr>
            <w:r w:rsidRPr="00D81EF6">
              <w:rPr>
                <w:rFonts w:ascii="Arial Narrow" w:hAnsi="Arial Narrow"/>
                <w:bCs/>
                <w:sz w:val="18"/>
                <w:szCs w:val="18"/>
              </w:rPr>
              <w:t>(c) details of the contraindication or intolerance to dexamfetamine sulfate; and</w:t>
            </w:r>
          </w:p>
          <w:p w14:paraId="3AECB3EE" w14:textId="36DD07B7" w:rsidR="005C3BCD" w:rsidRPr="00D81EF6" w:rsidRDefault="005C3BCD" w:rsidP="004D0C33">
            <w:pPr>
              <w:rPr>
                <w:rFonts w:ascii="Arial Narrow" w:hAnsi="Arial Narrow"/>
                <w:bCs/>
                <w:sz w:val="18"/>
                <w:szCs w:val="18"/>
              </w:rPr>
            </w:pPr>
            <w:r w:rsidRPr="00D81EF6">
              <w:rPr>
                <w:rFonts w:ascii="Arial Narrow" w:hAnsi="Arial Narrow"/>
                <w:bCs/>
                <w:sz w:val="18"/>
                <w:szCs w:val="18"/>
              </w:rPr>
              <w:t>(d) either:</w:t>
            </w:r>
          </w:p>
          <w:p w14:paraId="25BF7559" w14:textId="218FD699" w:rsidR="005C3BCD" w:rsidRPr="00D81EF6" w:rsidRDefault="005C3BCD" w:rsidP="004D0C33">
            <w:pPr>
              <w:rPr>
                <w:rFonts w:ascii="Arial Narrow" w:hAnsi="Arial Narrow"/>
                <w:bCs/>
                <w:sz w:val="18"/>
                <w:szCs w:val="18"/>
              </w:rPr>
            </w:pPr>
            <w:r w:rsidRPr="00D81EF6">
              <w:rPr>
                <w:rFonts w:ascii="Arial Narrow" w:hAnsi="Arial Narrow"/>
                <w:bCs/>
                <w:sz w:val="18"/>
                <w:szCs w:val="18"/>
              </w:rPr>
              <w:t>(i) the result and date of the polysomnography test and Multiple Sleep Latency Test (MSLT) conducted by, or under the supervision of, a qualified sleep medicine practitioner; or</w:t>
            </w:r>
          </w:p>
          <w:p w14:paraId="3D05A08A" w14:textId="77777777" w:rsidR="005C3BCD" w:rsidRPr="00D81EF6" w:rsidRDefault="005C3BCD" w:rsidP="004D0C33">
            <w:pPr>
              <w:rPr>
                <w:rFonts w:ascii="Arial Narrow" w:hAnsi="Arial Narrow"/>
                <w:bCs/>
                <w:sz w:val="18"/>
                <w:szCs w:val="18"/>
              </w:rPr>
            </w:pPr>
            <w:r w:rsidRPr="00D81EF6">
              <w:rPr>
                <w:rFonts w:ascii="Arial Narrow" w:hAnsi="Arial Narrow"/>
                <w:bCs/>
                <w:sz w:val="18"/>
                <w:szCs w:val="18"/>
              </w:rPr>
              <w:t>(ii) the result and date of the electroencephalograph (EEG), conducted by, or under the supervision of, a neurologist.</w:t>
            </w:r>
          </w:p>
          <w:p w14:paraId="1BEC935E" w14:textId="77777777" w:rsidR="005C3BCD" w:rsidRPr="00D81EF6" w:rsidRDefault="005C3BCD" w:rsidP="004D0C33">
            <w:pPr>
              <w:rPr>
                <w:rFonts w:ascii="Arial Narrow" w:hAnsi="Arial Narrow"/>
                <w:sz w:val="18"/>
                <w:szCs w:val="18"/>
              </w:rPr>
            </w:pPr>
            <w:r w:rsidRPr="00D81EF6">
              <w:rPr>
                <w:rFonts w:ascii="Arial Narrow" w:hAnsi="Arial Narrow"/>
                <w:bCs/>
                <w:sz w:val="18"/>
                <w:szCs w:val="18"/>
              </w:rPr>
              <w:t xml:space="preserve">The polysomnography, MSLT or EEG test reports must be provided with the authority application </w:t>
            </w:r>
            <w:r w:rsidRPr="00D81EF6">
              <w:rPr>
                <w:rFonts w:ascii="Arial Narrow" w:hAnsi="Arial Narrow"/>
                <w:bCs/>
                <w:i/>
                <w:sz w:val="18"/>
                <w:szCs w:val="18"/>
              </w:rPr>
              <w:t>except for the diagnosis of narcolepsy with history of cataplexy.</w:t>
            </w:r>
          </w:p>
        </w:tc>
      </w:tr>
      <w:tr w:rsidR="005C3BCD" w:rsidRPr="00D81EF6" w14:paraId="346E185F" w14:textId="77777777" w:rsidTr="005C3BCD">
        <w:tc>
          <w:tcPr>
            <w:tcW w:w="5000" w:type="pct"/>
            <w:vAlign w:val="center"/>
          </w:tcPr>
          <w:p w14:paraId="3900C390" w14:textId="77777777" w:rsidR="005C3BCD" w:rsidRPr="00D81EF6" w:rsidRDefault="005C3BCD" w:rsidP="004D0C33">
            <w:pPr>
              <w:rPr>
                <w:rFonts w:ascii="Arial Narrow" w:hAnsi="Arial Narrow"/>
                <w:sz w:val="18"/>
                <w:szCs w:val="18"/>
              </w:rPr>
            </w:pPr>
            <w:r w:rsidRPr="00D81EF6">
              <w:rPr>
                <w:rFonts w:ascii="Arial Narrow" w:hAnsi="Arial Narrow"/>
                <w:b/>
                <w:bCs/>
                <w:sz w:val="18"/>
                <w:szCs w:val="18"/>
              </w:rPr>
              <w:t>Administrative Advice:</w:t>
            </w:r>
          </w:p>
          <w:p w14:paraId="6D5B2B86" w14:textId="5735AC90" w:rsidR="005C3BCD" w:rsidRPr="00D81EF6" w:rsidRDefault="005C3BCD" w:rsidP="004D0C33">
            <w:pPr>
              <w:rPr>
                <w:rFonts w:ascii="Arial Narrow" w:hAnsi="Arial Narrow"/>
                <w:sz w:val="18"/>
                <w:szCs w:val="18"/>
              </w:rPr>
            </w:pPr>
            <w:r w:rsidRPr="00D81EF6">
              <w:rPr>
                <w:rFonts w:ascii="Arial Narrow" w:hAnsi="Arial Narrow"/>
                <w:sz w:val="18"/>
                <w:szCs w:val="18"/>
              </w:rPr>
              <w:t>Any queries concerning the arrangements to prescribe may be directed to Services Australia on 1800 700 270 (hours of operation 8 a.m. to 5 p.m. EST Monday to Friday).</w:t>
            </w:r>
          </w:p>
          <w:p w14:paraId="4129FD09" w14:textId="77777777" w:rsidR="005C3BCD" w:rsidRPr="00D81EF6" w:rsidRDefault="005C3BCD" w:rsidP="004D0C33">
            <w:pPr>
              <w:rPr>
                <w:rFonts w:ascii="Arial Narrow" w:hAnsi="Arial Narrow"/>
                <w:sz w:val="18"/>
                <w:szCs w:val="18"/>
              </w:rPr>
            </w:pPr>
          </w:p>
          <w:p w14:paraId="5DA1A711" w14:textId="30133269" w:rsidR="005C3BCD" w:rsidRPr="00D81EF6" w:rsidRDefault="005C3BCD" w:rsidP="004D0C33">
            <w:pPr>
              <w:rPr>
                <w:rFonts w:ascii="Arial Narrow" w:hAnsi="Arial Narrow"/>
                <w:sz w:val="18"/>
                <w:szCs w:val="18"/>
              </w:rPr>
            </w:pPr>
            <w:r w:rsidRPr="00D81EF6">
              <w:rPr>
                <w:rFonts w:ascii="Arial Narrow" w:hAnsi="Arial Narrow"/>
                <w:sz w:val="18"/>
                <w:szCs w:val="18"/>
              </w:rPr>
              <w:t xml:space="preserve">Prescribing information (including Authority Application forms and other relevant documentation as applicable) is available on the Services Australia website at </w:t>
            </w:r>
            <w:hyperlink r:id="rId9" w:tooltip="Services Australia website " w:history="1">
              <w:r w:rsidRPr="00D81EF6">
                <w:rPr>
                  <w:rStyle w:val="Hyperlink"/>
                  <w:rFonts w:ascii="Arial Narrow" w:hAnsi="Arial Narrow"/>
                  <w:sz w:val="18"/>
                  <w:szCs w:val="18"/>
                </w:rPr>
                <w:t>www.servicesaustralia.gov.au</w:t>
              </w:r>
            </w:hyperlink>
          </w:p>
          <w:p w14:paraId="7B5F7770" w14:textId="77777777" w:rsidR="005C3BCD" w:rsidRPr="00D81EF6" w:rsidRDefault="005C3BCD" w:rsidP="004D0C33">
            <w:pPr>
              <w:rPr>
                <w:rFonts w:ascii="Arial Narrow" w:hAnsi="Arial Narrow"/>
                <w:sz w:val="18"/>
                <w:szCs w:val="18"/>
              </w:rPr>
            </w:pPr>
          </w:p>
          <w:p w14:paraId="1D932CE4" w14:textId="77777777" w:rsidR="005C3BCD" w:rsidRPr="00D81EF6" w:rsidRDefault="005C3BCD" w:rsidP="004D0C33">
            <w:pPr>
              <w:rPr>
                <w:rFonts w:ascii="Arial Narrow" w:hAnsi="Arial Narrow"/>
                <w:sz w:val="18"/>
                <w:szCs w:val="18"/>
              </w:rPr>
            </w:pPr>
            <w:r w:rsidRPr="00D81EF6">
              <w:rPr>
                <w:rFonts w:ascii="Arial Narrow" w:hAnsi="Arial Narrow"/>
                <w:sz w:val="18"/>
                <w:szCs w:val="18"/>
              </w:rPr>
              <w:t>Applications for authority to prescribe should be submitted online using the form upload facility in Health Professional Online Services (HPOS) at www.servicesaustralia.gov.au/hpos</w:t>
            </w:r>
          </w:p>
          <w:p w14:paraId="341AB7F9" w14:textId="77777777" w:rsidR="005C3BCD" w:rsidRPr="00D81EF6" w:rsidRDefault="005C3BCD" w:rsidP="004D0C33">
            <w:pPr>
              <w:rPr>
                <w:rFonts w:ascii="Arial Narrow" w:hAnsi="Arial Narrow"/>
                <w:sz w:val="18"/>
                <w:szCs w:val="18"/>
              </w:rPr>
            </w:pPr>
          </w:p>
          <w:p w14:paraId="322DE804" w14:textId="1EAED47E" w:rsidR="005C3BCD" w:rsidRPr="00D81EF6" w:rsidRDefault="005C3BCD" w:rsidP="004D0C33">
            <w:pPr>
              <w:rPr>
                <w:rFonts w:ascii="Arial Narrow" w:hAnsi="Arial Narrow"/>
                <w:sz w:val="18"/>
                <w:szCs w:val="18"/>
              </w:rPr>
            </w:pPr>
            <w:r w:rsidRPr="00D81EF6">
              <w:rPr>
                <w:rFonts w:ascii="Arial Narrow" w:hAnsi="Arial Narrow"/>
                <w:sz w:val="18"/>
                <w:szCs w:val="18"/>
              </w:rPr>
              <w:t>Or mailed to:</w:t>
            </w:r>
          </w:p>
          <w:p w14:paraId="262ABC58" w14:textId="77777777" w:rsidR="005C3BCD" w:rsidRPr="00D81EF6" w:rsidRDefault="005C3BCD" w:rsidP="004D0C33">
            <w:pPr>
              <w:rPr>
                <w:rFonts w:ascii="Arial Narrow" w:hAnsi="Arial Narrow"/>
                <w:sz w:val="18"/>
                <w:szCs w:val="18"/>
              </w:rPr>
            </w:pPr>
            <w:r w:rsidRPr="00D81EF6">
              <w:rPr>
                <w:rFonts w:ascii="Arial Narrow" w:hAnsi="Arial Narrow"/>
                <w:sz w:val="18"/>
                <w:szCs w:val="18"/>
              </w:rPr>
              <w:t>Services Australia</w:t>
            </w:r>
          </w:p>
          <w:p w14:paraId="50883C1B" w14:textId="77777777" w:rsidR="005C3BCD" w:rsidRPr="00D81EF6" w:rsidRDefault="005C3BCD" w:rsidP="004D0C33">
            <w:pPr>
              <w:rPr>
                <w:rFonts w:ascii="Arial Narrow" w:hAnsi="Arial Narrow"/>
                <w:sz w:val="18"/>
                <w:szCs w:val="18"/>
              </w:rPr>
            </w:pPr>
            <w:r w:rsidRPr="00D81EF6">
              <w:rPr>
                <w:rFonts w:ascii="Arial Narrow" w:hAnsi="Arial Narrow"/>
                <w:sz w:val="18"/>
                <w:szCs w:val="18"/>
              </w:rPr>
              <w:t>Complex Drugs</w:t>
            </w:r>
          </w:p>
          <w:p w14:paraId="1576C43C" w14:textId="77777777" w:rsidR="005C3BCD" w:rsidRPr="00D81EF6" w:rsidRDefault="005C3BCD" w:rsidP="004D0C33">
            <w:pPr>
              <w:rPr>
                <w:rFonts w:ascii="Arial Narrow" w:hAnsi="Arial Narrow"/>
                <w:sz w:val="18"/>
                <w:szCs w:val="18"/>
              </w:rPr>
            </w:pPr>
            <w:r w:rsidRPr="00D81EF6">
              <w:rPr>
                <w:rFonts w:ascii="Arial Narrow" w:hAnsi="Arial Narrow"/>
                <w:sz w:val="18"/>
                <w:szCs w:val="18"/>
              </w:rPr>
              <w:t>Reply Paid 9826</w:t>
            </w:r>
          </w:p>
          <w:p w14:paraId="0868B82C" w14:textId="0852DEE8" w:rsidR="005C3BCD" w:rsidRPr="00D81EF6" w:rsidRDefault="005C3BCD" w:rsidP="004D0C33">
            <w:pPr>
              <w:jc w:val="left"/>
              <w:rPr>
                <w:rFonts w:ascii="Arial Narrow" w:hAnsi="Arial Narrow"/>
                <w:sz w:val="18"/>
                <w:szCs w:val="18"/>
              </w:rPr>
            </w:pPr>
            <w:r w:rsidRPr="00D81EF6">
              <w:rPr>
                <w:rFonts w:ascii="Arial Narrow" w:hAnsi="Arial Narrow"/>
                <w:sz w:val="18"/>
                <w:szCs w:val="18"/>
              </w:rPr>
              <w:t>HOBART TAS 7001</w:t>
            </w:r>
          </w:p>
        </w:tc>
      </w:tr>
    </w:tbl>
    <w:p w14:paraId="35A752B0" w14:textId="5F1C44AD" w:rsidR="00EB2425" w:rsidRDefault="00EB2425" w:rsidP="00EB2425">
      <w:pPr>
        <w:spacing w:after="160" w:line="259" w:lineRule="auto"/>
        <w:jc w:val="left"/>
        <w:rPr>
          <w:rFonts w:ascii="Arial Narrow" w:hAnsi="Arial Narrow"/>
          <w:b/>
          <w:sz w:val="18"/>
          <w:szCs w:val="18"/>
        </w:rPr>
      </w:pPr>
    </w:p>
    <w:p w14:paraId="5FA968F9" w14:textId="56DEFBC5" w:rsidR="009B03F3" w:rsidRPr="00D81EF6" w:rsidRDefault="009B03F3" w:rsidP="009B03F3">
      <w:pPr>
        <w:pStyle w:val="3Bodytext"/>
        <w:rPr>
          <w:snapToGrid w:val="0"/>
          <w:lang w:eastAsia="en-US"/>
        </w:rPr>
      </w:pPr>
      <w:r>
        <w:rPr>
          <w:snapToGrid w:val="0"/>
          <w:lang w:eastAsia="en-US"/>
        </w:rPr>
        <w:t>Create 2 new</w:t>
      </w:r>
      <w:r w:rsidRPr="00D81EF6">
        <w:rPr>
          <w:snapToGrid w:val="0"/>
          <w:lang w:eastAsia="en-US"/>
        </w:rPr>
        <w:t xml:space="preserve"> </w:t>
      </w:r>
      <w:r>
        <w:rPr>
          <w:snapToGrid w:val="0"/>
          <w:lang w:eastAsia="en-US"/>
        </w:rPr>
        <w:t xml:space="preserve">Initial treatment </w:t>
      </w:r>
      <w:r w:rsidRPr="00D81EF6">
        <w:rPr>
          <w:snapToGrid w:val="0"/>
          <w:lang w:eastAsia="en-US"/>
        </w:rPr>
        <w:t xml:space="preserve">listings </w:t>
      </w:r>
      <w:r>
        <w:rPr>
          <w:snapToGrid w:val="0"/>
          <w:lang w:eastAsia="en-US"/>
        </w:rPr>
        <w:t xml:space="preserve">(1 new listing </w:t>
      </w:r>
      <w:r w:rsidRPr="00D81EF6">
        <w:rPr>
          <w:snapToGrid w:val="0"/>
          <w:lang w:eastAsia="en-US"/>
        </w:rPr>
        <w:t xml:space="preserve">for </w:t>
      </w:r>
      <w:r>
        <w:rPr>
          <w:snapToGrid w:val="0"/>
          <w:lang w:eastAsia="en-US"/>
        </w:rPr>
        <w:t xml:space="preserve">modafinil </w:t>
      </w:r>
      <w:r w:rsidRPr="00D81EF6">
        <w:rPr>
          <w:snapToGrid w:val="0"/>
          <w:lang w:eastAsia="en-US"/>
        </w:rPr>
        <w:t>and</w:t>
      </w:r>
      <w:r>
        <w:rPr>
          <w:snapToGrid w:val="0"/>
          <w:lang w:eastAsia="en-US"/>
        </w:rPr>
        <w:t xml:space="preserve"> 1 new listing for</w:t>
      </w:r>
      <w:r w:rsidRPr="00D81EF6">
        <w:rPr>
          <w:snapToGrid w:val="0"/>
          <w:lang w:eastAsia="en-US"/>
        </w:rPr>
        <w:t xml:space="preserve"> armodafinil</w:t>
      </w:r>
      <w:r>
        <w:rPr>
          <w:snapToGrid w:val="0"/>
          <w:lang w:eastAsia="en-US"/>
        </w:rPr>
        <w:t>)</w:t>
      </w:r>
      <w:r w:rsidRPr="00D81EF6">
        <w:rPr>
          <w:snapToGrid w:val="0"/>
          <w:lang w:eastAsia="en-US"/>
        </w:rPr>
        <w:t xml:space="preserve"> </w:t>
      </w:r>
      <w:r>
        <w:rPr>
          <w:snapToGrid w:val="0"/>
          <w:lang w:eastAsia="en-US"/>
        </w:rPr>
        <w:t xml:space="preserve">for narcolepsy with cataplexy </w:t>
      </w:r>
      <w:r w:rsidRPr="00D81EF6">
        <w:rPr>
          <w:snapToGrid w:val="0"/>
          <w:lang w:eastAsia="en-US"/>
        </w:rPr>
        <w:t>as follows:</w:t>
      </w:r>
    </w:p>
    <w:p w14:paraId="5A83772A" w14:textId="77777777" w:rsidR="009B03F3" w:rsidRDefault="009B03F3" w:rsidP="00EB2425">
      <w:pPr>
        <w:spacing w:after="160" w:line="259" w:lineRule="auto"/>
        <w:jc w:val="left"/>
        <w:rPr>
          <w:rFonts w:ascii="Arial Narrow" w:hAnsi="Arial Narrow"/>
          <w:b/>
          <w:sz w:val="18"/>
          <w:szCs w:val="18"/>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2551"/>
      </w:tblGrid>
      <w:tr w:rsidR="00E47945" w:rsidRPr="00D81EF6" w14:paraId="5F132352" w14:textId="77777777" w:rsidTr="00E47945">
        <w:trPr>
          <w:cantSplit/>
          <w:trHeight w:val="471"/>
        </w:trPr>
        <w:tc>
          <w:tcPr>
            <w:tcW w:w="2689" w:type="dxa"/>
          </w:tcPr>
          <w:p w14:paraId="1B9555E2" w14:textId="77777777" w:rsidR="00E47945" w:rsidRPr="00D81EF6" w:rsidRDefault="00E47945" w:rsidP="00E47945">
            <w:pPr>
              <w:keepNext/>
              <w:ind w:left="-108"/>
              <w:rPr>
                <w:rFonts w:ascii="Arial Narrow" w:hAnsi="Arial Narrow" w:cs="Arial"/>
                <w:b/>
                <w:sz w:val="18"/>
                <w:szCs w:val="18"/>
              </w:rPr>
            </w:pPr>
            <w:r w:rsidRPr="00D81EF6">
              <w:rPr>
                <w:rFonts w:ascii="Arial Narrow" w:hAnsi="Arial Narrow" w:cs="Arial"/>
                <w:b/>
                <w:sz w:val="18"/>
                <w:szCs w:val="18"/>
              </w:rPr>
              <w:t>Name, Restriction,</w:t>
            </w:r>
          </w:p>
          <w:p w14:paraId="4B0C884E" w14:textId="77777777" w:rsidR="00E47945" w:rsidRPr="00D81EF6" w:rsidRDefault="00E47945" w:rsidP="00E47945">
            <w:pPr>
              <w:keepNext/>
              <w:ind w:left="-108"/>
              <w:rPr>
                <w:rFonts w:ascii="Arial Narrow" w:hAnsi="Arial Narrow" w:cs="Arial"/>
                <w:b/>
                <w:sz w:val="18"/>
                <w:szCs w:val="18"/>
              </w:rPr>
            </w:pPr>
            <w:r w:rsidRPr="00D81EF6">
              <w:rPr>
                <w:rFonts w:ascii="Arial Narrow" w:hAnsi="Arial Narrow" w:cs="Arial"/>
                <w:b/>
                <w:sz w:val="18"/>
                <w:szCs w:val="18"/>
              </w:rPr>
              <w:t>Manner of administration and form</w:t>
            </w:r>
          </w:p>
        </w:tc>
        <w:tc>
          <w:tcPr>
            <w:tcW w:w="1275" w:type="dxa"/>
          </w:tcPr>
          <w:p w14:paraId="3AD603EF" w14:textId="77777777" w:rsidR="00E47945" w:rsidRPr="00D81EF6" w:rsidRDefault="00E47945" w:rsidP="00E47945">
            <w:pPr>
              <w:keepNext/>
              <w:ind w:left="-108"/>
              <w:jc w:val="center"/>
              <w:rPr>
                <w:rFonts w:ascii="Arial Narrow" w:hAnsi="Arial Narrow" w:cs="Arial"/>
                <w:b/>
                <w:sz w:val="18"/>
                <w:szCs w:val="18"/>
              </w:rPr>
            </w:pPr>
            <w:r w:rsidRPr="00D81EF6">
              <w:rPr>
                <w:rFonts w:ascii="Arial Narrow" w:hAnsi="Arial Narrow" w:cs="Arial"/>
                <w:b/>
                <w:sz w:val="18"/>
                <w:szCs w:val="18"/>
              </w:rPr>
              <w:t>PBS item code</w:t>
            </w:r>
          </w:p>
        </w:tc>
        <w:tc>
          <w:tcPr>
            <w:tcW w:w="851" w:type="dxa"/>
          </w:tcPr>
          <w:p w14:paraId="3F61BB5F" w14:textId="77777777" w:rsidR="00E47945" w:rsidRPr="00D81EF6" w:rsidRDefault="00E47945" w:rsidP="00E47945">
            <w:pPr>
              <w:keepNext/>
              <w:ind w:left="-108"/>
              <w:jc w:val="center"/>
              <w:rPr>
                <w:rFonts w:ascii="Arial Narrow" w:hAnsi="Arial Narrow" w:cs="Arial"/>
                <w:b/>
                <w:sz w:val="18"/>
                <w:szCs w:val="18"/>
              </w:rPr>
            </w:pPr>
            <w:r w:rsidRPr="00D81EF6">
              <w:rPr>
                <w:rFonts w:ascii="Arial Narrow" w:hAnsi="Arial Narrow" w:cs="Arial"/>
                <w:b/>
                <w:sz w:val="18"/>
                <w:szCs w:val="18"/>
              </w:rPr>
              <w:t>Max. qty packs</w:t>
            </w:r>
          </w:p>
        </w:tc>
        <w:tc>
          <w:tcPr>
            <w:tcW w:w="850" w:type="dxa"/>
          </w:tcPr>
          <w:p w14:paraId="235DF34C" w14:textId="77777777" w:rsidR="00E47945" w:rsidRPr="00D81EF6" w:rsidRDefault="00E47945" w:rsidP="00E47945">
            <w:pPr>
              <w:keepNext/>
              <w:ind w:left="-108"/>
              <w:jc w:val="center"/>
              <w:rPr>
                <w:rFonts w:ascii="Arial Narrow" w:hAnsi="Arial Narrow" w:cs="Arial"/>
                <w:b/>
                <w:sz w:val="18"/>
                <w:szCs w:val="18"/>
              </w:rPr>
            </w:pPr>
            <w:r w:rsidRPr="00D81EF6">
              <w:rPr>
                <w:rFonts w:ascii="Arial Narrow" w:hAnsi="Arial Narrow" w:cs="Arial"/>
                <w:b/>
                <w:sz w:val="18"/>
                <w:szCs w:val="18"/>
              </w:rPr>
              <w:t>Max. qty units</w:t>
            </w:r>
          </w:p>
        </w:tc>
        <w:tc>
          <w:tcPr>
            <w:tcW w:w="709" w:type="dxa"/>
          </w:tcPr>
          <w:p w14:paraId="664B5E88" w14:textId="77777777" w:rsidR="00E47945" w:rsidRPr="00D81EF6" w:rsidRDefault="00E47945" w:rsidP="00E47945">
            <w:pPr>
              <w:keepNext/>
              <w:ind w:left="-108"/>
              <w:jc w:val="center"/>
              <w:rPr>
                <w:rFonts w:ascii="Arial Narrow" w:hAnsi="Arial Narrow" w:cs="Arial"/>
                <w:b/>
                <w:sz w:val="18"/>
                <w:szCs w:val="18"/>
              </w:rPr>
            </w:pPr>
            <w:r w:rsidRPr="00D81EF6">
              <w:rPr>
                <w:rFonts w:ascii="Arial Narrow" w:hAnsi="Arial Narrow" w:cs="Arial"/>
                <w:b/>
                <w:sz w:val="18"/>
                <w:szCs w:val="18"/>
              </w:rPr>
              <w:t>№.of</w:t>
            </w:r>
          </w:p>
          <w:p w14:paraId="747682E3" w14:textId="77777777" w:rsidR="00E47945" w:rsidRPr="00D81EF6" w:rsidRDefault="00E47945" w:rsidP="00E47945">
            <w:pPr>
              <w:keepNext/>
              <w:ind w:left="-108"/>
              <w:jc w:val="center"/>
              <w:rPr>
                <w:rFonts w:ascii="Arial Narrow" w:hAnsi="Arial Narrow" w:cs="Arial"/>
                <w:b/>
                <w:sz w:val="18"/>
                <w:szCs w:val="18"/>
              </w:rPr>
            </w:pPr>
            <w:r w:rsidRPr="00D81EF6">
              <w:rPr>
                <w:rFonts w:ascii="Arial Narrow" w:hAnsi="Arial Narrow" w:cs="Arial"/>
                <w:b/>
                <w:sz w:val="18"/>
                <w:szCs w:val="18"/>
              </w:rPr>
              <w:t>Rpts</w:t>
            </w:r>
          </w:p>
        </w:tc>
        <w:tc>
          <w:tcPr>
            <w:tcW w:w="2551" w:type="dxa"/>
          </w:tcPr>
          <w:p w14:paraId="0188257F" w14:textId="77777777" w:rsidR="00E47945" w:rsidRPr="00D81EF6" w:rsidRDefault="00E47945" w:rsidP="00E47945">
            <w:pPr>
              <w:keepNext/>
              <w:rPr>
                <w:rFonts w:ascii="Arial Narrow" w:hAnsi="Arial Narrow" w:cs="Arial"/>
                <w:b/>
                <w:sz w:val="18"/>
                <w:szCs w:val="18"/>
              </w:rPr>
            </w:pPr>
            <w:r w:rsidRPr="00D81EF6">
              <w:rPr>
                <w:rFonts w:ascii="Arial Narrow" w:hAnsi="Arial Narrow" w:cs="Arial"/>
                <w:b/>
                <w:sz w:val="18"/>
                <w:szCs w:val="18"/>
              </w:rPr>
              <w:t>Proprietary Name and Manufacturer</w:t>
            </w:r>
          </w:p>
        </w:tc>
      </w:tr>
      <w:tr w:rsidR="00E47945" w:rsidRPr="00D81EF6" w14:paraId="2CF7D296" w14:textId="77777777" w:rsidTr="00E47945">
        <w:trPr>
          <w:cantSplit/>
          <w:trHeight w:val="469"/>
        </w:trPr>
        <w:tc>
          <w:tcPr>
            <w:tcW w:w="2689" w:type="dxa"/>
          </w:tcPr>
          <w:p w14:paraId="7C3EE4BE" w14:textId="77777777" w:rsidR="00E47945" w:rsidRPr="00D81EF6" w:rsidRDefault="00E47945" w:rsidP="00E47945">
            <w:pPr>
              <w:keepNext/>
              <w:ind w:left="-108"/>
              <w:rPr>
                <w:rFonts w:ascii="Arial Narrow" w:hAnsi="Arial Narrow" w:cs="Arial"/>
                <w:sz w:val="18"/>
                <w:szCs w:val="18"/>
              </w:rPr>
            </w:pPr>
            <w:r w:rsidRPr="00D81EF6">
              <w:rPr>
                <w:rFonts w:ascii="Arial Narrow" w:hAnsi="Arial Narrow" w:cs="Arial"/>
                <w:sz w:val="18"/>
                <w:szCs w:val="18"/>
              </w:rPr>
              <w:t>MODAFINIL</w:t>
            </w:r>
          </w:p>
          <w:p w14:paraId="13DA3E2B" w14:textId="77777777" w:rsidR="00E47945" w:rsidRPr="00D81EF6" w:rsidRDefault="00E47945" w:rsidP="00E47945">
            <w:pPr>
              <w:keepNext/>
              <w:ind w:left="-108"/>
              <w:rPr>
                <w:rFonts w:ascii="Arial Narrow" w:hAnsi="Arial Narrow" w:cs="Arial"/>
                <w:sz w:val="18"/>
                <w:szCs w:val="18"/>
              </w:rPr>
            </w:pPr>
            <w:r w:rsidRPr="00D81EF6">
              <w:rPr>
                <w:rFonts w:ascii="Arial Narrow" w:hAnsi="Arial Narrow" w:cs="Arial"/>
                <w:sz w:val="18"/>
                <w:szCs w:val="18"/>
              </w:rPr>
              <w:t>modafinil 100 mg tablet, 60</w:t>
            </w:r>
          </w:p>
        </w:tc>
        <w:tc>
          <w:tcPr>
            <w:tcW w:w="1275" w:type="dxa"/>
          </w:tcPr>
          <w:p w14:paraId="368FB5E3" w14:textId="77777777" w:rsidR="00E47945" w:rsidRPr="00D81EF6" w:rsidRDefault="00E47945" w:rsidP="00E47945">
            <w:pPr>
              <w:keepNext/>
              <w:rPr>
                <w:rFonts w:ascii="Arial Narrow" w:hAnsi="Arial Narrow" w:cs="Arial"/>
                <w:sz w:val="18"/>
                <w:szCs w:val="18"/>
              </w:rPr>
            </w:pPr>
          </w:p>
          <w:p w14:paraId="42419D22" w14:textId="77777777" w:rsidR="00E47945" w:rsidRPr="00D81EF6" w:rsidRDefault="00E47945" w:rsidP="00E47945">
            <w:pPr>
              <w:keepNext/>
              <w:ind w:left="-108"/>
              <w:jc w:val="center"/>
              <w:rPr>
                <w:rFonts w:ascii="Arial Narrow" w:hAnsi="Arial Narrow" w:cs="Arial"/>
                <w:sz w:val="18"/>
                <w:szCs w:val="18"/>
              </w:rPr>
            </w:pPr>
            <w:r w:rsidRPr="00D81EF6">
              <w:rPr>
                <w:rFonts w:ascii="Arial Narrow" w:hAnsi="Arial Narrow" w:cs="Arial"/>
                <w:sz w:val="18"/>
                <w:szCs w:val="18"/>
              </w:rPr>
              <w:t>8816B</w:t>
            </w:r>
          </w:p>
        </w:tc>
        <w:tc>
          <w:tcPr>
            <w:tcW w:w="851" w:type="dxa"/>
          </w:tcPr>
          <w:p w14:paraId="6A35E8C2" w14:textId="77777777" w:rsidR="00E47945" w:rsidRPr="00D81EF6" w:rsidRDefault="00E47945" w:rsidP="00E47945">
            <w:pPr>
              <w:keepNext/>
              <w:rPr>
                <w:rFonts w:ascii="Arial Narrow" w:hAnsi="Arial Narrow" w:cs="Arial"/>
                <w:sz w:val="18"/>
                <w:szCs w:val="18"/>
              </w:rPr>
            </w:pPr>
          </w:p>
          <w:p w14:paraId="312F384A" w14:textId="77777777" w:rsidR="00E47945" w:rsidRPr="00D81EF6" w:rsidRDefault="00E47945" w:rsidP="00E47945">
            <w:pPr>
              <w:keepNext/>
              <w:jc w:val="center"/>
              <w:rPr>
                <w:rFonts w:ascii="Arial Narrow" w:hAnsi="Arial Narrow" w:cs="Arial"/>
                <w:sz w:val="18"/>
                <w:szCs w:val="18"/>
              </w:rPr>
            </w:pPr>
            <w:r w:rsidRPr="00D81EF6">
              <w:rPr>
                <w:rFonts w:ascii="Arial Narrow" w:hAnsi="Arial Narrow" w:cs="Arial"/>
                <w:sz w:val="18"/>
                <w:szCs w:val="18"/>
              </w:rPr>
              <w:t>2</w:t>
            </w:r>
          </w:p>
        </w:tc>
        <w:tc>
          <w:tcPr>
            <w:tcW w:w="850" w:type="dxa"/>
          </w:tcPr>
          <w:p w14:paraId="7B8F323D" w14:textId="77777777" w:rsidR="00E47945" w:rsidRPr="00D81EF6" w:rsidRDefault="00E47945" w:rsidP="00E47945">
            <w:pPr>
              <w:keepNext/>
              <w:rPr>
                <w:rFonts w:ascii="Arial Narrow" w:hAnsi="Arial Narrow" w:cs="Arial"/>
                <w:sz w:val="18"/>
                <w:szCs w:val="18"/>
              </w:rPr>
            </w:pPr>
          </w:p>
          <w:p w14:paraId="3F8759AD" w14:textId="77777777" w:rsidR="00E47945" w:rsidRPr="00D81EF6" w:rsidRDefault="00E47945" w:rsidP="00E47945">
            <w:pPr>
              <w:keepNext/>
              <w:ind w:left="-108"/>
              <w:jc w:val="center"/>
              <w:rPr>
                <w:rFonts w:ascii="Arial Narrow" w:hAnsi="Arial Narrow" w:cs="Arial"/>
                <w:sz w:val="18"/>
                <w:szCs w:val="18"/>
              </w:rPr>
            </w:pPr>
            <w:r w:rsidRPr="00D81EF6">
              <w:rPr>
                <w:rFonts w:ascii="Arial Narrow" w:hAnsi="Arial Narrow" w:cs="Arial"/>
                <w:sz w:val="18"/>
                <w:szCs w:val="18"/>
              </w:rPr>
              <w:t>120</w:t>
            </w:r>
          </w:p>
        </w:tc>
        <w:tc>
          <w:tcPr>
            <w:tcW w:w="709" w:type="dxa"/>
          </w:tcPr>
          <w:p w14:paraId="46882414" w14:textId="77777777" w:rsidR="00E47945" w:rsidRPr="00D81EF6" w:rsidRDefault="00E47945" w:rsidP="00E47945">
            <w:pPr>
              <w:keepNext/>
              <w:rPr>
                <w:rFonts w:ascii="Arial Narrow" w:hAnsi="Arial Narrow" w:cs="Arial"/>
                <w:sz w:val="18"/>
                <w:szCs w:val="18"/>
              </w:rPr>
            </w:pPr>
          </w:p>
          <w:p w14:paraId="6FDCF21F" w14:textId="77777777" w:rsidR="00E47945" w:rsidRPr="00D81EF6" w:rsidRDefault="00E47945" w:rsidP="00E47945">
            <w:pPr>
              <w:keepNext/>
              <w:ind w:left="-108"/>
              <w:jc w:val="center"/>
              <w:rPr>
                <w:rFonts w:ascii="Arial Narrow" w:hAnsi="Arial Narrow" w:cs="Arial"/>
                <w:sz w:val="18"/>
                <w:szCs w:val="18"/>
              </w:rPr>
            </w:pPr>
            <w:r w:rsidRPr="00D81EF6">
              <w:rPr>
                <w:rFonts w:ascii="Arial Narrow" w:hAnsi="Arial Narrow" w:cs="Arial"/>
                <w:sz w:val="18"/>
                <w:szCs w:val="18"/>
              </w:rPr>
              <w:t>5</w:t>
            </w:r>
          </w:p>
        </w:tc>
        <w:tc>
          <w:tcPr>
            <w:tcW w:w="2551" w:type="dxa"/>
          </w:tcPr>
          <w:p w14:paraId="0A418DD2" w14:textId="77777777" w:rsidR="00E47945" w:rsidRPr="00D81EF6" w:rsidRDefault="00E47945" w:rsidP="00E47945">
            <w:pPr>
              <w:keepNext/>
              <w:rPr>
                <w:rFonts w:ascii="Arial Narrow" w:hAnsi="Arial Narrow" w:cs="Arial"/>
                <w:sz w:val="18"/>
                <w:szCs w:val="18"/>
              </w:rPr>
            </w:pPr>
          </w:p>
          <w:p w14:paraId="0FEA5CD3" w14:textId="77777777" w:rsidR="00E47945" w:rsidRPr="00D81EF6" w:rsidRDefault="00E47945" w:rsidP="00E47945">
            <w:pPr>
              <w:keepNext/>
              <w:rPr>
                <w:rFonts w:ascii="Arial Narrow" w:hAnsi="Arial Narrow" w:cs="Arial"/>
                <w:sz w:val="18"/>
                <w:szCs w:val="18"/>
              </w:rPr>
            </w:pPr>
            <w:r w:rsidRPr="00D81EF6">
              <w:rPr>
                <w:rFonts w:ascii="Arial Narrow" w:hAnsi="Arial Narrow" w:cs="Arial"/>
                <w:sz w:val="18"/>
                <w:szCs w:val="18"/>
              </w:rPr>
              <w:t>Various brands and sponsors</w:t>
            </w:r>
          </w:p>
        </w:tc>
      </w:tr>
    </w:tbl>
    <w:p w14:paraId="3A56865B" w14:textId="77777777" w:rsidR="00E47945" w:rsidRPr="00D81EF6" w:rsidRDefault="00E47945" w:rsidP="00E47945"/>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709"/>
        <w:gridCol w:w="1842"/>
      </w:tblGrid>
      <w:tr w:rsidR="00E47945" w:rsidRPr="00D81EF6" w14:paraId="3497B24C" w14:textId="77777777" w:rsidTr="00E47945">
        <w:trPr>
          <w:cantSplit/>
          <w:trHeight w:val="471"/>
        </w:trPr>
        <w:tc>
          <w:tcPr>
            <w:tcW w:w="2689" w:type="dxa"/>
          </w:tcPr>
          <w:p w14:paraId="246D1DF0" w14:textId="77777777" w:rsidR="00E47945" w:rsidRPr="00D81EF6" w:rsidRDefault="00E47945" w:rsidP="00E47945">
            <w:pPr>
              <w:keepNext/>
              <w:ind w:left="-108"/>
              <w:rPr>
                <w:rFonts w:ascii="Arial Narrow" w:hAnsi="Arial Narrow" w:cs="Arial"/>
                <w:b/>
                <w:sz w:val="18"/>
                <w:szCs w:val="18"/>
              </w:rPr>
            </w:pPr>
            <w:r w:rsidRPr="00D81EF6">
              <w:rPr>
                <w:rFonts w:ascii="Arial Narrow" w:hAnsi="Arial Narrow" w:cs="Arial"/>
                <w:b/>
                <w:sz w:val="18"/>
                <w:szCs w:val="18"/>
              </w:rPr>
              <w:t>Name, Restriction,</w:t>
            </w:r>
          </w:p>
          <w:p w14:paraId="0922419B" w14:textId="77777777" w:rsidR="00E47945" w:rsidRPr="00D81EF6" w:rsidRDefault="00E47945" w:rsidP="00E47945">
            <w:pPr>
              <w:keepNext/>
              <w:ind w:left="-108"/>
              <w:rPr>
                <w:rFonts w:ascii="Arial Narrow" w:hAnsi="Arial Narrow" w:cs="Arial"/>
                <w:b/>
                <w:sz w:val="18"/>
                <w:szCs w:val="18"/>
              </w:rPr>
            </w:pPr>
            <w:r w:rsidRPr="00D81EF6">
              <w:rPr>
                <w:rFonts w:ascii="Arial Narrow" w:hAnsi="Arial Narrow" w:cs="Arial"/>
                <w:b/>
                <w:sz w:val="18"/>
                <w:szCs w:val="18"/>
              </w:rPr>
              <w:t>Manner of administration and form</w:t>
            </w:r>
          </w:p>
        </w:tc>
        <w:tc>
          <w:tcPr>
            <w:tcW w:w="1275" w:type="dxa"/>
          </w:tcPr>
          <w:p w14:paraId="023B7A61" w14:textId="77777777" w:rsidR="00E47945" w:rsidRPr="00D81EF6" w:rsidRDefault="00E47945" w:rsidP="00E47945">
            <w:pPr>
              <w:keepNext/>
              <w:ind w:left="-108"/>
              <w:jc w:val="center"/>
              <w:rPr>
                <w:rFonts w:ascii="Arial Narrow" w:hAnsi="Arial Narrow" w:cs="Arial"/>
                <w:b/>
                <w:sz w:val="18"/>
                <w:szCs w:val="18"/>
              </w:rPr>
            </w:pPr>
            <w:r w:rsidRPr="00D81EF6">
              <w:rPr>
                <w:rFonts w:ascii="Arial Narrow" w:hAnsi="Arial Narrow" w:cs="Arial"/>
                <w:b/>
                <w:sz w:val="18"/>
                <w:szCs w:val="18"/>
              </w:rPr>
              <w:t>PBS item code</w:t>
            </w:r>
          </w:p>
        </w:tc>
        <w:tc>
          <w:tcPr>
            <w:tcW w:w="851" w:type="dxa"/>
          </w:tcPr>
          <w:p w14:paraId="3ED28F04" w14:textId="77777777" w:rsidR="00E47945" w:rsidRPr="00D81EF6" w:rsidRDefault="00E47945" w:rsidP="00E47945">
            <w:pPr>
              <w:keepNext/>
              <w:ind w:left="-108"/>
              <w:jc w:val="center"/>
              <w:rPr>
                <w:rFonts w:ascii="Arial Narrow" w:hAnsi="Arial Narrow" w:cs="Arial"/>
                <w:b/>
                <w:sz w:val="18"/>
                <w:szCs w:val="18"/>
              </w:rPr>
            </w:pPr>
            <w:r w:rsidRPr="00D81EF6">
              <w:rPr>
                <w:rFonts w:ascii="Arial Narrow" w:hAnsi="Arial Narrow" w:cs="Arial"/>
                <w:b/>
                <w:sz w:val="18"/>
                <w:szCs w:val="18"/>
              </w:rPr>
              <w:t>Max. qty packs</w:t>
            </w:r>
          </w:p>
        </w:tc>
        <w:tc>
          <w:tcPr>
            <w:tcW w:w="850" w:type="dxa"/>
          </w:tcPr>
          <w:p w14:paraId="2EC553A4" w14:textId="77777777" w:rsidR="00E47945" w:rsidRPr="00D81EF6" w:rsidRDefault="00E47945" w:rsidP="00E47945">
            <w:pPr>
              <w:keepNext/>
              <w:ind w:left="-108"/>
              <w:jc w:val="center"/>
              <w:rPr>
                <w:rFonts w:ascii="Arial Narrow" w:hAnsi="Arial Narrow" w:cs="Arial"/>
                <w:b/>
                <w:sz w:val="18"/>
                <w:szCs w:val="18"/>
              </w:rPr>
            </w:pPr>
            <w:r w:rsidRPr="00D81EF6">
              <w:rPr>
                <w:rFonts w:ascii="Arial Narrow" w:hAnsi="Arial Narrow" w:cs="Arial"/>
                <w:b/>
                <w:sz w:val="18"/>
                <w:szCs w:val="18"/>
              </w:rPr>
              <w:t>Max. qty units</w:t>
            </w:r>
          </w:p>
        </w:tc>
        <w:tc>
          <w:tcPr>
            <w:tcW w:w="709" w:type="dxa"/>
          </w:tcPr>
          <w:p w14:paraId="6326741F" w14:textId="77777777" w:rsidR="00E47945" w:rsidRPr="00D81EF6" w:rsidRDefault="00E47945" w:rsidP="00E47945">
            <w:pPr>
              <w:keepNext/>
              <w:ind w:left="-108"/>
              <w:jc w:val="center"/>
              <w:rPr>
                <w:rFonts w:ascii="Arial Narrow" w:hAnsi="Arial Narrow" w:cs="Arial"/>
                <w:b/>
                <w:sz w:val="18"/>
                <w:szCs w:val="18"/>
              </w:rPr>
            </w:pPr>
            <w:r w:rsidRPr="00D81EF6">
              <w:rPr>
                <w:rFonts w:ascii="Arial Narrow" w:hAnsi="Arial Narrow" w:cs="Arial"/>
                <w:b/>
                <w:sz w:val="18"/>
                <w:szCs w:val="18"/>
              </w:rPr>
              <w:t>№.of</w:t>
            </w:r>
          </w:p>
          <w:p w14:paraId="5541B648" w14:textId="77777777" w:rsidR="00E47945" w:rsidRPr="00D81EF6" w:rsidRDefault="00E47945" w:rsidP="00E47945">
            <w:pPr>
              <w:keepNext/>
              <w:ind w:left="-108"/>
              <w:jc w:val="center"/>
              <w:rPr>
                <w:rFonts w:ascii="Arial Narrow" w:hAnsi="Arial Narrow" w:cs="Arial"/>
                <w:b/>
                <w:sz w:val="18"/>
                <w:szCs w:val="18"/>
              </w:rPr>
            </w:pPr>
            <w:r w:rsidRPr="00D81EF6">
              <w:rPr>
                <w:rFonts w:ascii="Arial Narrow" w:hAnsi="Arial Narrow" w:cs="Arial"/>
                <w:b/>
                <w:sz w:val="18"/>
                <w:szCs w:val="18"/>
              </w:rPr>
              <w:t>Rpts</w:t>
            </w:r>
          </w:p>
        </w:tc>
        <w:tc>
          <w:tcPr>
            <w:tcW w:w="2551" w:type="dxa"/>
            <w:gridSpan w:val="2"/>
          </w:tcPr>
          <w:p w14:paraId="54FACD02" w14:textId="77777777" w:rsidR="00E47945" w:rsidRPr="00D81EF6" w:rsidRDefault="00E47945" w:rsidP="00E47945">
            <w:pPr>
              <w:keepNext/>
              <w:rPr>
                <w:rFonts w:ascii="Arial Narrow" w:hAnsi="Arial Narrow" w:cs="Arial"/>
                <w:b/>
                <w:sz w:val="18"/>
                <w:szCs w:val="18"/>
              </w:rPr>
            </w:pPr>
            <w:r w:rsidRPr="00D81EF6">
              <w:rPr>
                <w:rFonts w:ascii="Arial Narrow" w:hAnsi="Arial Narrow" w:cs="Arial"/>
                <w:b/>
                <w:sz w:val="18"/>
                <w:szCs w:val="18"/>
              </w:rPr>
              <w:t>Proprietary Name and Manufacturer</w:t>
            </w:r>
          </w:p>
        </w:tc>
      </w:tr>
      <w:tr w:rsidR="00E47945" w:rsidRPr="00D81EF6" w14:paraId="56F74C10" w14:textId="77777777" w:rsidTr="00E47945">
        <w:trPr>
          <w:cantSplit/>
          <w:trHeight w:val="327"/>
        </w:trPr>
        <w:tc>
          <w:tcPr>
            <w:tcW w:w="2689" w:type="dxa"/>
          </w:tcPr>
          <w:p w14:paraId="3A9FEF04" w14:textId="77777777" w:rsidR="00E47945" w:rsidRPr="00D81EF6" w:rsidRDefault="00E47945" w:rsidP="00E47945">
            <w:pPr>
              <w:keepNext/>
              <w:ind w:left="-108"/>
              <w:rPr>
                <w:rFonts w:ascii="Arial Narrow" w:hAnsi="Arial Narrow" w:cs="Arial"/>
                <w:sz w:val="18"/>
                <w:szCs w:val="18"/>
              </w:rPr>
            </w:pPr>
            <w:r w:rsidRPr="00D81EF6">
              <w:rPr>
                <w:rFonts w:ascii="Arial Narrow" w:hAnsi="Arial Narrow" w:cs="Arial"/>
                <w:sz w:val="18"/>
                <w:szCs w:val="18"/>
              </w:rPr>
              <w:t>ARMODAFINIL</w:t>
            </w:r>
          </w:p>
          <w:p w14:paraId="24A14B64" w14:textId="77777777" w:rsidR="00E47945" w:rsidRPr="00D81EF6" w:rsidRDefault="00E47945" w:rsidP="00E47945">
            <w:pPr>
              <w:keepNext/>
              <w:ind w:left="-108"/>
              <w:rPr>
                <w:rFonts w:ascii="Arial Narrow" w:hAnsi="Arial Narrow" w:cs="Arial"/>
                <w:sz w:val="18"/>
                <w:szCs w:val="18"/>
              </w:rPr>
            </w:pPr>
            <w:r w:rsidRPr="00D81EF6">
              <w:rPr>
                <w:rFonts w:ascii="Arial Narrow" w:hAnsi="Arial Narrow" w:cs="Arial"/>
                <w:sz w:val="18"/>
                <w:szCs w:val="18"/>
              </w:rPr>
              <w:t>armodafinil 50 mg tablet, 30</w:t>
            </w:r>
          </w:p>
          <w:p w14:paraId="5AD5F41F" w14:textId="77777777" w:rsidR="00E47945" w:rsidRPr="00D81EF6" w:rsidRDefault="00E47945" w:rsidP="00E47945">
            <w:pPr>
              <w:keepNext/>
              <w:ind w:left="-108"/>
              <w:rPr>
                <w:rFonts w:ascii="Arial Narrow" w:hAnsi="Arial Narrow" w:cs="Arial"/>
                <w:sz w:val="18"/>
                <w:szCs w:val="18"/>
              </w:rPr>
            </w:pPr>
            <w:r w:rsidRPr="00D81EF6">
              <w:rPr>
                <w:rFonts w:ascii="Arial Narrow" w:hAnsi="Arial Narrow" w:cs="Arial"/>
                <w:sz w:val="18"/>
                <w:szCs w:val="18"/>
              </w:rPr>
              <w:t>armodafinil 150 mg tablet, 30</w:t>
            </w:r>
          </w:p>
          <w:p w14:paraId="605480DA" w14:textId="02E74DBA" w:rsidR="00E47945" w:rsidRPr="00D81EF6" w:rsidRDefault="00E47945" w:rsidP="00E149F1">
            <w:pPr>
              <w:keepNext/>
              <w:ind w:left="-108"/>
              <w:rPr>
                <w:rFonts w:ascii="Arial Narrow" w:hAnsi="Arial Narrow" w:cs="Arial"/>
                <w:sz w:val="18"/>
                <w:szCs w:val="18"/>
              </w:rPr>
            </w:pPr>
            <w:r w:rsidRPr="00D81EF6">
              <w:rPr>
                <w:rFonts w:ascii="Arial Narrow" w:hAnsi="Arial Narrow" w:cs="Arial"/>
                <w:sz w:val="18"/>
                <w:szCs w:val="18"/>
              </w:rPr>
              <w:t>armodafinil 250 mg tablet, 30</w:t>
            </w:r>
          </w:p>
        </w:tc>
        <w:tc>
          <w:tcPr>
            <w:tcW w:w="1275" w:type="dxa"/>
          </w:tcPr>
          <w:p w14:paraId="24E01406" w14:textId="77777777" w:rsidR="00E47945" w:rsidRPr="00D81EF6" w:rsidRDefault="00E47945" w:rsidP="00E47945">
            <w:pPr>
              <w:keepNext/>
              <w:jc w:val="center"/>
              <w:rPr>
                <w:rFonts w:ascii="Arial Narrow" w:hAnsi="Arial Narrow" w:cs="Arial"/>
                <w:sz w:val="18"/>
                <w:szCs w:val="18"/>
              </w:rPr>
            </w:pPr>
          </w:p>
          <w:p w14:paraId="436CE214" w14:textId="77777777" w:rsidR="00E47945" w:rsidRPr="00D81EF6" w:rsidRDefault="00E47945" w:rsidP="00E47945">
            <w:pPr>
              <w:keepNext/>
              <w:jc w:val="center"/>
              <w:rPr>
                <w:rFonts w:ascii="Arial Narrow" w:hAnsi="Arial Narrow" w:cs="Arial"/>
                <w:sz w:val="18"/>
                <w:szCs w:val="18"/>
              </w:rPr>
            </w:pPr>
            <w:r w:rsidRPr="00D81EF6">
              <w:rPr>
                <w:rFonts w:ascii="Arial Narrow" w:hAnsi="Arial Narrow" w:cs="Arial"/>
                <w:sz w:val="18"/>
                <w:szCs w:val="18"/>
              </w:rPr>
              <w:t>10922W</w:t>
            </w:r>
          </w:p>
          <w:p w14:paraId="4329E013" w14:textId="77777777" w:rsidR="00E47945" w:rsidRPr="00D81EF6" w:rsidRDefault="00E47945" w:rsidP="00E47945">
            <w:pPr>
              <w:keepNext/>
              <w:jc w:val="center"/>
              <w:rPr>
                <w:rFonts w:ascii="Arial Narrow" w:hAnsi="Arial Narrow" w:cs="Arial"/>
                <w:sz w:val="18"/>
                <w:szCs w:val="18"/>
              </w:rPr>
            </w:pPr>
            <w:r w:rsidRPr="00D81EF6">
              <w:rPr>
                <w:rFonts w:ascii="Arial Narrow" w:hAnsi="Arial Narrow" w:cs="Arial"/>
                <w:sz w:val="18"/>
                <w:szCs w:val="18"/>
              </w:rPr>
              <w:t>10912H</w:t>
            </w:r>
          </w:p>
          <w:p w14:paraId="38860554" w14:textId="77777777" w:rsidR="00E47945" w:rsidRPr="00D81EF6" w:rsidRDefault="00E47945" w:rsidP="00E47945">
            <w:pPr>
              <w:keepNext/>
              <w:jc w:val="center"/>
              <w:rPr>
                <w:rFonts w:ascii="Arial Narrow" w:hAnsi="Arial Narrow" w:cs="Arial"/>
                <w:sz w:val="18"/>
                <w:szCs w:val="18"/>
              </w:rPr>
            </w:pPr>
            <w:r w:rsidRPr="00D81EF6">
              <w:rPr>
                <w:rFonts w:ascii="Arial Narrow" w:hAnsi="Arial Narrow" w:cs="Arial"/>
                <w:sz w:val="18"/>
                <w:szCs w:val="18"/>
              </w:rPr>
              <w:t>10919Q</w:t>
            </w:r>
          </w:p>
        </w:tc>
        <w:tc>
          <w:tcPr>
            <w:tcW w:w="851" w:type="dxa"/>
          </w:tcPr>
          <w:p w14:paraId="08874BD9" w14:textId="77777777" w:rsidR="00E47945" w:rsidRPr="00D81EF6" w:rsidRDefault="00E47945" w:rsidP="00E47945">
            <w:pPr>
              <w:keepNext/>
              <w:jc w:val="center"/>
              <w:rPr>
                <w:rFonts w:ascii="Arial Narrow" w:hAnsi="Arial Narrow" w:cs="Arial"/>
                <w:sz w:val="18"/>
                <w:szCs w:val="18"/>
              </w:rPr>
            </w:pPr>
          </w:p>
          <w:p w14:paraId="49757FA0" w14:textId="77777777" w:rsidR="00E47945" w:rsidRPr="00D81EF6" w:rsidRDefault="00E47945" w:rsidP="00E47945">
            <w:pPr>
              <w:keepNext/>
              <w:jc w:val="center"/>
              <w:rPr>
                <w:rFonts w:ascii="Arial Narrow" w:hAnsi="Arial Narrow" w:cs="Arial"/>
                <w:sz w:val="18"/>
                <w:szCs w:val="18"/>
              </w:rPr>
            </w:pPr>
            <w:r w:rsidRPr="00D81EF6">
              <w:rPr>
                <w:rFonts w:ascii="Arial Narrow" w:hAnsi="Arial Narrow" w:cs="Arial"/>
                <w:sz w:val="18"/>
                <w:szCs w:val="18"/>
              </w:rPr>
              <w:t>2</w:t>
            </w:r>
          </w:p>
          <w:p w14:paraId="3BADF504" w14:textId="77777777" w:rsidR="00E47945" w:rsidRPr="00D81EF6" w:rsidRDefault="00E47945" w:rsidP="00E47945">
            <w:pPr>
              <w:keepNext/>
              <w:jc w:val="center"/>
              <w:rPr>
                <w:rFonts w:ascii="Arial Narrow" w:hAnsi="Arial Narrow" w:cs="Arial"/>
                <w:sz w:val="18"/>
                <w:szCs w:val="18"/>
              </w:rPr>
            </w:pPr>
            <w:r w:rsidRPr="00D81EF6">
              <w:rPr>
                <w:rFonts w:ascii="Arial Narrow" w:hAnsi="Arial Narrow" w:cs="Arial"/>
                <w:sz w:val="18"/>
                <w:szCs w:val="18"/>
              </w:rPr>
              <w:t>1</w:t>
            </w:r>
          </w:p>
          <w:p w14:paraId="1B9D76C4" w14:textId="77777777" w:rsidR="00E47945" w:rsidRPr="00D81EF6" w:rsidRDefault="00E47945" w:rsidP="00E47945">
            <w:pPr>
              <w:keepNext/>
              <w:jc w:val="center"/>
              <w:rPr>
                <w:rFonts w:ascii="Arial Narrow" w:hAnsi="Arial Narrow" w:cs="Arial"/>
                <w:sz w:val="18"/>
                <w:szCs w:val="18"/>
              </w:rPr>
            </w:pPr>
            <w:r w:rsidRPr="00D81EF6">
              <w:rPr>
                <w:rFonts w:ascii="Arial Narrow" w:hAnsi="Arial Narrow" w:cs="Arial"/>
                <w:sz w:val="18"/>
                <w:szCs w:val="18"/>
              </w:rPr>
              <w:t>1</w:t>
            </w:r>
          </w:p>
        </w:tc>
        <w:tc>
          <w:tcPr>
            <w:tcW w:w="850" w:type="dxa"/>
          </w:tcPr>
          <w:p w14:paraId="02E20EA7" w14:textId="77777777" w:rsidR="00E47945" w:rsidRPr="00D81EF6" w:rsidRDefault="00E47945" w:rsidP="00E47945">
            <w:pPr>
              <w:keepNext/>
              <w:ind w:left="-108"/>
              <w:jc w:val="center"/>
              <w:rPr>
                <w:rFonts w:ascii="Arial Narrow" w:hAnsi="Arial Narrow" w:cs="Arial"/>
                <w:sz w:val="18"/>
                <w:szCs w:val="18"/>
              </w:rPr>
            </w:pPr>
          </w:p>
          <w:p w14:paraId="3558E127" w14:textId="77777777" w:rsidR="00E47945" w:rsidRPr="00D81EF6" w:rsidRDefault="00E47945" w:rsidP="00E47945">
            <w:pPr>
              <w:keepNext/>
              <w:ind w:left="-108"/>
              <w:jc w:val="center"/>
              <w:rPr>
                <w:rFonts w:ascii="Arial Narrow" w:hAnsi="Arial Narrow" w:cs="Arial"/>
                <w:sz w:val="18"/>
                <w:szCs w:val="18"/>
              </w:rPr>
            </w:pPr>
            <w:r w:rsidRPr="00D81EF6">
              <w:rPr>
                <w:rFonts w:ascii="Arial Narrow" w:hAnsi="Arial Narrow" w:cs="Arial"/>
                <w:sz w:val="18"/>
                <w:szCs w:val="18"/>
              </w:rPr>
              <w:t>60</w:t>
            </w:r>
          </w:p>
          <w:p w14:paraId="2DC26FC3" w14:textId="77777777" w:rsidR="00E47945" w:rsidRPr="00D81EF6" w:rsidRDefault="00E47945" w:rsidP="00E47945">
            <w:pPr>
              <w:keepNext/>
              <w:ind w:left="-108"/>
              <w:jc w:val="center"/>
              <w:rPr>
                <w:rFonts w:ascii="Arial Narrow" w:hAnsi="Arial Narrow" w:cs="Arial"/>
                <w:sz w:val="18"/>
                <w:szCs w:val="18"/>
              </w:rPr>
            </w:pPr>
            <w:r w:rsidRPr="00D81EF6">
              <w:rPr>
                <w:rFonts w:ascii="Arial Narrow" w:hAnsi="Arial Narrow" w:cs="Arial"/>
                <w:sz w:val="18"/>
                <w:szCs w:val="18"/>
              </w:rPr>
              <w:t>30</w:t>
            </w:r>
          </w:p>
          <w:p w14:paraId="1746471C" w14:textId="77777777" w:rsidR="00E47945" w:rsidRPr="00D81EF6" w:rsidRDefault="00E47945" w:rsidP="00E47945">
            <w:pPr>
              <w:keepNext/>
              <w:ind w:left="-108"/>
              <w:jc w:val="center"/>
              <w:rPr>
                <w:rFonts w:ascii="Arial Narrow" w:hAnsi="Arial Narrow" w:cs="Arial"/>
                <w:sz w:val="18"/>
                <w:szCs w:val="18"/>
              </w:rPr>
            </w:pPr>
            <w:r w:rsidRPr="00D81EF6">
              <w:rPr>
                <w:rFonts w:ascii="Arial Narrow" w:hAnsi="Arial Narrow" w:cs="Arial"/>
                <w:sz w:val="18"/>
                <w:szCs w:val="18"/>
              </w:rPr>
              <w:t>30</w:t>
            </w:r>
          </w:p>
        </w:tc>
        <w:tc>
          <w:tcPr>
            <w:tcW w:w="709" w:type="dxa"/>
          </w:tcPr>
          <w:p w14:paraId="7E22CAA5" w14:textId="77777777" w:rsidR="00E47945" w:rsidRPr="00D81EF6" w:rsidRDefault="00E47945" w:rsidP="00E47945">
            <w:pPr>
              <w:keepNext/>
              <w:ind w:left="-108"/>
              <w:jc w:val="center"/>
              <w:rPr>
                <w:rFonts w:ascii="Arial Narrow" w:hAnsi="Arial Narrow" w:cs="Arial"/>
                <w:sz w:val="18"/>
                <w:szCs w:val="18"/>
              </w:rPr>
            </w:pPr>
          </w:p>
          <w:p w14:paraId="17C5151A" w14:textId="77777777" w:rsidR="00E47945" w:rsidRPr="00D81EF6" w:rsidRDefault="00E47945" w:rsidP="00E47945">
            <w:pPr>
              <w:keepNext/>
              <w:ind w:left="-108"/>
              <w:jc w:val="center"/>
              <w:rPr>
                <w:rFonts w:ascii="Arial Narrow" w:hAnsi="Arial Narrow" w:cs="Arial"/>
                <w:sz w:val="18"/>
                <w:szCs w:val="18"/>
              </w:rPr>
            </w:pPr>
            <w:r w:rsidRPr="00D81EF6">
              <w:rPr>
                <w:rFonts w:ascii="Arial Narrow" w:hAnsi="Arial Narrow" w:cs="Arial"/>
                <w:sz w:val="18"/>
                <w:szCs w:val="18"/>
              </w:rPr>
              <w:t>5</w:t>
            </w:r>
          </w:p>
          <w:p w14:paraId="7EC75557" w14:textId="77777777" w:rsidR="00E47945" w:rsidRPr="00D81EF6" w:rsidRDefault="00E47945" w:rsidP="00E47945">
            <w:pPr>
              <w:keepNext/>
              <w:ind w:left="-108"/>
              <w:jc w:val="center"/>
              <w:rPr>
                <w:rFonts w:ascii="Arial Narrow" w:hAnsi="Arial Narrow" w:cs="Arial"/>
                <w:sz w:val="18"/>
                <w:szCs w:val="18"/>
              </w:rPr>
            </w:pPr>
            <w:r w:rsidRPr="00D81EF6">
              <w:rPr>
                <w:rFonts w:ascii="Arial Narrow" w:hAnsi="Arial Narrow" w:cs="Arial"/>
                <w:sz w:val="18"/>
                <w:szCs w:val="18"/>
              </w:rPr>
              <w:t>5</w:t>
            </w:r>
          </w:p>
          <w:p w14:paraId="4021F513" w14:textId="77777777" w:rsidR="00E47945" w:rsidRPr="00D81EF6" w:rsidRDefault="00E47945" w:rsidP="00E47945">
            <w:pPr>
              <w:keepNext/>
              <w:ind w:left="-108"/>
              <w:jc w:val="center"/>
              <w:rPr>
                <w:rFonts w:ascii="Arial Narrow" w:hAnsi="Arial Narrow" w:cs="Arial"/>
                <w:sz w:val="18"/>
                <w:szCs w:val="18"/>
              </w:rPr>
            </w:pPr>
            <w:r w:rsidRPr="00D81EF6">
              <w:rPr>
                <w:rFonts w:ascii="Arial Narrow" w:hAnsi="Arial Narrow" w:cs="Arial"/>
                <w:sz w:val="18"/>
                <w:szCs w:val="18"/>
              </w:rPr>
              <w:t>5</w:t>
            </w:r>
          </w:p>
        </w:tc>
        <w:tc>
          <w:tcPr>
            <w:tcW w:w="709" w:type="dxa"/>
          </w:tcPr>
          <w:p w14:paraId="71C3A727" w14:textId="77777777" w:rsidR="00E47945" w:rsidRPr="00D81EF6" w:rsidRDefault="00E47945" w:rsidP="00E47945">
            <w:pPr>
              <w:keepNext/>
              <w:rPr>
                <w:rFonts w:ascii="Arial Narrow" w:hAnsi="Arial Narrow" w:cs="Arial"/>
                <w:sz w:val="18"/>
                <w:szCs w:val="18"/>
              </w:rPr>
            </w:pPr>
            <w:r w:rsidRPr="00D81EF6">
              <w:rPr>
                <w:rFonts w:ascii="Arial Narrow" w:hAnsi="Arial Narrow" w:cs="Arial"/>
                <w:sz w:val="18"/>
                <w:szCs w:val="18"/>
              </w:rPr>
              <w:t>Nuvigil</w:t>
            </w:r>
          </w:p>
        </w:tc>
        <w:tc>
          <w:tcPr>
            <w:tcW w:w="1842" w:type="dxa"/>
          </w:tcPr>
          <w:p w14:paraId="79F0676B" w14:textId="77777777" w:rsidR="00E47945" w:rsidRPr="00D81EF6" w:rsidRDefault="00E47945" w:rsidP="00E47945">
            <w:pPr>
              <w:keepNext/>
              <w:rPr>
                <w:rFonts w:ascii="Arial Narrow" w:hAnsi="Arial Narrow" w:cs="Arial"/>
                <w:sz w:val="18"/>
                <w:szCs w:val="18"/>
              </w:rPr>
            </w:pPr>
            <w:r w:rsidRPr="00D81EF6">
              <w:rPr>
                <w:rFonts w:ascii="Arial Narrow" w:hAnsi="Arial Narrow" w:cs="Arial"/>
                <w:sz w:val="18"/>
                <w:szCs w:val="18"/>
              </w:rPr>
              <w:t>Teva Pharma Australia</w:t>
            </w:r>
          </w:p>
          <w:p w14:paraId="16BC7593" w14:textId="77777777" w:rsidR="00E47945" w:rsidRPr="00D81EF6" w:rsidRDefault="00E47945" w:rsidP="00E47945">
            <w:pPr>
              <w:keepNext/>
              <w:rPr>
                <w:rFonts w:ascii="Arial Narrow" w:hAnsi="Arial Narrow" w:cs="Arial"/>
                <w:sz w:val="18"/>
                <w:szCs w:val="18"/>
              </w:rPr>
            </w:pPr>
            <w:r w:rsidRPr="00D81EF6">
              <w:rPr>
                <w:rFonts w:ascii="Arial Narrow" w:hAnsi="Arial Narrow" w:cs="Arial"/>
                <w:sz w:val="18"/>
                <w:szCs w:val="18"/>
              </w:rPr>
              <w:t>Pty Limited</w:t>
            </w:r>
          </w:p>
        </w:tc>
      </w:tr>
    </w:tbl>
    <w:p w14:paraId="682DDC79" w14:textId="77777777" w:rsidR="00E47945" w:rsidRPr="00D81EF6" w:rsidRDefault="00E47945" w:rsidP="00E47945"/>
    <w:p w14:paraId="427005EB" w14:textId="14F3AD78" w:rsidR="00E47945" w:rsidRPr="00D81EF6" w:rsidRDefault="00551EB7" w:rsidP="00E47945">
      <w:pPr>
        <w:keepNext/>
        <w:keepLines/>
        <w:rPr>
          <w:rFonts w:ascii="Arial Narrow" w:hAnsi="Arial Narrow"/>
          <w:b/>
          <w:sz w:val="18"/>
          <w:szCs w:val="18"/>
        </w:rPr>
      </w:pPr>
      <w:r>
        <w:rPr>
          <w:rFonts w:ascii="Arial Narrow" w:hAnsi="Arial Narrow"/>
          <w:b/>
          <w:sz w:val="18"/>
          <w:szCs w:val="18"/>
        </w:rPr>
        <w:t xml:space="preserve">Create 2 new </w:t>
      </w:r>
      <w:r w:rsidR="00E47945" w:rsidRPr="00D81EF6">
        <w:rPr>
          <w:rFonts w:ascii="Arial Narrow" w:hAnsi="Arial Narrow"/>
          <w:b/>
          <w:sz w:val="18"/>
          <w:szCs w:val="18"/>
        </w:rPr>
        <w:t>Restriction Summar</w:t>
      </w:r>
      <w:r>
        <w:rPr>
          <w:rFonts w:ascii="Arial Narrow" w:hAnsi="Arial Narrow"/>
          <w:b/>
          <w:sz w:val="18"/>
          <w:szCs w:val="18"/>
        </w:rPr>
        <w:t>ies</w:t>
      </w:r>
      <w:r w:rsidR="00E47945" w:rsidRPr="00D81EF6">
        <w:rPr>
          <w:rFonts w:ascii="Arial Narrow" w:hAnsi="Arial Narrow"/>
          <w:b/>
          <w:sz w:val="18"/>
          <w:szCs w:val="18"/>
        </w:rPr>
        <w:t xml:space="preserve"> </w:t>
      </w:r>
      <w:r w:rsidR="001B51B8">
        <w:rPr>
          <w:rFonts w:ascii="Arial Narrow" w:hAnsi="Arial Narrow"/>
          <w:b/>
          <w:sz w:val="18"/>
          <w:szCs w:val="18"/>
        </w:rPr>
        <w:t xml:space="preserve">[NEW] </w:t>
      </w:r>
      <w:r w:rsidR="00E47945" w:rsidRPr="00D81EF6">
        <w:rPr>
          <w:rFonts w:ascii="Arial Narrow" w:hAnsi="Arial Narrow"/>
          <w:b/>
          <w:sz w:val="18"/>
          <w:szCs w:val="18"/>
        </w:rPr>
        <w:t xml:space="preserve">Treatment of Concept: </w:t>
      </w:r>
      <w:r w:rsidR="001B51B8">
        <w:rPr>
          <w:rFonts w:ascii="Arial Narrow" w:hAnsi="Arial Narrow"/>
          <w:b/>
          <w:sz w:val="18"/>
          <w:szCs w:val="18"/>
        </w:rPr>
        <w:t xml:space="preserve"> [NEW]</w:t>
      </w:r>
      <w:r>
        <w:rPr>
          <w:rFonts w:ascii="Arial Narrow" w:hAnsi="Arial Narrow"/>
          <w:b/>
          <w:sz w:val="18"/>
          <w:szCs w:val="18"/>
        </w:rPr>
        <w:t xml:space="preserve"> (1 for </w:t>
      </w:r>
      <w:r w:rsidR="001248E3">
        <w:rPr>
          <w:rFonts w:ascii="Arial Narrow" w:hAnsi="Arial Narrow"/>
          <w:b/>
          <w:sz w:val="18"/>
          <w:szCs w:val="18"/>
        </w:rPr>
        <w:t>modafinil</w:t>
      </w:r>
      <w:r>
        <w:rPr>
          <w:rFonts w:ascii="Arial Narrow" w:hAnsi="Arial Narrow"/>
          <w:b/>
          <w:sz w:val="18"/>
          <w:szCs w:val="18"/>
        </w:rPr>
        <w:t xml:space="preserve">, 1 for </w:t>
      </w:r>
      <w:r w:rsidR="001248E3">
        <w:rPr>
          <w:rFonts w:ascii="Arial Narrow" w:hAnsi="Arial Narrow"/>
          <w:b/>
          <w:sz w:val="18"/>
          <w:szCs w:val="18"/>
        </w:rPr>
        <w:t>armodafinil</w:t>
      </w:r>
      <w:r>
        <w:rPr>
          <w:rFonts w:ascii="Arial Narrow" w:hAnsi="Arial Narrow"/>
          <w:b/>
          <w:sz w:val="18"/>
          <w:szCs w:val="18"/>
        </w:rPr>
        <w:t>)</w:t>
      </w:r>
    </w:p>
    <w:tbl>
      <w:tblPr>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39"/>
      </w:tblGrid>
      <w:tr w:rsidR="005C3BCD" w:rsidRPr="00D81EF6" w14:paraId="4C05D295" w14:textId="77777777" w:rsidTr="005C3BCD">
        <w:tc>
          <w:tcPr>
            <w:tcW w:w="5000" w:type="pct"/>
            <w:tcBorders>
              <w:top w:val="single" w:sz="4" w:space="0" w:color="auto"/>
              <w:left w:val="single" w:sz="4" w:space="0" w:color="auto"/>
              <w:bottom w:val="single" w:sz="4" w:space="0" w:color="auto"/>
              <w:right w:val="single" w:sz="4" w:space="0" w:color="auto"/>
            </w:tcBorders>
          </w:tcPr>
          <w:p w14:paraId="5A6E1418" w14:textId="77777777" w:rsidR="005C3BCD" w:rsidRPr="00D81EF6" w:rsidRDefault="005C3BCD" w:rsidP="00E47945">
            <w:pPr>
              <w:keepNext/>
              <w:keepLines/>
              <w:rPr>
                <w:rFonts w:ascii="Arial Narrow" w:hAnsi="Arial Narrow" w:cs="Arial"/>
                <w:sz w:val="18"/>
                <w:szCs w:val="18"/>
              </w:rPr>
            </w:pPr>
            <w:r w:rsidRPr="00D81EF6">
              <w:rPr>
                <w:rFonts w:ascii="Arial Narrow" w:hAnsi="Arial Narrow" w:cs="Arial"/>
                <w:b/>
                <w:sz w:val="18"/>
                <w:szCs w:val="18"/>
              </w:rPr>
              <w:t xml:space="preserve">Category / Program:   </w:t>
            </w:r>
            <w:r w:rsidRPr="00D81EF6">
              <w:rPr>
                <w:rFonts w:ascii="Arial Narrow" w:hAnsi="Arial Narrow" w:cs="Arial"/>
                <w:sz w:val="18"/>
                <w:szCs w:val="18"/>
              </w:rPr>
              <w:t xml:space="preserve">GENERAL – General Schedule (Code GE) </w:t>
            </w:r>
          </w:p>
        </w:tc>
      </w:tr>
      <w:tr w:rsidR="005C3BCD" w:rsidRPr="00D81EF6" w14:paraId="4643B03A" w14:textId="77777777" w:rsidTr="005C3BCD">
        <w:trPr>
          <w:trHeight w:val="49"/>
        </w:trPr>
        <w:tc>
          <w:tcPr>
            <w:tcW w:w="5000" w:type="pct"/>
            <w:tcBorders>
              <w:top w:val="single" w:sz="4" w:space="0" w:color="auto"/>
              <w:left w:val="single" w:sz="4" w:space="0" w:color="auto"/>
              <w:bottom w:val="single" w:sz="4" w:space="0" w:color="auto"/>
              <w:right w:val="single" w:sz="4" w:space="0" w:color="auto"/>
            </w:tcBorders>
          </w:tcPr>
          <w:p w14:paraId="58A82942" w14:textId="39C79E85" w:rsidR="005C3BCD" w:rsidRPr="00D81EF6" w:rsidRDefault="005C3BCD" w:rsidP="00E47945">
            <w:pPr>
              <w:rPr>
                <w:rFonts w:ascii="Arial Narrow" w:hAnsi="Arial Narrow" w:cs="Arial"/>
                <w:b/>
                <w:sz w:val="18"/>
                <w:szCs w:val="18"/>
              </w:rPr>
            </w:pPr>
            <w:r w:rsidRPr="00D81EF6">
              <w:rPr>
                <w:rFonts w:ascii="Arial Narrow" w:hAnsi="Arial Narrow" w:cs="Arial"/>
                <w:b/>
                <w:sz w:val="18"/>
                <w:szCs w:val="18"/>
              </w:rPr>
              <w:t>Prescriber type:</w:t>
            </w:r>
            <w:r w:rsidRPr="00D81EF6">
              <w:rPr>
                <w:rFonts w:ascii="Arial Narrow" w:hAnsi="Arial Narrow" w:cs="Arial"/>
                <w:sz w:val="18"/>
                <w:szCs w:val="18"/>
              </w:rPr>
              <w:t xml:space="preserve">  </w:t>
            </w:r>
            <w:r w:rsidRPr="008B405F">
              <w:rPr>
                <w:rFonts w:ascii="Arial Narrow" w:hAnsi="Arial Narrow" w:cs="Arial"/>
                <w:sz w:val="18"/>
                <w:szCs w:val="18"/>
              </w:rPr>
              <w:fldChar w:fldCharType="begin">
                <w:ffData>
                  <w:name w:val=""/>
                  <w:enabled/>
                  <w:calcOnExit w:val="0"/>
                  <w:checkBox>
                    <w:sizeAuto/>
                    <w:default w:val="1"/>
                  </w:checkBox>
                </w:ffData>
              </w:fldChar>
            </w:r>
            <w:r w:rsidRPr="00D81EF6">
              <w:rPr>
                <w:rFonts w:ascii="Arial Narrow" w:hAnsi="Arial Narrow" w:cs="Arial"/>
                <w:sz w:val="18"/>
                <w:szCs w:val="18"/>
              </w:rPr>
              <w:instrText xml:space="preserve"> FORMCHECKBOX </w:instrText>
            </w:r>
            <w:r w:rsidR="000129CA">
              <w:rPr>
                <w:rFonts w:ascii="Arial Narrow" w:hAnsi="Arial Narrow" w:cs="Arial"/>
                <w:sz w:val="18"/>
                <w:szCs w:val="18"/>
              </w:rPr>
            </w:r>
            <w:r w:rsidR="000129CA">
              <w:rPr>
                <w:rFonts w:ascii="Arial Narrow" w:hAnsi="Arial Narrow" w:cs="Arial"/>
                <w:sz w:val="18"/>
                <w:szCs w:val="18"/>
              </w:rPr>
              <w:fldChar w:fldCharType="separate"/>
            </w:r>
            <w:r w:rsidRPr="008B405F">
              <w:rPr>
                <w:rFonts w:ascii="Arial Narrow" w:hAnsi="Arial Narrow" w:cs="Arial"/>
                <w:sz w:val="18"/>
                <w:szCs w:val="18"/>
              </w:rPr>
              <w:fldChar w:fldCharType="end"/>
            </w:r>
            <w:r w:rsidR="000129CA">
              <w:rPr>
                <w:rFonts w:ascii="Arial Narrow" w:hAnsi="Arial Narrow" w:cs="Arial"/>
                <w:sz w:val="18"/>
                <w:szCs w:val="18"/>
              </w:rPr>
              <w:t xml:space="preserve">Medical Practitioners </w:t>
            </w:r>
          </w:p>
        </w:tc>
      </w:tr>
      <w:tr w:rsidR="005C3BCD" w:rsidRPr="00D81EF6" w14:paraId="5951C5FA" w14:textId="77777777" w:rsidTr="005C3BCD">
        <w:tc>
          <w:tcPr>
            <w:tcW w:w="5000" w:type="pct"/>
            <w:tcBorders>
              <w:top w:val="single" w:sz="4" w:space="0" w:color="auto"/>
              <w:left w:val="single" w:sz="4" w:space="0" w:color="auto"/>
              <w:bottom w:val="single" w:sz="4" w:space="0" w:color="auto"/>
              <w:right w:val="single" w:sz="4" w:space="0" w:color="auto"/>
            </w:tcBorders>
          </w:tcPr>
          <w:p w14:paraId="1A4EBA67" w14:textId="2D78B9F7" w:rsidR="005C3BCD" w:rsidRPr="005D4E40" w:rsidRDefault="005C3BCD" w:rsidP="00551EB7">
            <w:pPr>
              <w:rPr>
                <w:rFonts w:ascii="Arial Narrow" w:hAnsi="Arial Narrow" w:cs="Arial"/>
                <w:i/>
                <w:sz w:val="18"/>
                <w:szCs w:val="18"/>
              </w:rPr>
            </w:pPr>
            <w:r w:rsidRPr="00D81EF6">
              <w:rPr>
                <w:rFonts w:ascii="Arial Narrow" w:hAnsi="Arial Narrow" w:cs="Arial"/>
                <w:b/>
                <w:sz w:val="18"/>
                <w:szCs w:val="18"/>
              </w:rPr>
              <w:t>Restriction type / Method:</w:t>
            </w:r>
            <w:r w:rsidRPr="00D81EF6">
              <w:rPr>
                <w:rFonts w:ascii="Arial Narrow" w:hAnsi="Arial Narrow" w:cs="Arial"/>
                <w:sz w:val="18"/>
                <w:szCs w:val="18"/>
              </w:rPr>
              <w:t xml:space="preserve"> </w:t>
            </w:r>
            <w:r w:rsidRPr="005D4E40">
              <w:rPr>
                <w:rFonts w:ascii="Arial Narrow" w:hAnsi="Arial Narrow" w:cs="Arial"/>
                <w:sz w:val="18"/>
                <w:szCs w:val="18"/>
              </w:rPr>
              <w:fldChar w:fldCharType="begin">
                <w:ffData>
                  <w:name w:val=""/>
                  <w:enabled/>
                  <w:calcOnExit w:val="0"/>
                  <w:checkBox>
                    <w:sizeAuto/>
                    <w:default w:val="1"/>
                  </w:checkBox>
                </w:ffData>
              </w:fldChar>
            </w:r>
            <w:r w:rsidRPr="005D4E40">
              <w:rPr>
                <w:rFonts w:ascii="Arial Narrow" w:hAnsi="Arial Narrow" w:cs="Arial"/>
                <w:sz w:val="18"/>
                <w:szCs w:val="18"/>
              </w:rPr>
              <w:instrText xml:space="preserve"> FORMCHECKBOX </w:instrText>
            </w:r>
            <w:r w:rsidR="000129CA">
              <w:rPr>
                <w:rFonts w:ascii="Arial Narrow" w:hAnsi="Arial Narrow" w:cs="Arial"/>
                <w:sz w:val="18"/>
                <w:szCs w:val="18"/>
              </w:rPr>
            </w:r>
            <w:r w:rsidR="000129CA">
              <w:rPr>
                <w:rFonts w:ascii="Arial Narrow" w:hAnsi="Arial Narrow" w:cs="Arial"/>
                <w:sz w:val="18"/>
                <w:szCs w:val="18"/>
              </w:rPr>
              <w:fldChar w:fldCharType="separate"/>
            </w:r>
            <w:r w:rsidRPr="005D4E40">
              <w:rPr>
                <w:rFonts w:ascii="Arial Narrow" w:hAnsi="Arial Narrow" w:cs="Arial"/>
                <w:sz w:val="18"/>
                <w:szCs w:val="18"/>
              </w:rPr>
              <w:fldChar w:fldCharType="end"/>
            </w:r>
            <w:r>
              <w:rPr>
                <w:rFonts w:ascii="Arial Narrow" w:hAnsi="Arial Narrow" w:cs="Arial"/>
                <w:sz w:val="18"/>
                <w:szCs w:val="18"/>
              </w:rPr>
              <w:t xml:space="preserve"> </w:t>
            </w:r>
            <w:r>
              <w:rPr>
                <w:rFonts w:ascii="Arial Narrow" w:hAnsi="Arial Narrow" w:cs="Arial"/>
                <w:i/>
                <w:sz w:val="18"/>
                <w:szCs w:val="18"/>
              </w:rPr>
              <w:t xml:space="preserve">Authority Required – </w:t>
            </w:r>
            <w:r w:rsidRPr="005D4E40">
              <w:rPr>
                <w:rFonts w:ascii="Arial Narrow" w:hAnsi="Arial Narrow" w:cs="Arial"/>
                <w:i/>
                <w:sz w:val="18"/>
                <w:szCs w:val="18"/>
              </w:rPr>
              <w:t>immediate assessment (Telephone/Online)</w:t>
            </w:r>
          </w:p>
        </w:tc>
      </w:tr>
      <w:tr w:rsidR="005C3BCD" w:rsidRPr="00D81EF6" w14:paraId="2ECF1A4E" w14:textId="77777777" w:rsidTr="005C3BCD">
        <w:tc>
          <w:tcPr>
            <w:tcW w:w="5000" w:type="pct"/>
            <w:vAlign w:val="center"/>
            <w:hideMark/>
          </w:tcPr>
          <w:p w14:paraId="7019F4BE" w14:textId="77777777" w:rsidR="005C3BCD" w:rsidRPr="00D81EF6" w:rsidRDefault="005C3BCD" w:rsidP="00E47945">
            <w:pPr>
              <w:rPr>
                <w:rFonts w:ascii="Arial Narrow" w:hAnsi="Arial Narrow"/>
                <w:sz w:val="18"/>
                <w:szCs w:val="18"/>
              </w:rPr>
            </w:pPr>
            <w:r w:rsidRPr="00D81EF6">
              <w:rPr>
                <w:rFonts w:ascii="Arial Narrow" w:hAnsi="Arial Narrow"/>
                <w:b/>
                <w:bCs/>
                <w:sz w:val="18"/>
                <w:szCs w:val="18"/>
              </w:rPr>
              <w:t>Indication:</w:t>
            </w:r>
            <w:r w:rsidRPr="00D81EF6">
              <w:rPr>
                <w:rFonts w:ascii="Arial Narrow" w:hAnsi="Arial Narrow"/>
                <w:sz w:val="18"/>
                <w:szCs w:val="18"/>
              </w:rPr>
              <w:t xml:space="preserve"> Narcolepsy</w:t>
            </w:r>
          </w:p>
        </w:tc>
      </w:tr>
      <w:tr w:rsidR="005C3BCD" w:rsidRPr="00D81EF6" w14:paraId="5D3BE5D3" w14:textId="77777777" w:rsidTr="005C3BCD">
        <w:tc>
          <w:tcPr>
            <w:tcW w:w="5000" w:type="pct"/>
            <w:vAlign w:val="center"/>
            <w:hideMark/>
          </w:tcPr>
          <w:p w14:paraId="22922FAE" w14:textId="0F495C7B" w:rsidR="005C3BCD" w:rsidRPr="005D4E40" w:rsidRDefault="005C3BCD" w:rsidP="00551EB7">
            <w:pPr>
              <w:rPr>
                <w:rFonts w:ascii="Arial Narrow" w:hAnsi="Arial Narrow"/>
                <w:i/>
                <w:sz w:val="18"/>
                <w:szCs w:val="18"/>
              </w:rPr>
            </w:pPr>
            <w:r w:rsidRPr="00D81EF6">
              <w:rPr>
                <w:rFonts w:ascii="Arial Narrow" w:hAnsi="Arial Narrow"/>
                <w:b/>
                <w:bCs/>
                <w:sz w:val="18"/>
                <w:szCs w:val="18"/>
              </w:rPr>
              <w:t>Treatment Phase:</w:t>
            </w:r>
            <w:r w:rsidRPr="00D81EF6">
              <w:rPr>
                <w:rFonts w:ascii="Arial Narrow" w:hAnsi="Arial Narrow"/>
                <w:sz w:val="18"/>
                <w:szCs w:val="18"/>
              </w:rPr>
              <w:t xml:space="preserve"> Initial treatment</w:t>
            </w:r>
            <w:r>
              <w:rPr>
                <w:rFonts w:ascii="Arial Narrow" w:hAnsi="Arial Narrow"/>
                <w:sz w:val="18"/>
                <w:szCs w:val="18"/>
              </w:rPr>
              <w:t xml:space="preserve"> </w:t>
            </w:r>
            <w:r>
              <w:rPr>
                <w:rFonts w:ascii="Arial Narrow" w:hAnsi="Arial Narrow"/>
                <w:i/>
                <w:sz w:val="18"/>
                <w:szCs w:val="18"/>
              </w:rPr>
              <w:t xml:space="preserve">of narcolepsy with cataplexy </w:t>
            </w:r>
          </w:p>
        </w:tc>
      </w:tr>
      <w:tr w:rsidR="005C3BCD" w:rsidRPr="00D81EF6" w14:paraId="17F813CA" w14:textId="77777777" w:rsidTr="005C3BCD">
        <w:tc>
          <w:tcPr>
            <w:tcW w:w="5000" w:type="pct"/>
            <w:shd w:val="clear" w:color="auto" w:fill="DBE5F1" w:themeFill="accent1" w:themeFillTint="33"/>
            <w:vAlign w:val="center"/>
          </w:tcPr>
          <w:p w14:paraId="2CC4BCE3" w14:textId="77777777" w:rsidR="005C3BCD" w:rsidRPr="00D81EF6" w:rsidRDefault="005C3BCD" w:rsidP="00E47945">
            <w:pPr>
              <w:rPr>
                <w:rFonts w:ascii="Arial Narrow" w:hAnsi="Arial Narrow"/>
                <w:sz w:val="18"/>
                <w:szCs w:val="18"/>
              </w:rPr>
            </w:pPr>
            <w:r w:rsidRPr="00D81EF6">
              <w:rPr>
                <w:rFonts w:ascii="Arial Narrow" w:hAnsi="Arial Narrow"/>
                <w:b/>
                <w:bCs/>
                <w:sz w:val="18"/>
                <w:szCs w:val="18"/>
              </w:rPr>
              <w:t>Administrative Advice: [currently MODAFINIL SPECIFIC – make generic]</w:t>
            </w:r>
          </w:p>
          <w:p w14:paraId="128F212A" w14:textId="77777777" w:rsidR="005C3BCD" w:rsidRPr="00D81EF6" w:rsidRDefault="005C3BCD" w:rsidP="00E47945">
            <w:pPr>
              <w:rPr>
                <w:rFonts w:ascii="Arial Narrow" w:hAnsi="Arial Narrow"/>
                <w:b/>
                <w:bCs/>
                <w:sz w:val="18"/>
                <w:szCs w:val="18"/>
              </w:rPr>
            </w:pPr>
            <w:r w:rsidRPr="00D81EF6">
              <w:rPr>
                <w:rFonts w:ascii="Arial Narrow" w:hAnsi="Arial Narrow"/>
                <w:sz w:val="18"/>
                <w:szCs w:val="18"/>
              </w:rPr>
              <w:t>This drug is not PBS-subsidised when used in combination with PBS-subsidised dexamfetamine sulfate or armodafinil</w:t>
            </w:r>
            <w:r w:rsidRPr="00D81EF6">
              <w:rPr>
                <w:rFonts w:ascii="Arial Narrow" w:hAnsi="Arial Narrow"/>
                <w:i/>
                <w:sz w:val="18"/>
                <w:szCs w:val="18"/>
              </w:rPr>
              <w:t>/modafinil.</w:t>
            </w:r>
          </w:p>
        </w:tc>
      </w:tr>
      <w:tr w:rsidR="005C3BCD" w:rsidRPr="00D81EF6" w14:paraId="48D2D6F7" w14:textId="77777777" w:rsidTr="005C3BCD">
        <w:tc>
          <w:tcPr>
            <w:tcW w:w="5000" w:type="pct"/>
            <w:shd w:val="clear" w:color="auto" w:fill="F2DBDB" w:themeFill="accent2" w:themeFillTint="33"/>
            <w:vAlign w:val="center"/>
          </w:tcPr>
          <w:p w14:paraId="7954975B" w14:textId="77777777" w:rsidR="005C3BCD" w:rsidRPr="00D81EF6" w:rsidRDefault="005C3BCD" w:rsidP="00E47945">
            <w:pPr>
              <w:rPr>
                <w:rFonts w:ascii="Arial Narrow" w:hAnsi="Arial Narrow"/>
                <w:b/>
                <w:bCs/>
                <w:sz w:val="18"/>
                <w:szCs w:val="18"/>
              </w:rPr>
            </w:pPr>
            <w:r w:rsidRPr="00D81EF6">
              <w:rPr>
                <w:rFonts w:ascii="Arial Narrow" w:hAnsi="Arial Narrow"/>
                <w:b/>
                <w:bCs/>
                <w:sz w:val="18"/>
                <w:szCs w:val="18"/>
              </w:rPr>
              <w:t>Administrative Advice: [currently ARMODAFINIL SPECIFIC – make generic]</w:t>
            </w:r>
          </w:p>
          <w:p w14:paraId="3D3F84B5" w14:textId="77777777" w:rsidR="005C3BCD" w:rsidRPr="00D81EF6" w:rsidRDefault="005C3BCD" w:rsidP="00E47945">
            <w:pPr>
              <w:rPr>
                <w:rFonts w:ascii="Arial Narrow" w:hAnsi="Arial Narrow"/>
                <w:b/>
                <w:bCs/>
                <w:sz w:val="18"/>
                <w:szCs w:val="18"/>
              </w:rPr>
            </w:pPr>
            <w:r w:rsidRPr="00D81EF6">
              <w:rPr>
                <w:rFonts w:ascii="Arial Narrow" w:hAnsi="Arial Narrow"/>
                <w:bCs/>
                <w:sz w:val="18"/>
                <w:szCs w:val="18"/>
              </w:rPr>
              <w:t xml:space="preserve">This drug is not PBS-subsidised when used in combination with PBS-subsidised dexamfetamine sulfate or </w:t>
            </w:r>
            <w:r w:rsidRPr="00D81EF6">
              <w:rPr>
                <w:rFonts w:ascii="Arial Narrow" w:hAnsi="Arial Narrow"/>
                <w:bCs/>
                <w:i/>
                <w:sz w:val="18"/>
                <w:szCs w:val="18"/>
              </w:rPr>
              <w:t>armodafinil/</w:t>
            </w:r>
            <w:r w:rsidRPr="00D81EF6">
              <w:rPr>
                <w:rFonts w:ascii="Arial Narrow" w:hAnsi="Arial Narrow"/>
                <w:bCs/>
                <w:sz w:val="18"/>
                <w:szCs w:val="18"/>
              </w:rPr>
              <w:t>modafinil.</w:t>
            </w:r>
          </w:p>
        </w:tc>
      </w:tr>
      <w:tr w:rsidR="005C3BCD" w:rsidRPr="00D81EF6" w14:paraId="1C2C0256" w14:textId="77777777" w:rsidTr="005C3BCD">
        <w:tc>
          <w:tcPr>
            <w:tcW w:w="5000" w:type="pct"/>
            <w:vAlign w:val="center"/>
          </w:tcPr>
          <w:p w14:paraId="6231663C" w14:textId="77777777" w:rsidR="005C3BCD" w:rsidRPr="00D81EF6" w:rsidRDefault="005C3BCD" w:rsidP="00E47945">
            <w:pPr>
              <w:rPr>
                <w:rFonts w:ascii="Arial Narrow" w:hAnsi="Arial Narrow"/>
                <w:b/>
                <w:bCs/>
                <w:sz w:val="18"/>
                <w:szCs w:val="18"/>
              </w:rPr>
            </w:pPr>
            <w:r w:rsidRPr="00D81EF6">
              <w:rPr>
                <w:rFonts w:ascii="Arial Narrow" w:hAnsi="Arial Narrow"/>
                <w:b/>
                <w:bCs/>
                <w:sz w:val="18"/>
                <w:szCs w:val="18"/>
              </w:rPr>
              <w:t>Treatment criteria:</w:t>
            </w:r>
          </w:p>
        </w:tc>
      </w:tr>
      <w:tr w:rsidR="005C3BCD" w:rsidRPr="00D81EF6" w14:paraId="06F50D72" w14:textId="77777777" w:rsidTr="005C3BCD">
        <w:tc>
          <w:tcPr>
            <w:tcW w:w="5000" w:type="pct"/>
            <w:vAlign w:val="center"/>
          </w:tcPr>
          <w:p w14:paraId="5BCA9CFA" w14:textId="77777777" w:rsidR="005C3BCD" w:rsidRPr="00D81EF6" w:rsidRDefault="005C3BCD" w:rsidP="00E47945">
            <w:pPr>
              <w:rPr>
                <w:rFonts w:ascii="Arial Narrow" w:hAnsi="Arial Narrow"/>
                <w:bCs/>
                <w:sz w:val="18"/>
                <w:szCs w:val="18"/>
              </w:rPr>
            </w:pPr>
            <w:r w:rsidRPr="00D81EF6">
              <w:rPr>
                <w:rFonts w:ascii="Arial Narrow" w:hAnsi="Arial Narrow"/>
                <w:bCs/>
                <w:sz w:val="18"/>
                <w:szCs w:val="18"/>
              </w:rPr>
              <w:t>Must be treated by a qualified sleep medicine practitioner or neurologist</w:t>
            </w:r>
          </w:p>
        </w:tc>
      </w:tr>
      <w:tr w:rsidR="005C3BCD" w:rsidRPr="00D81EF6" w14:paraId="6C6B6052" w14:textId="77777777" w:rsidTr="005C3BCD">
        <w:tc>
          <w:tcPr>
            <w:tcW w:w="5000" w:type="pct"/>
            <w:vAlign w:val="center"/>
          </w:tcPr>
          <w:p w14:paraId="776B5A12" w14:textId="77777777" w:rsidR="005C3BCD" w:rsidRPr="00D81EF6" w:rsidRDefault="005C3BCD" w:rsidP="00E47945">
            <w:pPr>
              <w:rPr>
                <w:rFonts w:ascii="Arial Narrow" w:hAnsi="Arial Narrow"/>
                <w:b/>
                <w:bCs/>
                <w:sz w:val="18"/>
                <w:szCs w:val="18"/>
              </w:rPr>
            </w:pPr>
            <w:r w:rsidRPr="00D81EF6">
              <w:rPr>
                <w:rFonts w:ascii="Arial Narrow" w:hAnsi="Arial Narrow"/>
                <w:b/>
                <w:bCs/>
                <w:sz w:val="18"/>
                <w:szCs w:val="18"/>
              </w:rPr>
              <w:t>Clinical criteria:</w:t>
            </w:r>
          </w:p>
        </w:tc>
      </w:tr>
      <w:tr w:rsidR="005C3BCD" w:rsidRPr="00D81EF6" w14:paraId="35B86D9E" w14:textId="77777777" w:rsidTr="005C3BCD">
        <w:tc>
          <w:tcPr>
            <w:tcW w:w="5000" w:type="pct"/>
            <w:vAlign w:val="center"/>
          </w:tcPr>
          <w:p w14:paraId="3883DCBF" w14:textId="700A20A4" w:rsidR="005C3BCD" w:rsidRPr="00D81EF6" w:rsidRDefault="005C3BCD" w:rsidP="00E47945">
            <w:pPr>
              <w:rPr>
                <w:rFonts w:ascii="Arial Narrow" w:hAnsi="Arial Narrow"/>
                <w:b/>
                <w:bCs/>
                <w:sz w:val="18"/>
                <w:szCs w:val="18"/>
              </w:rPr>
            </w:pPr>
            <w:r w:rsidRPr="00D81EF6">
              <w:rPr>
                <w:rFonts w:ascii="Arial Narrow" w:hAnsi="Arial Narrow"/>
                <w:sz w:val="18"/>
                <w:szCs w:val="18"/>
              </w:rPr>
              <w:t>The treatment must be for use when therapy with dexamfetamine sulfate poses an unacceptable medical</w:t>
            </w:r>
            <w:r>
              <w:rPr>
                <w:rFonts w:ascii="Arial Narrow" w:hAnsi="Arial Narrow"/>
                <w:sz w:val="18"/>
                <w:szCs w:val="18"/>
              </w:rPr>
              <w:t xml:space="preserve"> risk</w:t>
            </w:r>
            <w:r w:rsidRPr="00D81EF6">
              <w:rPr>
                <w:rFonts w:ascii="Arial Narrow" w:hAnsi="Arial Narrow"/>
                <w:sz w:val="18"/>
                <w:szCs w:val="18"/>
              </w:rPr>
              <w:t>;</w:t>
            </w:r>
            <w:r>
              <w:rPr>
                <w:rFonts w:ascii="Arial Narrow" w:hAnsi="Arial Narrow"/>
                <w:sz w:val="18"/>
                <w:szCs w:val="18"/>
              </w:rPr>
              <w:t xml:space="preserve"> </w:t>
            </w:r>
            <w:r w:rsidRPr="00D81EF6">
              <w:rPr>
                <w:rFonts w:ascii="Arial Narrow" w:hAnsi="Arial Narrow"/>
                <w:sz w:val="18"/>
                <w:szCs w:val="18"/>
              </w:rPr>
              <w:t>or</w:t>
            </w:r>
          </w:p>
        </w:tc>
      </w:tr>
      <w:tr w:rsidR="005C3BCD" w:rsidRPr="00D81EF6" w14:paraId="0A0D9C85" w14:textId="77777777" w:rsidTr="005C3BCD">
        <w:tc>
          <w:tcPr>
            <w:tcW w:w="5000" w:type="pct"/>
            <w:vAlign w:val="center"/>
          </w:tcPr>
          <w:p w14:paraId="0D6C2D2C" w14:textId="77777777" w:rsidR="005C3BCD" w:rsidRPr="00D81EF6" w:rsidRDefault="005C3BCD" w:rsidP="00E47945">
            <w:pPr>
              <w:rPr>
                <w:rFonts w:ascii="Arial Narrow" w:hAnsi="Arial Narrow"/>
                <w:b/>
                <w:bCs/>
                <w:sz w:val="18"/>
                <w:szCs w:val="18"/>
              </w:rPr>
            </w:pPr>
            <w:r w:rsidRPr="00D81EF6">
              <w:rPr>
                <w:rFonts w:ascii="Arial Narrow" w:hAnsi="Arial Narrow"/>
                <w:sz w:val="18"/>
                <w:szCs w:val="18"/>
              </w:rPr>
              <w:t>The treatment must be for use when intolerance to dexamfetamine sulfate is of a severity to necessitate treatment withdrawal</w:t>
            </w:r>
          </w:p>
        </w:tc>
      </w:tr>
      <w:tr w:rsidR="005C3BCD" w:rsidRPr="00D81EF6" w14:paraId="68966C69" w14:textId="77777777" w:rsidTr="005C3BCD">
        <w:tc>
          <w:tcPr>
            <w:tcW w:w="5000" w:type="pct"/>
            <w:vAlign w:val="center"/>
          </w:tcPr>
          <w:p w14:paraId="25D7F31D" w14:textId="77777777" w:rsidR="005C3BCD" w:rsidRPr="00D81EF6" w:rsidRDefault="005C3BCD" w:rsidP="00E47945">
            <w:pPr>
              <w:rPr>
                <w:rFonts w:ascii="Arial Narrow" w:hAnsi="Arial Narrow"/>
                <w:b/>
                <w:bCs/>
                <w:sz w:val="18"/>
                <w:szCs w:val="18"/>
              </w:rPr>
            </w:pPr>
            <w:r w:rsidRPr="00D81EF6">
              <w:rPr>
                <w:rFonts w:ascii="Arial Narrow" w:hAnsi="Arial Narrow"/>
                <w:b/>
                <w:bCs/>
                <w:sz w:val="18"/>
                <w:szCs w:val="18"/>
              </w:rPr>
              <w:t>AND</w:t>
            </w:r>
          </w:p>
        </w:tc>
      </w:tr>
      <w:tr w:rsidR="005C3BCD" w:rsidRPr="00D81EF6" w14:paraId="3F7E6766" w14:textId="77777777" w:rsidTr="005C3BCD">
        <w:tc>
          <w:tcPr>
            <w:tcW w:w="5000" w:type="pct"/>
            <w:vAlign w:val="center"/>
            <w:hideMark/>
          </w:tcPr>
          <w:p w14:paraId="74A02A29" w14:textId="77777777" w:rsidR="005C3BCD" w:rsidRPr="00D81EF6" w:rsidRDefault="005C3BCD" w:rsidP="00E47945">
            <w:pPr>
              <w:rPr>
                <w:rFonts w:ascii="Arial Narrow" w:hAnsi="Arial Narrow"/>
                <w:sz w:val="18"/>
                <w:szCs w:val="18"/>
              </w:rPr>
            </w:pPr>
            <w:r w:rsidRPr="00D81EF6">
              <w:rPr>
                <w:rFonts w:ascii="Arial Narrow" w:hAnsi="Arial Narrow"/>
                <w:b/>
                <w:bCs/>
                <w:sz w:val="18"/>
                <w:szCs w:val="18"/>
              </w:rPr>
              <w:t>Clinical criteria:</w:t>
            </w:r>
          </w:p>
        </w:tc>
      </w:tr>
      <w:tr w:rsidR="005C3BCD" w:rsidRPr="00D81EF6" w14:paraId="754371F0" w14:textId="77777777" w:rsidTr="005C3BCD">
        <w:tc>
          <w:tcPr>
            <w:tcW w:w="5000" w:type="pct"/>
            <w:vAlign w:val="center"/>
            <w:hideMark/>
          </w:tcPr>
          <w:p w14:paraId="23F47BF0" w14:textId="77777777" w:rsidR="005C3BCD" w:rsidRPr="00D81EF6" w:rsidRDefault="005C3BCD" w:rsidP="00E47945">
            <w:pPr>
              <w:rPr>
                <w:rFonts w:ascii="Arial Narrow" w:hAnsi="Arial Narrow"/>
                <w:sz w:val="18"/>
                <w:szCs w:val="18"/>
              </w:rPr>
            </w:pPr>
            <w:r w:rsidRPr="00D81EF6">
              <w:rPr>
                <w:rFonts w:ascii="Arial Narrow" w:hAnsi="Arial Narrow"/>
                <w:sz w:val="18"/>
                <w:szCs w:val="18"/>
              </w:rPr>
              <w:t>Patient must have experienced excessive daytime sleepiness, recurrent naps or lapses into sleep occurring almost daily for at least 3 months</w:t>
            </w:r>
          </w:p>
        </w:tc>
      </w:tr>
      <w:tr w:rsidR="005C3BCD" w:rsidRPr="00D81EF6" w14:paraId="4A440D5C" w14:textId="77777777" w:rsidTr="005C3BCD">
        <w:tc>
          <w:tcPr>
            <w:tcW w:w="5000" w:type="pct"/>
            <w:vAlign w:val="center"/>
            <w:hideMark/>
          </w:tcPr>
          <w:p w14:paraId="69DC7A13" w14:textId="77777777" w:rsidR="005C3BCD" w:rsidRPr="00D81EF6" w:rsidRDefault="005C3BCD" w:rsidP="00E47945">
            <w:pPr>
              <w:rPr>
                <w:rFonts w:ascii="Arial Narrow" w:hAnsi="Arial Narrow"/>
                <w:sz w:val="18"/>
                <w:szCs w:val="18"/>
              </w:rPr>
            </w:pPr>
            <w:r w:rsidRPr="00D81EF6">
              <w:rPr>
                <w:rFonts w:ascii="Arial Narrow" w:hAnsi="Arial Narrow"/>
                <w:b/>
                <w:bCs/>
                <w:sz w:val="18"/>
                <w:szCs w:val="18"/>
              </w:rPr>
              <w:t>AND</w:t>
            </w:r>
          </w:p>
        </w:tc>
      </w:tr>
      <w:tr w:rsidR="005C3BCD" w:rsidRPr="00D81EF6" w14:paraId="3917CAA1" w14:textId="77777777" w:rsidTr="005C3BCD">
        <w:tc>
          <w:tcPr>
            <w:tcW w:w="5000" w:type="pct"/>
            <w:vAlign w:val="center"/>
            <w:hideMark/>
          </w:tcPr>
          <w:p w14:paraId="26201D7B" w14:textId="77777777" w:rsidR="005C3BCD" w:rsidRPr="00D81EF6" w:rsidRDefault="005C3BCD" w:rsidP="00E47945">
            <w:pPr>
              <w:rPr>
                <w:rFonts w:ascii="Arial Narrow" w:hAnsi="Arial Narrow"/>
                <w:sz w:val="18"/>
                <w:szCs w:val="18"/>
              </w:rPr>
            </w:pPr>
            <w:r w:rsidRPr="00D81EF6">
              <w:rPr>
                <w:rFonts w:ascii="Arial Narrow" w:hAnsi="Arial Narrow"/>
                <w:b/>
                <w:bCs/>
                <w:sz w:val="18"/>
                <w:szCs w:val="18"/>
              </w:rPr>
              <w:t>Clinical criteria:</w:t>
            </w:r>
          </w:p>
        </w:tc>
      </w:tr>
      <w:tr w:rsidR="005C3BCD" w:rsidRPr="00D81EF6" w14:paraId="595A3090" w14:textId="77777777" w:rsidTr="005C3BCD">
        <w:trPr>
          <w:trHeight w:val="49"/>
        </w:trPr>
        <w:tc>
          <w:tcPr>
            <w:tcW w:w="5000" w:type="pct"/>
            <w:vAlign w:val="center"/>
            <w:hideMark/>
          </w:tcPr>
          <w:p w14:paraId="0EE3EF26" w14:textId="368E21C5" w:rsidR="005C3BCD" w:rsidRPr="00D81EF6" w:rsidRDefault="005C3BCD" w:rsidP="009B03F3">
            <w:pPr>
              <w:rPr>
                <w:rFonts w:ascii="Arial Narrow" w:hAnsi="Arial Narrow"/>
                <w:sz w:val="18"/>
                <w:szCs w:val="18"/>
              </w:rPr>
            </w:pPr>
            <w:r w:rsidRPr="00D81EF6">
              <w:rPr>
                <w:rFonts w:ascii="Arial Narrow" w:hAnsi="Arial Narrow"/>
                <w:sz w:val="18"/>
                <w:szCs w:val="18"/>
              </w:rPr>
              <w:t>Patient must have a definite history of cataplexy</w:t>
            </w:r>
            <w:r>
              <w:rPr>
                <w:rFonts w:ascii="Arial Narrow" w:hAnsi="Arial Narrow"/>
                <w:sz w:val="18"/>
                <w:szCs w:val="18"/>
              </w:rPr>
              <w:t xml:space="preserve"> </w:t>
            </w:r>
            <w:r>
              <w:rPr>
                <w:rFonts w:ascii="Arial Narrow" w:hAnsi="Arial Narrow"/>
                <w:i/>
                <w:sz w:val="18"/>
                <w:szCs w:val="18"/>
              </w:rPr>
              <w:t>documented in their medical records for auditing purposes</w:t>
            </w:r>
            <w:r w:rsidRPr="00D81EF6">
              <w:rPr>
                <w:rFonts w:ascii="Arial Narrow" w:hAnsi="Arial Narrow"/>
                <w:sz w:val="18"/>
                <w:szCs w:val="18"/>
              </w:rPr>
              <w:t xml:space="preserve">; </w:t>
            </w:r>
            <w:r w:rsidRPr="005D4E40">
              <w:rPr>
                <w:rFonts w:ascii="Arial Narrow" w:hAnsi="Arial Narrow"/>
                <w:strike/>
                <w:sz w:val="18"/>
                <w:szCs w:val="18"/>
              </w:rPr>
              <w:t>or</w:t>
            </w:r>
          </w:p>
        </w:tc>
      </w:tr>
      <w:tr w:rsidR="005C3BCD" w:rsidRPr="00D81EF6" w14:paraId="4CAC523C" w14:textId="77777777" w:rsidTr="005C3BCD">
        <w:tc>
          <w:tcPr>
            <w:tcW w:w="5000" w:type="pct"/>
            <w:vAlign w:val="center"/>
            <w:hideMark/>
          </w:tcPr>
          <w:p w14:paraId="6AF17898" w14:textId="77777777" w:rsidR="005C3BCD" w:rsidRPr="00D81EF6" w:rsidRDefault="005C3BCD" w:rsidP="00E47945">
            <w:pPr>
              <w:rPr>
                <w:rFonts w:ascii="Arial Narrow" w:hAnsi="Arial Narrow"/>
                <w:sz w:val="18"/>
                <w:szCs w:val="18"/>
              </w:rPr>
            </w:pPr>
            <w:r w:rsidRPr="00D81EF6">
              <w:rPr>
                <w:rFonts w:ascii="Arial Narrow" w:hAnsi="Arial Narrow"/>
                <w:b/>
                <w:bCs/>
                <w:sz w:val="18"/>
                <w:szCs w:val="18"/>
              </w:rPr>
              <w:t>AND</w:t>
            </w:r>
          </w:p>
        </w:tc>
      </w:tr>
      <w:tr w:rsidR="005C3BCD" w:rsidRPr="00D81EF6" w14:paraId="5FEABEE9" w14:textId="77777777" w:rsidTr="005C3BCD">
        <w:tc>
          <w:tcPr>
            <w:tcW w:w="5000" w:type="pct"/>
            <w:vAlign w:val="center"/>
            <w:hideMark/>
          </w:tcPr>
          <w:p w14:paraId="48CC47C9" w14:textId="77777777" w:rsidR="005C3BCD" w:rsidRPr="00D81EF6" w:rsidRDefault="005C3BCD" w:rsidP="00E47945">
            <w:pPr>
              <w:rPr>
                <w:rFonts w:ascii="Arial Narrow" w:hAnsi="Arial Narrow"/>
                <w:sz w:val="18"/>
                <w:szCs w:val="18"/>
              </w:rPr>
            </w:pPr>
            <w:r w:rsidRPr="00D81EF6">
              <w:rPr>
                <w:rFonts w:ascii="Arial Narrow" w:hAnsi="Arial Narrow"/>
                <w:b/>
                <w:bCs/>
                <w:sz w:val="18"/>
                <w:szCs w:val="18"/>
              </w:rPr>
              <w:t>Clinical criteria:</w:t>
            </w:r>
          </w:p>
        </w:tc>
      </w:tr>
      <w:tr w:rsidR="005C3BCD" w:rsidRPr="00D81EF6" w14:paraId="036E4185" w14:textId="77777777" w:rsidTr="005C3BCD">
        <w:tc>
          <w:tcPr>
            <w:tcW w:w="5000" w:type="pct"/>
            <w:vAlign w:val="center"/>
            <w:hideMark/>
          </w:tcPr>
          <w:p w14:paraId="76BE73D2" w14:textId="77777777" w:rsidR="005C3BCD" w:rsidRPr="00D81EF6" w:rsidRDefault="005C3BCD" w:rsidP="00E47945">
            <w:pPr>
              <w:autoSpaceDE w:val="0"/>
              <w:autoSpaceDN w:val="0"/>
              <w:adjustRightInd w:val="0"/>
              <w:rPr>
                <w:rFonts w:ascii="Arial Narrow" w:hAnsi="Arial Narrow" w:cs="Arial Narrow"/>
                <w:iCs/>
                <w:sz w:val="20"/>
                <w:szCs w:val="20"/>
              </w:rPr>
            </w:pPr>
            <w:r w:rsidRPr="00D81EF6">
              <w:rPr>
                <w:rFonts w:ascii="Arial Narrow" w:hAnsi="Arial Narrow" w:cs="Arial Narrow"/>
                <w:iCs/>
                <w:sz w:val="18"/>
                <w:szCs w:val="18"/>
              </w:rPr>
              <w:t>Patient must not have any medical or psychiatric disorder that could otherwise account for the hypersomnia</w:t>
            </w:r>
          </w:p>
        </w:tc>
      </w:tr>
      <w:tr w:rsidR="005C3BCD" w:rsidRPr="00D81EF6" w14:paraId="188DCAFB" w14:textId="77777777" w:rsidTr="005C3BCD">
        <w:tc>
          <w:tcPr>
            <w:tcW w:w="5000" w:type="pct"/>
            <w:vAlign w:val="center"/>
          </w:tcPr>
          <w:p w14:paraId="62B95797" w14:textId="77777777" w:rsidR="005C3BCD" w:rsidRPr="00D81EF6" w:rsidRDefault="005C3BCD" w:rsidP="00E47945">
            <w:pPr>
              <w:rPr>
                <w:rFonts w:ascii="Arial Narrow" w:hAnsi="Arial Narrow"/>
                <w:b/>
                <w:bCs/>
                <w:sz w:val="18"/>
                <w:szCs w:val="18"/>
              </w:rPr>
            </w:pPr>
            <w:r w:rsidRPr="00D81EF6">
              <w:rPr>
                <w:rFonts w:ascii="Arial Narrow" w:hAnsi="Arial Narrow"/>
                <w:b/>
                <w:bCs/>
                <w:sz w:val="18"/>
                <w:szCs w:val="18"/>
              </w:rPr>
              <w:t>Prescribing Instructions:</w:t>
            </w:r>
          </w:p>
          <w:p w14:paraId="7B623250" w14:textId="77777777" w:rsidR="005C3BCD" w:rsidRPr="00D81EF6" w:rsidRDefault="005C3BCD" w:rsidP="00E47945">
            <w:pPr>
              <w:rPr>
                <w:rFonts w:ascii="Arial Narrow" w:hAnsi="Arial Narrow"/>
                <w:sz w:val="18"/>
                <w:szCs w:val="18"/>
              </w:rPr>
            </w:pPr>
            <w:r w:rsidRPr="00D81EF6">
              <w:rPr>
                <w:rFonts w:ascii="Arial Narrow" w:hAnsi="Arial Narrow"/>
                <w:sz w:val="18"/>
                <w:szCs w:val="18"/>
              </w:rPr>
              <w:t>The presence of any one of the following indicates treatment with dexamfetamine sulfate poses an unacceptable medical risk:</w:t>
            </w:r>
          </w:p>
          <w:p w14:paraId="01312DF0" w14:textId="77777777" w:rsidR="005C3BCD" w:rsidRPr="00D81EF6" w:rsidRDefault="005C3BCD" w:rsidP="00E47945">
            <w:pPr>
              <w:rPr>
                <w:rFonts w:ascii="Arial Narrow" w:hAnsi="Arial Narrow"/>
                <w:sz w:val="18"/>
                <w:szCs w:val="18"/>
              </w:rPr>
            </w:pPr>
            <w:r w:rsidRPr="00D81EF6">
              <w:rPr>
                <w:rFonts w:ascii="Arial Narrow" w:hAnsi="Arial Narrow"/>
                <w:sz w:val="18"/>
                <w:szCs w:val="18"/>
              </w:rPr>
              <w:t>(a) a psychiatric disorder;</w:t>
            </w:r>
          </w:p>
          <w:p w14:paraId="56BC01DD" w14:textId="77777777" w:rsidR="005C3BCD" w:rsidRPr="00D81EF6" w:rsidRDefault="005C3BCD" w:rsidP="00E47945">
            <w:pPr>
              <w:rPr>
                <w:rFonts w:ascii="Arial Narrow" w:hAnsi="Arial Narrow"/>
                <w:sz w:val="18"/>
                <w:szCs w:val="18"/>
              </w:rPr>
            </w:pPr>
            <w:r w:rsidRPr="00D81EF6">
              <w:rPr>
                <w:rFonts w:ascii="Arial Narrow" w:hAnsi="Arial Narrow"/>
                <w:sz w:val="18"/>
                <w:szCs w:val="18"/>
              </w:rPr>
              <w:t>(b) a cardiovascular disorder;</w:t>
            </w:r>
          </w:p>
          <w:p w14:paraId="05A0658A" w14:textId="77777777" w:rsidR="005C3BCD" w:rsidRPr="00D81EF6" w:rsidRDefault="005C3BCD" w:rsidP="00E47945">
            <w:pPr>
              <w:rPr>
                <w:rFonts w:ascii="Arial Narrow" w:hAnsi="Arial Narrow"/>
                <w:sz w:val="18"/>
                <w:szCs w:val="18"/>
              </w:rPr>
            </w:pPr>
            <w:r w:rsidRPr="00D81EF6">
              <w:rPr>
                <w:rFonts w:ascii="Arial Narrow" w:hAnsi="Arial Narrow"/>
                <w:sz w:val="18"/>
                <w:szCs w:val="18"/>
              </w:rPr>
              <w:t>(c) a history of substance abuse;</w:t>
            </w:r>
          </w:p>
          <w:p w14:paraId="75640D70" w14:textId="77777777" w:rsidR="005C3BCD" w:rsidRPr="00D81EF6" w:rsidRDefault="005C3BCD" w:rsidP="00E47945">
            <w:pPr>
              <w:rPr>
                <w:rFonts w:ascii="Arial Narrow" w:hAnsi="Arial Narrow"/>
                <w:sz w:val="18"/>
                <w:szCs w:val="18"/>
              </w:rPr>
            </w:pPr>
            <w:r w:rsidRPr="00D81EF6">
              <w:rPr>
                <w:rFonts w:ascii="Arial Narrow" w:hAnsi="Arial Narrow"/>
                <w:sz w:val="18"/>
                <w:szCs w:val="18"/>
              </w:rPr>
              <w:t>(d) glaucoma;</w:t>
            </w:r>
          </w:p>
          <w:p w14:paraId="1A646545" w14:textId="77777777" w:rsidR="005C3BCD" w:rsidRPr="00D81EF6" w:rsidRDefault="005C3BCD" w:rsidP="00E47945">
            <w:pPr>
              <w:jc w:val="left"/>
              <w:rPr>
                <w:rFonts w:ascii="Arial Narrow" w:hAnsi="Arial Narrow"/>
                <w:b/>
                <w:bCs/>
                <w:sz w:val="18"/>
                <w:szCs w:val="18"/>
              </w:rPr>
            </w:pPr>
            <w:r w:rsidRPr="00D81EF6">
              <w:rPr>
                <w:rFonts w:ascii="Arial Narrow" w:hAnsi="Arial Narrow"/>
                <w:sz w:val="18"/>
                <w:szCs w:val="18"/>
              </w:rPr>
              <w:t>(e) any other absolute contraindication to dexamfetamine sulfate as specified in the TGA-approved Product Information.</w:t>
            </w:r>
          </w:p>
        </w:tc>
      </w:tr>
      <w:tr w:rsidR="005C3BCD" w:rsidRPr="00D81EF6" w14:paraId="2AEA841C" w14:textId="77777777" w:rsidTr="005C3BCD">
        <w:tc>
          <w:tcPr>
            <w:tcW w:w="5000" w:type="pct"/>
            <w:vAlign w:val="center"/>
          </w:tcPr>
          <w:p w14:paraId="01E381BC" w14:textId="77777777" w:rsidR="005C3BCD" w:rsidRPr="005D4E40" w:rsidRDefault="005C3BCD" w:rsidP="00027EAC">
            <w:pPr>
              <w:rPr>
                <w:rFonts w:ascii="Arial Narrow" w:hAnsi="Arial Narrow"/>
                <w:b/>
                <w:sz w:val="18"/>
                <w:szCs w:val="18"/>
              </w:rPr>
            </w:pPr>
            <w:r w:rsidRPr="005D4E40">
              <w:rPr>
                <w:rFonts w:ascii="Arial Narrow" w:hAnsi="Arial Narrow"/>
                <w:b/>
                <w:sz w:val="18"/>
                <w:szCs w:val="18"/>
              </w:rPr>
              <w:t>Administrative Advice:</w:t>
            </w:r>
          </w:p>
          <w:p w14:paraId="67EA8483" w14:textId="0FF4AB05" w:rsidR="005C3BCD" w:rsidRPr="005C1548" w:rsidRDefault="005C3BCD" w:rsidP="00027EAC">
            <w:pPr>
              <w:rPr>
                <w:rFonts w:ascii="Arial Narrow" w:hAnsi="Arial Narrow"/>
                <w:b/>
                <w:bCs/>
                <w:strike/>
                <w:sz w:val="18"/>
                <w:szCs w:val="18"/>
              </w:rPr>
            </w:pPr>
            <w:r w:rsidRPr="005D4E40">
              <w:rPr>
                <w:rFonts w:ascii="Arial Narrow" w:hAnsi="Arial Narrow"/>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14:paraId="46B8A5DD" w14:textId="5ED1D1F3" w:rsidR="00E47945" w:rsidRDefault="00E47945" w:rsidP="00EB2425">
      <w:pPr>
        <w:spacing w:after="160" w:line="259" w:lineRule="auto"/>
        <w:jc w:val="left"/>
        <w:rPr>
          <w:rFonts w:ascii="Arial Narrow" w:hAnsi="Arial Narrow"/>
          <w:b/>
          <w:sz w:val="18"/>
          <w:szCs w:val="18"/>
        </w:rPr>
      </w:pPr>
    </w:p>
    <w:p w14:paraId="13B6C91A" w14:textId="726E45FF" w:rsidR="009B03F3" w:rsidRPr="00D81EF6" w:rsidRDefault="009B03F3" w:rsidP="00BA5CEA">
      <w:pPr>
        <w:pStyle w:val="3Bodytext"/>
        <w:jc w:val="both"/>
        <w:rPr>
          <w:snapToGrid w:val="0"/>
          <w:lang w:eastAsia="en-US"/>
        </w:rPr>
      </w:pPr>
      <w:r w:rsidRPr="00D81EF6">
        <w:rPr>
          <w:snapToGrid w:val="0"/>
          <w:lang w:eastAsia="en-US"/>
        </w:rPr>
        <w:t xml:space="preserve">Amend the existing </w:t>
      </w:r>
      <w:r>
        <w:rPr>
          <w:snapToGrid w:val="0"/>
          <w:lang w:eastAsia="en-US"/>
        </w:rPr>
        <w:t xml:space="preserve">Continuing treatment </w:t>
      </w:r>
      <w:r w:rsidRPr="00D81EF6">
        <w:rPr>
          <w:snapToGrid w:val="0"/>
          <w:lang w:eastAsia="en-US"/>
        </w:rPr>
        <w:t>listings for modafinil (8816B) and armodafinil (10912H, 10919Q and 10922W) as follows:</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709"/>
        <w:gridCol w:w="1842"/>
      </w:tblGrid>
      <w:tr w:rsidR="00EB2425" w:rsidRPr="00D81EF6" w14:paraId="30E7EF02" w14:textId="77777777" w:rsidTr="00AC1ABA">
        <w:trPr>
          <w:cantSplit/>
          <w:trHeight w:val="471"/>
        </w:trPr>
        <w:tc>
          <w:tcPr>
            <w:tcW w:w="2689" w:type="dxa"/>
          </w:tcPr>
          <w:p w14:paraId="6F1BFB15" w14:textId="77777777" w:rsidR="00EB2425" w:rsidRPr="00D81EF6" w:rsidRDefault="00EB2425" w:rsidP="00AC1ABA">
            <w:pPr>
              <w:keepNext/>
              <w:ind w:left="-108"/>
              <w:rPr>
                <w:rFonts w:ascii="Arial Narrow" w:hAnsi="Arial Narrow" w:cs="Arial"/>
                <w:b/>
                <w:sz w:val="18"/>
                <w:szCs w:val="18"/>
              </w:rPr>
            </w:pPr>
            <w:r w:rsidRPr="00D81EF6">
              <w:rPr>
                <w:rFonts w:ascii="Arial Narrow" w:hAnsi="Arial Narrow" w:cs="Arial"/>
                <w:b/>
                <w:sz w:val="18"/>
                <w:szCs w:val="18"/>
              </w:rPr>
              <w:t>Name, Restriction,</w:t>
            </w:r>
          </w:p>
          <w:p w14:paraId="1F7C49F8" w14:textId="77777777" w:rsidR="00EB2425" w:rsidRPr="00D81EF6" w:rsidRDefault="00EB2425" w:rsidP="00AC1ABA">
            <w:pPr>
              <w:keepNext/>
              <w:ind w:left="-108"/>
              <w:rPr>
                <w:rFonts w:ascii="Arial Narrow" w:hAnsi="Arial Narrow" w:cs="Arial"/>
                <w:b/>
                <w:sz w:val="18"/>
                <w:szCs w:val="18"/>
              </w:rPr>
            </w:pPr>
            <w:r w:rsidRPr="00D81EF6">
              <w:rPr>
                <w:rFonts w:ascii="Arial Narrow" w:hAnsi="Arial Narrow" w:cs="Arial"/>
                <w:b/>
                <w:sz w:val="18"/>
                <w:szCs w:val="18"/>
              </w:rPr>
              <w:t>Manner of administration and form</w:t>
            </w:r>
          </w:p>
        </w:tc>
        <w:tc>
          <w:tcPr>
            <w:tcW w:w="1275" w:type="dxa"/>
          </w:tcPr>
          <w:p w14:paraId="7E2E73F3" w14:textId="77777777" w:rsidR="00EB2425" w:rsidRPr="00D81EF6" w:rsidRDefault="00EB2425" w:rsidP="00AC1ABA">
            <w:pPr>
              <w:keepNext/>
              <w:ind w:left="-108"/>
              <w:jc w:val="center"/>
              <w:rPr>
                <w:rFonts w:ascii="Arial Narrow" w:hAnsi="Arial Narrow" w:cs="Arial"/>
                <w:b/>
                <w:sz w:val="18"/>
                <w:szCs w:val="18"/>
              </w:rPr>
            </w:pPr>
            <w:r w:rsidRPr="00D81EF6">
              <w:rPr>
                <w:rFonts w:ascii="Arial Narrow" w:hAnsi="Arial Narrow" w:cs="Arial"/>
                <w:b/>
                <w:sz w:val="18"/>
                <w:szCs w:val="18"/>
              </w:rPr>
              <w:t>PBS item code</w:t>
            </w:r>
          </w:p>
        </w:tc>
        <w:tc>
          <w:tcPr>
            <w:tcW w:w="851" w:type="dxa"/>
          </w:tcPr>
          <w:p w14:paraId="57232EB5" w14:textId="77777777" w:rsidR="00EB2425" w:rsidRPr="00D81EF6" w:rsidRDefault="00EB2425" w:rsidP="00AC1ABA">
            <w:pPr>
              <w:keepNext/>
              <w:ind w:left="-108"/>
              <w:jc w:val="center"/>
              <w:rPr>
                <w:rFonts w:ascii="Arial Narrow" w:hAnsi="Arial Narrow" w:cs="Arial"/>
                <w:b/>
                <w:sz w:val="18"/>
                <w:szCs w:val="18"/>
              </w:rPr>
            </w:pPr>
            <w:r w:rsidRPr="00D81EF6">
              <w:rPr>
                <w:rFonts w:ascii="Arial Narrow" w:hAnsi="Arial Narrow" w:cs="Arial"/>
                <w:b/>
                <w:sz w:val="18"/>
                <w:szCs w:val="18"/>
              </w:rPr>
              <w:t>Max. qty packs</w:t>
            </w:r>
          </w:p>
        </w:tc>
        <w:tc>
          <w:tcPr>
            <w:tcW w:w="850" w:type="dxa"/>
          </w:tcPr>
          <w:p w14:paraId="7BC3B249" w14:textId="77777777" w:rsidR="00EB2425" w:rsidRPr="00D81EF6" w:rsidRDefault="00EB2425" w:rsidP="00AC1ABA">
            <w:pPr>
              <w:keepNext/>
              <w:ind w:left="-108"/>
              <w:jc w:val="center"/>
              <w:rPr>
                <w:rFonts w:ascii="Arial Narrow" w:hAnsi="Arial Narrow" w:cs="Arial"/>
                <w:b/>
                <w:sz w:val="18"/>
                <w:szCs w:val="18"/>
              </w:rPr>
            </w:pPr>
            <w:r w:rsidRPr="00D81EF6">
              <w:rPr>
                <w:rFonts w:ascii="Arial Narrow" w:hAnsi="Arial Narrow" w:cs="Arial"/>
                <w:b/>
                <w:sz w:val="18"/>
                <w:szCs w:val="18"/>
              </w:rPr>
              <w:t>Max. qty units</w:t>
            </w:r>
          </w:p>
        </w:tc>
        <w:tc>
          <w:tcPr>
            <w:tcW w:w="709" w:type="dxa"/>
          </w:tcPr>
          <w:p w14:paraId="1D9BA73D" w14:textId="77777777" w:rsidR="00EB2425" w:rsidRPr="00D81EF6" w:rsidRDefault="00EB2425" w:rsidP="00AC1ABA">
            <w:pPr>
              <w:keepNext/>
              <w:ind w:left="-108"/>
              <w:jc w:val="center"/>
              <w:rPr>
                <w:rFonts w:ascii="Arial Narrow" w:hAnsi="Arial Narrow" w:cs="Arial"/>
                <w:b/>
                <w:sz w:val="18"/>
                <w:szCs w:val="18"/>
              </w:rPr>
            </w:pPr>
            <w:r w:rsidRPr="00D81EF6">
              <w:rPr>
                <w:rFonts w:ascii="Arial Narrow" w:hAnsi="Arial Narrow" w:cs="Arial"/>
                <w:b/>
                <w:sz w:val="18"/>
                <w:szCs w:val="18"/>
              </w:rPr>
              <w:t>№.of</w:t>
            </w:r>
          </w:p>
          <w:p w14:paraId="776B876E" w14:textId="77777777" w:rsidR="00EB2425" w:rsidRPr="00D81EF6" w:rsidRDefault="00EB2425" w:rsidP="00AC1ABA">
            <w:pPr>
              <w:keepNext/>
              <w:ind w:left="-108"/>
              <w:jc w:val="center"/>
              <w:rPr>
                <w:rFonts w:ascii="Arial Narrow" w:hAnsi="Arial Narrow" w:cs="Arial"/>
                <w:b/>
                <w:sz w:val="18"/>
                <w:szCs w:val="18"/>
              </w:rPr>
            </w:pPr>
            <w:r w:rsidRPr="00D81EF6">
              <w:rPr>
                <w:rFonts w:ascii="Arial Narrow" w:hAnsi="Arial Narrow" w:cs="Arial"/>
                <w:b/>
                <w:sz w:val="18"/>
                <w:szCs w:val="18"/>
              </w:rPr>
              <w:t>Rpts</w:t>
            </w:r>
          </w:p>
        </w:tc>
        <w:tc>
          <w:tcPr>
            <w:tcW w:w="2551" w:type="dxa"/>
            <w:gridSpan w:val="2"/>
          </w:tcPr>
          <w:p w14:paraId="7337709B" w14:textId="77777777" w:rsidR="00EB2425" w:rsidRPr="00D81EF6" w:rsidRDefault="00EB2425" w:rsidP="00AC1ABA">
            <w:pPr>
              <w:keepNext/>
              <w:rPr>
                <w:rFonts w:ascii="Arial Narrow" w:hAnsi="Arial Narrow" w:cs="Arial"/>
                <w:b/>
                <w:sz w:val="18"/>
                <w:szCs w:val="18"/>
              </w:rPr>
            </w:pPr>
            <w:r w:rsidRPr="00D81EF6">
              <w:rPr>
                <w:rFonts w:ascii="Arial Narrow" w:hAnsi="Arial Narrow" w:cs="Arial"/>
                <w:b/>
                <w:sz w:val="18"/>
                <w:szCs w:val="18"/>
              </w:rPr>
              <w:t>Proprietary Name and Manufacturer</w:t>
            </w:r>
          </w:p>
        </w:tc>
      </w:tr>
      <w:tr w:rsidR="00EB2425" w:rsidRPr="00D81EF6" w14:paraId="3F095105" w14:textId="77777777" w:rsidTr="00AC1ABA">
        <w:trPr>
          <w:cantSplit/>
          <w:trHeight w:val="469"/>
        </w:trPr>
        <w:tc>
          <w:tcPr>
            <w:tcW w:w="2689" w:type="dxa"/>
          </w:tcPr>
          <w:p w14:paraId="4CC8ED94" w14:textId="77777777" w:rsidR="00EB2425" w:rsidRPr="00D81EF6" w:rsidRDefault="00EB2425" w:rsidP="00AC1ABA">
            <w:pPr>
              <w:keepNext/>
              <w:ind w:left="-108"/>
              <w:rPr>
                <w:rFonts w:ascii="Arial Narrow" w:hAnsi="Arial Narrow" w:cs="Arial"/>
                <w:sz w:val="18"/>
                <w:szCs w:val="18"/>
              </w:rPr>
            </w:pPr>
            <w:r w:rsidRPr="00D81EF6">
              <w:rPr>
                <w:rFonts w:ascii="Arial Narrow" w:hAnsi="Arial Narrow" w:cs="Arial"/>
                <w:sz w:val="18"/>
                <w:szCs w:val="18"/>
              </w:rPr>
              <w:t>MODAFINIL</w:t>
            </w:r>
          </w:p>
          <w:p w14:paraId="534F160A" w14:textId="77777777" w:rsidR="00EB2425" w:rsidRPr="00D81EF6" w:rsidRDefault="00EB2425" w:rsidP="00AC1ABA">
            <w:pPr>
              <w:keepNext/>
              <w:ind w:left="-108"/>
              <w:rPr>
                <w:rFonts w:ascii="Arial Narrow" w:hAnsi="Arial Narrow" w:cs="Arial"/>
                <w:sz w:val="18"/>
                <w:szCs w:val="18"/>
              </w:rPr>
            </w:pPr>
            <w:r w:rsidRPr="00D81EF6">
              <w:rPr>
                <w:rFonts w:ascii="Arial Narrow" w:hAnsi="Arial Narrow" w:cs="Arial"/>
                <w:sz w:val="18"/>
                <w:szCs w:val="18"/>
              </w:rPr>
              <w:t>modafinil 100 mg tablet, 60</w:t>
            </w:r>
          </w:p>
        </w:tc>
        <w:tc>
          <w:tcPr>
            <w:tcW w:w="1275" w:type="dxa"/>
          </w:tcPr>
          <w:p w14:paraId="1C0D5E38" w14:textId="77777777" w:rsidR="00EB2425" w:rsidRPr="00D81EF6" w:rsidRDefault="00EB2425" w:rsidP="00AC1ABA">
            <w:pPr>
              <w:keepNext/>
              <w:rPr>
                <w:rFonts w:ascii="Arial Narrow" w:hAnsi="Arial Narrow" w:cs="Arial"/>
                <w:sz w:val="18"/>
                <w:szCs w:val="18"/>
              </w:rPr>
            </w:pPr>
          </w:p>
          <w:p w14:paraId="47E442FD" w14:textId="77777777" w:rsidR="00EB2425" w:rsidRPr="00D81EF6" w:rsidRDefault="00EB2425" w:rsidP="00AC1ABA">
            <w:pPr>
              <w:keepNext/>
              <w:ind w:left="-108"/>
              <w:jc w:val="center"/>
              <w:rPr>
                <w:rFonts w:ascii="Arial Narrow" w:hAnsi="Arial Narrow" w:cs="Arial"/>
                <w:sz w:val="18"/>
                <w:szCs w:val="18"/>
              </w:rPr>
            </w:pPr>
            <w:r w:rsidRPr="00D81EF6">
              <w:rPr>
                <w:rFonts w:ascii="Arial Narrow" w:hAnsi="Arial Narrow" w:cs="Arial"/>
                <w:sz w:val="18"/>
                <w:szCs w:val="18"/>
              </w:rPr>
              <w:t>8816B</w:t>
            </w:r>
          </w:p>
        </w:tc>
        <w:tc>
          <w:tcPr>
            <w:tcW w:w="851" w:type="dxa"/>
          </w:tcPr>
          <w:p w14:paraId="1AEACA0A" w14:textId="77777777" w:rsidR="00EB2425" w:rsidRPr="00D81EF6" w:rsidRDefault="00EB2425" w:rsidP="00AC1ABA">
            <w:pPr>
              <w:keepNext/>
              <w:rPr>
                <w:rFonts w:ascii="Arial Narrow" w:hAnsi="Arial Narrow" w:cs="Arial"/>
                <w:sz w:val="18"/>
                <w:szCs w:val="18"/>
              </w:rPr>
            </w:pPr>
          </w:p>
          <w:p w14:paraId="3C55AB37" w14:textId="77777777" w:rsidR="00EB2425" w:rsidRPr="00D81EF6" w:rsidRDefault="00EB2425" w:rsidP="00AC1ABA">
            <w:pPr>
              <w:keepNext/>
              <w:jc w:val="center"/>
              <w:rPr>
                <w:rFonts w:ascii="Arial Narrow" w:hAnsi="Arial Narrow" w:cs="Arial"/>
                <w:sz w:val="18"/>
                <w:szCs w:val="18"/>
              </w:rPr>
            </w:pPr>
            <w:r w:rsidRPr="00D81EF6">
              <w:rPr>
                <w:rFonts w:ascii="Arial Narrow" w:hAnsi="Arial Narrow" w:cs="Arial"/>
                <w:sz w:val="18"/>
                <w:szCs w:val="18"/>
              </w:rPr>
              <w:t>2</w:t>
            </w:r>
          </w:p>
        </w:tc>
        <w:tc>
          <w:tcPr>
            <w:tcW w:w="850" w:type="dxa"/>
          </w:tcPr>
          <w:p w14:paraId="3D961EB1" w14:textId="77777777" w:rsidR="00EB2425" w:rsidRPr="00D81EF6" w:rsidRDefault="00EB2425" w:rsidP="00AC1ABA">
            <w:pPr>
              <w:keepNext/>
              <w:rPr>
                <w:rFonts w:ascii="Arial Narrow" w:hAnsi="Arial Narrow" w:cs="Arial"/>
                <w:sz w:val="18"/>
                <w:szCs w:val="18"/>
              </w:rPr>
            </w:pPr>
          </w:p>
          <w:p w14:paraId="4324519B" w14:textId="77777777" w:rsidR="00EB2425" w:rsidRPr="00D81EF6" w:rsidRDefault="00EB2425" w:rsidP="00AC1ABA">
            <w:pPr>
              <w:keepNext/>
              <w:ind w:left="-108"/>
              <w:jc w:val="center"/>
              <w:rPr>
                <w:rFonts w:ascii="Arial Narrow" w:hAnsi="Arial Narrow" w:cs="Arial"/>
                <w:sz w:val="18"/>
                <w:szCs w:val="18"/>
              </w:rPr>
            </w:pPr>
            <w:r w:rsidRPr="00D81EF6">
              <w:rPr>
                <w:rFonts w:ascii="Arial Narrow" w:hAnsi="Arial Narrow" w:cs="Arial"/>
                <w:sz w:val="18"/>
                <w:szCs w:val="18"/>
              </w:rPr>
              <w:t>120</w:t>
            </w:r>
          </w:p>
        </w:tc>
        <w:tc>
          <w:tcPr>
            <w:tcW w:w="709" w:type="dxa"/>
          </w:tcPr>
          <w:p w14:paraId="635B70F6" w14:textId="77777777" w:rsidR="00EB2425" w:rsidRPr="00D81EF6" w:rsidRDefault="00EB2425" w:rsidP="00AC1ABA">
            <w:pPr>
              <w:keepNext/>
              <w:rPr>
                <w:rFonts w:ascii="Arial Narrow" w:hAnsi="Arial Narrow" w:cs="Arial"/>
                <w:sz w:val="18"/>
                <w:szCs w:val="18"/>
              </w:rPr>
            </w:pPr>
          </w:p>
          <w:p w14:paraId="46097C69" w14:textId="77777777" w:rsidR="00EB2425" w:rsidRPr="00D81EF6" w:rsidRDefault="00EB2425" w:rsidP="00AC1ABA">
            <w:pPr>
              <w:keepNext/>
              <w:ind w:left="-108"/>
              <w:jc w:val="center"/>
              <w:rPr>
                <w:rFonts w:ascii="Arial Narrow" w:hAnsi="Arial Narrow" w:cs="Arial"/>
                <w:sz w:val="18"/>
                <w:szCs w:val="18"/>
              </w:rPr>
            </w:pPr>
            <w:r w:rsidRPr="00D81EF6">
              <w:rPr>
                <w:rFonts w:ascii="Arial Narrow" w:hAnsi="Arial Narrow" w:cs="Arial"/>
                <w:sz w:val="18"/>
                <w:szCs w:val="18"/>
              </w:rPr>
              <w:t>5</w:t>
            </w:r>
          </w:p>
        </w:tc>
        <w:tc>
          <w:tcPr>
            <w:tcW w:w="2551" w:type="dxa"/>
            <w:gridSpan w:val="2"/>
          </w:tcPr>
          <w:p w14:paraId="74F6A953" w14:textId="77777777" w:rsidR="00EB2425" w:rsidRPr="00D81EF6" w:rsidRDefault="00EB2425" w:rsidP="00AC1ABA">
            <w:pPr>
              <w:keepNext/>
              <w:rPr>
                <w:rFonts w:ascii="Arial Narrow" w:hAnsi="Arial Narrow" w:cs="Arial"/>
                <w:sz w:val="18"/>
                <w:szCs w:val="18"/>
              </w:rPr>
            </w:pPr>
          </w:p>
          <w:p w14:paraId="35CAC58C" w14:textId="77777777" w:rsidR="00EB2425" w:rsidRPr="00D81EF6" w:rsidRDefault="00EB2425" w:rsidP="00AC1ABA">
            <w:pPr>
              <w:keepNext/>
              <w:rPr>
                <w:rFonts w:ascii="Arial Narrow" w:hAnsi="Arial Narrow" w:cs="Arial"/>
                <w:sz w:val="18"/>
                <w:szCs w:val="18"/>
              </w:rPr>
            </w:pPr>
            <w:r w:rsidRPr="00D81EF6">
              <w:rPr>
                <w:rFonts w:ascii="Arial Narrow" w:hAnsi="Arial Narrow" w:cs="Arial"/>
                <w:sz w:val="18"/>
                <w:szCs w:val="18"/>
              </w:rPr>
              <w:t>Various brands and sponsors</w:t>
            </w:r>
          </w:p>
        </w:tc>
      </w:tr>
      <w:tr w:rsidR="00EB2425" w:rsidRPr="00D81EF6" w14:paraId="139558E3" w14:textId="77777777" w:rsidTr="00AC1ABA">
        <w:trPr>
          <w:cantSplit/>
          <w:trHeight w:val="327"/>
        </w:trPr>
        <w:tc>
          <w:tcPr>
            <w:tcW w:w="2689" w:type="dxa"/>
          </w:tcPr>
          <w:p w14:paraId="6375F964" w14:textId="77777777" w:rsidR="00EB2425" w:rsidRPr="00D81EF6" w:rsidRDefault="00EB2425" w:rsidP="00AC1ABA">
            <w:pPr>
              <w:keepNext/>
              <w:ind w:left="-108"/>
              <w:rPr>
                <w:rFonts w:ascii="Arial Narrow" w:hAnsi="Arial Narrow" w:cs="Arial"/>
                <w:sz w:val="18"/>
                <w:szCs w:val="18"/>
              </w:rPr>
            </w:pPr>
            <w:r w:rsidRPr="00D81EF6">
              <w:rPr>
                <w:rFonts w:ascii="Arial Narrow" w:hAnsi="Arial Narrow" w:cs="Arial"/>
                <w:sz w:val="18"/>
                <w:szCs w:val="18"/>
              </w:rPr>
              <w:t>ARMODAFINIL</w:t>
            </w:r>
          </w:p>
          <w:p w14:paraId="3FED6398" w14:textId="77777777" w:rsidR="00EB2425" w:rsidRPr="00D81EF6" w:rsidRDefault="00EB2425" w:rsidP="00AC1ABA">
            <w:pPr>
              <w:keepNext/>
              <w:ind w:left="-108"/>
              <w:rPr>
                <w:rFonts w:ascii="Arial Narrow" w:hAnsi="Arial Narrow" w:cs="Arial"/>
                <w:sz w:val="18"/>
                <w:szCs w:val="18"/>
              </w:rPr>
            </w:pPr>
            <w:r w:rsidRPr="00D81EF6">
              <w:rPr>
                <w:rFonts w:ascii="Arial Narrow" w:hAnsi="Arial Narrow" w:cs="Arial"/>
                <w:sz w:val="18"/>
                <w:szCs w:val="18"/>
              </w:rPr>
              <w:t>armodafinil 50 mg tablet, 30</w:t>
            </w:r>
          </w:p>
          <w:p w14:paraId="11129823" w14:textId="77777777" w:rsidR="00EB2425" w:rsidRPr="00D81EF6" w:rsidRDefault="00EB2425" w:rsidP="00AC1ABA">
            <w:pPr>
              <w:keepNext/>
              <w:ind w:left="-108"/>
              <w:rPr>
                <w:rFonts w:ascii="Arial Narrow" w:hAnsi="Arial Narrow" w:cs="Arial"/>
                <w:sz w:val="18"/>
                <w:szCs w:val="18"/>
              </w:rPr>
            </w:pPr>
            <w:r w:rsidRPr="00D81EF6">
              <w:rPr>
                <w:rFonts w:ascii="Arial Narrow" w:hAnsi="Arial Narrow" w:cs="Arial"/>
                <w:sz w:val="18"/>
                <w:szCs w:val="18"/>
              </w:rPr>
              <w:t>armodafinil 150 mg tablet, 30</w:t>
            </w:r>
          </w:p>
          <w:p w14:paraId="24286D8B" w14:textId="330BC84B" w:rsidR="00EB2425" w:rsidRPr="00D81EF6" w:rsidRDefault="00EB2425" w:rsidP="00E149F1">
            <w:pPr>
              <w:keepNext/>
              <w:ind w:left="-108"/>
              <w:rPr>
                <w:rFonts w:ascii="Arial Narrow" w:hAnsi="Arial Narrow" w:cs="Arial"/>
                <w:sz w:val="18"/>
                <w:szCs w:val="18"/>
              </w:rPr>
            </w:pPr>
            <w:r w:rsidRPr="00D81EF6">
              <w:rPr>
                <w:rFonts w:ascii="Arial Narrow" w:hAnsi="Arial Narrow" w:cs="Arial"/>
                <w:sz w:val="18"/>
                <w:szCs w:val="18"/>
              </w:rPr>
              <w:t>armodafinil 250 mg tablet, 30</w:t>
            </w:r>
          </w:p>
        </w:tc>
        <w:tc>
          <w:tcPr>
            <w:tcW w:w="1275" w:type="dxa"/>
          </w:tcPr>
          <w:p w14:paraId="3DFF3C19" w14:textId="77777777" w:rsidR="00EB2425" w:rsidRPr="00D81EF6" w:rsidRDefault="00EB2425" w:rsidP="00AC1ABA">
            <w:pPr>
              <w:keepNext/>
              <w:jc w:val="center"/>
              <w:rPr>
                <w:rFonts w:ascii="Arial Narrow" w:hAnsi="Arial Narrow" w:cs="Arial"/>
                <w:sz w:val="18"/>
                <w:szCs w:val="18"/>
              </w:rPr>
            </w:pPr>
          </w:p>
          <w:p w14:paraId="03B15351" w14:textId="77777777" w:rsidR="00EB2425" w:rsidRPr="00D81EF6" w:rsidRDefault="00EB2425" w:rsidP="00AC1ABA">
            <w:pPr>
              <w:keepNext/>
              <w:jc w:val="center"/>
              <w:rPr>
                <w:rFonts w:ascii="Arial Narrow" w:hAnsi="Arial Narrow" w:cs="Arial"/>
                <w:sz w:val="18"/>
                <w:szCs w:val="18"/>
              </w:rPr>
            </w:pPr>
            <w:r w:rsidRPr="00D81EF6">
              <w:rPr>
                <w:rFonts w:ascii="Arial Narrow" w:hAnsi="Arial Narrow" w:cs="Arial"/>
                <w:sz w:val="18"/>
                <w:szCs w:val="18"/>
              </w:rPr>
              <w:t>10922W</w:t>
            </w:r>
          </w:p>
          <w:p w14:paraId="44D601CC" w14:textId="77777777" w:rsidR="00EB2425" w:rsidRPr="00D81EF6" w:rsidRDefault="00EB2425" w:rsidP="00AC1ABA">
            <w:pPr>
              <w:keepNext/>
              <w:jc w:val="center"/>
              <w:rPr>
                <w:rFonts w:ascii="Arial Narrow" w:hAnsi="Arial Narrow" w:cs="Arial"/>
                <w:sz w:val="18"/>
                <w:szCs w:val="18"/>
              </w:rPr>
            </w:pPr>
            <w:r w:rsidRPr="00D81EF6">
              <w:rPr>
                <w:rFonts w:ascii="Arial Narrow" w:hAnsi="Arial Narrow" w:cs="Arial"/>
                <w:sz w:val="18"/>
                <w:szCs w:val="18"/>
              </w:rPr>
              <w:t>10912H</w:t>
            </w:r>
          </w:p>
          <w:p w14:paraId="610FD1DD" w14:textId="77777777" w:rsidR="00EB2425" w:rsidRPr="00D81EF6" w:rsidRDefault="00EB2425" w:rsidP="00AC1ABA">
            <w:pPr>
              <w:keepNext/>
              <w:jc w:val="center"/>
              <w:rPr>
                <w:rFonts w:ascii="Arial Narrow" w:hAnsi="Arial Narrow" w:cs="Arial"/>
                <w:sz w:val="18"/>
                <w:szCs w:val="18"/>
              </w:rPr>
            </w:pPr>
            <w:r w:rsidRPr="00D81EF6">
              <w:rPr>
                <w:rFonts w:ascii="Arial Narrow" w:hAnsi="Arial Narrow" w:cs="Arial"/>
                <w:sz w:val="18"/>
                <w:szCs w:val="18"/>
              </w:rPr>
              <w:t>10919Q</w:t>
            </w:r>
          </w:p>
        </w:tc>
        <w:tc>
          <w:tcPr>
            <w:tcW w:w="851" w:type="dxa"/>
          </w:tcPr>
          <w:p w14:paraId="36F2F48F" w14:textId="77777777" w:rsidR="00EB2425" w:rsidRPr="00D81EF6" w:rsidRDefault="00EB2425" w:rsidP="00AC1ABA">
            <w:pPr>
              <w:keepNext/>
              <w:jc w:val="center"/>
              <w:rPr>
                <w:rFonts w:ascii="Arial Narrow" w:hAnsi="Arial Narrow" w:cs="Arial"/>
                <w:sz w:val="18"/>
                <w:szCs w:val="18"/>
              </w:rPr>
            </w:pPr>
          </w:p>
          <w:p w14:paraId="219CF3A8" w14:textId="77777777" w:rsidR="00EB2425" w:rsidRPr="00D81EF6" w:rsidRDefault="00EB2425" w:rsidP="00AC1ABA">
            <w:pPr>
              <w:keepNext/>
              <w:jc w:val="center"/>
              <w:rPr>
                <w:rFonts w:ascii="Arial Narrow" w:hAnsi="Arial Narrow" w:cs="Arial"/>
                <w:sz w:val="18"/>
                <w:szCs w:val="18"/>
              </w:rPr>
            </w:pPr>
            <w:r w:rsidRPr="00D81EF6">
              <w:rPr>
                <w:rFonts w:ascii="Arial Narrow" w:hAnsi="Arial Narrow" w:cs="Arial"/>
                <w:sz w:val="18"/>
                <w:szCs w:val="18"/>
              </w:rPr>
              <w:t>2</w:t>
            </w:r>
          </w:p>
          <w:p w14:paraId="1D3C487A" w14:textId="77777777" w:rsidR="00EB2425" w:rsidRPr="00D81EF6" w:rsidRDefault="00EB2425" w:rsidP="00AC1ABA">
            <w:pPr>
              <w:keepNext/>
              <w:jc w:val="center"/>
              <w:rPr>
                <w:rFonts w:ascii="Arial Narrow" w:hAnsi="Arial Narrow" w:cs="Arial"/>
                <w:sz w:val="18"/>
                <w:szCs w:val="18"/>
              </w:rPr>
            </w:pPr>
            <w:r w:rsidRPr="00D81EF6">
              <w:rPr>
                <w:rFonts w:ascii="Arial Narrow" w:hAnsi="Arial Narrow" w:cs="Arial"/>
                <w:sz w:val="18"/>
                <w:szCs w:val="18"/>
              </w:rPr>
              <w:t>1</w:t>
            </w:r>
          </w:p>
          <w:p w14:paraId="2CB53EFF" w14:textId="77777777" w:rsidR="00EB2425" w:rsidRPr="00D81EF6" w:rsidRDefault="00EB2425" w:rsidP="00AC1ABA">
            <w:pPr>
              <w:keepNext/>
              <w:jc w:val="center"/>
              <w:rPr>
                <w:rFonts w:ascii="Arial Narrow" w:hAnsi="Arial Narrow" w:cs="Arial"/>
                <w:sz w:val="18"/>
                <w:szCs w:val="18"/>
              </w:rPr>
            </w:pPr>
            <w:r w:rsidRPr="00D81EF6">
              <w:rPr>
                <w:rFonts w:ascii="Arial Narrow" w:hAnsi="Arial Narrow" w:cs="Arial"/>
                <w:sz w:val="18"/>
                <w:szCs w:val="18"/>
              </w:rPr>
              <w:t>1</w:t>
            </w:r>
          </w:p>
        </w:tc>
        <w:tc>
          <w:tcPr>
            <w:tcW w:w="850" w:type="dxa"/>
          </w:tcPr>
          <w:p w14:paraId="403E8BD6" w14:textId="77777777" w:rsidR="00EB2425" w:rsidRPr="00D81EF6" w:rsidRDefault="00EB2425" w:rsidP="00AC1ABA">
            <w:pPr>
              <w:keepNext/>
              <w:ind w:left="-108"/>
              <w:jc w:val="center"/>
              <w:rPr>
                <w:rFonts w:ascii="Arial Narrow" w:hAnsi="Arial Narrow" w:cs="Arial"/>
                <w:sz w:val="18"/>
                <w:szCs w:val="18"/>
              </w:rPr>
            </w:pPr>
          </w:p>
          <w:p w14:paraId="3A876A5B" w14:textId="77777777" w:rsidR="00EB2425" w:rsidRPr="00D81EF6" w:rsidRDefault="00EB2425" w:rsidP="00AC1ABA">
            <w:pPr>
              <w:keepNext/>
              <w:ind w:left="-108"/>
              <w:jc w:val="center"/>
              <w:rPr>
                <w:rFonts w:ascii="Arial Narrow" w:hAnsi="Arial Narrow" w:cs="Arial"/>
                <w:sz w:val="18"/>
                <w:szCs w:val="18"/>
              </w:rPr>
            </w:pPr>
            <w:r w:rsidRPr="00D81EF6">
              <w:rPr>
                <w:rFonts w:ascii="Arial Narrow" w:hAnsi="Arial Narrow" w:cs="Arial"/>
                <w:sz w:val="18"/>
                <w:szCs w:val="18"/>
              </w:rPr>
              <w:t>60</w:t>
            </w:r>
          </w:p>
          <w:p w14:paraId="78080830" w14:textId="77777777" w:rsidR="00EB2425" w:rsidRPr="00D81EF6" w:rsidRDefault="00EB2425" w:rsidP="00AC1ABA">
            <w:pPr>
              <w:keepNext/>
              <w:ind w:left="-108"/>
              <w:jc w:val="center"/>
              <w:rPr>
                <w:rFonts w:ascii="Arial Narrow" w:hAnsi="Arial Narrow" w:cs="Arial"/>
                <w:sz w:val="18"/>
                <w:szCs w:val="18"/>
              </w:rPr>
            </w:pPr>
            <w:r w:rsidRPr="00D81EF6">
              <w:rPr>
                <w:rFonts w:ascii="Arial Narrow" w:hAnsi="Arial Narrow" w:cs="Arial"/>
                <w:sz w:val="18"/>
                <w:szCs w:val="18"/>
              </w:rPr>
              <w:t>30</w:t>
            </w:r>
          </w:p>
          <w:p w14:paraId="672EFF30" w14:textId="77777777" w:rsidR="00EB2425" w:rsidRPr="00D81EF6" w:rsidRDefault="00EB2425" w:rsidP="00AC1ABA">
            <w:pPr>
              <w:keepNext/>
              <w:ind w:left="-108"/>
              <w:jc w:val="center"/>
              <w:rPr>
                <w:rFonts w:ascii="Arial Narrow" w:hAnsi="Arial Narrow" w:cs="Arial"/>
                <w:sz w:val="18"/>
                <w:szCs w:val="18"/>
              </w:rPr>
            </w:pPr>
            <w:r w:rsidRPr="00D81EF6">
              <w:rPr>
                <w:rFonts w:ascii="Arial Narrow" w:hAnsi="Arial Narrow" w:cs="Arial"/>
                <w:sz w:val="18"/>
                <w:szCs w:val="18"/>
              </w:rPr>
              <w:t>30</w:t>
            </w:r>
          </w:p>
        </w:tc>
        <w:tc>
          <w:tcPr>
            <w:tcW w:w="709" w:type="dxa"/>
          </w:tcPr>
          <w:p w14:paraId="1100C80E" w14:textId="77777777" w:rsidR="00EB2425" w:rsidRPr="00D81EF6" w:rsidRDefault="00EB2425" w:rsidP="00AC1ABA">
            <w:pPr>
              <w:keepNext/>
              <w:ind w:left="-108"/>
              <w:jc w:val="center"/>
              <w:rPr>
                <w:rFonts w:ascii="Arial Narrow" w:hAnsi="Arial Narrow" w:cs="Arial"/>
                <w:sz w:val="18"/>
                <w:szCs w:val="18"/>
              </w:rPr>
            </w:pPr>
          </w:p>
          <w:p w14:paraId="66077EFA" w14:textId="77777777" w:rsidR="00EB2425" w:rsidRPr="00D81EF6" w:rsidRDefault="00EB2425" w:rsidP="00AC1ABA">
            <w:pPr>
              <w:keepNext/>
              <w:ind w:left="-108"/>
              <w:jc w:val="center"/>
              <w:rPr>
                <w:rFonts w:ascii="Arial Narrow" w:hAnsi="Arial Narrow" w:cs="Arial"/>
                <w:sz w:val="18"/>
                <w:szCs w:val="18"/>
              </w:rPr>
            </w:pPr>
            <w:r w:rsidRPr="00D81EF6">
              <w:rPr>
                <w:rFonts w:ascii="Arial Narrow" w:hAnsi="Arial Narrow" w:cs="Arial"/>
                <w:sz w:val="18"/>
                <w:szCs w:val="18"/>
              </w:rPr>
              <w:t>5</w:t>
            </w:r>
          </w:p>
          <w:p w14:paraId="489F1802" w14:textId="77777777" w:rsidR="00EB2425" w:rsidRPr="00D81EF6" w:rsidRDefault="00EB2425" w:rsidP="00AC1ABA">
            <w:pPr>
              <w:keepNext/>
              <w:ind w:left="-108"/>
              <w:jc w:val="center"/>
              <w:rPr>
                <w:rFonts w:ascii="Arial Narrow" w:hAnsi="Arial Narrow" w:cs="Arial"/>
                <w:sz w:val="18"/>
                <w:szCs w:val="18"/>
              </w:rPr>
            </w:pPr>
            <w:r w:rsidRPr="00D81EF6">
              <w:rPr>
                <w:rFonts w:ascii="Arial Narrow" w:hAnsi="Arial Narrow" w:cs="Arial"/>
                <w:sz w:val="18"/>
                <w:szCs w:val="18"/>
              </w:rPr>
              <w:t>5</w:t>
            </w:r>
          </w:p>
          <w:p w14:paraId="1A68E0BE" w14:textId="77777777" w:rsidR="00EB2425" w:rsidRPr="00D81EF6" w:rsidRDefault="00EB2425" w:rsidP="00AC1ABA">
            <w:pPr>
              <w:keepNext/>
              <w:ind w:left="-108"/>
              <w:jc w:val="center"/>
              <w:rPr>
                <w:rFonts w:ascii="Arial Narrow" w:hAnsi="Arial Narrow" w:cs="Arial"/>
                <w:sz w:val="18"/>
                <w:szCs w:val="18"/>
              </w:rPr>
            </w:pPr>
            <w:r w:rsidRPr="00D81EF6">
              <w:rPr>
                <w:rFonts w:ascii="Arial Narrow" w:hAnsi="Arial Narrow" w:cs="Arial"/>
                <w:sz w:val="18"/>
                <w:szCs w:val="18"/>
              </w:rPr>
              <w:t>5</w:t>
            </w:r>
          </w:p>
        </w:tc>
        <w:tc>
          <w:tcPr>
            <w:tcW w:w="709" w:type="dxa"/>
          </w:tcPr>
          <w:p w14:paraId="44828E99" w14:textId="77777777" w:rsidR="00EB2425" w:rsidRPr="00D81EF6" w:rsidRDefault="00EB2425" w:rsidP="00AC1ABA">
            <w:pPr>
              <w:keepNext/>
              <w:rPr>
                <w:rFonts w:ascii="Arial Narrow" w:hAnsi="Arial Narrow" w:cs="Arial"/>
                <w:sz w:val="18"/>
                <w:szCs w:val="18"/>
              </w:rPr>
            </w:pPr>
          </w:p>
          <w:p w14:paraId="5FA5588D" w14:textId="77777777" w:rsidR="00EB2425" w:rsidRPr="00D81EF6" w:rsidRDefault="00EB2425" w:rsidP="00AC1ABA">
            <w:pPr>
              <w:keepNext/>
              <w:rPr>
                <w:rFonts w:ascii="Arial Narrow" w:hAnsi="Arial Narrow" w:cs="Arial"/>
                <w:sz w:val="18"/>
                <w:szCs w:val="18"/>
              </w:rPr>
            </w:pPr>
            <w:r w:rsidRPr="00D81EF6">
              <w:rPr>
                <w:rFonts w:ascii="Arial Narrow" w:hAnsi="Arial Narrow" w:cs="Arial"/>
                <w:sz w:val="18"/>
                <w:szCs w:val="18"/>
              </w:rPr>
              <w:t>Nuvigil</w:t>
            </w:r>
          </w:p>
        </w:tc>
        <w:tc>
          <w:tcPr>
            <w:tcW w:w="1842" w:type="dxa"/>
          </w:tcPr>
          <w:p w14:paraId="6542F24F" w14:textId="77777777" w:rsidR="00EB2425" w:rsidRPr="00D81EF6" w:rsidRDefault="00EB2425" w:rsidP="00AC1ABA">
            <w:pPr>
              <w:keepNext/>
              <w:rPr>
                <w:rFonts w:ascii="Arial Narrow" w:hAnsi="Arial Narrow" w:cs="Arial"/>
                <w:sz w:val="18"/>
                <w:szCs w:val="18"/>
              </w:rPr>
            </w:pPr>
          </w:p>
          <w:p w14:paraId="5456BFC7" w14:textId="77777777" w:rsidR="00EB2425" w:rsidRPr="00D81EF6" w:rsidRDefault="00EB2425" w:rsidP="00AC1ABA">
            <w:pPr>
              <w:keepNext/>
              <w:rPr>
                <w:rFonts w:ascii="Arial Narrow" w:hAnsi="Arial Narrow" w:cs="Arial"/>
                <w:sz w:val="18"/>
                <w:szCs w:val="18"/>
              </w:rPr>
            </w:pPr>
            <w:r w:rsidRPr="00D81EF6">
              <w:rPr>
                <w:rFonts w:ascii="Arial Narrow" w:hAnsi="Arial Narrow" w:cs="Arial"/>
                <w:sz w:val="18"/>
                <w:szCs w:val="18"/>
              </w:rPr>
              <w:t>Teva Pharma Australia</w:t>
            </w:r>
          </w:p>
          <w:p w14:paraId="1F081188" w14:textId="77777777" w:rsidR="00EB2425" w:rsidRPr="00D81EF6" w:rsidRDefault="00EB2425" w:rsidP="00AC1ABA">
            <w:pPr>
              <w:keepNext/>
              <w:rPr>
                <w:rFonts w:ascii="Arial Narrow" w:hAnsi="Arial Narrow" w:cs="Arial"/>
                <w:sz w:val="18"/>
                <w:szCs w:val="18"/>
              </w:rPr>
            </w:pPr>
            <w:r w:rsidRPr="00D81EF6">
              <w:rPr>
                <w:rFonts w:ascii="Arial Narrow" w:hAnsi="Arial Narrow" w:cs="Arial"/>
                <w:sz w:val="18"/>
                <w:szCs w:val="18"/>
              </w:rPr>
              <w:t>Pty Limited</w:t>
            </w:r>
          </w:p>
        </w:tc>
      </w:tr>
    </w:tbl>
    <w:p w14:paraId="637FC512" w14:textId="77777777" w:rsidR="00EB2425" w:rsidRPr="00D81EF6" w:rsidRDefault="00EB2425" w:rsidP="00EB2425">
      <w:pPr>
        <w:rPr>
          <w:rFonts w:ascii="Arial Narrow" w:hAnsi="Arial Narrow"/>
          <w:b/>
          <w:sz w:val="18"/>
          <w:szCs w:val="18"/>
        </w:rPr>
      </w:pPr>
    </w:p>
    <w:p w14:paraId="37B81DC1" w14:textId="77777777" w:rsidR="00EB2425" w:rsidRPr="00D81EF6" w:rsidRDefault="00EB2425" w:rsidP="00EB2425">
      <w:pPr>
        <w:rPr>
          <w:rFonts w:ascii="Arial Narrow" w:hAnsi="Arial Narrow"/>
          <w:b/>
          <w:sz w:val="18"/>
          <w:szCs w:val="18"/>
        </w:rPr>
      </w:pPr>
      <w:r w:rsidRPr="00D81EF6">
        <w:rPr>
          <w:rFonts w:ascii="Arial Narrow" w:hAnsi="Arial Narrow"/>
          <w:b/>
          <w:sz w:val="18"/>
          <w:szCs w:val="18"/>
        </w:rPr>
        <w:t>Restriction Summary 8664 / Treatment of Concept: 6547 (modafinil and armodafinil)</w:t>
      </w:r>
    </w:p>
    <w:tbl>
      <w:tblPr>
        <w:tblW w:w="4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12"/>
      </w:tblGrid>
      <w:tr w:rsidR="005C3BCD" w:rsidRPr="00D81EF6" w14:paraId="473A86CF" w14:textId="77777777" w:rsidTr="005C3BCD">
        <w:tc>
          <w:tcPr>
            <w:tcW w:w="5000" w:type="pct"/>
            <w:tcBorders>
              <w:top w:val="single" w:sz="4" w:space="0" w:color="auto"/>
              <w:left w:val="single" w:sz="4" w:space="0" w:color="auto"/>
              <w:bottom w:val="single" w:sz="4" w:space="0" w:color="auto"/>
              <w:right w:val="single" w:sz="4" w:space="0" w:color="auto"/>
            </w:tcBorders>
          </w:tcPr>
          <w:p w14:paraId="172A2783" w14:textId="34D9BB9F" w:rsidR="005C3BCD" w:rsidRPr="00D81EF6" w:rsidRDefault="005C3BCD" w:rsidP="00AC1ABA">
            <w:pPr>
              <w:rPr>
                <w:rFonts w:ascii="Arial Narrow" w:hAnsi="Arial Narrow" w:cs="Arial"/>
                <w:sz w:val="18"/>
                <w:szCs w:val="18"/>
              </w:rPr>
            </w:pPr>
            <w:r w:rsidRPr="00D81EF6">
              <w:rPr>
                <w:rFonts w:ascii="Arial Narrow" w:hAnsi="Arial Narrow" w:cs="Arial"/>
                <w:b/>
                <w:sz w:val="18"/>
                <w:szCs w:val="18"/>
              </w:rPr>
              <w:t xml:space="preserve">Category / Program:   </w:t>
            </w:r>
            <w:r w:rsidRPr="00D81EF6">
              <w:rPr>
                <w:rFonts w:ascii="Arial Narrow" w:hAnsi="Arial Narrow" w:cs="Arial"/>
                <w:sz w:val="18"/>
                <w:szCs w:val="18"/>
              </w:rPr>
              <w:t xml:space="preserve">GENERAL – General Schedule (Code GE) </w:t>
            </w:r>
          </w:p>
        </w:tc>
      </w:tr>
      <w:tr w:rsidR="005C3BCD" w:rsidRPr="00D81EF6" w14:paraId="7136362E" w14:textId="77777777" w:rsidTr="005C3BCD">
        <w:trPr>
          <w:trHeight w:val="119"/>
        </w:trPr>
        <w:tc>
          <w:tcPr>
            <w:tcW w:w="5000" w:type="pct"/>
            <w:tcBorders>
              <w:top w:val="single" w:sz="4" w:space="0" w:color="auto"/>
              <w:left w:val="single" w:sz="4" w:space="0" w:color="auto"/>
              <w:bottom w:val="single" w:sz="4" w:space="0" w:color="auto"/>
              <w:right w:val="single" w:sz="4" w:space="0" w:color="auto"/>
            </w:tcBorders>
          </w:tcPr>
          <w:p w14:paraId="19BFE162" w14:textId="130A78AA" w:rsidR="005C3BCD" w:rsidRPr="00D81EF6" w:rsidRDefault="005C3BCD" w:rsidP="00ED0229">
            <w:pPr>
              <w:rPr>
                <w:rFonts w:ascii="Arial Narrow" w:hAnsi="Arial Narrow" w:cs="Arial"/>
                <w:b/>
                <w:sz w:val="18"/>
                <w:szCs w:val="18"/>
              </w:rPr>
            </w:pPr>
            <w:r w:rsidRPr="00D81EF6">
              <w:rPr>
                <w:rFonts w:ascii="Arial Narrow" w:hAnsi="Arial Narrow" w:cs="Arial"/>
                <w:b/>
                <w:sz w:val="18"/>
                <w:szCs w:val="18"/>
              </w:rPr>
              <w:t xml:space="preserve">Prescriber type:   </w:t>
            </w:r>
            <w:r w:rsidRPr="008B405F">
              <w:rPr>
                <w:rFonts w:ascii="Arial Narrow" w:hAnsi="Arial Narrow" w:cs="Arial"/>
                <w:sz w:val="18"/>
                <w:szCs w:val="18"/>
              </w:rPr>
              <w:fldChar w:fldCharType="begin">
                <w:ffData>
                  <w:name w:val=""/>
                  <w:enabled/>
                  <w:calcOnExit w:val="0"/>
                  <w:checkBox>
                    <w:sizeAuto/>
                    <w:default w:val="1"/>
                  </w:checkBox>
                </w:ffData>
              </w:fldChar>
            </w:r>
            <w:r w:rsidRPr="00D81EF6">
              <w:rPr>
                <w:rFonts w:ascii="Arial Narrow" w:hAnsi="Arial Narrow" w:cs="Arial"/>
                <w:sz w:val="18"/>
                <w:szCs w:val="18"/>
              </w:rPr>
              <w:instrText xml:space="preserve"> FORMCHECKBOX </w:instrText>
            </w:r>
            <w:r w:rsidR="000129CA">
              <w:rPr>
                <w:rFonts w:ascii="Arial Narrow" w:hAnsi="Arial Narrow" w:cs="Arial"/>
                <w:sz w:val="18"/>
                <w:szCs w:val="18"/>
              </w:rPr>
            </w:r>
            <w:r w:rsidR="000129CA">
              <w:rPr>
                <w:rFonts w:ascii="Arial Narrow" w:hAnsi="Arial Narrow" w:cs="Arial"/>
                <w:sz w:val="18"/>
                <w:szCs w:val="18"/>
              </w:rPr>
              <w:fldChar w:fldCharType="separate"/>
            </w:r>
            <w:r w:rsidRPr="008B405F">
              <w:rPr>
                <w:rFonts w:ascii="Arial Narrow" w:hAnsi="Arial Narrow" w:cs="Arial"/>
                <w:sz w:val="18"/>
                <w:szCs w:val="18"/>
              </w:rPr>
              <w:fldChar w:fldCharType="end"/>
            </w:r>
            <w:r w:rsidR="000129CA">
              <w:rPr>
                <w:rFonts w:ascii="Arial Narrow" w:hAnsi="Arial Narrow" w:cs="Arial"/>
                <w:sz w:val="18"/>
                <w:szCs w:val="18"/>
              </w:rPr>
              <w:t xml:space="preserve">Medical Practitioners </w:t>
            </w:r>
          </w:p>
        </w:tc>
      </w:tr>
      <w:tr w:rsidR="005C3BCD" w:rsidRPr="00D81EF6" w14:paraId="3B942BEE" w14:textId="77777777" w:rsidTr="005C3BCD">
        <w:tc>
          <w:tcPr>
            <w:tcW w:w="5000" w:type="pct"/>
            <w:tcBorders>
              <w:top w:val="single" w:sz="4" w:space="0" w:color="auto"/>
              <w:left w:val="single" w:sz="4" w:space="0" w:color="auto"/>
              <w:bottom w:val="single" w:sz="4" w:space="0" w:color="auto"/>
              <w:right w:val="single" w:sz="4" w:space="0" w:color="auto"/>
            </w:tcBorders>
          </w:tcPr>
          <w:p w14:paraId="0E5059DD" w14:textId="3669A1A5" w:rsidR="005C3BCD" w:rsidRPr="00D81EF6" w:rsidRDefault="005C3BCD" w:rsidP="007A448C">
            <w:pPr>
              <w:rPr>
                <w:rFonts w:ascii="Arial Narrow" w:hAnsi="Arial Narrow" w:cs="Arial"/>
                <w:b/>
                <w:sz w:val="18"/>
                <w:szCs w:val="18"/>
              </w:rPr>
            </w:pPr>
            <w:r w:rsidRPr="00D81EF6">
              <w:rPr>
                <w:rFonts w:ascii="Arial Narrow" w:hAnsi="Arial Narrow" w:cs="Arial"/>
                <w:b/>
                <w:sz w:val="18"/>
                <w:szCs w:val="18"/>
              </w:rPr>
              <w:t xml:space="preserve">Restriction type / Method: </w:t>
            </w:r>
            <w:r w:rsidRPr="008B405F">
              <w:rPr>
                <w:rFonts w:ascii="Arial Narrow" w:hAnsi="Arial Narrow" w:cs="Arial"/>
                <w:sz w:val="18"/>
                <w:szCs w:val="18"/>
              </w:rPr>
              <w:fldChar w:fldCharType="begin">
                <w:ffData>
                  <w:name w:val="Check3"/>
                  <w:enabled/>
                  <w:calcOnExit w:val="0"/>
                  <w:checkBox>
                    <w:sizeAuto/>
                    <w:default w:val="1"/>
                  </w:checkBox>
                </w:ffData>
              </w:fldChar>
            </w:r>
            <w:r w:rsidRPr="00D81EF6">
              <w:rPr>
                <w:rFonts w:ascii="Arial Narrow" w:hAnsi="Arial Narrow" w:cs="Arial"/>
                <w:sz w:val="18"/>
                <w:szCs w:val="18"/>
              </w:rPr>
              <w:instrText xml:space="preserve"> FORMCHECKBOX </w:instrText>
            </w:r>
            <w:r w:rsidR="000129CA">
              <w:rPr>
                <w:rFonts w:ascii="Arial Narrow" w:hAnsi="Arial Narrow" w:cs="Arial"/>
                <w:sz w:val="18"/>
                <w:szCs w:val="18"/>
              </w:rPr>
            </w:r>
            <w:r w:rsidR="000129CA">
              <w:rPr>
                <w:rFonts w:ascii="Arial Narrow" w:hAnsi="Arial Narrow" w:cs="Arial"/>
                <w:sz w:val="18"/>
                <w:szCs w:val="18"/>
              </w:rPr>
              <w:fldChar w:fldCharType="separate"/>
            </w:r>
            <w:r w:rsidRPr="008B405F">
              <w:rPr>
                <w:rFonts w:ascii="Arial Narrow" w:hAnsi="Arial Narrow" w:cs="Arial"/>
                <w:sz w:val="18"/>
                <w:szCs w:val="18"/>
              </w:rPr>
              <w:fldChar w:fldCharType="end"/>
            </w:r>
            <w:r w:rsidRPr="00D81EF6">
              <w:rPr>
                <w:rFonts w:ascii="Arial Narrow" w:hAnsi="Arial Narrow" w:cs="Arial"/>
                <w:sz w:val="18"/>
                <w:szCs w:val="18"/>
              </w:rPr>
              <w:t>Authority Required –</w:t>
            </w:r>
            <w:r w:rsidRPr="00D81EF6">
              <w:t xml:space="preserve"> </w:t>
            </w:r>
            <w:r w:rsidRPr="00D81EF6">
              <w:rPr>
                <w:rFonts w:ascii="Arial Narrow" w:hAnsi="Arial Narrow" w:cs="Arial"/>
                <w:sz w:val="18"/>
                <w:szCs w:val="18"/>
              </w:rPr>
              <w:t>immediate assessment (Telephone/Online)</w:t>
            </w:r>
          </w:p>
        </w:tc>
      </w:tr>
      <w:tr w:rsidR="005C3BCD" w:rsidRPr="00D81EF6" w14:paraId="38A4F367" w14:textId="77777777" w:rsidTr="005C3BCD">
        <w:tc>
          <w:tcPr>
            <w:tcW w:w="5000" w:type="pct"/>
            <w:vAlign w:val="center"/>
            <w:hideMark/>
          </w:tcPr>
          <w:p w14:paraId="713C7D6F" w14:textId="77777777" w:rsidR="005C3BCD" w:rsidRPr="00D81EF6" w:rsidRDefault="005C3BCD" w:rsidP="00AC1ABA">
            <w:pPr>
              <w:rPr>
                <w:rFonts w:ascii="Arial Narrow" w:hAnsi="Arial Narrow"/>
                <w:sz w:val="18"/>
                <w:szCs w:val="18"/>
              </w:rPr>
            </w:pPr>
            <w:r w:rsidRPr="00D81EF6">
              <w:rPr>
                <w:rFonts w:ascii="Arial Narrow" w:hAnsi="Arial Narrow"/>
                <w:b/>
                <w:bCs/>
                <w:sz w:val="18"/>
                <w:szCs w:val="18"/>
              </w:rPr>
              <w:t>Indication:</w:t>
            </w:r>
            <w:r w:rsidRPr="00D81EF6">
              <w:rPr>
                <w:rFonts w:ascii="Arial Narrow" w:hAnsi="Arial Narrow"/>
                <w:sz w:val="18"/>
                <w:szCs w:val="18"/>
              </w:rPr>
              <w:t xml:space="preserve"> Narcolepsy</w:t>
            </w:r>
          </w:p>
        </w:tc>
      </w:tr>
      <w:tr w:rsidR="005C3BCD" w:rsidRPr="00D81EF6" w14:paraId="7EF675D5" w14:textId="77777777" w:rsidTr="005C3BCD">
        <w:tc>
          <w:tcPr>
            <w:tcW w:w="5000" w:type="pct"/>
            <w:vAlign w:val="center"/>
            <w:hideMark/>
          </w:tcPr>
          <w:p w14:paraId="3117F3F3" w14:textId="0A66AF15" w:rsidR="005C3BCD" w:rsidRPr="00D81EF6" w:rsidRDefault="005C3BCD" w:rsidP="00AC1ABA">
            <w:pPr>
              <w:rPr>
                <w:rFonts w:ascii="Arial Narrow" w:hAnsi="Arial Narrow"/>
                <w:sz w:val="18"/>
                <w:szCs w:val="18"/>
              </w:rPr>
            </w:pPr>
            <w:r w:rsidRPr="00D81EF6">
              <w:rPr>
                <w:rFonts w:ascii="Arial Narrow" w:hAnsi="Arial Narrow"/>
                <w:b/>
                <w:bCs/>
                <w:sz w:val="18"/>
                <w:szCs w:val="18"/>
              </w:rPr>
              <w:t>Treatment Phase:</w:t>
            </w:r>
            <w:r w:rsidRPr="00D81EF6">
              <w:rPr>
                <w:rFonts w:ascii="Arial Narrow" w:hAnsi="Arial Narrow"/>
                <w:sz w:val="18"/>
                <w:szCs w:val="18"/>
              </w:rPr>
              <w:t xml:space="preserve"> Continuing treatment </w:t>
            </w:r>
            <w:r w:rsidRPr="00D81EF6">
              <w:rPr>
                <w:rFonts w:ascii="Arial Narrow" w:hAnsi="Arial Narrow"/>
                <w:i/>
                <w:sz w:val="18"/>
                <w:szCs w:val="18"/>
              </w:rPr>
              <w:t>or switching between modafinil/armodafinil</w:t>
            </w:r>
            <w:r w:rsidRPr="00D81EF6">
              <w:rPr>
                <w:rFonts w:ascii="Arial Narrow" w:hAnsi="Arial Narrow"/>
                <w:sz w:val="18"/>
                <w:szCs w:val="18"/>
              </w:rPr>
              <w:t xml:space="preserve"> </w:t>
            </w:r>
          </w:p>
        </w:tc>
      </w:tr>
      <w:tr w:rsidR="005C3BCD" w:rsidRPr="00D81EF6" w14:paraId="574F2EC1" w14:textId="77777777" w:rsidTr="005C3BCD">
        <w:tc>
          <w:tcPr>
            <w:tcW w:w="5000" w:type="pct"/>
            <w:vAlign w:val="center"/>
          </w:tcPr>
          <w:p w14:paraId="56C42957" w14:textId="77777777" w:rsidR="005C3BCD" w:rsidRPr="00D81EF6" w:rsidRDefault="005C3BCD" w:rsidP="00AC1ABA">
            <w:pPr>
              <w:rPr>
                <w:rFonts w:ascii="Arial Narrow" w:hAnsi="Arial Narrow"/>
                <w:sz w:val="18"/>
                <w:szCs w:val="18"/>
              </w:rPr>
            </w:pPr>
            <w:r w:rsidRPr="00D81EF6">
              <w:rPr>
                <w:rFonts w:ascii="Arial Narrow" w:hAnsi="Arial Narrow"/>
                <w:b/>
                <w:bCs/>
                <w:sz w:val="18"/>
                <w:szCs w:val="18"/>
              </w:rPr>
              <w:t>Administrative Advice:</w:t>
            </w:r>
          </w:p>
          <w:p w14:paraId="3E72DB2D" w14:textId="77777777" w:rsidR="005C3BCD" w:rsidRPr="00D81EF6" w:rsidRDefault="005C3BCD" w:rsidP="00AC1ABA">
            <w:pPr>
              <w:rPr>
                <w:rFonts w:ascii="Arial Narrow" w:hAnsi="Arial Narrow"/>
                <w:b/>
                <w:bCs/>
                <w:sz w:val="18"/>
                <w:szCs w:val="18"/>
              </w:rPr>
            </w:pPr>
            <w:r w:rsidRPr="00D81EF6">
              <w:rPr>
                <w:rFonts w:ascii="Arial Narrow" w:hAnsi="Arial Narrow"/>
                <w:sz w:val="18"/>
                <w:szCs w:val="18"/>
              </w:rPr>
              <w:t xml:space="preserve">This drug is not PBS-subsidised when used in combination with PBS-subsidised dexamfetamine sulfate or </w:t>
            </w:r>
            <w:r w:rsidRPr="00D81EF6">
              <w:rPr>
                <w:rFonts w:ascii="Arial Narrow" w:hAnsi="Arial Narrow"/>
                <w:i/>
                <w:sz w:val="18"/>
                <w:szCs w:val="18"/>
              </w:rPr>
              <w:t>armodafinil/modafinil.</w:t>
            </w:r>
          </w:p>
        </w:tc>
      </w:tr>
      <w:tr w:rsidR="005C3BCD" w:rsidRPr="00D81EF6" w14:paraId="5C2C9527" w14:textId="77777777" w:rsidTr="005C3BCD">
        <w:tc>
          <w:tcPr>
            <w:tcW w:w="5000" w:type="pct"/>
            <w:vAlign w:val="center"/>
            <w:hideMark/>
          </w:tcPr>
          <w:p w14:paraId="3B022405" w14:textId="77777777" w:rsidR="005C3BCD" w:rsidRPr="00D81EF6" w:rsidRDefault="005C3BCD" w:rsidP="00AC1ABA">
            <w:pPr>
              <w:rPr>
                <w:rFonts w:ascii="Arial Narrow" w:hAnsi="Arial Narrow"/>
                <w:sz w:val="18"/>
                <w:szCs w:val="18"/>
              </w:rPr>
            </w:pPr>
            <w:r w:rsidRPr="00D81EF6">
              <w:rPr>
                <w:rFonts w:ascii="Arial Narrow" w:hAnsi="Arial Narrow"/>
                <w:b/>
                <w:bCs/>
                <w:sz w:val="18"/>
                <w:szCs w:val="18"/>
              </w:rPr>
              <w:t>Clinical criteria:</w:t>
            </w:r>
          </w:p>
        </w:tc>
      </w:tr>
      <w:tr w:rsidR="005C3BCD" w:rsidRPr="00D81EF6" w14:paraId="24D58238" w14:textId="77777777" w:rsidTr="005C3BCD">
        <w:tc>
          <w:tcPr>
            <w:tcW w:w="5000" w:type="pct"/>
            <w:vAlign w:val="center"/>
            <w:hideMark/>
          </w:tcPr>
          <w:p w14:paraId="3DCAB6D9" w14:textId="77777777" w:rsidR="005C3BCD" w:rsidRPr="00D81EF6" w:rsidRDefault="005C3BCD" w:rsidP="00AC1ABA">
            <w:pPr>
              <w:jc w:val="left"/>
              <w:rPr>
                <w:rFonts w:ascii="Arial Narrow" w:hAnsi="Arial Narrow"/>
                <w:sz w:val="18"/>
                <w:szCs w:val="18"/>
              </w:rPr>
            </w:pPr>
            <w:r w:rsidRPr="00D81EF6">
              <w:rPr>
                <w:rFonts w:ascii="Arial Narrow" w:hAnsi="Arial Narrow"/>
                <w:sz w:val="18"/>
                <w:szCs w:val="18"/>
              </w:rPr>
              <w:t xml:space="preserve">Patient must have previously received PBS-subsidised treatment with </w:t>
            </w:r>
            <w:r w:rsidRPr="00D81EF6">
              <w:rPr>
                <w:rFonts w:ascii="Arial Narrow" w:hAnsi="Arial Narrow"/>
                <w:strike/>
                <w:sz w:val="18"/>
                <w:szCs w:val="18"/>
              </w:rPr>
              <w:t>this drug</w:t>
            </w:r>
            <w:r w:rsidRPr="00D81EF6">
              <w:rPr>
                <w:rFonts w:ascii="Arial Narrow" w:hAnsi="Arial Narrow"/>
                <w:sz w:val="18"/>
                <w:szCs w:val="18"/>
              </w:rPr>
              <w:t xml:space="preserve"> </w:t>
            </w:r>
            <w:r w:rsidRPr="00D81EF6">
              <w:rPr>
                <w:rFonts w:ascii="Arial Narrow" w:hAnsi="Arial Narrow"/>
                <w:i/>
                <w:sz w:val="18"/>
                <w:szCs w:val="18"/>
              </w:rPr>
              <w:t>modafinil/armodafinil</w:t>
            </w:r>
            <w:r w:rsidRPr="00D81EF6">
              <w:rPr>
                <w:rFonts w:ascii="Arial Narrow" w:hAnsi="Arial Narrow"/>
                <w:sz w:val="18"/>
                <w:szCs w:val="18"/>
              </w:rPr>
              <w:t xml:space="preserve"> for this condition</w:t>
            </w:r>
          </w:p>
        </w:tc>
      </w:tr>
      <w:tr w:rsidR="005C3BCD" w:rsidRPr="00D81EF6" w14:paraId="204C51F1" w14:textId="77777777" w:rsidTr="005C3BCD">
        <w:tc>
          <w:tcPr>
            <w:tcW w:w="5000" w:type="pct"/>
            <w:vAlign w:val="center"/>
          </w:tcPr>
          <w:p w14:paraId="1D998D88" w14:textId="77777777" w:rsidR="005C3BCD" w:rsidRPr="00D81EF6" w:rsidRDefault="005C3BCD" w:rsidP="00DD51D6">
            <w:pPr>
              <w:jc w:val="left"/>
              <w:rPr>
                <w:rFonts w:ascii="Arial Narrow" w:hAnsi="Arial Narrow"/>
                <w:b/>
                <w:bCs/>
                <w:strike/>
                <w:sz w:val="18"/>
                <w:szCs w:val="18"/>
              </w:rPr>
            </w:pPr>
            <w:r w:rsidRPr="00D81EF6">
              <w:rPr>
                <w:rFonts w:ascii="Arial Narrow" w:hAnsi="Arial Narrow"/>
                <w:b/>
                <w:bCs/>
                <w:strike/>
                <w:sz w:val="18"/>
                <w:szCs w:val="18"/>
              </w:rPr>
              <w:t>Administrative Advice:</w:t>
            </w:r>
          </w:p>
          <w:p w14:paraId="209F74B0" w14:textId="26D76D21" w:rsidR="005C3BCD" w:rsidRPr="00D81EF6" w:rsidRDefault="005C3BCD" w:rsidP="00DD51D6">
            <w:pPr>
              <w:rPr>
                <w:rFonts w:ascii="Arial Narrow" w:hAnsi="Arial Narrow"/>
                <w:b/>
                <w:sz w:val="18"/>
                <w:szCs w:val="18"/>
              </w:rPr>
            </w:pPr>
            <w:r w:rsidRPr="00D81EF6">
              <w:rPr>
                <w:rFonts w:ascii="Arial Narrow" w:hAnsi="Arial Narrow"/>
                <w:bCs/>
                <w:strike/>
                <w:sz w:val="18"/>
                <w:szCs w:val="18"/>
              </w:rPr>
              <w:t>Authority applications for continuing treatment may be made by telephone to the Department of Human Services on 1800 700 270 (hours of operation 8 a.m. to 5 p.m. EST Monday to Friday).</w:t>
            </w:r>
          </w:p>
        </w:tc>
      </w:tr>
      <w:tr w:rsidR="005C3BCD" w:rsidRPr="00D81EF6" w14:paraId="5B7A8020" w14:textId="77777777" w:rsidTr="005C3BCD">
        <w:tc>
          <w:tcPr>
            <w:tcW w:w="5000" w:type="pct"/>
            <w:vAlign w:val="center"/>
          </w:tcPr>
          <w:p w14:paraId="05AC731E" w14:textId="77777777" w:rsidR="005C3BCD" w:rsidRPr="008B405F" w:rsidRDefault="005C3BCD" w:rsidP="009949F2">
            <w:pPr>
              <w:rPr>
                <w:rFonts w:ascii="Arial Narrow" w:hAnsi="Arial Narrow"/>
                <w:b/>
                <w:i/>
                <w:sz w:val="18"/>
                <w:szCs w:val="18"/>
              </w:rPr>
            </w:pPr>
            <w:r w:rsidRPr="008B405F">
              <w:rPr>
                <w:rFonts w:ascii="Arial Narrow" w:hAnsi="Arial Narrow"/>
                <w:b/>
                <w:i/>
                <w:sz w:val="18"/>
                <w:szCs w:val="18"/>
              </w:rPr>
              <w:t>Administrative Advice:</w:t>
            </w:r>
          </w:p>
          <w:p w14:paraId="565A2641" w14:textId="43C90716" w:rsidR="005C3BCD" w:rsidRPr="00D81EF6" w:rsidRDefault="005C3BCD" w:rsidP="009949F2">
            <w:pPr>
              <w:jc w:val="left"/>
              <w:rPr>
                <w:rFonts w:ascii="Arial Narrow" w:hAnsi="Arial Narrow"/>
                <w:b/>
                <w:bCs/>
                <w:strike/>
                <w:sz w:val="18"/>
                <w:szCs w:val="18"/>
              </w:rPr>
            </w:pPr>
            <w:r w:rsidRPr="008B405F">
              <w:rPr>
                <w:rFonts w:ascii="Arial Narrow" w:hAnsi="Arial Narrow"/>
                <w:i/>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r w:rsidR="005C3BCD" w:rsidRPr="00D81EF6" w14:paraId="7061084D" w14:textId="77777777" w:rsidTr="005C3BCD">
        <w:tc>
          <w:tcPr>
            <w:tcW w:w="5000" w:type="pct"/>
            <w:vAlign w:val="center"/>
          </w:tcPr>
          <w:p w14:paraId="6FB109B9" w14:textId="77777777" w:rsidR="005C3BCD" w:rsidRPr="00D81EF6" w:rsidRDefault="005C3BCD" w:rsidP="009949F2">
            <w:pPr>
              <w:rPr>
                <w:rFonts w:ascii="Arial Narrow" w:hAnsi="Arial Narrow"/>
                <w:strike/>
                <w:sz w:val="18"/>
                <w:szCs w:val="18"/>
              </w:rPr>
            </w:pPr>
            <w:r w:rsidRPr="00D81EF6">
              <w:rPr>
                <w:rFonts w:ascii="Arial Narrow" w:hAnsi="Arial Narrow"/>
                <w:b/>
                <w:bCs/>
                <w:strike/>
                <w:sz w:val="18"/>
                <w:szCs w:val="18"/>
              </w:rPr>
              <w:t>Administrative Advice:</w:t>
            </w:r>
          </w:p>
          <w:p w14:paraId="75CEF591" w14:textId="77777777" w:rsidR="005C3BCD" w:rsidRPr="00D81EF6" w:rsidRDefault="005C3BCD" w:rsidP="009949F2">
            <w:pPr>
              <w:rPr>
                <w:rFonts w:ascii="Arial Narrow" w:hAnsi="Arial Narrow"/>
                <w:strike/>
                <w:sz w:val="18"/>
                <w:szCs w:val="18"/>
              </w:rPr>
            </w:pPr>
            <w:r w:rsidRPr="00D81EF6">
              <w:rPr>
                <w:rFonts w:ascii="Arial Narrow" w:hAnsi="Arial Narrow"/>
                <w:strike/>
                <w:sz w:val="18"/>
                <w:szCs w:val="18"/>
              </w:rPr>
              <w:t>Any queries concerning the arrangements to prescribe may be directed to Services Australia on 1800 700 270 (hours of operation 8 a.m. to 5 p.m. EST Monday to Friday).</w:t>
            </w:r>
          </w:p>
          <w:p w14:paraId="1FAFA327" w14:textId="77777777" w:rsidR="005C3BCD" w:rsidRPr="00D81EF6" w:rsidRDefault="005C3BCD" w:rsidP="009949F2">
            <w:pPr>
              <w:rPr>
                <w:rFonts w:ascii="Arial Narrow" w:hAnsi="Arial Narrow"/>
                <w:strike/>
                <w:sz w:val="18"/>
                <w:szCs w:val="18"/>
              </w:rPr>
            </w:pPr>
            <w:r w:rsidRPr="00D81EF6">
              <w:rPr>
                <w:rFonts w:ascii="Arial Narrow" w:hAnsi="Arial Narrow"/>
                <w:strike/>
                <w:sz w:val="18"/>
                <w:szCs w:val="18"/>
              </w:rPr>
              <w:t>Prescribing information (including Authority Application forms and other relevant documentation as applicable) is available on the Services Australia website at www.servicesaustralia.gov.au</w:t>
            </w:r>
          </w:p>
          <w:p w14:paraId="3012E32A" w14:textId="77777777" w:rsidR="005C3BCD" w:rsidRPr="00D81EF6" w:rsidRDefault="005C3BCD" w:rsidP="009949F2">
            <w:pPr>
              <w:rPr>
                <w:rFonts w:ascii="Arial Narrow" w:hAnsi="Arial Narrow"/>
                <w:strike/>
                <w:sz w:val="18"/>
                <w:szCs w:val="18"/>
              </w:rPr>
            </w:pPr>
            <w:r w:rsidRPr="00D81EF6">
              <w:rPr>
                <w:rFonts w:ascii="Arial Narrow" w:hAnsi="Arial Narrow"/>
                <w:strike/>
                <w:sz w:val="18"/>
                <w:szCs w:val="18"/>
              </w:rPr>
              <w:t>Applications for authority to prescribe should be submitted online using the form upload facility in Health Professional Online Services (HPOS) at www.servicesaustralia.gov.au/hpos</w:t>
            </w:r>
          </w:p>
          <w:p w14:paraId="5FA18D7C" w14:textId="77777777" w:rsidR="005C3BCD" w:rsidRPr="00D81EF6" w:rsidRDefault="005C3BCD" w:rsidP="009949F2">
            <w:pPr>
              <w:rPr>
                <w:rFonts w:ascii="Arial Narrow" w:hAnsi="Arial Narrow"/>
                <w:strike/>
                <w:sz w:val="18"/>
                <w:szCs w:val="18"/>
              </w:rPr>
            </w:pPr>
            <w:r w:rsidRPr="00D81EF6">
              <w:rPr>
                <w:rFonts w:ascii="Arial Narrow" w:hAnsi="Arial Narrow"/>
                <w:strike/>
                <w:sz w:val="18"/>
                <w:szCs w:val="18"/>
              </w:rPr>
              <w:t>Or mailed to:</w:t>
            </w:r>
          </w:p>
          <w:p w14:paraId="53BDB5F9" w14:textId="77777777" w:rsidR="005C3BCD" w:rsidRPr="00D81EF6" w:rsidRDefault="005C3BCD" w:rsidP="009949F2">
            <w:pPr>
              <w:rPr>
                <w:rFonts w:ascii="Arial Narrow" w:hAnsi="Arial Narrow"/>
                <w:strike/>
                <w:sz w:val="18"/>
                <w:szCs w:val="18"/>
              </w:rPr>
            </w:pPr>
            <w:r w:rsidRPr="00D81EF6">
              <w:rPr>
                <w:rFonts w:ascii="Arial Narrow" w:hAnsi="Arial Narrow"/>
                <w:strike/>
                <w:sz w:val="18"/>
                <w:szCs w:val="18"/>
              </w:rPr>
              <w:t>Services Australia</w:t>
            </w:r>
          </w:p>
          <w:p w14:paraId="2FFAE8D3" w14:textId="77777777" w:rsidR="005C3BCD" w:rsidRPr="00D81EF6" w:rsidRDefault="005C3BCD" w:rsidP="009949F2">
            <w:pPr>
              <w:rPr>
                <w:rFonts w:ascii="Arial Narrow" w:hAnsi="Arial Narrow"/>
                <w:strike/>
                <w:sz w:val="18"/>
                <w:szCs w:val="18"/>
              </w:rPr>
            </w:pPr>
            <w:r w:rsidRPr="00D81EF6">
              <w:rPr>
                <w:rFonts w:ascii="Arial Narrow" w:hAnsi="Arial Narrow"/>
                <w:strike/>
                <w:sz w:val="18"/>
                <w:szCs w:val="18"/>
              </w:rPr>
              <w:t>Complex Drugs</w:t>
            </w:r>
          </w:p>
          <w:p w14:paraId="47C2B88C" w14:textId="77777777" w:rsidR="005C3BCD" w:rsidRPr="00D81EF6" w:rsidRDefault="005C3BCD" w:rsidP="009949F2">
            <w:pPr>
              <w:rPr>
                <w:rFonts w:ascii="Arial Narrow" w:hAnsi="Arial Narrow"/>
                <w:strike/>
                <w:sz w:val="18"/>
                <w:szCs w:val="18"/>
              </w:rPr>
            </w:pPr>
            <w:r w:rsidRPr="00D81EF6">
              <w:rPr>
                <w:rFonts w:ascii="Arial Narrow" w:hAnsi="Arial Narrow"/>
                <w:strike/>
                <w:sz w:val="18"/>
                <w:szCs w:val="18"/>
              </w:rPr>
              <w:t>Reply Paid 9826</w:t>
            </w:r>
          </w:p>
          <w:p w14:paraId="0AAB802E" w14:textId="142EC128" w:rsidR="005C3BCD" w:rsidRPr="00D81EF6" w:rsidRDefault="005C3BCD" w:rsidP="009949F2">
            <w:pPr>
              <w:rPr>
                <w:rFonts w:ascii="Arial Narrow" w:hAnsi="Arial Narrow"/>
                <w:b/>
                <w:sz w:val="18"/>
                <w:szCs w:val="18"/>
              </w:rPr>
            </w:pPr>
            <w:r w:rsidRPr="00D81EF6">
              <w:rPr>
                <w:rFonts w:ascii="Arial Narrow" w:hAnsi="Arial Narrow"/>
                <w:strike/>
                <w:sz w:val="18"/>
                <w:szCs w:val="18"/>
              </w:rPr>
              <w:t>HOBART TAS 7001</w:t>
            </w:r>
          </w:p>
        </w:tc>
      </w:tr>
      <w:tr w:rsidR="005C3BCD" w:rsidRPr="00D81EF6" w14:paraId="10EDE8EF" w14:textId="77777777" w:rsidTr="005C3BCD">
        <w:tc>
          <w:tcPr>
            <w:tcW w:w="5000" w:type="pct"/>
            <w:vAlign w:val="center"/>
          </w:tcPr>
          <w:p w14:paraId="34F7EBA2" w14:textId="49826252" w:rsidR="005C3BCD" w:rsidRPr="00D81EF6" w:rsidRDefault="005C3BCD" w:rsidP="009949F2">
            <w:pPr>
              <w:rPr>
                <w:rFonts w:ascii="Arial Narrow" w:hAnsi="Arial Narrow"/>
                <w:b/>
                <w:bCs/>
                <w:i/>
                <w:sz w:val="18"/>
                <w:szCs w:val="18"/>
              </w:rPr>
            </w:pPr>
            <w:r w:rsidRPr="00D81EF6">
              <w:rPr>
                <w:rFonts w:ascii="Arial Narrow" w:hAnsi="Arial Narrow"/>
                <w:b/>
                <w:bCs/>
                <w:i/>
                <w:sz w:val="18"/>
                <w:szCs w:val="18"/>
              </w:rPr>
              <w:t>Administrative Advice:</w:t>
            </w:r>
          </w:p>
          <w:p w14:paraId="38F45858" w14:textId="45712C6E" w:rsidR="005C3BCD" w:rsidRPr="00D81EF6" w:rsidRDefault="005C3BCD" w:rsidP="000237B1">
            <w:pPr>
              <w:rPr>
                <w:rFonts w:ascii="Arial Narrow" w:hAnsi="Arial Narrow"/>
                <w:bCs/>
                <w:sz w:val="18"/>
                <w:szCs w:val="18"/>
              </w:rPr>
            </w:pPr>
            <w:r w:rsidRPr="00D81EF6">
              <w:rPr>
                <w:rFonts w:ascii="Arial Narrow" w:hAnsi="Arial Narrow"/>
                <w:bCs/>
                <w:i/>
                <w:sz w:val="18"/>
                <w:szCs w:val="18"/>
              </w:rPr>
              <w:t>If this application is for a treatment switch between PBS-subsidised modafinil and armodafinil, previously submitted  test results for polysomnography/MSLT/EEG need not be resubmitted.</w:t>
            </w:r>
          </w:p>
        </w:tc>
      </w:tr>
    </w:tbl>
    <w:p w14:paraId="48647606" w14:textId="300D4A66" w:rsidR="00044A05" w:rsidRDefault="00044A05" w:rsidP="00044A05">
      <w:pPr>
        <w:rPr>
          <w:rFonts w:cs="Calibri"/>
        </w:rPr>
      </w:pPr>
    </w:p>
    <w:p w14:paraId="32C3B2B8" w14:textId="0C4C46AE" w:rsidR="000129CA" w:rsidRDefault="001248E3" w:rsidP="000129CA">
      <w:pPr>
        <w:rPr>
          <w:rFonts w:cs="Calibri"/>
          <w:b/>
          <w:i/>
        </w:rPr>
      </w:pPr>
      <w:r w:rsidRPr="001248E3">
        <w:rPr>
          <w:rFonts w:cs="Calibri"/>
          <w:b/>
          <w:i/>
        </w:rPr>
        <w:t>The restrictions may be subject to further review. Should there be any changes made to the restrictions the Sponsors will be informed.</w:t>
      </w:r>
    </w:p>
    <w:p w14:paraId="0838F644" w14:textId="543B25FB" w:rsidR="000129CA" w:rsidRDefault="000129CA" w:rsidP="000129CA">
      <w:pPr>
        <w:jc w:val="left"/>
        <w:rPr>
          <w:rFonts w:cs="Calibri"/>
          <w:b/>
          <w:i/>
        </w:rPr>
      </w:pPr>
      <w:r>
        <w:rPr>
          <w:rFonts w:cs="Calibri"/>
          <w:b/>
          <w:i/>
        </w:rPr>
        <w:br w:type="page"/>
      </w:r>
    </w:p>
    <w:p w14:paraId="7405E16E" w14:textId="77777777" w:rsidR="00FF3D4E" w:rsidRDefault="00FF3D4E" w:rsidP="00FF3D4E">
      <w:pPr>
        <w:pStyle w:val="2Sections"/>
        <w:numPr>
          <w:ilvl w:val="0"/>
          <w:numId w:val="4"/>
        </w:numPr>
        <w:ind w:left="720"/>
        <w:rPr>
          <w:color w:val="1F497D"/>
        </w:rPr>
      </w:pPr>
      <w:r w:rsidRPr="00C07617">
        <w:t>Context for Decision</w:t>
      </w:r>
    </w:p>
    <w:p w14:paraId="20A62589" w14:textId="77777777" w:rsidR="00FF3D4E" w:rsidRDefault="00FF3D4E" w:rsidP="00FF3D4E">
      <w:pPr>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w:t>
      </w:r>
      <w:r w:rsidRPr="003F5AE0">
        <w:rPr>
          <w:rFonts w:asciiTheme="minorHAnsi" w:hAnsiTheme="minorHAnsi" w:cs="Arial"/>
          <w:bCs/>
          <w:lang w:val="en-GB"/>
        </w:rPr>
        <w:t>medicines</w:t>
      </w:r>
      <w:r w:rsidRPr="007129F2">
        <w:rPr>
          <w:rFonts w:asciiTheme="minorHAnsi" w:hAnsiTheme="minorHAnsi" w:cs="Arial"/>
          <w:bCs/>
          <w:lang w:val="en-GB"/>
        </w:rPr>
        <w:t xml:space="preserve">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0FAB3E4" w14:textId="77777777" w:rsidR="00FF3D4E" w:rsidRPr="007129F2" w:rsidRDefault="00FF3D4E" w:rsidP="00FF3D4E">
      <w:pPr>
        <w:rPr>
          <w:rFonts w:asciiTheme="minorHAnsi" w:hAnsiTheme="minorHAnsi" w:cs="Arial"/>
          <w:bCs/>
          <w:lang w:val="en-GB"/>
        </w:rPr>
      </w:pPr>
    </w:p>
    <w:p w14:paraId="4CD3F15E" w14:textId="77777777" w:rsidR="00FF3D4E" w:rsidRPr="00C07617" w:rsidRDefault="00FF3D4E" w:rsidP="00FF3D4E">
      <w:pPr>
        <w:pStyle w:val="2Sections"/>
        <w:numPr>
          <w:ilvl w:val="0"/>
          <w:numId w:val="4"/>
        </w:numPr>
        <w:ind w:left="720"/>
        <w:rPr>
          <w:b w:val="0"/>
        </w:rPr>
      </w:pPr>
      <w:r>
        <w:t>Sponsor’s Comment</w:t>
      </w:r>
    </w:p>
    <w:p w14:paraId="0DF8C584" w14:textId="77777777" w:rsidR="00FF3D4E" w:rsidRPr="001179AC" w:rsidRDefault="00FF3D4E" w:rsidP="00FF3D4E">
      <w:pPr>
        <w:spacing w:after="120"/>
        <w:rPr>
          <w:rFonts w:asciiTheme="minorHAnsi" w:hAnsiTheme="minorHAnsi" w:cs="Arial"/>
          <w:bCs/>
        </w:rPr>
      </w:pPr>
      <w:r w:rsidRPr="00C07617">
        <w:rPr>
          <w:rFonts w:asciiTheme="minorHAnsi" w:hAnsiTheme="minorHAnsi" w:cs="Arial"/>
          <w:bCs/>
        </w:rPr>
        <w:t>The sponsor had no comment.</w:t>
      </w:r>
    </w:p>
    <w:p w14:paraId="0553A231" w14:textId="1CCAC68C" w:rsidR="00FF3D4E" w:rsidRPr="00FF3D4E" w:rsidRDefault="00FF3D4E" w:rsidP="00FF3D4E">
      <w:pPr>
        <w:rPr>
          <w:rFonts w:cs="Calibri"/>
          <w:b/>
          <w:i/>
        </w:rPr>
      </w:pPr>
    </w:p>
    <w:sectPr w:rsidR="00FF3D4E" w:rsidRPr="00FF3D4E" w:rsidSect="00C27B58">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B0C92" w14:textId="77777777" w:rsidR="001248E3" w:rsidRDefault="001248E3">
      <w:r>
        <w:separator/>
      </w:r>
    </w:p>
    <w:p w14:paraId="038E238C" w14:textId="77777777" w:rsidR="001248E3" w:rsidRDefault="001248E3"/>
  </w:endnote>
  <w:endnote w:type="continuationSeparator" w:id="0">
    <w:p w14:paraId="4AA3880E" w14:textId="77777777" w:rsidR="001248E3" w:rsidRDefault="001248E3">
      <w:r>
        <w:continuationSeparator/>
      </w:r>
    </w:p>
    <w:p w14:paraId="7EA76869" w14:textId="77777777" w:rsidR="001248E3" w:rsidRDefault="00124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248E3" w14:paraId="7AE7B59D" w14:textId="77777777" w:rsidTr="005A3173">
      <w:trPr>
        <w:trHeight w:val="151"/>
      </w:trPr>
      <w:tc>
        <w:tcPr>
          <w:tcW w:w="2250" w:type="pct"/>
          <w:tcBorders>
            <w:top w:val="nil"/>
            <w:left w:val="nil"/>
            <w:bottom w:val="single" w:sz="4" w:space="0" w:color="4F81BD"/>
            <w:right w:val="nil"/>
          </w:tcBorders>
        </w:tcPr>
        <w:p w14:paraId="67C1D142" w14:textId="77777777" w:rsidR="001248E3" w:rsidRPr="005A3173" w:rsidRDefault="001248E3" w:rsidP="005A3173">
          <w:pPr>
            <w:pStyle w:val="Header"/>
            <w:spacing w:line="276" w:lineRule="auto"/>
            <w:rPr>
              <w:rFonts w:eastAsia="MS Gothic"/>
              <w:b/>
              <w:bCs/>
              <w:color w:val="4F81BD"/>
            </w:rPr>
          </w:pPr>
        </w:p>
      </w:tc>
      <w:tc>
        <w:tcPr>
          <w:tcW w:w="500" w:type="pct"/>
          <w:vMerge w:val="restart"/>
          <w:noWrap/>
          <w:vAlign w:val="center"/>
          <w:hideMark/>
        </w:tcPr>
        <w:p w14:paraId="1185B349" w14:textId="77777777" w:rsidR="001248E3" w:rsidRPr="005A3173" w:rsidRDefault="001248E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13BB6FC" w14:textId="77777777" w:rsidR="001248E3" w:rsidRPr="005A3173" w:rsidRDefault="001248E3" w:rsidP="005A3173">
          <w:pPr>
            <w:pStyle w:val="Header"/>
            <w:spacing w:line="276" w:lineRule="auto"/>
            <w:rPr>
              <w:rFonts w:eastAsia="MS Gothic"/>
              <w:b/>
              <w:bCs/>
              <w:color w:val="4F81BD"/>
            </w:rPr>
          </w:pPr>
        </w:p>
      </w:tc>
    </w:tr>
    <w:tr w:rsidR="001248E3" w14:paraId="09AEC201" w14:textId="77777777" w:rsidTr="005A3173">
      <w:trPr>
        <w:trHeight w:val="150"/>
      </w:trPr>
      <w:tc>
        <w:tcPr>
          <w:tcW w:w="2250" w:type="pct"/>
          <w:tcBorders>
            <w:top w:val="single" w:sz="4" w:space="0" w:color="4F81BD"/>
            <w:left w:val="nil"/>
            <w:bottom w:val="nil"/>
            <w:right w:val="nil"/>
          </w:tcBorders>
        </w:tcPr>
        <w:p w14:paraId="262F4099" w14:textId="77777777" w:rsidR="001248E3" w:rsidRPr="005A3173" w:rsidRDefault="001248E3" w:rsidP="005A3173">
          <w:pPr>
            <w:pStyle w:val="Header"/>
            <w:spacing w:line="276" w:lineRule="auto"/>
            <w:rPr>
              <w:rFonts w:eastAsia="MS Gothic"/>
              <w:b/>
              <w:bCs/>
              <w:color w:val="4F81BD"/>
            </w:rPr>
          </w:pPr>
        </w:p>
      </w:tc>
      <w:tc>
        <w:tcPr>
          <w:tcW w:w="0" w:type="auto"/>
          <w:vMerge/>
          <w:vAlign w:val="center"/>
          <w:hideMark/>
        </w:tcPr>
        <w:p w14:paraId="7DCDEB18" w14:textId="77777777" w:rsidR="001248E3" w:rsidRPr="005A3173" w:rsidRDefault="001248E3" w:rsidP="005A3173">
          <w:pPr>
            <w:rPr>
              <w:color w:val="365F91"/>
              <w:sz w:val="22"/>
              <w:szCs w:val="22"/>
            </w:rPr>
          </w:pPr>
        </w:p>
      </w:tc>
      <w:tc>
        <w:tcPr>
          <w:tcW w:w="2250" w:type="pct"/>
          <w:tcBorders>
            <w:top w:val="single" w:sz="4" w:space="0" w:color="4F81BD"/>
            <w:left w:val="nil"/>
            <w:bottom w:val="nil"/>
            <w:right w:val="nil"/>
          </w:tcBorders>
        </w:tcPr>
        <w:p w14:paraId="5FC0FCCA" w14:textId="77777777" w:rsidR="001248E3" w:rsidRPr="005A3173" w:rsidRDefault="001248E3" w:rsidP="005A3173">
          <w:pPr>
            <w:pStyle w:val="Header"/>
            <w:spacing w:line="276" w:lineRule="auto"/>
            <w:rPr>
              <w:rFonts w:eastAsia="MS Gothic"/>
              <w:b/>
              <w:bCs/>
              <w:color w:val="4F81BD"/>
            </w:rPr>
          </w:pPr>
        </w:p>
      </w:tc>
    </w:tr>
  </w:tbl>
  <w:p w14:paraId="10555411" w14:textId="77777777" w:rsidR="001248E3" w:rsidRDefault="001248E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86D064" w14:textId="77777777" w:rsidR="001248E3" w:rsidRDefault="001248E3">
    <w:pPr>
      <w:pStyle w:val="Footer"/>
    </w:pPr>
  </w:p>
  <w:p w14:paraId="32F5595B" w14:textId="77777777" w:rsidR="001248E3" w:rsidRDefault="001248E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BC854" w14:textId="77777777" w:rsidR="001248E3" w:rsidRDefault="001248E3" w:rsidP="00E27234">
    <w:pPr>
      <w:pStyle w:val="PBACFooter"/>
      <w:rPr>
        <w:rFonts w:asciiTheme="minorHAnsi" w:hAnsiTheme="minorHAnsi" w:cstheme="minorHAnsi"/>
        <w:sz w:val="24"/>
      </w:rPr>
    </w:pPr>
  </w:p>
  <w:p w14:paraId="12413FC5" w14:textId="79ABB6FE" w:rsidR="001248E3" w:rsidRPr="000F3384" w:rsidRDefault="000129CA" w:rsidP="001E468F">
    <w:pPr>
      <w:pStyle w:val="PBACFooter"/>
      <w:rPr>
        <w:rFonts w:asciiTheme="minorHAnsi" w:hAnsiTheme="minorHAnsi" w:cstheme="minorHAnsi"/>
        <w:sz w:val="24"/>
      </w:rPr>
    </w:pPr>
    <w:sdt>
      <w:sdtPr>
        <w:rPr>
          <w:rFonts w:asciiTheme="minorHAnsi" w:hAnsiTheme="minorHAnsi" w:cstheme="minorHAnsi"/>
          <w:sz w:val="24"/>
        </w:rPr>
        <w:id w:val="2042241053"/>
        <w:docPartObj>
          <w:docPartGallery w:val="Page Numbers (Bottom of Page)"/>
          <w:docPartUnique/>
        </w:docPartObj>
      </w:sdtPr>
      <w:sdtEndPr/>
      <w:sdtContent>
        <w:r w:rsidR="001248E3" w:rsidRPr="001E468F">
          <w:rPr>
            <w:rFonts w:asciiTheme="minorHAnsi" w:hAnsiTheme="minorHAnsi" w:cstheme="minorHAnsi"/>
            <w:sz w:val="24"/>
          </w:rPr>
          <w:fldChar w:fldCharType="begin"/>
        </w:r>
        <w:r w:rsidR="001248E3" w:rsidRPr="001E468F">
          <w:rPr>
            <w:rFonts w:asciiTheme="minorHAnsi" w:hAnsiTheme="minorHAnsi" w:cstheme="minorHAnsi"/>
            <w:sz w:val="24"/>
          </w:rPr>
          <w:instrText xml:space="preserve"> PAGE   \* MERGEFORMAT </w:instrText>
        </w:r>
        <w:r w:rsidR="001248E3" w:rsidRPr="001E468F">
          <w:rPr>
            <w:rFonts w:asciiTheme="minorHAnsi" w:hAnsiTheme="minorHAnsi" w:cstheme="minorHAnsi"/>
            <w:sz w:val="24"/>
          </w:rPr>
          <w:fldChar w:fldCharType="separate"/>
        </w:r>
        <w:r>
          <w:rPr>
            <w:rFonts w:asciiTheme="minorHAnsi" w:hAnsiTheme="minorHAnsi" w:cstheme="minorHAnsi"/>
            <w:noProof/>
            <w:sz w:val="24"/>
          </w:rPr>
          <w:t>1</w:t>
        </w:r>
        <w:r w:rsidR="001248E3" w:rsidRPr="001E468F">
          <w:rPr>
            <w:rFonts w:asciiTheme="minorHAnsi" w:hAnsiTheme="minorHAnsi" w:cstheme="minorHAnsi"/>
            <w:sz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1248E3" w14:paraId="031AA569" w14:textId="77777777" w:rsidTr="005A3173">
      <w:trPr>
        <w:trHeight w:val="151"/>
      </w:trPr>
      <w:tc>
        <w:tcPr>
          <w:tcW w:w="2250" w:type="pct"/>
          <w:tcBorders>
            <w:top w:val="nil"/>
            <w:left w:val="nil"/>
            <w:bottom w:val="single" w:sz="4" w:space="0" w:color="4F81BD"/>
            <w:right w:val="nil"/>
          </w:tcBorders>
        </w:tcPr>
        <w:p w14:paraId="41814DAF" w14:textId="77777777" w:rsidR="001248E3" w:rsidRPr="005A3173" w:rsidRDefault="001248E3" w:rsidP="005A3173">
          <w:pPr>
            <w:pStyle w:val="Header"/>
            <w:spacing w:line="276" w:lineRule="auto"/>
            <w:rPr>
              <w:rFonts w:eastAsia="MS Gothic"/>
              <w:b/>
              <w:bCs/>
              <w:color w:val="4F81BD"/>
            </w:rPr>
          </w:pPr>
        </w:p>
      </w:tc>
      <w:tc>
        <w:tcPr>
          <w:tcW w:w="500" w:type="pct"/>
          <w:vMerge w:val="restart"/>
          <w:noWrap/>
          <w:vAlign w:val="center"/>
          <w:hideMark/>
        </w:tcPr>
        <w:p w14:paraId="188E01ED" w14:textId="77777777" w:rsidR="001248E3" w:rsidRPr="005A3173" w:rsidRDefault="001248E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AECA24A" w14:textId="77777777" w:rsidR="001248E3" w:rsidRPr="005A3173" w:rsidRDefault="001248E3" w:rsidP="005A3173">
          <w:pPr>
            <w:pStyle w:val="Header"/>
            <w:spacing w:line="276" w:lineRule="auto"/>
            <w:rPr>
              <w:rFonts w:eastAsia="MS Gothic"/>
              <w:b/>
              <w:bCs/>
              <w:color w:val="4F81BD"/>
            </w:rPr>
          </w:pPr>
        </w:p>
      </w:tc>
    </w:tr>
    <w:tr w:rsidR="001248E3" w14:paraId="1AF3C146" w14:textId="77777777" w:rsidTr="005A3173">
      <w:trPr>
        <w:trHeight w:val="150"/>
      </w:trPr>
      <w:tc>
        <w:tcPr>
          <w:tcW w:w="2250" w:type="pct"/>
          <w:tcBorders>
            <w:top w:val="single" w:sz="4" w:space="0" w:color="4F81BD"/>
            <w:left w:val="nil"/>
            <w:bottom w:val="nil"/>
            <w:right w:val="nil"/>
          </w:tcBorders>
        </w:tcPr>
        <w:p w14:paraId="30486D49" w14:textId="77777777" w:rsidR="001248E3" w:rsidRPr="005A3173" w:rsidRDefault="001248E3" w:rsidP="005A3173">
          <w:pPr>
            <w:pStyle w:val="Header"/>
            <w:spacing w:line="276" w:lineRule="auto"/>
            <w:rPr>
              <w:rFonts w:eastAsia="MS Gothic"/>
              <w:b/>
              <w:bCs/>
              <w:color w:val="4F81BD"/>
            </w:rPr>
          </w:pPr>
        </w:p>
      </w:tc>
      <w:tc>
        <w:tcPr>
          <w:tcW w:w="0" w:type="auto"/>
          <w:vMerge/>
          <w:vAlign w:val="center"/>
          <w:hideMark/>
        </w:tcPr>
        <w:p w14:paraId="65954F94" w14:textId="77777777" w:rsidR="001248E3" w:rsidRPr="005A3173" w:rsidRDefault="001248E3" w:rsidP="005A3173">
          <w:pPr>
            <w:rPr>
              <w:color w:val="365F91"/>
              <w:sz w:val="22"/>
              <w:szCs w:val="22"/>
            </w:rPr>
          </w:pPr>
        </w:p>
      </w:tc>
      <w:tc>
        <w:tcPr>
          <w:tcW w:w="2250" w:type="pct"/>
          <w:tcBorders>
            <w:top w:val="single" w:sz="4" w:space="0" w:color="4F81BD"/>
            <w:left w:val="nil"/>
            <w:bottom w:val="nil"/>
            <w:right w:val="nil"/>
          </w:tcBorders>
        </w:tcPr>
        <w:p w14:paraId="2C1ACB3E" w14:textId="77777777" w:rsidR="001248E3" w:rsidRPr="005A3173" w:rsidRDefault="001248E3"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248E3" w14:paraId="4C2C8FBC" w14:textId="77777777" w:rsidTr="005A3173">
      <w:trPr>
        <w:trHeight w:val="151"/>
      </w:trPr>
      <w:tc>
        <w:tcPr>
          <w:tcW w:w="2250" w:type="pct"/>
          <w:tcBorders>
            <w:top w:val="nil"/>
            <w:left w:val="nil"/>
            <w:bottom w:val="single" w:sz="4" w:space="0" w:color="4F81BD"/>
            <w:right w:val="nil"/>
          </w:tcBorders>
        </w:tcPr>
        <w:p w14:paraId="144A534E" w14:textId="77777777" w:rsidR="001248E3" w:rsidRPr="005A3173" w:rsidRDefault="001248E3" w:rsidP="005A3173">
          <w:pPr>
            <w:pStyle w:val="Header"/>
            <w:spacing w:line="276" w:lineRule="auto"/>
            <w:rPr>
              <w:rFonts w:eastAsia="MS Gothic"/>
              <w:b/>
              <w:bCs/>
              <w:color w:val="4F81BD"/>
            </w:rPr>
          </w:pPr>
        </w:p>
      </w:tc>
      <w:tc>
        <w:tcPr>
          <w:tcW w:w="500" w:type="pct"/>
          <w:vMerge w:val="restart"/>
          <w:noWrap/>
          <w:vAlign w:val="center"/>
          <w:hideMark/>
        </w:tcPr>
        <w:p w14:paraId="026A85A5" w14:textId="77777777" w:rsidR="001248E3" w:rsidRPr="005A3173" w:rsidRDefault="001248E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B95C828" w14:textId="77777777" w:rsidR="001248E3" w:rsidRPr="005A3173" w:rsidRDefault="001248E3" w:rsidP="005A3173">
          <w:pPr>
            <w:pStyle w:val="Header"/>
            <w:spacing w:line="276" w:lineRule="auto"/>
            <w:rPr>
              <w:rFonts w:eastAsia="MS Gothic"/>
              <w:b/>
              <w:bCs/>
              <w:color w:val="4F81BD"/>
            </w:rPr>
          </w:pPr>
        </w:p>
      </w:tc>
    </w:tr>
    <w:tr w:rsidR="001248E3" w14:paraId="1EFFFA27" w14:textId="77777777" w:rsidTr="005A3173">
      <w:trPr>
        <w:trHeight w:val="150"/>
      </w:trPr>
      <w:tc>
        <w:tcPr>
          <w:tcW w:w="2250" w:type="pct"/>
          <w:tcBorders>
            <w:top w:val="single" w:sz="4" w:space="0" w:color="4F81BD"/>
            <w:left w:val="nil"/>
            <w:bottom w:val="nil"/>
            <w:right w:val="nil"/>
          </w:tcBorders>
        </w:tcPr>
        <w:p w14:paraId="6492EAAC" w14:textId="77777777" w:rsidR="001248E3" w:rsidRPr="005A3173" w:rsidRDefault="001248E3" w:rsidP="005A3173">
          <w:pPr>
            <w:pStyle w:val="Header"/>
            <w:spacing w:line="276" w:lineRule="auto"/>
            <w:rPr>
              <w:rFonts w:eastAsia="MS Gothic"/>
              <w:b/>
              <w:bCs/>
              <w:color w:val="4F81BD"/>
            </w:rPr>
          </w:pPr>
        </w:p>
      </w:tc>
      <w:tc>
        <w:tcPr>
          <w:tcW w:w="0" w:type="auto"/>
          <w:vMerge/>
          <w:vAlign w:val="center"/>
          <w:hideMark/>
        </w:tcPr>
        <w:p w14:paraId="7341BE58" w14:textId="77777777" w:rsidR="001248E3" w:rsidRPr="005A3173" w:rsidRDefault="001248E3" w:rsidP="005A3173">
          <w:pPr>
            <w:rPr>
              <w:color w:val="365F91"/>
              <w:sz w:val="22"/>
              <w:szCs w:val="22"/>
            </w:rPr>
          </w:pPr>
        </w:p>
      </w:tc>
      <w:tc>
        <w:tcPr>
          <w:tcW w:w="2250" w:type="pct"/>
          <w:tcBorders>
            <w:top w:val="single" w:sz="4" w:space="0" w:color="4F81BD"/>
            <w:left w:val="nil"/>
            <w:bottom w:val="nil"/>
            <w:right w:val="nil"/>
          </w:tcBorders>
        </w:tcPr>
        <w:p w14:paraId="3C302B75" w14:textId="77777777" w:rsidR="001248E3" w:rsidRPr="005A3173" w:rsidRDefault="001248E3" w:rsidP="005A3173">
          <w:pPr>
            <w:pStyle w:val="Header"/>
            <w:spacing w:line="276" w:lineRule="auto"/>
            <w:rPr>
              <w:rFonts w:eastAsia="MS Gothic"/>
              <w:b/>
              <w:bCs/>
              <w:color w:val="4F81BD"/>
            </w:rPr>
          </w:pPr>
        </w:p>
      </w:tc>
    </w:tr>
  </w:tbl>
  <w:p w14:paraId="5D2C6B0E" w14:textId="77777777" w:rsidR="001248E3" w:rsidRPr="007C0F57" w:rsidRDefault="001248E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0C13DD78" w14:textId="77777777" w:rsidR="001248E3" w:rsidRPr="007C0F57" w:rsidRDefault="001248E3" w:rsidP="007C0F57">
    <w:pPr>
      <w:pStyle w:val="Footer"/>
      <w:jc w:val="center"/>
      <w:rPr>
        <w:b/>
        <w:i/>
        <w:sz w:val="20"/>
        <w:szCs w:val="20"/>
      </w:rPr>
    </w:pPr>
    <w:r w:rsidRPr="007C0F57">
      <w:rPr>
        <w:b/>
        <w:i/>
        <w:sz w:val="20"/>
        <w:szCs w:val="20"/>
      </w:rPr>
      <w:t>Commercial-in-Confidence</w:t>
    </w:r>
  </w:p>
  <w:p w14:paraId="7123EEDA" w14:textId="77777777" w:rsidR="001248E3" w:rsidRDefault="001248E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B161B" w14:textId="77777777" w:rsidR="001248E3" w:rsidRDefault="001248E3">
      <w:r>
        <w:separator/>
      </w:r>
    </w:p>
    <w:p w14:paraId="1F7BFAE1" w14:textId="77777777" w:rsidR="001248E3" w:rsidRDefault="001248E3"/>
  </w:footnote>
  <w:footnote w:type="continuationSeparator" w:id="0">
    <w:p w14:paraId="254A1251" w14:textId="77777777" w:rsidR="001248E3" w:rsidRDefault="001248E3">
      <w:r>
        <w:continuationSeparator/>
      </w:r>
    </w:p>
    <w:p w14:paraId="25AD7CC7" w14:textId="77777777" w:rsidR="001248E3" w:rsidRDefault="001248E3"/>
  </w:footnote>
  <w:footnote w:id="1">
    <w:p w14:paraId="2AF568C1" w14:textId="7C75D7AA" w:rsidR="001248E3" w:rsidRDefault="001248E3" w:rsidP="006B6874">
      <w:pPr>
        <w:pStyle w:val="FootnoteText"/>
        <w:jc w:val="left"/>
        <w:rPr>
          <w:rStyle w:val="TableFooterChar"/>
          <w:u w:val="single"/>
        </w:rPr>
      </w:pPr>
      <w:r>
        <w:rPr>
          <w:rStyle w:val="FootnoteReference"/>
        </w:rPr>
        <w:footnoteRef/>
      </w:r>
      <w:r>
        <w:t xml:space="preserve"> </w:t>
      </w:r>
      <w:hyperlink r:id="rId1" w:anchor="toc_d1e83" w:history="1">
        <w:r w:rsidRPr="006B6874">
          <w:rPr>
            <w:rStyle w:val="TableFooterChar"/>
            <w:u w:val="single"/>
          </w:rPr>
          <w:t>https://tgldcdp.tg.org.au/viewTopic?topicfile=idiopathic-hypersomnolence-and-narcolepsy&amp;guidelineName=Neurology&amp;topicNavigation=navigateTopic#toc_d1e83</w:t>
        </w:r>
      </w:hyperlink>
    </w:p>
    <w:p w14:paraId="4FDF9290" w14:textId="77777777" w:rsidR="001248E3" w:rsidRPr="006B6874" w:rsidRDefault="001248E3" w:rsidP="006B6874">
      <w:pPr>
        <w:pStyle w:val="FootnoteText"/>
        <w:jc w:val="left"/>
        <w:rPr>
          <w:rStyle w:val="TableFooterChar"/>
          <w:u w:val="sing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1248E3" w:rsidRPr="008E0D90" w14:paraId="5BED4405" w14:textId="77777777" w:rsidTr="00A06225">
      <w:trPr>
        <w:trHeight w:val="151"/>
      </w:trPr>
      <w:tc>
        <w:tcPr>
          <w:tcW w:w="2389" w:type="pct"/>
          <w:tcBorders>
            <w:top w:val="nil"/>
            <w:left w:val="nil"/>
            <w:bottom w:val="single" w:sz="4" w:space="0" w:color="4F81BD"/>
            <w:right w:val="nil"/>
          </w:tcBorders>
        </w:tcPr>
        <w:p w14:paraId="56B15E6D" w14:textId="77777777" w:rsidR="001248E3" w:rsidRPr="00A06225" w:rsidRDefault="001248E3">
          <w:pPr>
            <w:pStyle w:val="Header"/>
            <w:spacing w:line="276" w:lineRule="auto"/>
            <w:rPr>
              <w:rFonts w:ascii="Cambria" w:eastAsia="MS Gothic" w:hAnsi="Cambria"/>
              <w:b/>
              <w:bCs/>
              <w:color w:val="4F81BD"/>
            </w:rPr>
          </w:pPr>
        </w:p>
      </w:tc>
      <w:tc>
        <w:tcPr>
          <w:tcW w:w="333" w:type="pct"/>
          <w:vMerge w:val="restart"/>
          <w:noWrap/>
          <w:vAlign w:val="center"/>
          <w:hideMark/>
        </w:tcPr>
        <w:p w14:paraId="6D804E8A" w14:textId="77777777" w:rsidR="001248E3" w:rsidRPr="00A06225" w:rsidRDefault="001248E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6E520741" w14:textId="77777777" w:rsidR="001248E3" w:rsidRPr="00A06225" w:rsidRDefault="001248E3">
          <w:pPr>
            <w:pStyle w:val="Header"/>
            <w:spacing w:line="276" w:lineRule="auto"/>
            <w:rPr>
              <w:rFonts w:ascii="Cambria" w:eastAsia="MS Gothic" w:hAnsi="Cambria"/>
              <w:b/>
              <w:bCs/>
              <w:color w:val="4F81BD"/>
            </w:rPr>
          </w:pPr>
        </w:p>
      </w:tc>
    </w:tr>
    <w:tr w:rsidR="001248E3" w:rsidRPr="008E0D90" w14:paraId="1B0F50EB" w14:textId="77777777" w:rsidTr="00A06225">
      <w:trPr>
        <w:trHeight w:val="150"/>
      </w:trPr>
      <w:tc>
        <w:tcPr>
          <w:tcW w:w="2389" w:type="pct"/>
          <w:tcBorders>
            <w:top w:val="single" w:sz="4" w:space="0" w:color="4F81BD"/>
            <w:left w:val="nil"/>
            <w:bottom w:val="nil"/>
            <w:right w:val="nil"/>
          </w:tcBorders>
        </w:tcPr>
        <w:p w14:paraId="385753F3" w14:textId="77777777" w:rsidR="001248E3" w:rsidRPr="00A06225" w:rsidRDefault="001248E3">
          <w:pPr>
            <w:pStyle w:val="Header"/>
            <w:spacing w:line="276" w:lineRule="auto"/>
            <w:rPr>
              <w:rFonts w:ascii="Cambria" w:eastAsia="MS Gothic" w:hAnsi="Cambria"/>
              <w:b/>
              <w:bCs/>
              <w:color w:val="4F81BD"/>
            </w:rPr>
          </w:pPr>
        </w:p>
      </w:tc>
      <w:tc>
        <w:tcPr>
          <w:tcW w:w="0" w:type="auto"/>
          <w:vMerge/>
          <w:vAlign w:val="center"/>
          <w:hideMark/>
        </w:tcPr>
        <w:p w14:paraId="093C6CD8" w14:textId="77777777" w:rsidR="001248E3" w:rsidRPr="00A06225" w:rsidRDefault="001248E3">
          <w:pPr>
            <w:rPr>
              <w:rFonts w:ascii="Cambria" w:hAnsi="Cambria"/>
              <w:color w:val="4F81BD"/>
              <w:sz w:val="22"/>
              <w:szCs w:val="22"/>
            </w:rPr>
          </w:pPr>
        </w:p>
      </w:tc>
      <w:tc>
        <w:tcPr>
          <w:tcW w:w="2278" w:type="pct"/>
          <w:tcBorders>
            <w:top w:val="single" w:sz="4" w:space="0" w:color="4F81BD"/>
            <w:left w:val="nil"/>
            <w:bottom w:val="nil"/>
            <w:right w:val="nil"/>
          </w:tcBorders>
        </w:tcPr>
        <w:p w14:paraId="6E284C98" w14:textId="77777777" w:rsidR="001248E3" w:rsidRPr="00A06225" w:rsidRDefault="001248E3">
          <w:pPr>
            <w:pStyle w:val="Header"/>
            <w:spacing w:line="276" w:lineRule="auto"/>
            <w:rPr>
              <w:rFonts w:ascii="Cambria" w:eastAsia="MS Gothic" w:hAnsi="Cambria"/>
              <w:b/>
              <w:bCs/>
              <w:color w:val="4F81BD"/>
            </w:rPr>
          </w:pPr>
        </w:p>
      </w:tc>
    </w:tr>
  </w:tbl>
  <w:p w14:paraId="359FF7DA" w14:textId="77777777" w:rsidR="001248E3" w:rsidRDefault="001248E3">
    <w:pPr>
      <w:pStyle w:val="Header"/>
    </w:pPr>
  </w:p>
  <w:p w14:paraId="54F42DAD" w14:textId="77777777" w:rsidR="001248E3" w:rsidRDefault="001248E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63E94" w14:textId="77777777" w:rsidR="00FF3D4E" w:rsidRPr="00966288" w:rsidRDefault="00FF3D4E" w:rsidP="00FF3D4E">
    <w:pPr>
      <w:pStyle w:val="MinorOVRHeader"/>
      <w:jc w:val="center"/>
      <w:rPr>
        <w:i/>
      </w:rPr>
    </w:pPr>
    <w:r>
      <w:rPr>
        <w:i/>
      </w:rPr>
      <w:t>Public Summary Document</w:t>
    </w:r>
    <w:r w:rsidRPr="00966288">
      <w:rPr>
        <w:i/>
      </w:rPr>
      <w:t xml:space="preserve"> – </w:t>
    </w:r>
    <w:r>
      <w:rPr>
        <w:i/>
      </w:rPr>
      <w:t xml:space="preserve">July </w:t>
    </w:r>
    <w:r w:rsidRPr="00966288">
      <w:rPr>
        <w:i/>
      </w:rPr>
      <w:t>2020 PBAC Meeting</w:t>
    </w:r>
  </w:p>
  <w:p w14:paraId="5C5BC219" w14:textId="77777777" w:rsidR="001248E3" w:rsidRPr="00632042" w:rsidRDefault="001248E3" w:rsidP="00A128E6">
    <w:pPr>
      <w:pStyle w:val="NoSpacing"/>
      <w:rPr>
        <w:rFonts w:asciiTheme="minorHAnsi" w:hAnsiTheme="minorHAnsi" w:cstheme="minorHAnsi"/>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E73E8" w14:textId="77777777" w:rsidR="000129CA" w:rsidRDefault="000129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B11F52"/>
    <w:multiLevelType w:val="hybridMultilevel"/>
    <w:tmpl w:val="65EA6168"/>
    <w:lvl w:ilvl="0" w:tplc="3D8A6A52">
      <w:start w:val="1"/>
      <w:numFmt w:val="bullet"/>
      <w:lvlText w:val="•"/>
      <w:lvlJc w:val="left"/>
      <w:pPr>
        <w:tabs>
          <w:tab w:val="num" w:pos="720"/>
        </w:tabs>
        <w:ind w:left="720" w:hanging="360"/>
      </w:pPr>
      <w:rPr>
        <w:rFonts w:ascii="Arial" w:hAnsi="Arial" w:hint="default"/>
      </w:rPr>
    </w:lvl>
    <w:lvl w:ilvl="1" w:tplc="36780514" w:tentative="1">
      <w:start w:val="1"/>
      <w:numFmt w:val="bullet"/>
      <w:lvlText w:val="•"/>
      <w:lvlJc w:val="left"/>
      <w:pPr>
        <w:tabs>
          <w:tab w:val="num" w:pos="1440"/>
        </w:tabs>
        <w:ind w:left="1440" w:hanging="360"/>
      </w:pPr>
      <w:rPr>
        <w:rFonts w:ascii="Arial" w:hAnsi="Arial" w:hint="default"/>
      </w:rPr>
    </w:lvl>
    <w:lvl w:ilvl="2" w:tplc="33828E5A" w:tentative="1">
      <w:start w:val="1"/>
      <w:numFmt w:val="bullet"/>
      <w:lvlText w:val="•"/>
      <w:lvlJc w:val="left"/>
      <w:pPr>
        <w:tabs>
          <w:tab w:val="num" w:pos="2160"/>
        </w:tabs>
        <w:ind w:left="2160" w:hanging="360"/>
      </w:pPr>
      <w:rPr>
        <w:rFonts w:ascii="Arial" w:hAnsi="Arial" w:hint="default"/>
      </w:rPr>
    </w:lvl>
    <w:lvl w:ilvl="3" w:tplc="82768FD2" w:tentative="1">
      <w:start w:val="1"/>
      <w:numFmt w:val="bullet"/>
      <w:lvlText w:val="•"/>
      <w:lvlJc w:val="left"/>
      <w:pPr>
        <w:tabs>
          <w:tab w:val="num" w:pos="2880"/>
        </w:tabs>
        <w:ind w:left="2880" w:hanging="360"/>
      </w:pPr>
      <w:rPr>
        <w:rFonts w:ascii="Arial" w:hAnsi="Arial" w:hint="default"/>
      </w:rPr>
    </w:lvl>
    <w:lvl w:ilvl="4" w:tplc="DB22387A" w:tentative="1">
      <w:start w:val="1"/>
      <w:numFmt w:val="bullet"/>
      <w:lvlText w:val="•"/>
      <w:lvlJc w:val="left"/>
      <w:pPr>
        <w:tabs>
          <w:tab w:val="num" w:pos="3600"/>
        </w:tabs>
        <w:ind w:left="3600" w:hanging="360"/>
      </w:pPr>
      <w:rPr>
        <w:rFonts w:ascii="Arial" w:hAnsi="Arial" w:hint="default"/>
      </w:rPr>
    </w:lvl>
    <w:lvl w:ilvl="5" w:tplc="0EB8FDAA" w:tentative="1">
      <w:start w:val="1"/>
      <w:numFmt w:val="bullet"/>
      <w:lvlText w:val="•"/>
      <w:lvlJc w:val="left"/>
      <w:pPr>
        <w:tabs>
          <w:tab w:val="num" w:pos="4320"/>
        </w:tabs>
        <w:ind w:left="4320" w:hanging="360"/>
      </w:pPr>
      <w:rPr>
        <w:rFonts w:ascii="Arial" w:hAnsi="Arial" w:hint="default"/>
      </w:rPr>
    </w:lvl>
    <w:lvl w:ilvl="6" w:tplc="2A94E6C8" w:tentative="1">
      <w:start w:val="1"/>
      <w:numFmt w:val="bullet"/>
      <w:lvlText w:val="•"/>
      <w:lvlJc w:val="left"/>
      <w:pPr>
        <w:tabs>
          <w:tab w:val="num" w:pos="5040"/>
        </w:tabs>
        <w:ind w:left="5040" w:hanging="360"/>
      </w:pPr>
      <w:rPr>
        <w:rFonts w:ascii="Arial" w:hAnsi="Arial" w:hint="default"/>
      </w:rPr>
    </w:lvl>
    <w:lvl w:ilvl="7" w:tplc="1414814C" w:tentative="1">
      <w:start w:val="1"/>
      <w:numFmt w:val="bullet"/>
      <w:lvlText w:val="•"/>
      <w:lvlJc w:val="left"/>
      <w:pPr>
        <w:tabs>
          <w:tab w:val="num" w:pos="5760"/>
        </w:tabs>
        <w:ind w:left="5760" w:hanging="360"/>
      </w:pPr>
      <w:rPr>
        <w:rFonts w:ascii="Arial" w:hAnsi="Arial" w:hint="default"/>
      </w:rPr>
    </w:lvl>
    <w:lvl w:ilvl="8" w:tplc="DF066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0E3434"/>
    <w:multiLevelType w:val="hybridMultilevel"/>
    <w:tmpl w:val="6E7E42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4" w15:restartNumberingAfterBreak="0">
    <w:nsid w:val="54C430CE"/>
    <w:multiLevelType w:val="hybridMultilevel"/>
    <w:tmpl w:val="6D5E28B0"/>
    <w:lvl w:ilvl="0" w:tplc="61D8F1DC">
      <w:start w:val="1"/>
      <w:numFmt w:val="decimal"/>
      <w:lvlText w:val="%1."/>
      <w:lvlJc w:val="left"/>
      <w:pPr>
        <w:tabs>
          <w:tab w:val="num" w:pos="360"/>
        </w:tabs>
        <w:ind w:left="360" w:hanging="360"/>
      </w:pPr>
      <w:rPr>
        <w:rFonts w:ascii="Arial" w:hAnsi="Arial" w:cs="Times New Roman"/>
        <w:b w:val="0"/>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63BB4661"/>
    <w:multiLevelType w:val="hybridMultilevel"/>
    <w:tmpl w:val="825C7B40"/>
    <w:lvl w:ilvl="0" w:tplc="C2467994">
      <w:start w:val="1"/>
      <w:numFmt w:val="bullet"/>
      <w:lvlText w:val="•"/>
      <w:lvlJc w:val="left"/>
      <w:pPr>
        <w:tabs>
          <w:tab w:val="num" w:pos="720"/>
        </w:tabs>
        <w:ind w:left="720" w:hanging="360"/>
      </w:pPr>
      <w:rPr>
        <w:rFonts w:ascii="Arial" w:hAnsi="Arial" w:hint="default"/>
      </w:rPr>
    </w:lvl>
    <w:lvl w:ilvl="1" w:tplc="885A7754" w:tentative="1">
      <w:start w:val="1"/>
      <w:numFmt w:val="bullet"/>
      <w:lvlText w:val="•"/>
      <w:lvlJc w:val="left"/>
      <w:pPr>
        <w:tabs>
          <w:tab w:val="num" w:pos="1440"/>
        </w:tabs>
        <w:ind w:left="1440" w:hanging="360"/>
      </w:pPr>
      <w:rPr>
        <w:rFonts w:ascii="Arial" w:hAnsi="Arial" w:hint="default"/>
      </w:rPr>
    </w:lvl>
    <w:lvl w:ilvl="2" w:tplc="58B0A8EE" w:tentative="1">
      <w:start w:val="1"/>
      <w:numFmt w:val="bullet"/>
      <w:lvlText w:val="•"/>
      <w:lvlJc w:val="left"/>
      <w:pPr>
        <w:tabs>
          <w:tab w:val="num" w:pos="2160"/>
        </w:tabs>
        <w:ind w:left="2160" w:hanging="360"/>
      </w:pPr>
      <w:rPr>
        <w:rFonts w:ascii="Arial" w:hAnsi="Arial" w:hint="default"/>
      </w:rPr>
    </w:lvl>
    <w:lvl w:ilvl="3" w:tplc="46E2B164" w:tentative="1">
      <w:start w:val="1"/>
      <w:numFmt w:val="bullet"/>
      <w:lvlText w:val="•"/>
      <w:lvlJc w:val="left"/>
      <w:pPr>
        <w:tabs>
          <w:tab w:val="num" w:pos="2880"/>
        </w:tabs>
        <w:ind w:left="2880" w:hanging="360"/>
      </w:pPr>
      <w:rPr>
        <w:rFonts w:ascii="Arial" w:hAnsi="Arial" w:hint="default"/>
      </w:rPr>
    </w:lvl>
    <w:lvl w:ilvl="4" w:tplc="DE28383C" w:tentative="1">
      <w:start w:val="1"/>
      <w:numFmt w:val="bullet"/>
      <w:lvlText w:val="•"/>
      <w:lvlJc w:val="left"/>
      <w:pPr>
        <w:tabs>
          <w:tab w:val="num" w:pos="3600"/>
        </w:tabs>
        <w:ind w:left="3600" w:hanging="360"/>
      </w:pPr>
      <w:rPr>
        <w:rFonts w:ascii="Arial" w:hAnsi="Arial" w:hint="default"/>
      </w:rPr>
    </w:lvl>
    <w:lvl w:ilvl="5" w:tplc="E71C9930" w:tentative="1">
      <w:start w:val="1"/>
      <w:numFmt w:val="bullet"/>
      <w:lvlText w:val="•"/>
      <w:lvlJc w:val="left"/>
      <w:pPr>
        <w:tabs>
          <w:tab w:val="num" w:pos="4320"/>
        </w:tabs>
        <w:ind w:left="4320" w:hanging="360"/>
      </w:pPr>
      <w:rPr>
        <w:rFonts w:ascii="Arial" w:hAnsi="Arial" w:hint="default"/>
      </w:rPr>
    </w:lvl>
    <w:lvl w:ilvl="6" w:tplc="4CB058A6" w:tentative="1">
      <w:start w:val="1"/>
      <w:numFmt w:val="bullet"/>
      <w:lvlText w:val="•"/>
      <w:lvlJc w:val="left"/>
      <w:pPr>
        <w:tabs>
          <w:tab w:val="num" w:pos="5040"/>
        </w:tabs>
        <w:ind w:left="5040" w:hanging="360"/>
      </w:pPr>
      <w:rPr>
        <w:rFonts w:ascii="Arial" w:hAnsi="Arial" w:hint="default"/>
      </w:rPr>
    </w:lvl>
    <w:lvl w:ilvl="7" w:tplc="6EF058CA" w:tentative="1">
      <w:start w:val="1"/>
      <w:numFmt w:val="bullet"/>
      <w:lvlText w:val="•"/>
      <w:lvlJc w:val="left"/>
      <w:pPr>
        <w:tabs>
          <w:tab w:val="num" w:pos="5760"/>
        </w:tabs>
        <w:ind w:left="5760" w:hanging="360"/>
      </w:pPr>
      <w:rPr>
        <w:rFonts w:ascii="Arial" w:hAnsi="Arial" w:hint="default"/>
      </w:rPr>
    </w:lvl>
    <w:lvl w:ilvl="8" w:tplc="D43A6D4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9D31A06"/>
    <w:multiLevelType w:val="hybridMultilevel"/>
    <w:tmpl w:val="2C90F23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18D00CF"/>
    <w:multiLevelType w:val="hybridMultilevel"/>
    <w:tmpl w:val="5986D5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84D033C"/>
    <w:multiLevelType w:val="multilevel"/>
    <w:tmpl w:val="0DD4EAE2"/>
    <w:lvl w:ilvl="0">
      <w:start w:val="1"/>
      <w:numFmt w:val="decimal"/>
      <w:pStyle w:val="2-SectionHeading"/>
      <w:lvlText w:val="%1"/>
      <w:lvlJc w:val="left"/>
      <w:pPr>
        <w:ind w:left="5256" w:hanging="720"/>
      </w:pPr>
      <w:rPr>
        <w:rFonts w:hint="default"/>
        <w:b/>
        <w:color w:val="auto"/>
      </w:rPr>
    </w:lvl>
    <w:lvl w:ilvl="1">
      <w:start w:val="1"/>
      <w:numFmt w:val="decimal"/>
      <w:pStyle w:val="3Bodytext"/>
      <w:lvlText w:val="%1.%2"/>
      <w:lvlJc w:val="left"/>
      <w:pPr>
        <w:ind w:left="720" w:hanging="720"/>
      </w:pPr>
      <w:rPr>
        <w:rFonts w:asciiTheme="minorHAnsi" w:hAnsiTheme="minorHAnsi" w:cstheme="minorHAnsi" w:hint="default"/>
        <w:bCs w:val="0"/>
        <w:iCs w:val="0"/>
        <w:caps w:val="0"/>
        <w:smallCaps w:val="0"/>
        <w:strike w:val="0"/>
        <w:dstrike w:val="0"/>
        <w:outline w:val="0"/>
        <w:shadow w:val="0"/>
        <w:emboss w:val="0"/>
        <w:imprint w:val="0"/>
        <w:noProof w:val="0"/>
        <w:vanish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9EC272B"/>
    <w:multiLevelType w:val="hybridMultilevel"/>
    <w:tmpl w:val="E87C8834"/>
    <w:lvl w:ilvl="0" w:tplc="9E6C30D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9"/>
  </w:num>
  <w:num w:numId="5">
    <w:abstractNumId w:val="10"/>
  </w:num>
  <w:num w:numId="6">
    <w:abstractNumId w:val="2"/>
  </w:num>
  <w:num w:numId="7">
    <w:abstractNumId w:val="9"/>
  </w:num>
  <w:num w:numId="8">
    <w:abstractNumId w:val="8"/>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1F19"/>
    <w:rsid w:val="000025AD"/>
    <w:rsid w:val="0000335D"/>
    <w:rsid w:val="00004B23"/>
    <w:rsid w:val="00004EF3"/>
    <w:rsid w:val="00005A80"/>
    <w:rsid w:val="00011A59"/>
    <w:rsid w:val="000129CA"/>
    <w:rsid w:val="00016A41"/>
    <w:rsid w:val="00020C10"/>
    <w:rsid w:val="000214D1"/>
    <w:rsid w:val="000237B1"/>
    <w:rsid w:val="0002464A"/>
    <w:rsid w:val="00027D61"/>
    <w:rsid w:val="00027EAC"/>
    <w:rsid w:val="0003106B"/>
    <w:rsid w:val="00034905"/>
    <w:rsid w:val="0004099C"/>
    <w:rsid w:val="000421A1"/>
    <w:rsid w:val="0004240E"/>
    <w:rsid w:val="000434F7"/>
    <w:rsid w:val="00044A05"/>
    <w:rsid w:val="00045E26"/>
    <w:rsid w:val="000463B3"/>
    <w:rsid w:val="000472B1"/>
    <w:rsid w:val="000514B5"/>
    <w:rsid w:val="00060E64"/>
    <w:rsid w:val="00061BC6"/>
    <w:rsid w:val="000650BD"/>
    <w:rsid w:val="00066755"/>
    <w:rsid w:val="00072417"/>
    <w:rsid w:val="00073B9E"/>
    <w:rsid w:val="000763D5"/>
    <w:rsid w:val="00076CB3"/>
    <w:rsid w:val="00076FC4"/>
    <w:rsid w:val="00077143"/>
    <w:rsid w:val="00082169"/>
    <w:rsid w:val="00085FB2"/>
    <w:rsid w:val="000918CB"/>
    <w:rsid w:val="00091B06"/>
    <w:rsid w:val="000951C4"/>
    <w:rsid w:val="00095ADA"/>
    <w:rsid w:val="000969AD"/>
    <w:rsid w:val="000A3AA2"/>
    <w:rsid w:val="000A430D"/>
    <w:rsid w:val="000A44B2"/>
    <w:rsid w:val="000A52F6"/>
    <w:rsid w:val="000A788A"/>
    <w:rsid w:val="000B44C3"/>
    <w:rsid w:val="000B558D"/>
    <w:rsid w:val="000B775C"/>
    <w:rsid w:val="000B782D"/>
    <w:rsid w:val="000C5D91"/>
    <w:rsid w:val="000C5ECB"/>
    <w:rsid w:val="000C5F95"/>
    <w:rsid w:val="000C6996"/>
    <w:rsid w:val="000D09E9"/>
    <w:rsid w:val="000D113F"/>
    <w:rsid w:val="000D23BA"/>
    <w:rsid w:val="000E5EA1"/>
    <w:rsid w:val="000E681E"/>
    <w:rsid w:val="000F0003"/>
    <w:rsid w:val="000F3384"/>
    <w:rsid w:val="000F4E02"/>
    <w:rsid w:val="000F4E6A"/>
    <w:rsid w:val="000F7354"/>
    <w:rsid w:val="00101145"/>
    <w:rsid w:val="00101ABE"/>
    <w:rsid w:val="00102202"/>
    <w:rsid w:val="00104227"/>
    <w:rsid w:val="001107BF"/>
    <w:rsid w:val="00113649"/>
    <w:rsid w:val="00114320"/>
    <w:rsid w:val="0012417C"/>
    <w:rsid w:val="001248E3"/>
    <w:rsid w:val="00126D63"/>
    <w:rsid w:val="0012749D"/>
    <w:rsid w:val="00142395"/>
    <w:rsid w:val="00142714"/>
    <w:rsid w:val="001452ED"/>
    <w:rsid w:val="00147D84"/>
    <w:rsid w:val="001549C1"/>
    <w:rsid w:val="001577DA"/>
    <w:rsid w:val="00162BDD"/>
    <w:rsid w:val="00162D4E"/>
    <w:rsid w:val="00163329"/>
    <w:rsid w:val="001636E1"/>
    <w:rsid w:val="00164623"/>
    <w:rsid w:val="001652DE"/>
    <w:rsid w:val="00165B64"/>
    <w:rsid w:val="00166AAB"/>
    <w:rsid w:val="00175488"/>
    <w:rsid w:val="00180713"/>
    <w:rsid w:val="00180720"/>
    <w:rsid w:val="001830CE"/>
    <w:rsid w:val="0018581C"/>
    <w:rsid w:val="0018643B"/>
    <w:rsid w:val="00187160"/>
    <w:rsid w:val="00196307"/>
    <w:rsid w:val="001A33EA"/>
    <w:rsid w:val="001A4C4F"/>
    <w:rsid w:val="001A76FB"/>
    <w:rsid w:val="001B017F"/>
    <w:rsid w:val="001B160D"/>
    <w:rsid w:val="001B2BBC"/>
    <w:rsid w:val="001B3A40"/>
    <w:rsid w:val="001B3FFE"/>
    <w:rsid w:val="001B414F"/>
    <w:rsid w:val="001B4A71"/>
    <w:rsid w:val="001B5129"/>
    <w:rsid w:val="001B51B8"/>
    <w:rsid w:val="001C0B4C"/>
    <w:rsid w:val="001C1195"/>
    <w:rsid w:val="001C1FC7"/>
    <w:rsid w:val="001C2E42"/>
    <w:rsid w:val="001C5302"/>
    <w:rsid w:val="001C7807"/>
    <w:rsid w:val="001D112E"/>
    <w:rsid w:val="001D1F5F"/>
    <w:rsid w:val="001D354F"/>
    <w:rsid w:val="001D383F"/>
    <w:rsid w:val="001D56EB"/>
    <w:rsid w:val="001D6815"/>
    <w:rsid w:val="001E06D2"/>
    <w:rsid w:val="001E122C"/>
    <w:rsid w:val="001E468F"/>
    <w:rsid w:val="001F005B"/>
    <w:rsid w:val="001F1850"/>
    <w:rsid w:val="001F3189"/>
    <w:rsid w:val="00203FAC"/>
    <w:rsid w:val="00204156"/>
    <w:rsid w:val="002115E3"/>
    <w:rsid w:val="0021270D"/>
    <w:rsid w:val="00213CFB"/>
    <w:rsid w:val="0021553C"/>
    <w:rsid w:val="0021557B"/>
    <w:rsid w:val="002174FD"/>
    <w:rsid w:val="00217BE1"/>
    <w:rsid w:val="002263CC"/>
    <w:rsid w:val="00230538"/>
    <w:rsid w:val="00234252"/>
    <w:rsid w:val="00237949"/>
    <w:rsid w:val="00237AC6"/>
    <w:rsid w:val="00237F3F"/>
    <w:rsid w:val="0024249A"/>
    <w:rsid w:val="00243FD0"/>
    <w:rsid w:val="00244490"/>
    <w:rsid w:val="00245B9C"/>
    <w:rsid w:val="00253499"/>
    <w:rsid w:val="002551A4"/>
    <w:rsid w:val="00257664"/>
    <w:rsid w:val="00265151"/>
    <w:rsid w:val="00266509"/>
    <w:rsid w:val="00271BA1"/>
    <w:rsid w:val="00275BBE"/>
    <w:rsid w:val="00275D46"/>
    <w:rsid w:val="002762FA"/>
    <w:rsid w:val="00277505"/>
    <w:rsid w:val="00280323"/>
    <w:rsid w:val="002823B6"/>
    <w:rsid w:val="0028685C"/>
    <w:rsid w:val="00294274"/>
    <w:rsid w:val="0029458F"/>
    <w:rsid w:val="002A0E04"/>
    <w:rsid w:val="002A104C"/>
    <w:rsid w:val="002A1EF7"/>
    <w:rsid w:val="002A494D"/>
    <w:rsid w:val="002A4960"/>
    <w:rsid w:val="002A67F2"/>
    <w:rsid w:val="002A76E4"/>
    <w:rsid w:val="002B0AE0"/>
    <w:rsid w:val="002B1AE6"/>
    <w:rsid w:val="002B1D51"/>
    <w:rsid w:val="002B2DE8"/>
    <w:rsid w:val="002B30F8"/>
    <w:rsid w:val="002B388A"/>
    <w:rsid w:val="002B5596"/>
    <w:rsid w:val="002C212F"/>
    <w:rsid w:val="002C7485"/>
    <w:rsid w:val="002D283A"/>
    <w:rsid w:val="002D4543"/>
    <w:rsid w:val="002E30B3"/>
    <w:rsid w:val="002E3153"/>
    <w:rsid w:val="002E5292"/>
    <w:rsid w:val="002E6547"/>
    <w:rsid w:val="002E72CA"/>
    <w:rsid w:val="002E74ED"/>
    <w:rsid w:val="002F42B3"/>
    <w:rsid w:val="002F600D"/>
    <w:rsid w:val="00300AD6"/>
    <w:rsid w:val="00300B1B"/>
    <w:rsid w:val="00300C01"/>
    <w:rsid w:val="003019D0"/>
    <w:rsid w:val="003064AF"/>
    <w:rsid w:val="00310B68"/>
    <w:rsid w:val="00312E44"/>
    <w:rsid w:val="00317C6C"/>
    <w:rsid w:val="00320CD3"/>
    <w:rsid w:val="00322072"/>
    <w:rsid w:val="00324E68"/>
    <w:rsid w:val="00326C9B"/>
    <w:rsid w:val="00326E79"/>
    <w:rsid w:val="003301B1"/>
    <w:rsid w:val="00331189"/>
    <w:rsid w:val="0033263D"/>
    <w:rsid w:val="00334C91"/>
    <w:rsid w:val="0033518A"/>
    <w:rsid w:val="003367EF"/>
    <w:rsid w:val="003402FC"/>
    <w:rsid w:val="00341AE4"/>
    <w:rsid w:val="00341CFB"/>
    <w:rsid w:val="003476EE"/>
    <w:rsid w:val="003524BD"/>
    <w:rsid w:val="003541DD"/>
    <w:rsid w:val="00354C6D"/>
    <w:rsid w:val="00356E5B"/>
    <w:rsid w:val="00360A89"/>
    <w:rsid w:val="003645B4"/>
    <w:rsid w:val="00364B04"/>
    <w:rsid w:val="003736C9"/>
    <w:rsid w:val="00384988"/>
    <w:rsid w:val="003872CF"/>
    <w:rsid w:val="003977CF"/>
    <w:rsid w:val="0039782C"/>
    <w:rsid w:val="003A23D9"/>
    <w:rsid w:val="003A4980"/>
    <w:rsid w:val="003A5B4A"/>
    <w:rsid w:val="003A5D95"/>
    <w:rsid w:val="003B0132"/>
    <w:rsid w:val="003B23C5"/>
    <w:rsid w:val="003B2A75"/>
    <w:rsid w:val="003B6124"/>
    <w:rsid w:val="003C093A"/>
    <w:rsid w:val="003C1ECF"/>
    <w:rsid w:val="003C2004"/>
    <w:rsid w:val="003C24E4"/>
    <w:rsid w:val="003C2FB5"/>
    <w:rsid w:val="003D1C33"/>
    <w:rsid w:val="003D1CDC"/>
    <w:rsid w:val="003D24C5"/>
    <w:rsid w:val="003D4AC4"/>
    <w:rsid w:val="003D63B7"/>
    <w:rsid w:val="003D74C5"/>
    <w:rsid w:val="003E468B"/>
    <w:rsid w:val="003E62BD"/>
    <w:rsid w:val="003E6405"/>
    <w:rsid w:val="003F0C3A"/>
    <w:rsid w:val="003F3228"/>
    <w:rsid w:val="003F5C8C"/>
    <w:rsid w:val="003F63CE"/>
    <w:rsid w:val="003F775A"/>
    <w:rsid w:val="0040016B"/>
    <w:rsid w:val="00400E55"/>
    <w:rsid w:val="0040128E"/>
    <w:rsid w:val="0040216B"/>
    <w:rsid w:val="00410007"/>
    <w:rsid w:val="00413D6D"/>
    <w:rsid w:val="004252EC"/>
    <w:rsid w:val="00427B0B"/>
    <w:rsid w:val="00430D39"/>
    <w:rsid w:val="00434D11"/>
    <w:rsid w:val="00440671"/>
    <w:rsid w:val="004430D7"/>
    <w:rsid w:val="004435E5"/>
    <w:rsid w:val="0044403D"/>
    <w:rsid w:val="004465BD"/>
    <w:rsid w:val="00446938"/>
    <w:rsid w:val="00454373"/>
    <w:rsid w:val="00461A44"/>
    <w:rsid w:val="00462AB2"/>
    <w:rsid w:val="00466ADA"/>
    <w:rsid w:val="004702BB"/>
    <w:rsid w:val="0047182B"/>
    <w:rsid w:val="0047231D"/>
    <w:rsid w:val="004738B6"/>
    <w:rsid w:val="0047494B"/>
    <w:rsid w:val="00476245"/>
    <w:rsid w:val="00477A9B"/>
    <w:rsid w:val="004804D2"/>
    <w:rsid w:val="00483035"/>
    <w:rsid w:val="00485940"/>
    <w:rsid w:val="00486D14"/>
    <w:rsid w:val="00487A29"/>
    <w:rsid w:val="004904B9"/>
    <w:rsid w:val="004A2484"/>
    <w:rsid w:val="004A5A85"/>
    <w:rsid w:val="004A71D1"/>
    <w:rsid w:val="004A7C5B"/>
    <w:rsid w:val="004B1845"/>
    <w:rsid w:val="004B2E98"/>
    <w:rsid w:val="004B5640"/>
    <w:rsid w:val="004B7E23"/>
    <w:rsid w:val="004C03D0"/>
    <w:rsid w:val="004C1BD7"/>
    <w:rsid w:val="004C31FE"/>
    <w:rsid w:val="004C47CB"/>
    <w:rsid w:val="004C524C"/>
    <w:rsid w:val="004C58FE"/>
    <w:rsid w:val="004C5FFA"/>
    <w:rsid w:val="004C691D"/>
    <w:rsid w:val="004C6C07"/>
    <w:rsid w:val="004D0C33"/>
    <w:rsid w:val="004D4FF6"/>
    <w:rsid w:val="004E1432"/>
    <w:rsid w:val="004E24A8"/>
    <w:rsid w:val="004E692D"/>
    <w:rsid w:val="004E7D87"/>
    <w:rsid w:val="004F2553"/>
    <w:rsid w:val="004F665A"/>
    <w:rsid w:val="00500F60"/>
    <w:rsid w:val="00501554"/>
    <w:rsid w:val="00502AFE"/>
    <w:rsid w:val="00503AD7"/>
    <w:rsid w:val="00504E0C"/>
    <w:rsid w:val="005109D4"/>
    <w:rsid w:val="00511B4F"/>
    <w:rsid w:val="00514CD7"/>
    <w:rsid w:val="00520D6A"/>
    <w:rsid w:val="00522DB6"/>
    <w:rsid w:val="00525187"/>
    <w:rsid w:val="00525F2C"/>
    <w:rsid w:val="0052792D"/>
    <w:rsid w:val="0053063D"/>
    <w:rsid w:val="005319B2"/>
    <w:rsid w:val="0053200D"/>
    <w:rsid w:val="00532402"/>
    <w:rsid w:val="00532C74"/>
    <w:rsid w:val="00534E2E"/>
    <w:rsid w:val="0053560A"/>
    <w:rsid w:val="00540010"/>
    <w:rsid w:val="0054312F"/>
    <w:rsid w:val="00543A01"/>
    <w:rsid w:val="00544552"/>
    <w:rsid w:val="00545130"/>
    <w:rsid w:val="00551EB7"/>
    <w:rsid w:val="005527CC"/>
    <w:rsid w:val="00552868"/>
    <w:rsid w:val="0055286A"/>
    <w:rsid w:val="0055491A"/>
    <w:rsid w:val="00555745"/>
    <w:rsid w:val="00557D4F"/>
    <w:rsid w:val="0056484E"/>
    <w:rsid w:val="00565DB8"/>
    <w:rsid w:val="00566C52"/>
    <w:rsid w:val="005715AB"/>
    <w:rsid w:val="005764CD"/>
    <w:rsid w:val="00577B5B"/>
    <w:rsid w:val="00577C4D"/>
    <w:rsid w:val="005803A5"/>
    <w:rsid w:val="00580532"/>
    <w:rsid w:val="00581932"/>
    <w:rsid w:val="005841C4"/>
    <w:rsid w:val="00585674"/>
    <w:rsid w:val="0058596A"/>
    <w:rsid w:val="00585BD9"/>
    <w:rsid w:val="00585CF7"/>
    <w:rsid w:val="005963BB"/>
    <w:rsid w:val="005A2E34"/>
    <w:rsid w:val="005A3173"/>
    <w:rsid w:val="005A3223"/>
    <w:rsid w:val="005A3DA3"/>
    <w:rsid w:val="005A52C4"/>
    <w:rsid w:val="005A5B05"/>
    <w:rsid w:val="005C020A"/>
    <w:rsid w:val="005C07A1"/>
    <w:rsid w:val="005C1548"/>
    <w:rsid w:val="005C3BCD"/>
    <w:rsid w:val="005C4F73"/>
    <w:rsid w:val="005C6796"/>
    <w:rsid w:val="005D03AB"/>
    <w:rsid w:val="005D1F2E"/>
    <w:rsid w:val="005D30C8"/>
    <w:rsid w:val="005D4E40"/>
    <w:rsid w:val="005D5017"/>
    <w:rsid w:val="005D63FA"/>
    <w:rsid w:val="005E0D82"/>
    <w:rsid w:val="005E1333"/>
    <w:rsid w:val="005E3136"/>
    <w:rsid w:val="005E507D"/>
    <w:rsid w:val="005F0FF2"/>
    <w:rsid w:val="005F32EC"/>
    <w:rsid w:val="00601A91"/>
    <w:rsid w:val="00602BA3"/>
    <w:rsid w:val="00603428"/>
    <w:rsid w:val="00605A37"/>
    <w:rsid w:val="00605B63"/>
    <w:rsid w:val="00605F9A"/>
    <w:rsid w:val="00606EED"/>
    <w:rsid w:val="00612E34"/>
    <w:rsid w:val="00614159"/>
    <w:rsid w:val="006141C4"/>
    <w:rsid w:val="00614442"/>
    <w:rsid w:val="00616C5F"/>
    <w:rsid w:val="00616DAC"/>
    <w:rsid w:val="00617C00"/>
    <w:rsid w:val="006221B8"/>
    <w:rsid w:val="006263BF"/>
    <w:rsid w:val="0062748A"/>
    <w:rsid w:val="00630A2C"/>
    <w:rsid w:val="00632042"/>
    <w:rsid w:val="00634F32"/>
    <w:rsid w:val="00635F25"/>
    <w:rsid w:val="0063682E"/>
    <w:rsid w:val="006429D8"/>
    <w:rsid w:val="00642DA8"/>
    <w:rsid w:val="006436CD"/>
    <w:rsid w:val="00651169"/>
    <w:rsid w:val="00652090"/>
    <w:rsid w:val="00653D69"/>
    <w:rsid w:val="006552E6"/>
    <w:rsid w:val="00655794"/>
    <w:rsid w:val="00656117"/>
    <w:rsid w:val="006571D5"/>
    <w:rsid w:val="00657C63"/>
    <w:rsid w:val="0066457D"/>
    <w:rsid w:val="006666BB"/>
    <w:rsid w:val="006670BE"/>
    <w:rsid w:val="00670A76"/>
    <w:rsid w:val="006711AA"/>
    <w:rsid w:val="00672B57"/>
    <w:rsid w:val="00673F1F"/>
    <w:rsid w:val="00675622"/>
    <w:rsid w:val="0067747D"/>
    <w:rsid w:val="006818D5"/>
    <w:rsid w:val="00681CA4"/>
    <w:rsid w:val="0068393B"/>
    <w:rsid w:val="0069039D"/>
    <w:rsid w:val="006906DB"/>
    <w:rsid w:val="00691E6C"/>
    <w:rsid w:val="00693DFB"/>
    <w:rsid w:val="0069501D"/>
    <w:rsid w:val="00696129"/>
    <w:rsid w:val="00697CF2"/>
    <w:rsid w:val="006A12A5"/>
    <w:rsid w:val="006A1787"/>
    <w:rsid w:val="006A5E20"/>
    <w:rsid w:val="006B065E"/>
    <w:rsid w:val="006B0D94"/>
    <w:rsid w:val="006B3761"/>
    <w:rsid w:val="006B485D"/>
    <w:rsid w:val="006B6874"/>
    <w:rsid w:val="006C334C"/>
    <w:rsid w:val="006C6518"/>
    <w:rsid w:val="006C708E"/>
    <w:rsid w:val="006D14E7"/>
    <w:rsid w:val="006D4444"/>
    <w:rsid w:val="006D6493"/>
    <w:rsid w:val="006D6EC7"/>
    <w:rsid w:val="006E123F"/>
    <w:rsid w:val="006E1BCD"/>
    <w:rsid w:val="006E6B41"/>
    <w:rsid w:val="006F0A71"/>
    <w:rsid w:val="006F40C2"/>
    <w:rsid w:val="006F4C21"/>
    <w:rsid w:val="006F5125"/>
    <w:rsid w:val="006F5411"/>
    <w:rsid w:val="006F733D"/>
    <w:rsid w:val="00702B6F"/>
    <w:rsid w:val="00706A2F"/>
    <w:rsid w:val="0070718E"/>
    <w:rsid w:val="00710259"/>
    <w:rsid w:val="0071031F"/>
    <w:rsid w:val="00711D64"/>
    <w:rsid w:val="0071340B"/>
    <w:rsid w:val="00715BBB"/>
    <w:rsid w:val="007166A0"/>
    <w:rsid w:val="007174BB"/>
    <w:rsid w:val="0071782D"/>
    <w:rsid w:val="0072025D"/>
    <w:rsid w:val="007236D8"/>
    <w:rsid w:val="007267ED"/>
    <w:rsid w:val="0073137C"/>
    <w:rsid w:val="007353CE"/>
    <w:rsid w:val="007353D3"/>
    <w:rsid w:val="00737213"/>
    <w:rsid w:val="0074156B"/>
    <w:rsid w:val="007463EF"/>
    <w:rsid w:val="00747092"/>
    <w:rsid w:val="007555E8"/>
    <w:rsid w:val="0076420C"/>
    <w:rsid w:val="00765288"/>
    <w:rsid w:val="00771D07"/>
    <w:rsid w:val="00773BE3"/>
    <w:rsid w:val="00774E2C"/>
    <w:rsid w:val="007753C2"/>
    <w:rsid w:val="007838B8"/>
    <w:rsid w:val="00785464"/>
    <w:rsid w:val="00790292"/>
    <w:rsid w:val="007915BA"/>
    <w:rsid w:val="00792E69"/>
    <w:rsid w:val="0079306F"/>
    <w:rsid w:val="00793B89"/>
    <w:rsid w:val="007951A3"/>
    <w:rsid w:val="007970BC"/>
    <w:rsid w:val="007A2275"/>
    <w:rsid w:val="007A36D1"/>
    <w:rsid w:val="007A42E3"/>
    <w:rsid w:val="007A448C"/>
    <w:rsid w:val="007A6840"/>
    <w:rsid w:val="007B3DDC"/>
    <w:rsid w:val="007B411F"/>
    <w:rsid w:val="007B72A6"/>
    <w:rsid w:val="007C0F57"/>
    <w:rsid w:val="007C40B6"/>
    <w:rsid w:val="007C729F"/>
    <w:rsid w:val="007D290D"/>
    <w:rsid w:val="007D40B7"/>
    <w:rsid w:val="007D503D"/>
    <w:rsid w:val="007D5CE4"/>
    <w:rsid w:val="007E1D28"/>
    <w:rsid w:val="007E71F5"/>
    <w:rsid w:val="007F0021"/>
    <w:rsid w:val="007F0BBC"/>
    <w:rsid w:val="007F2641"/>
    <w:rsid w:val="007F7C36"/>
    <w:rsid w:val="00801634"/>
    <w:rsid w:val="00806765"/>
    <w:rsid w:val="00806796"/>
    <w:rsid w:val="008100F5"/>
    <w:rsid w:val="00811CC0"/>
    <w:rsid w:val="008123C2"/>
    <w:rsid w:val="0081257C"/>
    <w:rsid w:val="00813C2F"/>
    <w:rsid w:val="008151D6"/>
    <w:rsid w:val="00816C20"/>
    <w:rsid w:val="008179A0"/>
    <w:rsid w:val="00821527"/>
    <w:rsid w:val="00824C92"/>
    <w:rsid w:val="008268BB"/>
    <w:rsid w:val="00826F6D"/>
    <w:rsid w:val="008306F3"/>
    <w:rsid w:val="00830E40"/>
    <w:rsid w:val="00835C62"/>
    <w:rsid w:val="008416F6"/>
    <w:rsid w:val="00845AA0"/>
    <w:rsid w:val="00847EC0"/>
    <w:rsid w:val="00855FD6"/>
    <w:rsid w:val="00856DDD"/>
    <w:rsid w:val="00863E68"/>
    <w:rsid w:val="008647B5"/>
    <w:rsid w:val="00873314"/>
    <w:rsid w:val="00875DCB"/>
    <w:rsid w:val="00875FD5"/>
    <w:rsid w:val="00877375"/>
    <w:rsid w:val="00882085"/>
    <w:rsid w:val="00883188"/>
    <w:rsid w:val="00890069"/>
    <w:rsid w:val="00897D58"/>
    <w:rsid w:val="00897F22"/>
    <w:rsid w:val="008A0B39"/>
    <w:rsid w:val="008A1956"/>
    <w:rsid w:val="008A1C96"/>
    <w:rsid w:val="008A4937"/>
    <w:rsid w:val="008A50F1"/>
    <w:rsid w:val="008A59D9"/>
    <w:rsid w:val="008A6819"/>
    <w:rsid w:val="008B2EC0"/>
    <w:rsid w:val="008B405F"/>
    <w:rsid w:val="008C5E0E"/>
    <w:rsid w:val="008C69FF"/>
    <w:rsid w:val="008D1710"/>
    <w:rsid w:val="008D1B5C"/>
    <w:rsid w:val="008D2395"/>
    <w:rsid w:val="008D399B"/>
    <w:rsid w:val="008D3C82"/>
    <w:rsid w:val="008D447E"/>
    <w:rsid w:val="008D4F08"/>
    <w:rsid w:val="008D62F3"/>
    <w:rsid w:val="008D7A41"/>
    <w:rsid w:val="008E2A60"/>
    <w:rsid w:val="008E2C72"/>
    <w:rsid w:val="008E3680"/>
    <w:rsid w:val="008E5870"/>
    <w:rsid w:val="008F0213"/>
    <w:rsid w:val="008F1434"/>
    <w:rsid w:val="008F54C3"/>
    <w:rsid w:val="008F7355"/>
    <w:rsid w:val="00900866"/>
    <w:rsid w:val="009023DC"/>
    <w:rsid w:val="009027C5"/>
    <w:rsid w:val="009067B7"/>
    <w:rsid w:val="00917D69"/>
    <w:rsid w:val="00926560"/>
    <w:rsid w:val="00930937"/>
    <w:rsid w:val="009324A6"/>
    <w:rsid w:val="00933E6C"/>
    <w:rsid w:val="0093655F"/>
    <w:rsid w:val="00937958"/>
    <w:rsid w:val="00941602"/>
    <w:rsid w:val="00941BD9"/>
    <w:rsid w:val="00942160"/>
    <w:rsid w:val="0095146F"/>
    <w:rsid w:val="00957944"/>
    <w:rsid w:val="009602C5"/>
    <w:rsid w:val="00962223"/>
    <w:rsid w:val="00966D0D"/>
    <w:rsid w:val="0096783C"/>
    <w:rsid w:val="0097022B"/>
    <w:rsid w:val="0097186B"/>
    <w:rsid w:val="009722B3"/>
    <w:rsid w:val="009733DF"/>
    <w:rsid w:val="00974C21"/>
    <w:rsid w:val="0097531F"/>
    <w:rsid w:val="00975948"/>
    <w:rsid w:val="00977BF3"/>
    <w:rsid w:val="009803E4"/>
    <w:rsid w:val="00980B0E"/>
    <w:rsid w:val="00981055"/>
    <w:rsid w:val="009836A3"/>
    <w:rsid w:val="009855A8"/>
    <w:rsid w:val="009913F4"/>
    <w:rsid w:val="00993AA6"/>
    <w:rsid w:val="0099465B"/>
    <w:rsid w:val="009949F2"/>
    <w:rsid w:val="00996091"/>
    <w:rsid w:val="009A0954"/>
    <w:rsid w:val="009A0C70"/>
    <w:rsid w:val="009A0CDD"/>
    <w:rsid w:val="009A3168"/>
    <w:rsid w:val="009A3F4B"/>
    <w:rsid w:val="009A61CA"/>
    <w:rsid w:val="009A62F4"/>
    <w:rsid w:val="009A6F56"/>
    <w:rsid w:val="009B03F3"/>
    <w:rsid w:val="009B0C64"/>
    <w:rsid w:val="009B0F67"/>
    <w:rsid w:val="009C233F"/>
    <w:rsid w:val="009C3915"/>
    <w:rsid w:val="009C3EBC"/>
    <w:rsid w:val="009C62A2"/>
    <w:rsid w:val="009C703C"/>
    <w:rsid w:val="009C7750"/>
    <w:rsid w:val="009D162E"/>
    <w:rsid w:val="009D206E"/>
    <w:rsid w:val="009D3CAA"/>
    <w:rsid w:val="009D5D3E"/>
    <w:rsid w:val="009D6532"/>
    <w:rsid w:val="009E08E3"/>
    <w:rsid w:val="009E2E8E"/>
    <w:rsid w:val="009E40E1"/>
    <w:rsid w:val="009E4226"/>
    <w:rsid w:val="009E67F8"/>
    <w:rsid w:val="009F0CD6"/>
    <w:rsid w:val="009F0EFA"/>
    <w:rsid w:val="009F20A5"/>
    <w:rsid w:val="009F4E46"/>
    <w:rsid w:val="009F5B65"/>
    <w:rsid w:val="009F5F2E"/>
    <w:rsid w:val="00A01432"/>
    <w:rsid w:val="00A02CA0"/>
    <w:rsid w:val="00A06225"/>
    <w:rsid w:val="00A128E6"/>
    <w:rsid w:val="00A144D3"/>
    <w:rsid w:val="00A20DD9"/>
    <w:rsid w:val="00A22AC3"/>
    <w:rsid w:val="00A23F3F"/>
    <w:rsid w:val="00A24067"/>
    <w:rsid w:val="00A2744D"/>
    <w:rsid w:val="00A32FD5"/>
    <w:rsid w:val="00A34E6C"/>
    <w:rsid w:val="00A36398"/>
    <w:rsid w:val="00A37C8D"/>
    <w:rsid w:val="00A4020E"/>
    <w:rsid w:val="00A40FB5"/>
    <w:rsid w:val="00A42826"/>
    <w:rsid w:val="00A429B3"/>
    <w:rsid w:val="00A51ED4"/>
    <w:rsid w:val="00A5273B"/>
    <w:rsid w:val="00A53A9D"/>
    <w:rsid w:val="00A55FEE"/>
    <w:rsid w:val="00A5634E"/>
    <w:rsid w:val="00A57422"/>
    <w:rsid w:val="00A62585"/>
    <w:rsid w:val="00A62C1A"/>
    <w:rsid w:val="00A635C4"/>
    <w:rsid w:val="00A6426D"/>
    <w:rsid w:val="00A655E7"/>
    <w:rsid w:val="00A665C1"/>
    <w:rsid w:val="00A673A4"/>
    <w:rsid w:val="00A6769F"/>
    <w:rsid w:val="00A70622"/>
    <w:rsid w:val="00A70977"/>
    <w:rsid w:val="00A70D58"/>
    <w:rsid w:val="00A744F9"/>
    <w:rsid w:val="00A76F6D"/>
    <w:rsid w:val="00A77613"/>
    <w:rsid w:val="00A8106C"/>
    <w:rsid w:val="00A81851"/>
    <w:rsid w:val="00A8390C"/>
    <w:rsid w:val="00A86AE0"/>
    <w:rsid w:val="00A9033C"/>
    <w:rsid w:val="00A928BD"/>
    <w:rsid w:val="00A9586A"/>
    <w:rsid w:val="00A97DE9"/>
    <w:rsid w:val="00AA12CD"/>
    <w:rsid w:val="00AA4A89"/>
    <w:rsid w:val="00AA4D1C"/>
    <w:rsid w:val="00AA52FD"/>
    <w:rsid w:val="00AB5856"/>
    <w:rsid w:val="00AC0AC0"/>
    <w:rsid w:val="00AC193C"/>
    <w:rsid w:val="00AC1ABA"/>
    <w:rsid w:val="00AC45B7"/>
    <w:rsid w:val="00AC4DE5"/>
    <w:rsid w:val="00AC5206"/>
    <w:rsid w:val="00AC5779"/>
    <w:rsid w:val="00AC63BE"/>
    <w:rsid w:val="00AD3F4E"/>
    <w:rsid w:val="00AD4322"/>
    <w:rsid w:val="00AE11A5"/>
    <w:rsid w:val="00AE13E2"/>
    <w:rsid w:val="00AE22D3"/>
    <w:rsid w:val="00AE2948"/>
    <w:rsid w:val="00AE5A49"/>
    <w:rsid w:val="00AE73FF"/>
    <w:rsid w:val="00AF2F43"/>
    <w:rsid w:val="00AF62DF"/>
    <w:rsid w:val="00AF68CC"/>
    <w:rsid w:val="00AF70D7"/>
    <w:rsid w:val="00B06478"/>
    <w:rsid w:val="00B07CFB"/>
    <w:rsid w:val="00B1059E"/>
    <w:rsid w:val="00B12B07"/>
    <w:rsid w:val="00B14BA7"/>
    <w:rsid w:val="00B16273"/>
    <w:rsid w:val="00B170A5"/>
    <w:rsid w:val="00B176C8"/>
    <w:rsid w:val="00B17EE5"/>
    <w:rsid w:val="00B205AA"/>
    <w:rsid w:val="00B208E9"/>
    <w:rsid w:val="00B22E84"/>
    <w:rsid w:val="00B233AD"/>
    <w:rsid w:val="00B23728"/>
    <w:rsid w:val="00B23E25"/>
    <w:rsid w:val="00B25F75"/>
    <w:rsid w:val="00B26B3F"/>
    <w:rsid w:val="00B2778F"/>
    <w:rsid w:val="00B33635"/>
    <w:rsid w:val="00B42AF4"/>
    <w:rsid w:val="00B43E90"/>
    <w:rsid w:val="00B458E7"/>
    <w:rsid w:val="00B467DC"/>
    <w:rsid w:val="00B56118"/>
    <w:rsid w:val="00B60300"/>
    <w:rsid w:val="00B6773F"/>
    <w:rsid w:val="00B70EB3"/>
    <w:rsid w:val="00B743AD"/>
    <w:rsid w:val="00B7525E"/>
    <w:rsid w:val="00B760BC"/>
    <w:rsid w:val="00B760FB"/>
    <w:rsid w:val="00B767AB"/>
    <w:rsid w:val="00B801BA"/>
    <w:rsid w:val="00B84D43"/>
    <w:rsid w:val="00B84D5C"/>
    <w:rsid w:val="00BA2DA8"/>
    <w:rsid w:val="00BA347C"/>
    <w:rsid w:val="00BA5CEA"/>
    <w:rsid w:val="00BB5C49"/>
    <w:rsid w:val="00BB69F5"/>
    <w:rsid w:val="00BB7EC3"/>
    <w:rsid w:val="00BC25B5"/>
    <w:rsid w:val="00BC468F"/>
    <w:rsid w:val="00BC4B9A"/>
    <w:rsid w:val="00BD02C3"/>
    <w:rsid w:val="00BD0B96"/>
    <w:rsid w:val="00BD7483"/>
    <w:rsid w:val="00BD784C"/>
    <w:rsid w:val="00BE020A"/>
    <w:rsid w:val="00BE13DF"/>
    <w:rsid w:val="00BE4412"/>
    <w:rsid w:val="00BF092C"/>
    <w:rsid w:val="00BF27A0"/>
    <w:rsid w:val="00BF4CB6"/>
    <w:rsid w:val="00BF6DD7"/>
    <w:rsid w:val="00C00DA7"/>
    <w:rsid w:val="00C04C36"/>
    <w:rsid w:val="00C04CDE"/>
    <w:rsid w:val="00C10474"/>
    <w:rsid w:val="00C12768"/>
    <w:rsid w:val="00C12D70"/>
    <w:rsid w:val="00C137CE"/>
    <w:rsid w:val="00C17B50"/>
    <w:rsid w:val="00C17FAA"/>
    <w:rsid w:val="00C21B09"/>
    <w:rsid w:val="00C21FA9"/>
    <w:rsid w:val="00C25421"/>
    <w:rsid w:val="00C2673A"/>
    <w:rsid w:val="00C27B58"/>
    <w:rsid w:val="00C35996"/>
    <w:rsid w:val="00C35CB1"/>
    <w:rsid w:val="00C366F9"/>
    <w:rsid w:val="00C46657"/>
    <w:rsid w:val="00C4747E"/>
    <w:rsid w:val="00C5151E"/>
    <w:rsid w:val="00C5342C"/>
    <w:rsid w:val="00C53B2B"/>
    <w:rsid w:val="00C60272"/>
    <w:rsid w:val="00C603D4"/>
    <w:rsid w:val="00C6256A"/>
    <w:rsid w:val="00C67E8D"/>
    <w:rsid w:val="00C67FFA"/>
    <w:rsid w:val="00C710E2"/>
    <w:rsid w:val="00C71C3F"/>
    <w:rsid w:val="00C7409E"/>
    <w:rsid w:val="00C76E76"/>
    <w:rsid w:val="00C77891"/>
    <w:rsid w:val="00C85B7C"/>
    <w:rsid w:val="00C91449"/>
    <w:rsid w:val="00C91E6B"/>
    <w:rsid w:val="00C92D10"/>
    <w:rsid w:val="00C96581"/>
    <w:rsid w:val="00CA1DBE"/>
    <w:rsid w:val="00CA48D9"/>
    <w:rsid w:val="00CB1193"/>
    <w:rsid w:val="00CB3D71"/>
    <w:rsid w:val="00CB4767"/>
    <w:rsid w:val="00CB493D"/>
    <w:rsid w:val="00CB588D"/>
    <w:rsid w:val="00CC3B97"/>
    <w:rsid w:val="00CE10C4"/>
    <w:rsid w:val="00CE27B5"/>
    <w:rsid w:val="00CE5B31"/>
    <w:rsid w:val="00CE6DAF"/>
    <w:rsid w:val="00CF410A"/>
    <w:rsid w:val="00CF66A2"/>
    <w:rsid w:val="00D00600"/>
    <w:rsid w:val="00D0321E"/>
    <w:rsid w:val="00D07A8A"/>
    <w:rsid w:val="00D07E27"/>
    <w:rsid w:val="00D100BC"/>
    <w:rsid w:val="00D11504"/>
    <w:rsid w:val="00D1455A"/>
    <w:rsid w:val="00D16096"/>
    <w:rsid w:val="00D22093"/>
    <w:rsid w:val="00D272F7"/>
    <w:rsid w:val="00D31150"/>
    <w:rsid w:val="00D3138B"/>
    <w:rsid w:val="00D3280C"/>
    <w:rsid w:val="00D3406A"/>
    <w:rsid w:val="00D345DB"/>
    <w:rsid w:val="00D34ED0"/>
    <w:rsid w:val="00D40841"/>
    <w:rsid w:val="00D40B11"/>
    <w:rsid w:val="00D4287F"/>
    <w:rsid w:val="00D441F1"/>
    <w:rsid w:val="00D45649"/>
    <w:rsid w:val="00D4572C"/>
    <w:rsid w:val="00D469B2"/>
    <w:rsid w:val="00D51492"/>
    <w:rsid w:val="00D54477"/>
    <w:rsid w:val="00D54B09"/>
    <w:rsid w:val="00D62DF4"/>
    <w:rsid w:val="00D65658"/>
    <w:rsid w:val="00D70E97"/>
    <w:rsid w:val="00D72B6F"/>
    <w:rsid w:val="00D741EB"/>
    <w:rsid w:val="00D7679C"/>
    <w:rsid w:val="00D81EF6"/>
    <w:rsid w:val="00D820F3"/>
    <w:rsid w:val="00D83605"/>
    <w:rsid w:val="00D84934"/>
    <w:rsid w:val="00D91271"/>
    <w:rsid w:val="00D919F5"/>
    <w:rsid w:val="00D94F03"/>
    <w:rsid w:val="00D97A69"/>
    <w:rsid w:val="00DA0D14"/>
    <w:rsid w:val="00DA1FC9"/>
    <w:rsid w:val="00DA2CB5"/>
    <w:rsid w:val="00DA4BAC"/>
    <w:rsid w:val="00DB0151"/>
    <w:rsid w:val="00DB5213"/>
    <w:rsid w:val="00DB571A"/>
    <w:rsid w:val="00DB5EA0"/>
    <w:rsid w:val="00DB6573"/>
    <w:rsid w:val="00DC2C3E"/>
    <w:rsid w:val="00DC4880"/>
    <w:rsid w:val="00DC7922"/>
    <w:rsid w:val="00DD51D6"/>
    <w:rsid w:val="00DD6707"/>
    <w:rsid w:val="00DE6D27"/>
    <w:rsid w:val="00DE7917"/>
    <w:rsid w:val="00DE7C40"/>
    <w:rsid w:val="00DF01F8"/>
    <w:rsid w:val="00DF217D"/>
    <w:rsid w:val="00DF26A7"/>
    <w:rsid w:val="00DF3277"/>
    <w:rsid w:val="00DF7919"/>
    <w:rsid w:val="00E0207E"/>
    <w:rsid w:val="00E03912"/>
    <w:rsid w:val="00E078D9"/>
    <w:rsid w:val="00E149F1"/>
    <w:rsid w:val="00E15627"/>
    <w:rsid w:val="00E164B3"/>
    <w:rsid w:val="00E16910"/>
    <w:rsid w:val="00E24E09"/>
    <w:rsid w:val="00E27234"/>
    <w:rsid w:val="00E42BDB"/>
    <w:rsid w:val="00E47945"/>
    <w:rsid w:val="00E57EEB"/>
    <w:rsid w:val="00E62D94"/>
    <w:rsid w:val="00E64F37"/>
    <w:rsid w:val="00E65E54"/>
    <w:rsid w:val="00E661C7"/>
    <w:rsid w:val="00E73513"/>
    <w:rsid w:val="00E76180"/>
    <w:rsid w:val="00E770D4"/>
    <w:rsid w:val="00E80155"/>
    <w:rsid w:val="00E8134B"/>
    <w:rsid w:val="00E81E0D"/>
    <w:rsid w:val="00E81F28"/>
    <w:rsid w:val="00E848C0"/>
    <w:rsid w:val="00E869ED"/>
    <w:rsid w:val="00E91B96"/>
    <w:rsid w:val="00E93D1E"/>
    <w:rsid w:val="00E941A1"/>
    <w:rsid w:val="00E95CE3"/>
    <w:rsid w:val="00EA1FEE"/>
    <w:rsid w:val="00EA252F"/>
    <w:rsid w:val="00EA2825"/>
    <w:rsid w:val="00EA6518"/>
    <w:rsid w:val="00EA7466"/>
    <w:rsid w:val="00EA7EDE"/>
    <w:rsid w:val="00EB0B63"/>
    <w:rsid w:val="00EB1936"/>
    <w:rsid w:val="00EB2425"/>
    <w:rsid w:val="00EB37BE"/>
    <w:rsid w:val="00EB3861"/>
    <w:rsid w:val="00EB5088"/>
    <w:rsid w:val="00EB78AC"/>
    <w:rsid w:val="00EC14C4"/>
    <w:rsid w:val="00EC5EC2"/>
    <w:rsid w:val="00EC7E44"/>
    <w:rsid w:val="00ED0229"/>
    <w:rsid w:val="00ED1644"/>
    <w:rsid w:val="00ED2593"/>
    <w:rsid w:val="00ED3D30"/>
    <w:rsid w:val="00ED45A1"/>
    <w:rsid w:val="00ED7D55"/>
    <w:rsid w:val="00ED7D9C"/>
    <w:rsid w:val="00EE31A2"/>
    <w:rsid w:val="00EE6BB3"/>
    <w:rsid w:val="00EF0069"/>
    <w:rsid w:val="00EF3CA4"/>
    <w:rsid w:val="00EF44A0"/>
    <w:rsid w:val="00EF4FED"/>
    <w:rsid w:val="00EF6FB3"/>
    <w:rsid w:val="00F007C6"/>
    <w:rsid w:val="00F0172E"/>
    <w:rsid w:val="00F04690"/>
    <w:rsid w:val="00F050BD"/>
    <w:rsid w:val="00F05657"/>
    <w:rsid w:val="00F17B8E"/>
    <w:rsid w:val="00F17ED6"/>
    <w:rsid w:val="00F2041E"/>
    <w:rsid w:val="00F209E2"/>
    <w:rsid w:val="00F2205B"/>
    <w:rsid w:val="00F2451C"/>
    <w:rsid w:val="00F25578"/>
    <w:rsid w:val="00F258E5"/>
    <w:rsid w:val="00F25B9C"/>
    <w:rsid w:val="00F2659B"/>
    <w:rsid w:val="00F26CC6"/>
    <w:rsid w:val="00F300BC"/>
    <w:rsid w:val="00F31D0C"/>
    <w:rsid w:val="00F3263C"/>
    <w:rsid w:val="00F3334E"/>
    <w:rsid w:val="00F36936"/>
    <w:rsid w:val="00F36CCB"/>
    <w:rsid w:val="00F374E5"/>
    <w:rsid w:val="00F37B93"/>
    <w:rsid w:val="00F37BAD"/>
    <w:rsid w:val="00F37ECA"/>
    <w:rsid w:val="00F43882"/>
    <w:rsid w:val="00F43AF2"/>
    <w:rsid w:val="00F5007E"/>
    <w:rsid w:val="00F5085A"/>
    <w:rsid w:val="00F50B75"/>
    <w:rsid w:val="00F50EC4"/>
    <w:rsid w:val="00F52232"/>
    <w:rsid w:val="00F550CF"/>
    <w:rsid w:val="00F57A6D"/>
    <w:rsid w:val="00F638CC"/>
    <w:rsid w:val="00F64C9E"/>
    <w:rsid w:val="00F64CC1"/>
    <w:rsid w:val="00F72317"/>
    <w:rsid w:val="00F7548D"/>
    <w:rsid w:val="00F77CC0"/>
    <w:rsid w:val="00F80475"/>
    <w:rsid w:val="00F8247A"/>
    <w:rsid w:val="00F82AAF"/>
    <w:rsid w:val="00F82E5C"/>
    <w:rsid w:val="00F859D6"/>
    <w:rsid w:val="00F939C3"/>
    <w:rsid w:val="00F93F9D"/>
    <w:rsid w:val="00F9629A"/>
    <w:rsid w:val="00F96A86"/>
    <w:rsid w:val="00F97EFC"/>
    <w:rsid w:val="00FA1BDD"/>
    <w:rsid w:val="00FA305C"/>
    <w:rsid w:val="00FA4DD5"/>
    <w:rsid w:val="00FA5883"/>
    <w:rsid w:val="00FA6055"/>
    <w:rsid w:val="00FB0A0D"/>
    <w:rsid w:val="00FB0B39"/>
    <w:rsid w:val="00FB322F"/>
    <w:rsid w:val="00FB442F"/>
    <w:rsid w:val="00FB6D10"/>
    <w:rsid w:val="00FC1929"/>
    <w:rsid w:val="00FC529A"/>
    <w:rsid w:val="00FC5B46"/>
    <w:rsid w:val="00FD6D8E"/>
    <w:rsid w:val="00FE0663"/>
    <w:rsid w:val="00FE0E94"/>
    <w:rsid w:val="00FE3CD9"/>
    <w:rsid w:val="00FE419A"/>
    <w:rsid w:val="00FF00BD"/>
    <w:rsid w:val="00FF1ED4"/>
    <w:rsid w:val="00FF2801"/>
    <w:rsid w:val="00FF3437"/>
    <w:rsid w:val="00FF3D4E"/>
    <w:rsid w:val="00FF5A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6369"/>
    <o:shapelayout v:ext="edit">
      <o:idmap v:ext="edit" data="1"/>
    </o:shapelayout>
  </w:shapeDefaults>
  <w:decimalSymbol w:val="."/>
  <w:listSeparator w:val=","/>
  <w14:docId w14:val="71C0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05B"/>
    <w:pPr>
      <w:jc w:val="both"/>
    </w:pPr>
    <w:rPr>
      <w:rFonts w:ascii="Calibri" w:hAnsi="Calibri"/>
      <w:sz w:val="24"/>
      <w:szCs w:val="24"/>
    </w:rPr>
  </w:style>
  <w:style w:type="paragraph" w:styleId="Heading1">
    <w:name w:val="heading 1"/>
    <w:basedOn w:val="ListParagraph"/>
    <w:next w:val="Normal"/>
    <w:link w:val="Heading1Char"/>
    <w:uiPriority w:val="9"/>
    <w:qFormat/>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uiPriority w:val="99"/>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9"/>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D16096"/>
    <w:pPr>
      <w:numPr>
        <w:ilvl w:val="1"/>
        <w:numId w:val="4"/>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D16096"/>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1"/>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7D290D"/>
    <w:pPr>
      <w:widowControl w:val="0"/>
      <w:spacing w:after="120"/>
      <w:contextualSpacing/>
    </w:pPr>
    <w:rPr>
      <w:rFonts w:ascii="Arial Narrow" w:hAnsi="Arial Narrow" w:cs="Arial"/>
      <w:snapToGrid w:val="0"/>
      <w:sz w:val="18"/>
      <w:szCs w:val="22"/>
      <w:lang w:eastAsia="en-US"/>
    </w:rPr>
  </w:style>
  <w:style w:type="character" w:customStyle="1" w:styleId="TableFooterChar">
    <w:name w:val="Table Footer Char"/>
    <w:link w:val="TableFooter"/>
    <w:rsid w:val="007D290D"/>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2"/>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3"/>
      </w:numPr>
      <w:contextualSpacing/>
    </w:pPr>
  </w:style>
  <w:style w:type="character" w:customStyle="1" w:styleId="SmallBold">
    <w:name w:val="Small Bold"/>
    <w:basedOn w:val="DefaultParagraphFont"/>
    <w:uiPriority w:val="4"/>
    <w:qFormat/>
    <w:rsid w:val="00D272F7"/>
    <w:rPr>
      <w:rFonts w:ascii="Candara" w:hAnsi="Candara"/>
      <w:b/>
      <w:sz w:val="20"/>
      <w:lang w:val="en-AU"/>
    </w:rPr>
  </w:style>
  <w:style w:type="character" w:customStyle="1" w:styleId="Small">
    <w:name w:val="Small"/>
    <w:basedOn w:val="DefaultParagraphFont"/>
    <w:uiPriority w:val="4"/>
    <w:qFormat/>
    <w:rsid w:val="00D272F7"/>
    <w:rPr>
      <w:rFonts w:ascii="Candara" w:hAnsi="Candara"/>
      <w:sz w:val="20"/>
    </w:rPr>
  </w:style>
  <w:style w:type="character" w:customStyle="1" w:styleId="cit">
    <w:name w:val="cit"/>
    <w:basedOn w:val="DefaultParagraphFont"/>
    <w:rsid w:val="00D272F7"/>
  </w:style>
  <w:style w:type="paragraph" w:styleId="FootnoteText">
    <w:name w:val="footnote text"/>
    <w:basedOn w:val="Normal"/>
    <w:link w:val="FootnoteTextChar"/>
    <w:semiHidden/>
    <w:unhideWhenUsed/>
    <w:rsid w:val="002A67F2"/>
    <w:rPr>
      <w:sz w:val="20"/>
      <w:szCs w:val="20"/>
    </w:rPr>
  </w:style>
  <w:style w:type="character" w:customStyle="1" w:styleId="FootnoteTextChar">
    <w:name w:val="Footnote Text Char"/>
    <w:basedOn w:val="DefaultParagraphFont"/>
    <w:link w:val="FootnoteText"/>
    <w:semiHidden/>
    <w:rsid w:val="002A67F2"/>
    <w:rPr>
      <w:rFonts w:ascii="Calibri" w:hAnsi="Calibri"/>
    </w:rPr>
  </w:style>
  <w:style w:type="character" w:styleId="FootnoteReference">
    <w:name w:val="footnote reference"/>
    <w:basedOn w:val="DefaultParagraphFont"/>
    <w:semiHidden/>
    <w:unhideWhenUsed/>
    <w:rsid w:val="002A67F2"/>
    <w:rPr>
      <w:vertAlign w:val="superscript"/>
    </w:rPr>
  </w:style>
  <w:style w:type="paragraph" w:customStyle="1" w:styleId="ExecSumBodyText">
    <w:name w:val="Exec Sum Body Text"/>
    <w:basedOn w:val="Normal"/>
    <w:link w:val="ExecSumBodyTextChar"/>
    <w:qFormat/>
    <w:rsid w:val="00AA4A89"/>
    <w:pPr>
      <w:spacing w:after="120"/>
      <w:ind w:left="720" w:hanging="720"/>
    </w:pPr>
    <w:rPr>
      <w:rFonts w:asciiTheme="minorHAnsi" w:hAnsiTheme="minorHAnsi" w:cs="Arial"/>
      <w:snapToGrid w:val="0"/>
    </w:rPr>
  </w:style>
  <w:style w:type="character" w:customStyle="1" w:styleId="ExecSumBodyTextChar">
    <w:name w:val="Exec Sum Body Text Char"/>
    <w:basedOn w:val="DefaultParagraphFont"/>
    <w:link w:val="ExecSumBodyText"/>
    <w:rsid w:val="00AA4A89"/>
    <w:rPr>
      <w:rFonts w:asciiTheme="minorHAnsi" w:hAnsiTheme="minorHAnsi" w:cs="Arial"/>
      <w:snapToGrid w:val="0"/>
      <w:sz w:val="24"/>
      <w:szCs w:val="24"/>
    </w:rPr>
  </w:style>
  <w:style w:type="paragraph" w:styleId="Revision">
    <w:name w:val="Revision"/>
    <w:hidden/>
    <w:uiPriority w:val="71"/>
    <w:semiHidden/>
    <w:rsid w:val="00243FD0"/>
    <w:rPr>
      <w:rFonts w:ascii="Calibri" w:hAnsi="Calibri"/>
      <w:sz w:val="24"/>
      <w:szCs w:val="24"/>
    </w:rPr>
  </w:style>
  <w:style w:type="paragraph" w:styleId="EndnoteText">
    <w:name w:val="endnote text"/>
    <w:basedOn w:val="Normal"/>
    <w:link w:val="EndnoteTextChar"/>
    <w:semiHidden/>
    <w:unhideWhenUsed/>
    <w:rsid w:val="00AE73FF"/>
    <w:rPr>
      <w:sz w:val="20"/>
      <w:szCs w:val="20"/>
    </w:rPr>
  </w:style>
  <w:style w:type="character" w:customStyle="1" w:styleId="EndnoteTextChar">
    <w:name w:val="Endnote Text Char"/>
    <w:basedOn w:val="DefaultParagraphFont"/>
    <w:link w:val="EndnoteText"/>
    <w:semiHidden/>
    <w:rsid w:val="00AE73FF"/>
    <w:rPr>
      <w:rFonts w:ascii="Calibri" w:hAnsi="Calibri"/>
    </w:rPr>
  </w:style>
  <w:style w:type="character" w:styleId="EndnoteReference">
    <w:name w:val="endnote reference"/>
    <w:basedOn w:val="DefaultParagraphFont"/>
    <w:semiHidden/>
    <w:unhideWhenUsed/>
    <w:rsid w:val="00AE73FF"/>
    <w:rPr>
      <w:vertAlign w:val="superscript"/>
    </w:rPr>
  </w:style>
  <w:style w:type="paragraph" w:customStyle="1" w:styleId="Char">
    <w:name w:val="Char"/>
    <w:basedOn w:val="Normal"/>
    <w:rsid w:val="00A9033C"/>
    <w:pPr>
      <w:spacing w:after="160" w:line="240" w:lineRule="exact"/>
      <w:jc w:val="left"/>
    </w:pPr>
    <w:rPr>
      <w:rFonts w:ascii="Verdana" w:eastAsia="MS Mincho" w:hAnsi="Verdana" w:cs="Verdana"/>
      <w:sz w:val="20"/>
      <w:szCs w:val="20"/>
      <w:lang w:val="en-US" w:eastAsia="en-US"/>
    </w:rPr>
  </w:style>
  <w:style w:type="paragraph" w:styleId="NormalWeb">
    <w:name w:val="Normal (Web)"/>
    <w:basedOn w:val="Normal"/>
    <w:uiPriority w:val="99"/>
    <w:semiHidden/>
    <w:unhideWhenUsed/>
    <w:rsid w:val="003C24E4"/>
    <w:rPr>
      <w:rFonts w:ascii="Times New Roman" w:hAnsi="Times New Roman"/>
    </w:rPr>
  </w:style>
  <w:style w:type="paragraph" w:customStyle="1" w:styleId="Char0">
    <w:name w:val="Char"/>
    <w:basedOn w:val="Normal"/>
    <w:rsid w:val="00565DB8"/>
    <w:pPr>
      <w:spacing w:after="160" w:line="240" w:lineRule="exact"/>
      <w:jc w:val="left"/>
    </w:pPr>
    <w:rPr>
      <w:rFonts w:ascii="Verdana" w:eastAsia="MS Mincho"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7578326">
      <w:bodyDiv w:val="1"/>
      <w:marLeft w:val="0"/>
      <w:marRight w:val="0"/>
      <w:marTop w:val="0"/>
      <w:marBottom w:val="0"/>
      <w:divBdr>
        <w:top w:val="none" w:sz="0" w:space="0" w:color="auto"/>
        <w:left w:val="none" w:sz="0" w:space="0" w:color="auto"/>
        <w:bottom w:val="none" w:sz="0" w:space="0" w:color="auto"/>
        <w:right w:val="none" w:sz="0" w:space="0" w:color="auto"/>
      </w:divBdr>
      <w:divsChild>
        <w:div w:id="702636763">
          <w:marLeft w:val="360"/>
          <w:marRight w:val="0"/>
          <w:marTop w:val="100"/>
          <w:marBottom w:val="0"/>
          <w:divBdr>
            <w:top w:val="none" w:sz="0" w:space="0" w:color="auto"/>
            <w:left w:val="none" w:sz="0" w:space="0" w:color="auto"/>
            <w:bottom w:val="none" w:sz="0" w:space="0" w:color="auto"/>
            <w:right w:val="none" w:sz="0" w:space="0" w:color="auto"/>
          </w:divBdr>
        </w:div>
        <w:div w:id="249698082">
          <w:marLeft w:val="360"/>
          <w:marRight w:val="0"/>
          <w:marTop w:val="200"/>
          <w:marBottom w:val="0"/>
          <w:divBdr>
            <w:top w:val="none" w:sz="0" w:space="0" w:color="auto"/>
            <w:left w:val="none" w:sz="0" w:space="0" w:color="auto"/>
            <w:bottom w:val="none" w:sz="0" w:space="0" w:color="auto"/>
            <w:right w:val="none" w:sz="0" w:space="0" w:color="auto"/>
          </w:divBdr>
        </w:div>
      </w:divsChild>
    </w:div>
    <w:div w:id="241455261">
      <w:bodyDiv w:val="1"/>
      <w:marLeft w:val="0"/>
      <w:marRight w:val="0"/>
      <w:marTop w:val="0"/>
      <w:marBottom w:val="0"/>
      <w:divBdr>
        <w:top w:val="none" w:sz="0" w:space="0" w:color="auto"/>
        <w:left w:val="none" w:sz="0" w:space="0" w:color="auto"/>
        <w:bottom w:val="none" w:sz="0" w:space="0" w:color="auto"/>
        <w:right w:val="none" w:sz="0" w:space="0" w:color="auto"/>
      </w:divBdr>
      <w:divsChild>
        <w:div w:id="2081558469">
          <w:marLeft w:val="360"/>
          <w:marRight w:val="0"/>
          <w:marTop w:val="200"/>
          <w:marBottom w:val="0"/>
          <w:divBdr>
            <w:top w:val="none" w:sz="0" w:space="0" w:color="auto"/>
            <w:left w:val="none" w:sz="0" w:space="0" w:color="auto"/>
            <w:bottom w:val="none" w:sz="0" w:space="0" w:color="auto"/>
            <w:right w:val="none" w:sz="0" w:space="0" w:color="auto"/>
          </w:divBdr>
        </w:div>
      </w:divsChild>
    </w:div>
    <w:div w:id="337848091">
      <w:bodyDiv w:val="1"/>
      <w:marLeft w:val="0"/>
      <w:marRight w:val="0"/>
      <w:marTop w:val="0"/>
      <w:marBottom w:val="0"/>
      <w:divBdr>
        <w:top w:val="none" w:sz="0" w:space="0" w:color="auto"/>
        <w:left w:val="none" w:sz="0" w:space="0" w:color="auto"/>
        <w:bottom w:val="none" w:sz="0" w:space="0" w:color="auto"/>
        <w:right w:val="none" w:sz="0" w:space="0" w:color="auto"/>
      </w:divBdr>
      <w:divsChild>
        <w:div w:id="1810241258">
          <w:marLeft w:val="360"/>
          <w:marRight w:val="0"/>
          <w:marTop w:val="200"/>
          <w:marBottom w:val="0"/>
          <w:divBdr>
            <w:top w:val="none" w:sz="0" w:space="0" w:color="auto"/>
            <w:left w:val="none" w:sz="0" w:space="0" w:color="auto"/>
            <w:bottom w:val="none" w:sz="0" w:space="0" w:color="auto"/>
            <w:right w:val="none" w:sz="0" w:space="0" w:color="auto"/>
          </w:divBdr>
        </w:div>
      </w:divsChild>
    </w:div>
    <w:div w:id="473136681">
      <w:bodyDiv w:val="1"/>
      <w:marLeft w:val="0"/>
      <w:marRight w:val="0"/>
      <w:marTop w:val="0"/>
      <w:marBottom w:val="0"/>
      <w:divBdr>
        <w:top w:val="none" w:sz="0" w:space="0" w:color="auto"/>
        <w:left w:val="none" w:sz="0" w:space="0" w:color="auto"/>
        <w:bottom w:val="none" w:sz="0" w:space="0" w:color="auto"/>
        <w:right w:val="none" w:sz="0" w:space="0" w:color="auto"/>
      </w:divBdr>
    </w:div>
    <w:div w:id="557058552">
      <w:bodyDiv w:val="1"/>
      <w:marLeft w:val="0"/>
      <w:marRight w:val="0"/>
      <w:marTop w:val="0"/>
      <w:marBottom w:val="0"/>
      <w:divBdr>
        <w:top w:val="none" w:sz="0" w:space="0" w:color="auto"/>
        <w:left w:val="none" w:sz="0" w:space="0" w:color="auto"/>
        <w:bottom w:val="none" w:sz="0" w:space="0" w:color="auto"/>
        <w:right w:val="none" w:sz="0" w:space="0" w:color="auto"/>
      </w:divBdr>
      <w:divsChild>
        <w:div w:id="244534342">
          <w:marLeft w:val="1080"/>
          <w:marRight w:val="0"/>
          <w:marTop w:val="100"/>
          <w:marBottom w:val="0"/>
          <w:divBdr>
            <w:top w:val="none" w:sz="0" w:space="0" w:color="auto"/>
            <w:left w:val="none" w:sz="0" w:space="0" w:color="auto"/>
            <w:bottom w:val="none" w:sz="0" w:space="0" w:color="auto"/>
            <w:right w:val="none" w:sz="0" w:space="0" w:color="auto"/>
          </w:divBdr>
        </w:div>
        <w:div w:id="1540434915">
          <w:marLeft w:val="1080"/>
          <w:marRight w:val="0"/>
          <w:marTop w:val="100"/>
          <w:marBottom w:val="0"/>
          <w:divBdr>
            <w:top w:val="none" w:sz="0" w:space="0" w:color="auto"/>
            <w:left w:val="none" w:sz="0" w:space="0" w:color="auto"/>
            <w:bottom w:val="none" w:sz="0" w:space="0" w:color="auto"/>
            <w:right w:val="none" w:sz="0" w:space="0" w:color="auto"/>
          </w:divBdr>
        </w:div>
        <w:div w:id="1550072284">
          <w:marLeft w:val="1080"/>
          <w:marRight w:val="0"/>
          <w:marTop w:val="100"/>
          <w:marBottom w:val="0"/>
          <w:divBdr>
            <w:top w:val="none" w:sz="0" w:space="0" w:color="auto"/>
            <w:left w:val="none" w:sz="0" w:space="0" w:color="auto"/>
            <w:bottom w:val="none" w:sz="0" w:space="0" w:color="auto"/>
            <w:right w:val="none" w:sz="0" w:space="0" w:color="auto"/>
          </w:divBdr>
        </w:div>
        <w:div w:id="1078019586">
          <w:marLeft w:val="1080"/>
          <w:marRight w:val="0"/>
          <w:marTop w:val="100"/>
          <w:marBottom w:val="0"/>
          <w:divBdr>
            <w:top w:val="none" w:sz="0" w:space="0" w:color="auto"/>
            <w:left w:val="none" w:sz="0" w:space="0" w:color="auto"/>
            <w:bottom w:val="none" w:sz="0" w:space="0" w:color="auto"/>
            <w:right w:val="none" w:sz="0" w:space="0" w:color="auto"/>
          </w:divBdr>
        </w:div>
        <w:div w:id="2054839004">
          <w:marLeft w:val="1080"/>
          <w:marRight w:val="0"/>
          <w:marTop w:val="100"/>
          <w:marBottom w:val="0"/>
          <w:divBdr>
            <w:top w:val="none" w:sz="0" w:space="0" w:color="auto"/>
            <w:left w:val="none" w:sz="0" w:space="0" w:color="auto"/>
            <w:bottom w:val="none" w:sz="0" w:space="0" w:color="auto"/>
            <w:right w:val="none" w:sz="0" w:space="0" w:color="auto"/>
          </w:divBdr>
        </w:div>
        <w:div w:id="530412293">
          <w:marLeft w:val="1080"/>
          <w:marRight w:val="0"/>
          <w:marTop w:val="100"/>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53437601">
      <w:bodyDiv w:val="1"/>
      <w:marLeft w:val="0"/>
      <w:marRight w:val="0"/>
      <w:marTop w:val="0"/>
      <w:marBottom w:val="0"/>
      <w:divBdr>
        <w:top w:val="none" w:sz="0" w:space="0" w:color="auto"/>
        <w:left w:val="none" w:sz="0" w:space="0" w:color="auto"/>
        <w:bottom w:val="none" w:sz="0" w:space="0" w:color="auto"/>
        <w:right w:val="none" w:sz="0" w:space="0" w:color="auto"/>
      </w:divBdr>
      <w:divsChild>
        <w:div w:id="839661696">
          <w:marLeft w:val="360"/>
          <w:marRight w:val="0"/>
          <w:marTop w:val="100"/>
          <w:marBottom w:val="0"/>
          <w:divBdr>
            <w:top w:val="none" w:sz="0" w:space="0" w:color="auto"/>
            <w:left w:val="none" w:sz="0" w:space="0" w:color="auto"/>
            <w:bottom w:val="none" w:sz="0" w:space="0" w:color="auto"/>
            <w:right w:val="none" w:sz="0" w:space="0" w:color="auto"/>
          </w:divBdr>
        </w:div>
        <w:div w:id="600259103">
          <w:marLeft w:val="1080"/>
          <w:marRight w:val="0"/>
          <w:marTop w:val="100"/>
          <w:marBottom w:val="0"/>
          <w:divBdr>
            <w:top w:val="none" w:sz="0" w:space="0" w:color="auto"/>
            <w:left w:val="none" w:sz="0" w:space="0" w:color="auto"/>
            <w:bottom w:val="none" w:sz="0" w:space="0" w:color="auto"/>
            <w:right w:val="none" w:sz="0" w:space="0" w:color="auto"/>
          </w:divBdr>
        </w:div>
        <w:div w:id="670642093">
          <w:marLeft w:val="1080"/>
          <w:marRight w:val="0"/>
          <w:marTop w:val="100"/>
          <w:marBottom w:val="0"/>
          <w:divBdr>
            <w:top w:val="none" w:sz="0" w:space="0" w:color="auto"/>
            <w:left w:val="none" w:sz="0" w:space="0" w:color="auto"/>
            <w:bottom w:val="none" w:sz="0" w:space="0" w:color="auto"/>
            <w:right w:val="none" w:sz="0" w:space="0" w:color="auto"/>
          </w:divBdr>
        </w:div>
        <w:div w:id="488180065">
          <w:marLeft w:val="1080"/>
          <w:marRight w:val="0"/>
          <w:marTop w:val="100"/>
          <w:marBottom w:val="0"/>
          <w:divBdr>
            <w:top w:val="none" w:sz="0" w:space="0" w:color="auto"/>
            <w:left w:val="none" w:sz="0" w:space="0" w:color="auto"/>
            <w:bottom w:val="none" w:sz="0" w:space="0" w:color="auto"/>
            <w:right w:val="none" w:sz="0" w:space="0" w:color="auto"/>
          </w:divBdr>
        </w:div>
        <w:div w:id="1747067999">
          <w:marLeft w:val="1080"/>
          <w:marRight w:val="0"/>
          <w:marTop w:val="100"/>
          <w:marBottom w:val="0"/>
          <w:divBdr>
            <w:top w:val="none" w:sz="0" w:space="0" w:color="auto"/>
            <w:left w:val="none" w:sz="0" w:space="0" w:color="auto"/>
            <w:bottom w:val="none" w:sz="0" w:space="0" w:color="auto"/>
            <w:right w:val="none" w:sz="0" w:space="0" w:color="auto"/>
          </w:divBdr>
        </w:div>
        <w:div w:id="95175877">
          <w:marLeft w:val="1800"/>
          <w:marRight w:val="0"/>
          <w:marTop w:val="100"/>
          <w:marBottom w:val="0"/>
          <w:divBdr>
            <w:top w:val="none" w:sz="0" w:space="0" w:color="auto"/>
            <w:left w:val="none" w:sz="0" w:space="0" w:color="auto"/>
            <w:bottom w:val="none" w:sz="0" w:space="0" w:color="auto"/>
            <w:right w:val="none" w:sz="0" w:space="0" w:color="auto"/>
          </w:divBdr>
        </w:div>
        <w:div w:id="1397633424">
          <w:marLeft w:val="1800"/>
          <w:marRight w:val="0"/>
          <w:marTop w:val="100"/>
          <w:marBottom w:val="0"/>
          <w:divBdr>
            <w:top w:val="none" w:sz="0" w:space="0" w:color="auto"/>
            <w:left w:val="none" w:sz="0" w:space="0" w:color="auto"/>
            <w:bottom w:val="none" w:sz="0" w:space="0" w:color="auto"/>
            <w:right w:val="none" w:sz="0" w:space="0" w:color="auto"/>
          </w:divBdr>
        </w:div>
        <w:div w:id="1626544598">
          <w:marLeft w:val="1080"/>
          <w:marRight w:val="0"/>
          <w:marTop w:val="100"/>
          <w:marBottom w:val="0"/>
          <w:divBdr>
            <w:top w:val="none" w:sz="0" w:space="0" w:color="auto"/>
            <w:left w:val="none" w:sz="0" w:space="0" w:color="auto"/>
            <w:bottom w:val="none" w:sz="0" w:space="0" w:color="auto"/>
            <w:right w:val="none" w:sz="0" w:space="0" w:color="auto"/>
          </w:divBdr>
        </w:div>
      </w:divsChild>
    </w:div>
    <w:div w:id="1005091336">
      <w:bodyDiv w:val="1"/>
      <w:marLeft w:val="0"/>
      <w:marRight w:val="0"/>
      <w:marTop w:val="0"/>
      <w:marBottom w:val="0"/>
      <w:divBdr>
        <w:top w:val="none" w:sz="0" w:space="0" w:color="auto"/>
        <w:left w:val="none" w:sz="0" w:space="0" w:color="auto"/>
        <w:bottom w:val="none" w:sz="0" w:space="0" w:color="auto"/>
        <w:right w:val="none" w:sz="0" w:space="0" w:color="auto"/>
      </w:divBdr>
      <w:divsChild>
        <w:div w:id="436297221">
          <w:marLeft w:val="360"/>
          <w:marRight w:val="0"/>
          <w:marTop w:val="200"/>
          <w:marBottom w:val="0"/>
          <w:divBdr>
            <w:top w:val="none" w:sz="0" w:space="0" w:color="auto"/>
            <w:left w:val="none" w:sz="0" w:space="0" w:color="auto"/>
            <w:bottom w:val="none" w:sz="0" w:space="0" w:color="auto"/>
            <w:right w:val="none" w:sz="0" w:space="0" w:color="auto"/>
          </w:divBdr>
        </w:div>
        <w:div w:id="961807061">
          <w:marLeft w:val="360"/>
          <w:marRight w:val="0"/>
          <w:marTop w:val="200"/>
          <w:marBottom w:val="0"/>
          <w:divBdr>
            <w:top w:val="none" w:sz="0" w:space="0" w:color="auto"/>
            <w:left w:val="none" w:sz="0" w:space="0" w:color="auto"/>
            <w:bottom w:val="none" w:sz="0" w:space="0" w:color="auto"/>
            <w:right w:val="none" w:sz="0" w:space="0" w:color="auto"/>
          </w:divBdr>
        </w:div>
      </w:divsChild>
    </w:div>
    <w:div w:id="121511594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50313310">
      <w:bodyDiv w:val="1"/>
      <w:marLeft w:val="0"/>
      <w:marRight w:val="0"/>
      <w:marTop w:val="0"/>
      <w:marBottom w:val="0"/>
      <w:divBdr>
        <w:top w:val="none" w:sz="0" w:space="0" w:color="auto"/>
        <w:left w:val="none" w:sz="0" w:space="0" w:color="auto"/>
        <w:bottom w:val="none" w:sz="0" w:space="0" w:color="auto"/>
        <w:right w:val="none" w:sz="0" w:space="0" w:color="auto"/>
      </w:divBdr>
      <w:divsChild>
        <w:div w:id="360282390">
          <w:marLeft w:val="360"/>
          <w:marRight w:val="0"/>
          <w:marTop w:val="200"/>
          <w:marBottom w:val="0"/>
          <w:divBdr>
            <w:top w:val="none" w:sz="0" w:space="0" w:color="auto"/>
            <w:left w:val="none" w:sz="0" w:space="0" w:color="auto"/>
            <w:bottom w:val="none" w:sz="0" w:space="0" w:color="auto"/>
            <w:right w:val="none" w:sz="0" w:space="0" w:color="auto"/>
          </w:divBdr>
        </w:div>
      </w:divsChild>
    </w:div>
    <w:div w:id="1957256030">
      <w:bodyDiv w:val="1"/>
      <w:marLeft w:val="0"/>
      <w:marRight w:val="0"/>
      <w:marTop w:val="0"/>
      <w:marBottom w:val="0"/>
      <w:divBdr>
        <w:top w:val="none" w:sz="0" w:space="0" w:color="auto"/>
        <w:left w:val="none" w:sz="0" w:space="0" w:color="auto"/>
        <w:bottom w:val="none" w:sz="0" w:space="0" w:color="auto"/>
        <w:right w:val="none" w:sz="0" w:space="0" w:color="auto"/>
      </w:divBdr>
      <w:divsChild>
        <w:div w:id="2121025022">
          <w:marLeft w:val="360"/>
          <w:marRight w:val="0"/>
          <w:marTop w:val="200"/>
          <w:marBottom w:val="0"/>
          <w:divBdr>
            <w:top w:val="none" w:sz="0" w:space="0" w:color="auto"/>
            <w:left w:val="none" w:sz="0" w:space="0" w:color="auto"/>
            <w:bottom w:val="none" w:sz="0" w:space="0" w:color="auto"/>
            <w:right w:val="none" w:sz="0" w:space="0" w:color="auto"/>
          </w:divBdr>
        </w:div>
        <w:div w:id="108580288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rvicesaustralia.gov.au/"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tgldcdp.tg.org.au/viewTopic?topicfile=idiopathic-hypersomnolence-and-narcolepsy&amp;guidelineName=Neurology&amp;topicNavigation=navigateTo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BBEEC-DECE-4DBA-A542-58065A3B0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5521</Words>
  <Characters>32745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2020-08-13T02:54:00Z</dcterms:created>
  <dcterms:modified xsi:type="dcterms:W3CDTF">2020-10-27T22:42:00Z</dcterms:modified>
</cp:coreProperties>
</file>